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89774" w14:textId="49F83177" w:rsidR="00047F22" w:rsidRPr="00D56A27" w:rsidRDefault="004E0E69" w:rsidP="00D56A27">
      <w:pPr>
        <w:pStyle w:val="Title"/>
      </w:pPr>
      <w:r w:rsidRPr="00E23AB3">
        <w:rPr>
          <w:lang w:eastAsia="en-US"/>
        </w:rPr>
        <w:t xml:space="preserve">Annual Equality Report </w:t>
      </w:r>
      <w:r w:rsidR="00D56A27">
        <w:rPr>
          <w:lang w:eastAsia="en-US"/>
        </w:rPr>
        <w:t>2018/19</w:t>
      </w:r>
    </w:p>
    <w:p w14:paraId="251716AF" w14:textId="77777777" w:rsidR="00815D49" w:rsidRPr="00E23AB3" w:rsidRDefault="00180BE2" w:rsidP="00D56A27">
      <w:pPr>
        <w:pStyle w:val="Heading1boardreport"/>
      </w:pPr>
      <w:r w:rsidRPr="00D56A27">
        <w:t>Introduction</w:t>
      </w:r>
      <w:r w:rsidR="002234A8" w:rsidRPr="00E23AB3">
        <w:t xml:space="preserve"> </w:t>
      </w:r>
    </w:p>
    <w:p w14:paraId="01CDED60" w14:textId="77777777" w:rsidR="0073560B" w:rsidRPr="00746A2B" w:rsidRDefault="0073560B" w:rsidP="007C59B7">
      <w:pPr>
        <w:pStyle w:val="Paragraph"/>
        <w:numPr>
          <w:ilvl w:val="0"/>
          <w:numId w:val="32"/>
        </w:numPr>
        <w:ind w:left="425" w:hanging="425"/>
      </w:pPr>
      <w:r w:rsidRPr="00746A2B">
        <w:t>NICE's role is to improve outcomes for people using the NHS and other public health and social care services. We do this by:</w:t>
      </w:r>
    </w:p>
    <w:p w14:paraId="54183F62" w14:textId="426E2A83" w:rsidR="0073560B" w:rsidRPr="00746A2B" w:rsidRDefault="0073560B" w:rsidP="00FB63A0">
      <w:pPr>
        <w:pStyle w:val="Bullets"/>
      </w:pPr>
      <w:r w:rsidRPr="00746A2B">
        <w:t>Producing evidence</w:t>
      </w:r>
      <w:r w:rsidR="00D163DA">
        <w:t>-</w:t>
      </w:r>
      <w:r w:rsidRPr="00746A2B">
        <w:t xml:space="preserve">based guidance and advice for health, public </w:t>
      </w:r>
      <w:proofErr w:type="gramStart"/>
      <w:r w:rsidRPr="00746A2B">
        <w:t>health</w:t>
      </w:r>
      <w:proofErr w:type="gramEnd"/>
      <w:r w:rsidRPr="00746A2B">
        <w:t xml:space="preserve"> and social care practitioners.</w:t>
      </w:r>
    </w:p>
    <w:p w14:paraId="414485B2" w14:textId="77777777" w:rsidR="0073560B" w:rsidRPr="00746A2B" w:rsidRDefault="0073560B" w:rsidP="00FB63A0">
      <w:pPr>
        <w:pStyle w:val="Bullets"/>
      </w:pPr>
      <w:r w:rsidRPr="00746A2B">
        <w:t xml:space="preserve">Developing quality standards and performance metrics for those providing and commissioning health, public </w:t>
      </w:r>
      <w:proofErr w:type="gramStart"/>
      <w:r w:rsidRPr="00746A2B">
        <w:t>health</w:t>
      </w:r>
      <w:proofErr w:type="gramEnd"/>
      <w:r w:rsidRPr="00746A2B">
        <w:t xml:space="preserve"> and social care services.</w:t>
      </w:r>
    </w:p>
    <w:p w14:paraId="7CC9C824" w14:textId="24F4B4B6" w:rsidR="0073560B" w:rsidRPr="00746A2B" w:rsidRDefault="0073560B" w:rsidP="00FB63A0">
      <w:pPr>
        <w:pStyle w:val="Bulletslast"/>
      </w:pPr>
      <w:r w:rsidRPr="00746A2B">
        <w:t xml:space="preserve">Providing a range of information services for commissioners, </w:t>
      </w:r>
      <w:proofErr w:type="gramStart"/>
      <w:r w:rsidRPr="00746A2B">
        <w:t>practitioners</w:t>
      </w:r>
      <w:proofErr w:type="gramEnd"/>
      <w:r w:rsidRPr="00746A2B">
        <w:t xml:space="preserve"> and managers across the spectrum of health and social care.</w:t>
      </w:r>
    </w:p>
    <w:p w14:paraId="640FFC0C" w14:textId="77777777" w:rsidR="0073560B" w:rsidRPr="00746A2B" w:rsidRDefault="0073560B" w:rsidP="00C51B05">
      <w:pPr>
        <w:pStyle w:val="Paragraph"/>
      </w:pPr>
      <w:r w:rsidRPr="00746A2B">
        <w:t xml:space="preserve">NICE is committed to eliminating discrimination, harassment and victimisation, advancing equality of opportunity, and fostering good relations between people who share the protected characteristics defined in the Equality Act 2010 of age, disability, gender reassignment, marriage and civil partnership, pregnancy and maternity, race, religion or belief, sex, and sexual orientation, and those who do </w:t>
      </w:r>
      <w:proofErr w:type="gramStart"/>
      <w:r w:rsidRPr="00746A2B">
        <w:t>not.</w:t>
      </w:r>
      <w:proofErr w:type="gramEnd"/>
      <w:r w:rsidRPr="00746A2B">
        <w:t xml:space="preserve"> We aim to comply with the Human Rights Act 1998 and are concerned with tackling health inequalities associated with underlying socioeconomic factors and inequ</w:t>
      </w:r>
      <w:r w:rsidR="008B0AF6" w:rsidRPr="00746A2B">
        <w:t>al</w:t>
      </w:r>
      <w:r w:rsidRPr="00746A2B">
        <w:t xml:space="preserve">ities in access to healthcare and opportunities to improve health for certain disadvantaged groups. </w:t>
      </w:r>
    </w:p>
    <w:p w14:paraId="544532A6" w14:textId="77777777" w:rsidR="0073560B" w:rsidRPr="00746A2B" w:rsidRDefault="0073560B" w:rsidP="00C51B05">
      <w:pPr>
        <w:pStyle w:val="Paragraph"/>
      </w:pPr>
      <w:r w:rsidRPr="00746A2B">
        <w:t xml:space="preserve">This report covers our responsibility under Equality Act </w:t>
      </w:r>
      <w:r w:rsidR="008B0AF6" w:rsidRPr="00746A2B">
        <w:t>r</w:t>
      </w:r>
      <w:r w:rsidRPr="00746A2B">
        <w:t>egulations to publish information annually to demonstrate our compliance with the public sector equality duty. It consists of five main sections:</w:t>
      </w:r>
    </w:p>
    <w:p w14:paraId="7DB4DF6B" w14:textId="2B1847B4" w:rsidR="0073560B" w:rsidRPr="00746A2B" w:rsidRDefault="00EA46BA" w:rsidP="0073560B">
      <w:pPr>
        <w:pStyle w:val="Bullets"/>
      </w:pPr>
      <w:r w:rsidRPr="00D628F5">
        <w:rPr>
          <w:bCs/>
        </w:rPr>
        <w:t>A</w:t>
      </w:r>
      <w:r>
        <w:rPr>
          <w:b/>
        </w:rPr>
        <w:t xml:space="preserve"> s</w:t>
      </w:r>
      <w:r w:rsidR="0073560B" w:rsidRPr="00746A2B">
        <w:rPr>
          <w:b/>
        </w:rPr>
        <w:t>ummary</w:t>
      </w:r>
      <w:r w:rsidR="0073560B" w:rsidRPr="00746A2B">
        <w:t xml:space="preserve"> of key data relating to </w:t>
      </w:r>
      <w:r w:rsidR="008B0AF6" w:rsidRPr="00746A2B">
        <w:t xml:space="preserve">the </w:t>
      </w:r>
      <w:r w:rsidR="0073560B" w:rsidRPr="00746A2B">
        <w:t>composition of advisory committees, equality analysis in guidance production and composition of the workforce</w:t>
      </w:r>
    </w:p>
    <w:p w14:paraId="1EEC1943" w14:textId="77777777" w:rsidR="0073560B" w:rsidRPr="00746A2B" w:rsidRDefault="0073560B" w:rsidP="0073560B">
      <w:pPr>
        <w:pStyle w:val="Bullets"/>
      </w:pPr>
      <w:r w:rsidRPr="00746A2B">
        <w:rPr>
          <w:b/>
        </w:rPr>
        <w:t>NICE’s equality aims</w:t>
      </w:r>
      <w:r w:rsidRPr="00746A2B">
        <w:t xml:space="preserve"> </w:t>
      </w:r>
      <w:r w:rsidR="00D358EE" w:rsidRPr="00746A2B">
        <w:t>and</w:t>
      </w:r>
      <w:r w:rsidRPr="00746A2B">
        <w:t xml:space="preserve"> our formal objectives as part of the public sector equality duty </w:t>
      </w:r>
    </w:p>
    <w:p w14:paraId="6291EFE3" w14:textId="77777777" w:rsidR="0073560B" w:rsidRPr="00746A2B" w:rsidRDefault="0073560B" w:rsidP="0073560B">
      <w:pPr>
        <w:pStyle w:val="Bullets"/>
      </w:pPr>
      <w:r w:rsidRPr="00746A2B">
        <w:rPr>
          <w:b/>
        </w:rPr>
        <w:t>Composition of, and appointments to, NICE committees:</w:t>
      </w:r>
      <w:r w:rsidRPr="00746A2B">
        <w:t xml:space="preserve"> information about the effects of our policy on recruiting members to our advisory bodies</w:t>
      </w:r>
    </w:p>
    <w:p w14:paraId="13ACBB6C" w14:textId="77777777" w:rsidR="0073560B" w:rsidRPr="00746A2B" w:rsidRDefault="0073560B" w:rsidP="0073560B">
      <w:pPr>
        <w:pStyle w:val="Bullets"/>
      </w:pPr>
      <w:r w:rsidRPr="00746A2B">
        <w:rPr>
          <w:b/>
        </w:rPr>
        <w:t>Equality issues impacting on NICE guidance:</w:t>
      </w:r>
      <w:r w:rsidRPr="00746A2B">
        <w:t xml:space="preserve"> the effects of equality analysis on NICE’s guidance recommendations</w:t>
      </w:r>
    </w:p>
    <w:p w14:paraId="649EDD8C" w14:textId="0D49B3EA" w:rsidR="0073560B" w:rsidRPr="00746A2B" w:rsidRDefault="0073560B" w:rsidP="0073560B">
      <w:pPr>
        <w:pStyle w:val="Bulletslast"/>
      </w:pPr>
      <w:r w:rsidRPr="00746A2B">
        <w:rPr>
          <w:b/>
        </w:rPr>
        <w:lastRenderedPageBreak/>
        <w:t>Workforce:</w:t>
      </w:r>
      <w:r w:rsidRPr="00746A2B">
        <w:t xml:space="preserve"> summary of the workforce profile by equality category. More detail about the workforce can be found in the </w:t>
      </w:r>
      <w:hyperlink r:id="rId8" w:history="1">
        <w:r w:rsidRPr="00680A7F">
          <w:rPr>
            <w:rStyle w:val="Hyperlink"/>
          </w:rPr>
          <w:t>annual workforce report</w:t>
        </w:r>
      </w:hyperlink>
      <w:r w:rsidRPr="00746A2B">
        <w:t xml:space="preserve">. </w:t>
      </w:r>
    </w:p>
    <w:p w14:paraId="3DA6305B" w14:textId="2068A204" w:rsidR="0073560B" w:rsidRPr="00746A2B" w:rsidRDefault="0073560B" w:rsidP="00C51B05">
      <w:pPr>
        <w:pStyle w:val="Paragraph"/>
      </w:pPr>
      <w:r w:rsidRPr="00746A2B">
        <w:t>The report covers guidance</w:t>
      </w:r>
      <w:r w:rsidR="002A4CD5" w:rsidRPr="00746A2B">
        <w:t xml:space="preserve"> produced and appointments </w:t>
      </w:r>
      <w:r w:rsidRPr="00746A2B">
        <w:t>to the committees in the period 1 April 201</w:t>
      </w:r>
      <w:r w:rsidR="00746A2B" w:rsidRPr="00746A2B">
        <w:t>8</w:t>
      </w:r>
      <w:r w:rsidRPr="00746A2B">
        <w:t xml:space="preserve"> to 31 March 201</w:t>
      </w:r>
      <w:r w:rsidR="00746A2B" w:rsidRPr="00746A2B">
        <w:t>9</w:t>
      </w:r>
      <w:r w:rsidRPr="00746A2B">
        <w:t xml:space="preserve">, and the workforce profile </w:t>
      </w:r>
      <w:proofErr w:type="gramStart"/>
      <w:r w:rsidRPr="00746A2B">
        <w:t>at</w:t>
      </w:r>
      <w:proofErr w:type="gramEnd"/>
      <w:r w:rsidRPr="00746A2B">
        <w:t xml:space="preserve"> 31 March 201</w:t>
      </w:r>
      <w:r w:rsidR="00746A2B" w:rsidRPr="00746A2B">
        <w:t>9</w:t>
      </w:r>
      <w:r w:rsidRPr="00746A2B">
        <w:t xml:space="preserve">. The survey of committee members was undertaken in </w:t>
      </w:r>
      <w:r w:rsidR="00746A2B" w:rsidRPr="00746A2B">
        <w:t>April</w:t>
      </w:r>
      <w:r w:rsidRPr="00746A2B">
        <w:t xml:space="preserve"> and </w:t>
      </w:r>
      <w:r w:rsidR="00746A2B" w:rsidRPr="00746A2B">
        <w:t>May</w:t>
      </w:r>
      <w:r w:rsidRPr="00746A2B">
        <w:t xml:space="preserve"> 201</w:t>
      </w:r>
      <w:r w:rsidR="00746A2B" w:rsidRPr="00746A2B">
        <w:t>9</w:t>
      </w:r>
      <w:r w:rsidR="002A4CD5" w:rsidRPr="00746A2B">
        <w:t>, covering</w:t>
      </w:r>
      <w:r w:rsidRPr="00746A2B">
        <w:t xml:space="preserve"> those who were a member of a committee </w:t>
      </w:r>
      <w:proofErr w:type="gramStart"/>
      <w:r w:rsidRPr="00746A2B">
        <w:t>at</w:t>
      </w:r>
      <w:proofErr w:type="gramEnd"/>
      <w:r w:rsidRPr="00746A2B">
        <w:t xml:space="preserve"> 31 March 201</w:t>
      </w:r>
      <w:r w:rsidR="00746A2B" w:rsidRPr="00746A2B">
        <w:t>9</w:t>
      </w:r>
      <w:r w:rsidRPr="00746A2B">
        <w:t xml:space="preserve">. </w:t>
      </w:r>
    </w:p>
    <w:p w14:paraId="2B99ED80" w14:textId="77777777" w:rsidR="002234A8" w:rsidRPr="00E23AB3" w:rsidRDefault="0073560B" w:rsidP="00746A2B">
      <w:pPr>
        <w:pStyle w:val="Heading1boardreport"/>
      </w:pPr>
      <w:r w:rsidRPr="00746A2B">
        <w:t>Summary</w:t>
      </w:r>
    </w:p>
    <w:p w14:paraId="4B390431" w14:textId="77777777" w:rsidR="009503FF" w:rsidRPr="00E23AB3" w:rsidRDefault="009503FF" w:rsidP="00746A2B">
      <w:pPr>
        <w:pStyle w:val="Heading2boardreport"/>
      </w:pPr>
      <w:r w:rsidRPr="00E23AB3">
        <w:t xml:space="preserve">NICE’s equality </w:t>
      </w:r>
      <w:r w:rsidRPr="00746A2B">
        <w:t>objectives</w:t>
      </w:r>
    </w:p>
    <w:p w14:paraId="6562AA95" w14:textId="70A22EF4" w:rsidR="009503FF" w:rsidRPr="00746A2B" w:rsidRDefault="000C6FB1" w:rsidP="0036314B">
      <w:pPr>
        <w:pStyle w:val="Paragraph"/>
      </w:pPr>
      <w:r w:rsidRPr="00746A2B">
        <w:t xml:space="preserve">Actions to deliver the 2016 to 2020 equality objectives </w:t>
      </w:r>
      <w:r w:rsidR="00A32BF7">
        <w:t>continued</w:t>
      </w:r>
      <w:r w:rsidRPr="00746A2B">
        <w:t>, coordinated by NICE’s cross-</w:t>
      </w:r>
      <w:r w:rsidR="002D61BE" w:rsidRPr="00746A2B">
        <w:t>I</w:t>
      </w:r>
      <w:r w:rsidRPr="00746A2B">
        <w:t xml:space="preserve">nstitute equality and diversity group. </w:t>
      </w:r>
    </w:p>
    <w:p w14:paraId="6BF994CF" w14:textId="06057EE2" w:rsidR="00945E59" w:rsidRDefault="00D10686" w:rsidP="00945E59">
      <w:pPr>
        <w:pStyle w:val="Paragraph"/>
      </w:pPr>
      <w:r>
        <w:t xml:space="preserve">The first objective is to increase the proportion of </w:t>
      </w:r>
      <w:r w:rsidR="002B676C" w:rsidRPr="009700DD">
        <w:t xml:space="preserve">committee member applications from people who </w:t>
      </w:r>
      <w:r w:rsidR="00EA46BA">
        <w:t xml:space="preserve">identify </w:t>
      </w:r>
      <w:r w:rsidR="002B676C" w:rsidRPr="009700DD">
        <w:t xml:space="preserve">themselves as </w:t>
      </w:r>
      <w:r w:rsidR="005E766B">
        <w:t xml:space="preserve">being </w:t>
      </w:r>
      <w:r w:rsidR="002B676C" w:rsidRPr="009700DD">
        <w:t>from black, Asian and minority ethnic groups</w:t>
      </w:r>
      <w:r w:rsidR="002B676C">
        <w:t>.</w:t>
      </w:r>
      <w:r w:rsidR="002B676C" w:rsidRPr="009700DD">
        <w:t xml:space="preserve"> </w:t>
      </w:r>
      <w:r w:rsidR="00F20869">
        <w:t>D</w:t>
      </w:r>
      <w:r w:rsidR="00945E59" w:rsidRPr="009700DD">
        <w:t>espite a range of activities to deliver th</w:t>
      </w:r>
      <w:r w:rsidR="002B676C">
        <w:t xml:space="preserve">is </w:t>
      </w:r>
      <w:r w:rsidR="00945E59" w:rsidRPr="009700DD">
        <w:t xml:space="preserve">objective, the proportion of committee member applications from people who </w:t>
      </w:r>
      <w:r w:rsidR="00EA46BA">
        <w:t>identify</w:t>
      </w:r>
      <w:r w:rsidR="00EA46BA" w:rsidRPr="009700DD">
        <w:t xml:space="preserve"> </w:t>
      </w:r>
      <w:r w:rsidR="00945E59" w:rsidRPr="009700DD">
        <w:t xml:space="preserve">themselves as from black, Asian and minority ethnic groups decreased in 2018/19, following year on year increases in the previous two years. However, as noted below, </w:t>
      </w:r>
      <w:r w:rsidR="000A17A4">
        <w:t xml:space="preserve">when looking at the </w:t>
      </w:r>
      <w:r w:rsidR="007D4B52">
        <w:t>overall</w:t>
      </w:r>
      <w:r w:rsidR="000A17A4">
        <w:t xml:space="preserve"> committee members</w:t>
      </w:r>
      <w:r w:rsidR="007D4B52">
        <w:t>hip</w:t>
      </w:r>
      <w:r w:rsidR="000A17A4">
        <w:t xml:space="preserve">, </w:t>
      </w:r>
      <w:r w:rsidR="00945E59" w:rsidRPr="009700DD">
        <w:t xml:space="preserve">the </w:t>
      </w:r>
      <w:bookmarkStart w:id="0" w:name="_Hlk11245878"/>
      <w:r w:rsidR="00945E59" w:rsidRPr="009700DD">
        <w:t xml:space="preserve">proportion of members who </w:t>
      </w:r>
      <w:r w:rsidR="00EA46BA">
        <w:t>identify</w:t>
      </w:r>
      <w:r w:rsidR="00EA46BA" w:rsidRPr="009700DD">
        <w:t xml:space="preserve"> </w:t>
      </w:r>
      <w:r w:rsidR="00945E59" w:rsidRPr="009700DD">
        <w:t xml:space="preserve">themselves as from black, Asian and minority ethnic groups </w:t>
      </w:r>
      <w:r w:rsidR="0013210A">
        <w:t xml:space="preserve">did </w:t>
      </w:r>
      <w:r w:rsidR="00945E59" w:rsidRPr="009700DD">
        <w:t>continue to increase year on year.</w:t>
      </w:r>
      <w:bookmarkEnd w:id="0"/>
    </w:p>
    <w:p w14:paraId="1B97C1C4" w14:textId="5D8EBED6" w:rsidR="00F20869" w:rsidRPr="009700DD" w:rsidRDefault="00F20869" w:rsidP="00945E59">
      <w:pPr>
        <w:pStyle w:val="Paragraph"/>
      </w:pPr>
      <w:r w:rsidRPr="009700DD">
        <w:t>In line with the second equality objective, the proportion of staff in band 7 and above from black, Asian and minority ethnic groups</w:t>
      </w:r>
      <w:r>
        <w:t xml:space="preserve"> increased </w:t>
      </w:r>
      <w:r w:rsidRPr="009700DD">
        <w:t xml:space="preserve">from last year. </w:t>
      </w:r>
    </w:p>
    <w:p w14:paraId="7C15FB6B" w14:textId="77777777" w:rsidR="0073560B" w:rsidRPr="00E23AB3" w:rsidRDefault="0073560B" w:rsidP="00746A2B">
      <w:pPr>
        <w:pStyle w:val="Heading2boardreport"/>
      </w:pPr>
      <w:r w:rsidRPr="00E23AB3">
        <w:t>Composition of and appointments to NICE committees</w:t>
      </w:r>
    </w:p>
    <w:p w14:paraId="39B4543B" w14:textId="77777777" w:rsidR="00945E59" w:rsidRPr="00D85A90" w:rsidRDefault="00945E59" w:rsidP="00945E59">
      <w:pPr>
        <w:pStyle w:val="Paragraph"/>
      </w:pPr>
      <w:r w:rsidRPr="00D85A90">
        <w:t xml:space="preserve">The survey of committee members reported that: </w:t>
      </w:r>
    </w:p>
    <w:p w14:paraId="561021DD" w14:textId="77777777" w:rsidR="00945E59" w:rsidRPr="00D85A90" w:rsidRDefault="00945E59" w:rsidP="00945E59">
      <w:pPr>
        <w:pStyle w:val="Bullets"/>
      </w:pPr>
      <w:r w:rsidRPr="00D85A90">
        <w:t>4</w:t>
      </w:r>
      <w:r>
        <w:t>8</w:t>
      </w:r>
      <w:r w:rsidRPr="00D85A90">
        <w:t xml:space="preserve">% of respondents were women, 50% were men and </w:t>
      </w:r>
      <w:r>
        <w:t>2</w:t>
      </w:r>
      <w:r w:rsidRPr="00D85A90">
        <w:t xml:space="preserve">% indicated that it was their choice not to answer the question or gave no response (in last year’s survey </w:t>
      </w:r>
      <w:r>
        <w:t>49</w:t>
      </w:r>
      <w:r w:rsidRPr="00D85A90">
        <w:t xml:space="preserve">% of respondents were women, </w:t>
      </w:r>
      <w:r>
        <w:t>50</w:t>
      </w:r>
      <w:r w:rsidRPr="00D85A90">
        <w:t xml:space="preserve">% were men, and </w:t>
      </w:r>
      <w:r>
        <w:t>1</w:t>
      </w:r>
      <w:r w:rsidRPr="00D85A90">
        <w:t>% indicated that it was their choice not to answer the question or gave no response).</w:t>
      </w:r>
    </w:p>
    <w:p w14:paraId="43F01199" w14:textId="4974E8E7" w:rsidR="00945E59" w:rsidRPr="00D85A90" w:rsidRDefault="00945E59" w:rsidP="00945E59">
      <w:pPr>
        <w:pStyle w:val="Bullets"/>
      </w:pPr>
      <w:r>
        <w:t>10</w:t>
      </w:r>
      <w:r w:rsidRPr="00D85A90">
        <w:t>% of respondents identified themselves as disabled and 7</w:t>
      </w:r>
      <w:r>
        <w:t>2</w:t>
      </w:r>
      <w:r w:rsidRPr="00D85A90">
        <w:t>% did not. The comparative figures in 2</w:t>
      </w:r>
      <w:r>
        <w:t>018</w:t>
      </w:r>
      <w:r w:rsidRPr="00D85A90">
        <w:t xml:space="preserve"> were </w:t>
      </w:r>
      <w:r>
        <w:t>9</w:t>
      </w:r>
      <w:r w:rsidRPr="00D85A90">
        <w:t xml:space="preserve">% and </w:t>
      </w:r>
      <w:r>
        <w:t>73</w:t>
      </w:r>
      <w:r w:rsidRPr="00D85A90">
        <w:t xml:space="preserve">%. </w:t>
      </w:r>
      <w:r>
        <w:t xml:space="preserve">The proportion of committee members who stated they were not disabled was lower than the proportion of the general </w:t>
      </w:r>
      <w:r w:rsidRPr="00E552BB">
        <w:t xml:space="preserve">population </w:t>
      </w:r>
      <w:r>
        <w:t xml:space="preserve">who </w:t>
      </w:r>
      <w:r w:rsidRPr="00E552BB">
        <w:t>d</w:t>
      </w:r>
      <w:r>
        <w:t>o</w:t>
      </w:r>
      <w:r w:rsidRPr="00E552BB">
        <w:t xml:space="preserve"> not have an activity </w:t>
      </w:r>
      <w:r w:rsidRPr="00E552BB">
        <w:lastRenderedPageBreak/>
        <w:t>limiting health problem or disability.</w:t>
      </w:r>
      <w:r>
        <w:rPr>
          <w:rStyle w:val="FootnoteReference"/>
        </w:rPr>
        <w:footnoteReference w:id="1"/>
      </w:r>
      <w:r w:rsidR="00AF080C">
        <w:t xml:space="preserve"> This indicates the ongoing success in ensuring our committees are open to people with a disability.</w:t>
      </w:r>
    </w:p>
    <w:p w14:paraId="6BDFED27" w14:textId="697CA7B7" w:rsidR="00945E59" w:rsidRPr="00D85A90" w:rsidRDefault="00945E59" w:rsidP="00945E59">
      <w:pPr>
        <w:pStyle w:val="Bullets"/>
      </w:pPr>
      <w:r w:rsidRPr="00D85A90">
        <w:t>8</w:t>
      </w:r>
      <w:r>
        <w:t>3</w:t>
      </w:r>
      <w:r w:rsidRPr="00D85A90">
        <w:t xml:space="preserve">% of respondents identified themselves of white ethnicity, and 14% of non-white ethnicity. The proportion of respondents of non-white ethnicity has increased each year over the last </w:t>
      </w:r>
      <w:r>
        <w:t>four</w:t>
      </w:r>
      <w:r w:rsidRPr="00D85A90">
        <w:t xml:space="preserve"> annual surveys. The proportion of respondents of black ethnicity is lower than the general population</w:t>
      </w:r>
      <w:r w:rsidRPr="00D85A90">
        <w:rPr>
          <w:rStyle w:val="FootnoteReference"/>
        </w:rPr>
        <w:footnoteReference w:id="2"/>
      </w:r>
      <w:r w:rsidRPr="00D85A90">
        <w:t xml:space="preserve"> for both lay and non-lay roles. </w:t>
      </w:r>
      <w:r w:rsidR="00025C52">
        <w:t>While</w:t>
      </w:r>
      <w:r w:rsidRPr="00D85A90">
        <w:t xml:space="preserve"> </w:t>
      </w:r>
      <w:r w:rsidR="000C330A" w:rsidRPr="008C5569">
        <w:t>the proportion of non-lay members of Asian ethnicity is higher than the general population</w:t>
      </w:r>
      <w:r w:rsidR="000C330A">
        <w:t xml:space="preserve">, </w:t>
      </w:r>
      <w:r w:rsidRPr="00D85A90">
        <w:t xml:space="preserve">people of Asian ethnicity are underrepresented in lay roles compared </w:t>
      </w:r>
      <w:r w:rsidR="007C388B">
        <w:t>with</w:t>
      </w:r>
      <w:r w:rsidR="007C388B" w:rsidRPr="00D85A90">
        <w:t xml:space="preserve"> </w:t>
      </w:r>
      <w:r w:rsidRPr="00D85A90">
        <w:t>the general population</w:t>
      </w:r>
      <w:r w:rsidR="000C330A">
        <w:t xml:space="preserve">. </w:t>
      </w:r>
    </w:p>
    <w:p w14:paraId="0899D174" w14:textId="77777777" w:rsidR="00945E59" w:rsidRPr="00D85A90" w:rsidRDefault="00945E59" w:rsidP="00945E59">
      <w:pPr>
        <w:pStyle w:val="Bullets"/>
      </w:pPr>
      <w:r w:rsidRPr="00D85A90">
        <w:t>Just under half (48%) of the respondents in the 201</w:t>
      </w:r>
      <w:r>
        <w:t>9</w:t>
      </w:r>
      <w:r w:rsidRPr="00D85A90">
        <w:t xml:space="preserve"> survey were between 51 and 65 years old, with 8</w:t>
      </w:r>
      <w:r>
        <w:t>4</w:t>
      </w:r>
      <w:r w:rsidRPr="00D85A90">
        <w:t xml:space="preserve">% between 36 and 65 years old. Overall, the age profile is broadly </w:t>
      </w:r>
      <w:proofErr w:type="gramStart"/>
      <w:r w:rsidRPr="00D85A90">
        <w:t>similar to</w:t>
      </w:r>
      <w:proofErr w:type="gramEnd"/>
      <w:r w:rsidRPr="00D85A90">
        <w:t xml:space="preserve"> the 201</w:t>
      </w:r>
      <w:r>
        <w:t>8</w:t>
      </w:r>
      <w:r w:rsidRPr="00D85A90">
        <w:t xml:space="preserve"> survey. </w:t>
      </w:r>
    </w:p>
    <w:p w14:paraId="1005125B" w14:textId="77777777" w:rsidR="00945E59" w:rsidRPr="00D85A90" w:rsidRDefault="00945E59" w:rsidP="00945E59">
      <w:pPr>
        <w:pStyle w:val="Bullets"/>
      </w:pPr>
      <w:r>
        <w:t>4</w:t>
      </w:r>
      <w:r w:rsidRPr="00D85A90">
        <w:t xml:space="preserve">% identified their sexual orientation as lesbian, gay, </w:t>
      </w:r>
      <w:proofErr w:type="gramStart"/>
      <w:r w:rsidRPr="00D85A90">
        <w:t>bisexual</w:t>
      </w:r>
      <w:proofErr w:type="gramEnd"/>
      <w:r w:rsidRPr="00D85A90">
        <w:t xml:space="preserve"> or other</w:t>
      </w:r>
      <w:r>
        <w:t xml:space="preserve">, which is slightly lower than </w:t>
      </w:r>
      <w:r w:rsidRPr="00D85A90">
        <w:t>the UK general population</w:t>
      </w:r>
      <w:r>
        <w:t xml:space="preserve"> (5%)</w:t>
      </w:r>
      <w:r w:rsidRPr="00D85A90">
        <w:t>.</w:t>
      </w:r>
      <w:r w:rsidRPr="00D85A90">
        <w:rPr>
          <w:rStyle w:val="FootnoteReference"/>
        </w:rPr>
        <w:footnoteReference w:id="3"/>
      </w:r>
    </w:p>
    <w:p w14:paraId="2D9DDDEA" w14:textId="4EA62AE2" w:rsidR="00945E59" w:rsidRDefault="00945E59" w:rsidP="00945E59">
      <w:pPr>
        <w:pStyle w:val="Bulletslast"/>
      </w:pPr>
      <w:r w:rsidRPr="00D85A90">
        <w:t xml:space="preserve">The largest proportion of respondents were those who identified themselves </w:t>
      </w:r>
      <w:r>
        <w:t>of Christian belief</w:t>
      </w:r>
      <w:r w:rsidR="00292A28">
        <w:t xml:space="preserve"> (45%) and no religion (38%)</w:t>
      </w:r>
      <w:r>
        <w:t xml:space="preserve">. Compared </w:t>
      </w:r>
      <w:r w:rsidR="005071AA">
        <w:t xml:space="preserve">with </w:t>
      </w:r>
      <w:r>
        <w:t xml:space="preserve">the </w:t>
      </w:r>
      <w:r w:rsidRPr="00745C75">
        <w:t>general population</w:t>
      </w:r>
      <w:r>
        <w:rPr>
          <w:rStyle w:val="FootnoteReference"/>
        </w:rPr>
        <w:footnoteReference w:id="4"/>
      </w:r>
      <w:r w:rsidRPr="00745C75">
        <w:t xml:space="preserve"> NICE’s committees are over-representative of those without a religion, and under-representative of those of Christian and Muslim </w:t>
      </w:r>
      <w:r w:rsidR="005463D2">
        <w:t>religion</w:t>
      </w:r>
      <w:r w:rsidRPr="00745C75">
        <w:t>.</w:t>
      </w:r>
    </w:p>
    <w:p w14:paraId="1C571DF8" w14:textId="77777777" w:rsidR="00945E59" w:rsidRPr="00D85A90" w:rsidRDefault="00945E59" w:rsidP="00945E59">
      <w:pPr>
        <w:pStyle w:val="Paragraph"/>
      </w:pPr>
      <w:r w:rsidRPr="00D85A90">
        <w:t xml:space="preserve">The profile of committee members in terms of the protected characteristics varies between lay and non-lay roles. Lay roles have higher proportions of members who are women; are younger than 35 years old and older than 65 years old; who identify themselves as disabled; of white ethnicity; are </w:t>
      </w:r>
      <w:r>
        <w:t>not heterosexual</w:t>
      </w:r>
      <w:r w:rsidRPr="00D85A90">
        <w:t>; and have no religion. Some of this variation may partly be due to the different skills and experience sought for lay and non-lay roles.</w:t>
      </w:r>
    </w:p>
    <w:p w14:paraId="55258344" w14:textId="3D511297" w:rsidR="00945E59" w:rsidRPr="00D85A90" w:rsidRDefault="00945E59" w:rsidP="00945E59">
      <w:pPr>
        <w:pStyle w:val="Paragraph"/>
      </w:pPr>
      <w:r w:rsidRPr="00D85A90">
        <w:t>The profile of committee members in terms of the protected characteristics continues to vary between the advisory bodies. For example:</w:t>
      </w:r>
    </w:p>
    <w:p w14:paraId="1B29AF2F" w14:textId="6BE0280E" w:rsidR="00945E59" w:rsidRPr="00D85A90" w:rsidRDefault="00945E59" w:rsidP="00945E59">
      <w:pPr>
        <w:pStyle w:val="Bullets"/>
      </w:pPr>
      <w:r w:rsidRPr="00D85A90">
        <w:t xml:space="preserve">The proportion of respondents who were women ranged from </w:t>
      </w:r>
      <w:r>
        <w:t>56</w:t>
      </w:r>
      <w:r w:rsidRPr="00D85A90">
        <w:t xml:space="preserve">% </w:t>
      </w:r>
      <w:r w:rsidR="00307DC3">
        <w:t>across</w:t>
      </w:r>
      <w:r w:rsidR="00307DC3" w:rsidRPr="00D85A90">
        <w:t xml:space="preserve"> </w:t>
      </w:r>
      <w:r w:rsidRPr="00D85A90">
        <w:t>the guideline committees to 1</w:t>
      </w:r>
      <w:r>
        <w:t>7</w:t>
      </w:r>
      <w:r w:rsidRPr="00D85A90">
        <w:t>% on the Interventional Procedures Advisory Committee</w:t>
      </w:r>
      <w:r>
        <w:t>.</w:t>
      </w:r>
    </w:p>
    <w:p w14:paraId="29324BA2" w14:textId="116D8DCF" w:rsidR="00945E59" w:rsidRDefault="00945E59" w:rsidP="00945E59">
      <w:pPr>
        <w:pStyle w:val="Bullets"/>
      </w:pPr>
      <w:r w:rsidRPr="00D85A90">
        <w:t xml:space="preserve">The proportion of respondents who identified themselves </w:t>
      </w:r>
      <w:r w:rsidR="00B67D34">
        <w:t xml:space="preserve">as being </w:t>
      </w:r>
      <w:r w:rsidRPr="00D85A90">
        <w:t xml:space="preserve">of non-white ethnicity ranged from </w:t>
      </w:r>
      <w:r>
        <w:t>44</w:t>
      </w:r>
      <w:r w:rsidRPr="00D85A90">
        <w:t xml:space="preserve">% on the </w:t>
      </w:r>
      <w:r>
        <w:t>Medical</w:t>
      </w:r>
      <w:r w:rsidRPr="00D85A90">
        <w:t xml:space="preserve"> Technologies </w:t>
      </w:r>
      <w:r>
        <w:t>Advisory</w:t>
      </w:r>
      <w:r w:rsidRPr="00D85A90">
        <w:t xml:space="preserve"> Committee to </w:t>
      </w:r>
      <w:r w:rsidR="00B67D34">
        <w:t>6% on the Interventional Procedures Advisory Committee</w:t>
      </w:r>
      <w:r w:rsidRPr="00D85A90">
        <w:t>.</w:t>
      </w:r>
    </w:p>
    <w:p w14:paraId="4E26999F" w14:textId="5A5C0013" w:rsidR="003D75D4" w:rsidRPr="00D85A90" w:rsidRDefault="00945E59" w:rsidP="007A7C8A">
      <w:pPr>
        <w:pStyle w:val="Bulletslast"/>
      </w:pPr>
      <w:r>
        <w:lastRenderedPageBreak/>
        <w:t>The proportion of respondents who identified themselves as having no religion ranged from 58% on the Technology Appraisal Committees to 8% on the Highly Specialised Technologies Evaluation Committee.</w:t>
      </w:r>
    </w:p>
    <w:p w14:paraId="66040037" w14:textId="77777777" w:rsidR="00945E59" w:rsidRPr="00D85A90" w:rsidRDefault="00945E59" w:rsidP="00945E59">
      <w:pPr>
        <w:pStyle w:val="Paragraph"/>
        <w:tabs>
          <w:tab w:val="clear" w:pos="709"/>
          <w:tab w:val="left" w:pos="567"/>
        </w:tabs>
        <w:ind w:hanging="501"/>
      </w:pPr>
      <w:r w:rsidRPr="00D85A90">
        <w:t xml:space="preserve">Monitoring information collected during the process to appoint members to the committees in </w:t>
      </w:r>
      <w:r>
        <w:t>2018/19</w:t>
      </w:r>
      <w:r w:rsidRPr="00D85A90">
        <w:t xml:space="preserve"> indicates that:</w:t>
      </w:r>
    </w:p>
    <w:p w14:paraId="42893B56" w14:textId="32E60741" w:rsidR="00945E59" w:rsidRDefault="00945E59" w:rsidP="00945E59">
      <w:pPr>
        <w:pStyle w:val="Bullets"/>
      </w:pPr>
      <w:r>
        <w:t xml:space="preserve">The differences noted above </w:t>
      </w:r>
      <w:r w:rsidR="00313CBA">
        <w:t>in</w:t>
      </w:r>
      <w:r>
        <w:t xml:space="preserve"> the profile of existing lay and non-lay members continued in committee applications and appointments. For example, </w:t>
      </w:r>
      <w:r w:rsidRPr="00BC595E">
        <w:t>40% of all lay applicants and 36% of lay appointees identified themselves as disabled</w:t>
      </w:r>
      <w:r>
        <w:t xml:space="preserve">, compared </w:t>
      </w:r>
      <w:r w:rsidR="005071AA">
        <w:t xml:space="preserve">with </w:t>
      </w:r>
      <w:r w:rsidRPr="00BC595E">
        <w:t xml:space="preserve">5% </w:t>
      </w:r>
      <w:r>
        <w:t xml:space="preserve">of </w:t>
      </w:r>
      <w:r w:rsidRPr="00BC595E">
        <w:t xml:space="preserve">non-lay applicants and 6% </w:t>
      </w:r>
      <w:r>
        <w:t xml:space="preserve">of </w:t>
      </w:r>
      <w:r w:rsidRPr="00BC595E">
        <w:t>non-lay appointees</w:t>
      </w:r>
      <w:r>
        <w:t>.</w:t>
      </w:r>
    </w:p>
    <w:p w14:paraId="25B627AA" w14:textId="0F216E9C" w:rsidR="00945E59" w:rsidRDefault="00945E59" w:rsidP="00945E59">
      <w:pPr>
        <w:pStyle w:val="Bulletslast"/>
      </w:pPr>
      <w:r w:rsidRPr="00ED2C6C">
        <w:t>Across the roles overall, broadly similar proportions of people sharing the various protected characteristics were appointed to advisory bodies as applied</w:t>
      </w:r>
      <w:r w:rsidR="00921B53">
        <w:t xml:space="preserve"> for positions</w:t>
      </w:r>
      <w:r w:rsidRPr="00ED2C6C">
        <w:t>. The main exceptions are age and ethnicity for non-lay appointments.</w:t>
      </w:r>
    </w:p>
    <w:p w14:paraId="1565DC20" w14:textId="77777777" w:rsidR="0073560B" w:rsidRPr="00E23AB3" w:rsidRDefault="0073560B" w:rsidP="00746A2B">
      <w:pPr>
        <w:pStyle w:val="Heading2boardreport"/>
      </w:pPr>
      <w:r w:rsidRPr="00E23AB3">
        <w:t xml:space="preserve">Guidance </w:t>
      </w:r>
      <w:r w:rsidRPr="00746A2B">
        <w:t>production</w:t>
      </w:r>
    </w:p>
    <w:p w14:paraId="7FBA6A33" w14:textId="7936E442" w:rsidR="0073560B" w:rsidRPr="004D6082" w:rsidRDefault="0073560B" w:rsidP="00C51B05">
      <w:pPr>
        <w:pStyle w:val="Paragraph"/>
      </w:pPr>
      <w:r w:rsidRPr="004D6082">
        <w:t xml:space="preserve">Equality considerations continue to be </w:t>
      </w:r>
      <w:proofErr w:type="gramStart"/>
      <w:r w:rsidRPr="004D6082">
        <w:t>taken into account</w:t>
      </w:r>
      <w:proofErr w:type="gramEnd"/>
      <w:r w:rsidRPr="004D6082">
        <w:t xml:space="preserve"> in the development of NICE guidance. In </w:t>
      </w:r>
      <w:r w:rsidR="004D6082" w:rsidRPr="004D6082">
        <w:t>2018/19</w:t>
      </w:r>
      <w:r w:rsidRPr="004D6082">
        <w:t>:</w:t>
      </w:r>
    </w:p>
    <w:p w14:paraId="2D8917AC" w14:textId="3DB12646" w:rsidR="00C814C9" w:rsidRPr="004D6082" w:rsidRDefault="00C814C9" w:rsidP="00C814C9">
      <w:pPr>
        <w:pStyle w:val="Bullets"/>
      </w:pPr>
      <w:r w:rsidRPr="004D6082">
        <w:t>There was a</w:t>
      </w:r>
      <w:r w:rsidR="00D4073A" w:rsidRPr="004D6082">
        <w:t>n in</w:t>
      </w:r>
      <w:r w:rsidRPr="004D6082">
        <w:t xml:space="preserve">crease in the number of </w:t>
      </w:r>
      <w:r w:rsidR="000370DD" w:rsidRPr="004D6082">
        <w:t xml:space="preserve">potential </w:t>
      </w:r>
      <w:r w:rsidRPr="004D6082">
        <w:t xml:space="preserve">equality issues identified </w:t>
      </w:r>
      <w:proofErr w:type="gramStart"/>
      <w:r w:rsidRPr="004D6082">
        <w:t>and also</w:t>
      </w:r>
      <w:proofErr w:type="gramEnd"/>
      <w:r w:rsidRPr="004D6082">
        <w:t xml:space="preserve"> those which subsequently impacted on recommendations compared </w:t>
      </w:r>
      <w:r w:rsidR="005071AA">
        <w:t xml:space="preserve">with </w:t>
      </w:r>
      <w:r w:rsidR="004D6082" w:rsidRPr="004D6082">
        <w:t>2017/18</w:t>
      </w:r>
      <w:r w:rsidRPr="004D6082">
        <w:t>, in proportion to the number of guidance publications.</w:t>
      </w:r>
    </w:p>
    <w:p w14:paraId="7F5DDFBF" w14:textId="77777777" w:rsidR="0073560B" w:rsidRPr="004D6082" w:rsidRDefault="002B5E23" w:rsidP="00C814C9">
      <w:pPr>
        <w:pStyle w:val="Bulletslast"/>
      </w:pPr>
      <w:r w:rsidRPr="004D6082">
        <w:t>As in previous years, a</w:t>
      </w:r>
      <w:r w:rsidR="0073560B" w:rsidRPr="004D6082">
        <w:t xml:space="preserve">ge, </w:t>
      </w:r>
      <w:proofErr w:type="gramStart"/>
      <w:r w:rsidR="0073560B" w:rsidRPr="004D6082">
        <w:t>disability</w:t>
      </w:r>
      <w:proofErr w:type="gramEnd"/>
      <w:r w:rsidR="0073560B" w:rsidRPr="004D6082">
        <w:t xml:space="preserve"> and race account for the greatest number of equality issues both in terms of initial identification and those which </w:t>
      </w:r>
      <w:r w:rsidRPr="004D6082">
        <w:t xml:space="preserve">subsequently </w:t>
      </w:r>
      <w:r w:rsidR="0073560B" w:rsidRPr="004D6082">
        <w:t xml:space="preserve">impacted on recommendations. </w:t>
      </w:r>
    </w:p>
    <w:p w14:paraId="4F5DA06A" w14:textId="77777777" w:rsidR="0073560B" w:rsidRPr="00E23AB3" w:rsidRDefault="0073560B" w:rsidP="00746A2B">
      <w:pPr>
        <w:pStyle w:val="Heading2boardreport"/>
      </w:pPr>
      <w:r w:rsidRPr="00746A2B">
        <w:t>Workforce</w:t>
      </w:r>
    </w:p>
    <w:p w14:paraId="7C9E20F2" w14:textId="25E1CE30" w:rsidR="005463D2" w:rsidRPr="007F28F6" w:rsidRDefault="00FA453B" w:rsidP="007F28F6">
      <w:pPr>
        <w:pStyle w:val="Paragraph"/>
      </w:pPr>
      <w:r w:rsidRPr="00E91AC1">
        <w:t>Just over half (5</w:t>
      </w:r>
      <w:r w:rsidR="00E91AC1" w:rsidRPr="00E91AC1">
        <w:t>6</w:t>
      </w:r>
      <w:r w:rsidRPr="00E91AC1">
        <w:t xml:space="preserve">%) </w:t>
      </w:r>
      <w:r w:rsidR="0073560B" w:rsidRPr="00E91AC1">
        <w:t xml:space="preserve">of </w:t>
      </w:r>
      <w:r w:rsidR="006F233C" w:rsidRPr="00E91AC1">
        <w:t xml:space="preserve">NICE </w:t>
      </w:r>
      <w:r w:rsidR="0073560B" w:rsidRPr="00E91AC1">
        <w:t xml:space="preserve">staff are </w:t>
      </w:r>
      <w:r w:rsidRPr="00E91AC1">
        <w:t xml:space="preserve">40 years old or less, </w:t>
      </w:r>
      <w:r w:rsidR="0073560B" w:rsidRPr="00E91AC1">
        <w:t>and</w:t>
      </w:r>
      <w:r w:rsidR="00007540" w:rsidRPr="00E91AC1">
        <w:t xml:space="preserve"> over</w:t>
      </w:r>
      <w:r w:rsidR="0073560B" w:rsidRPr="00E91AC1">
        <w:t xml:space="preserve"> </w:t>
      </w:r>
      <w:r w:rsidRPr="00E91AC1">
        <w:t>two thirds (</w:t>
      </w:r>
      <w:r w:rsidR="00E91AC1" w:rsidRPr="00E91AC1">
        <w:t>70</w:t>
      </w:r>
      <w:r w:rsidRPr="00E91AC1">
        <w:t xml:space="preserve">%) </w:t>
      </w:r>
      <w:r w:rsidR="0073560B" w:rsidRPr="00E91AC1">
        <w:t xml:space="preserve">are </w:t>
      </w:r>
      <w:r w:rsidR="00007540" w:rsidRPr="00E91AC1">
        <w:t>women</w:t>
      </w:r>
      <w:r w:rsidR="0073560B" w:rsidRPr="00E91AC1">
        <w:t xml:space="preserve">. </w:t>
      </w:r>
      <w:r w:rsidR="006F233C" w:rsidRPr="00E91AC1">
        <w:t>7</w:t>
      </w:r>
      <w:r w:rsidR="00E91AC1" w:rsidRPr="00E91AC1">
        <w:t>9</w:t>
      </w:r>
      <w:r w:rsidR="0073560B" w:rsidRPr="00E91AC1">
        <w:t xml:space="preserve">% of staff identify themselves as of white ethnicity and </w:t>
      </w:r>
      <w:r w:rsidRPr="00E91AC1">
        <w:t>3</w:t>
      </w:r>
      <w:r w:rsidR="00007540" w:rsidRPr="00E91AC1">
        <w:t>.</w:t>
      </w:r>
      <w:r w:rsidR="00E91AC1" w:rsidRPr="00E91AC1">
        <w:t>9</w:t>
      </w:r>
      <w:r w:rsidR="0073560B" w:rsidRPr="00E91AC1">
        <w:t xml:space="preserve">% of the workforce identified themselves as disabled. </w:t>
      </w:r>
      <w:r w:rsidR="005463D2">
        <w:br w:type="page"/>
      </w:r>
    </w:p>
    <w:p w14:paraId="0B177159" w14:textId="4A6AC1EB" w:rsidR="009A2A7D" w:rsidRPr="00E23AB3" w:rsidRDefault="0073560B" w:rsidP="00746A2B">
      <w:pPr>
        <w:pStyle w:val="Heading1boardreport"/>
      </w:pPr>
      <w:r w:rsidRPr="00E23AB3">
        <w:lastRenderedPageBreak/>
        <w:t xml:space="preserve">NICE’s equality </w:t>
      </w:r>
      <w:r w:rsidRPr="00746A2B">
        <w:t>objectives</w:t>
      </w:r>
    </w:p>
    <w:p w14:paraId="1D641E74" w14:textId="61691C6B" w:rsidR="0073560B" w:rsidRPr="00746A2B" w:rsidRDefault="0073560B" w:rsidP="00C51B05">
      <w:pPr>
        <w:pStyle w:val="Paragraph"/>
      </w:pPr>
      <w:r w:rsidRPr="00746A2B">
        <w:t xml:space="preserve">In line with our obligations under the public sector equality duty, NICE sets equality objectives. In 2016 the Board agreed the following equality objectives covering the period </w:t>
      </w:r>
      <w:r w:rsidR="00321645">
        <w:t xml:space="preserve">April </w:t>
      </w:r>
      <w:r w:rsidRPr="00746A2B">
        <w:t xml:space="preserve">2016 to </w:t>
      </w:r>
      <w:r w:rsidR="00321645">
        <w:t xml:space="preserve">March </w:t>
      </w:r>
      <w:r w:rsidRPr="00746A2B">
        <w:t xml:space="preserve">2020: </w:t>
      </w:r>
    </w:p>
    <w:p w14:paraId="24F107AF" w14:textId="77777777" w:rsidR="0073560B" w:rsidRPr="00746A2B" w:rsidRDefault="0073560B" w:rsidP="0073560B">
      <w:pPr>
        <w:pStyle w:val="Bulletslast"/>
      </w:pPr>
      <w:r w:rsidRPr="00746A2B">
        <w:rPr>
          <w:b/>
        </w:rPr>
        <w:t>Objective 1:</w:t>
      </w:r>
      <w:r w:rsidRPr="00746A2B">
        <w:t xml:space="preserve"> To increase the proportion of advisory body position applications that are from individuals who describe themselves as from black, Asian and minority ethnic groups.</w:t>
      </w:r>
    </w:p>
    <w:p w14:paraId="4DC07940" w14:textId="77777777" w:rsidR="0073560B" w:rsidRPr="00746A2B" w:rsidRDefault="0073560B" w:rsidP="0073560B">
      <w:pPr>
        <w:pStyle w:val="Bulletslast"/>
      </w:pPr>
      <w:r w:rsidRPr="00746A2B">
        <w:rPr>
          <w:b/>
        </w:rPr>
        <w:t>Objective 2:</w:t>
      </w:r>
      <w:r w:rsidRPr="00746A2B">
        <w:t xml:space="preserve"> To increase the proportion of staff from black, Asian and minority ethnic groups in senior roles (agenda for change band 7 and above) across the organisation.</w:t>
      </w:r>
    </w:p>
    <w:p w14:paraId="6BF85A53" w14:textId="77777777" w:rsidR="0073560B" w:rsidRPr="00746A2B" w:rsidRDefault="0073560B" w:rsidP="001043AE">
      <w:pPr>
        <w:pStyle w:val="Heading2boardreport"/>
      </w:pPr>
      <w:r w:rsidRPr="00746A2B">
        <w:t>Equality objective 1</w:t>
      </w:r>
    </w:p>
    <w:p w14:paraId="31AE0655" w14:textId="77777777" w:rsidR="000358E9" w:rsidRPr="00A53737" w:rsidRDefault="000C6FB1" w:rsidP="000358E9">
      <w:pPr>
        <w:pStyle w:val="Heading3boardreport"/>
      </w:pPr>
      <w:r w:rsidRPr="00A53737">
        <w:t>Rationale</w:t>
      </w:r>
      <w:r w:rsidR="000358E9" w:rsidRPr="00A53737">
        <w:t xml:space="preserve"> for setting the objective in 2016</w:t>
      </w:r>
    </w:p>
    <w:p w14:paraId="7C35BF2B" w14:textId="77777777" w:rsidR="0073560B" w:rsidRPr="00A53737" w:rsidRDefault="0073560B" w:rsidP="00C51B05">
      <w:pPr>
        <w:pStyle w:val="Paragraph"/>
      </w:pPr>
      <w:r w:rsidRPr="00A53737">
        <w:t>NICE guidance is developed by independent advisory bodies made up of health, social care and public health professionals and practitioners; people using services, their unpaid carers and other lay people; academics; health and social care commissioners; local authority elected members; and other experts on the topics covered by guidance</w:t>
      </w:r>
      <w:r w:rsidR="00702954" w:rsidRPr="00A53737">
        <w:t xml:space="preserve"> including </w:t>
      </w:r>
      <w:r w:rsidR="0056723E" w:rsidRPr="00A53737">
        <w:t xml:space="preserve">from </w:t>
      </w:r>
      <w:r w:rsidR="00702954" w:rsidRPr="00A53737">
        <w:t>the life sciences industry</w:t>
      </w:r>
      <w:r w:rsidRPr="00A53737">
        <w:t xml:space="preserve">. </w:t>
      </w:r>
    </w:p>
    <w:p w14:paraId="34F3E216" w14:textId="77777777" w:rsidR="0073560B" w:rsidRPr="00A53737" w:rsidRDefault="0073560B" w:rsidP="00C51B05">
      <w:pPr>
        <w:pStyle w:val="Paragraph"/>
      </w:pPr>
      <w:r w:rsidRPr="00A53737">
        <w:t xml:space="preserve">We seek diverse membership so that advisory bodies are representative of the population and provide a wide range of viewpoints and experiences to inform guidance and improve its quality. This helps us meet our equality duty to have ‘due regard’ to the need to eliminate discrimination, advance equality of opportunity, and foster good relations </w:t>
      </w:r>
      <w:r w:rsidR="002A4CD5" w:rsidRPr="00A53737">
        <w:t>between different people when carrying out our activities.</w:t>
      </w:r>
      <w:r w:rsidRPr="00A53737">
        <w:t xml:space="preserve"> </w:t>
      </w:r>
    </w:p>
    <w:p w14:paraId="0B353D70" w14:textId="50162737" w:rsidR="0073560B" w:rsidRPr="00A53737" w:rsidRDefault="000C6FB1" w:rsidP="00C51B05">
      <w:pPr>
        <w:pStyle w:val="Paragraph"/>
      </w:pPr>
      <w:r w:rsidRPr="00A53737">
        <w:t>T</w:t>
      </w:r>
      <w:r w:rsidR="0073560B" w:rsidRPr="00A53737">
        <w:t xml:space="preserve">he information in </w:t>
      </w:r>
      <w:r w:rsidR="001043AE" w:rsidRPr="00A53737">
        <w:t>the 2014</w:t>
      </w:r>
      <w:r w:rsidR="00BC0E8B">
        <w:t>/</w:t>
      </w:r>
      <w:r w:rsidR="001043AE" w:rsidRPr="00A53737">
        <w:t xml:space="preserve">15 </w:t>
      </w:r>
      <w:r w:rsidR="0073560B" w:rsidRPr="00A53737">
        <w:t xml:space="preserve">annual equality report indicated that broadly similar proportions of people sharing protected characteristics were appointed to the advisory bodies as applied. However, the report indicated that compared </w:t>
      </w:r>
      <w:r w:rsidR="005071AA">
        <w:t>with</w:t>
      </w:r>
      <w:r w:rsidR="005071AA" w:rsidRPr="00A53737">
        <w:t xml:space="preserve"> </w:t>
      </w:r>
      <w:r w:rsidR="0073560B" w:rsidRPr="00A53737">
        <w:t xml:space="preserve">the overall population, there </w:t>
      </w:r>
      <w:r w:rsidR="001043AE" w:rsidRPr="00A53737">
        <w:t>wa</w:t>
      </w:r>
      <w:r w:rsidR="0073560B" w:rsidRPr="00A53737">
        <w:t>s underrepresentation of people who describe themselves as from black</w:t>
      </w:r>
      <w:r w:rsidR="00DB79A0" w:rsidRPr="00A53737">
        <w:t xml:space="preserve">, </w:t>
      </w:r>
      <w:r w:rsidR="0073560B" w:rsidRPr="00A53737">
        <w:t>Asian</w:t>
      </w:r>
      <w:r w:rsidR="005D39B9" w:rsidRPr="00A53737">
        <w:t xml:space="preserve"> and minority</w:t>
      </w:r>
      <w:r w:rsidR="0073560B" w:rsidRPr="00A53737">
        <w:t xml:space="preserve"> ethnic groups.</w:t>
      </w:r>
    </w:p>
    <w:p w14:paraId="1482A431" w14:textId="77777777" w:rsidR="0073560B" w:rsidRPr="00A53737" w:rsidRDefault="0073560B" w:rsidP="00C51B05">
      <w:pPr>
        <w:pStyle w:val="Paragraph"/>
      </w:pPr>
      <w:r w:rsidRPr="00A53737">
        <w:t>NICE cannot positively discriminate in favour of applicants based on ethnicity</w:t>
      </w:r>
      <w:r w:rsidR="002A4CD5" w:rsidRPr="00A53737">
        <w:t xml:space="preserve"> or other protected characteristic</w:t>
      </w:r>
      <w:r w:rsidRPr="00A53737">
        <w:t xml:space="preserve">, </w:t>
      </w:r>
      <w:r w:rsidR="00A61AD9" w:rsidRPr="00A53737">
        <w:t xml:space="preserve">but </w:t>
      </w:r>
      <w:r w:rsidRPr="00A53737">
        <w:t xml:space="preserve">it is acceptable to encourage a diverse range of applicants. </w:t>
      </w:r>
      <w:proofErr w:type="gramStart"/>
      <w:r w:rsidR="001043AE" w:rsidRPr="00A53737">
        <w:t>Therefore</w:t>
      </w:r>
      <w:proofErr w:type="gramEnd"/>
      <w:r w:rsidR="001043AE" w:rsidRPr="00A53737">
        <w:t xml:space="preserve"> the </w:t>
      </w:r>
      <w:r w:rsidR="00702954" w:rsidRPr="00A53737">
        <w:t xml:space="preserve">Board agreed an </w:t>
      </w:r>
      <w:r w:rsidRPr="00A53737">
        <w:t xml:space="preserve">objective to increase the diversity of applicants to our advisory bodies. </w:t>
      </w:r>
      <w:r w:rsidR="00702E58" w:rsidRPr="00A53737">
        <w:t>Specifically, w</w:t>
      </w:r>
      <w:r w:rsidRPr="00A53737">
        <w:t xml:space="preserve">e </w:t>
      </w:r>
      <w:r w:rsidR="003269E0" w:rsidRPr="00A53737">
        <w:t>are seeking</w:t>
      </w:r>
      <w:r w:rsidRPr="00A53737">
        <w:t xml:space="preserve"> year on year increases in the proportion of the advisory body position applications that are from individuals who describe themselves as from black, Asian and minority ethnic groups.</w:t>
      </w:r>
    </w:p>
    <w:p w14:paraId="72E1AF9C" w14:textId="77777777" w:rsidR="00FD672F" w:rsidRPr="00A53737" w:rsidRDefault="00FD672F" w:rsidP="00FD672F">
      <w:pPr>
        <w:pStyle w:val="Heading3boardreport"/>
      </w:pPr>
      <w:r w:rsidRPr="00A53737">
        <w:lastRenderedPageBreak/>
        <w:t>Progress to date</w:t>
      </w:r>
      <w:r w:rsidR="00CD56A8" w:rsidRPr="00A53737">
        <w:t xml:space="preserve"> and further planned actions</w:t>
      </w:r>
    </w:p>
    <w:p w14:paraId="571ADC45" w14:textId="77777777" w:rsidR="00EB1A8E" w:rsidRPr="00BC0E8B" w:rsidRDefault="00EB1A8E" w:rsidP="00C51B05">
      <w:pPr>
        <w:pStyle w:val="Paragraph"/>
        <w:rPr>
          <w:color w:val="000000" w:themeColor="text1"/>
        </w:rPr>
      </w:pPr>
      <w:r w:rsidRPr="00BC0E8B">
        <w:rPr>
          <w:color w:val="000000" w:themeColor="text1"/>
        </w:rPr>
        <w:t xml:space="preserve">Progress continues with the action plan to deliver this multi-year objective. </w:t>
      </w:r>
    </w:p>
    <w:p w14:paraId="3C8132C9" w14:textId="769AB1F8" w:rsidR="00C51B05" w:rsidRPr="00190032" w:rsidRDefault="000370DD" w:rsidP="00190032">
      <w:pPr>
        <w:pStyle w:val="Paragraph"/>
        <w:rPr>
          <w:color w:val="000000" w:themeColor="text1"/>
        </w:rPr>
      </w:pPr>
      <w:r w:rsidRPr="00190032">
        <w:rPr>
          <w:color w:val="000000" w:themeColor="text1"/>
        </w:rPr>
        <w:t xml:space="preserve">In </w:t>
      </w:r>
      <w:r w:rsidR="00BC0E8B" w:rsidRPr="00190032">
        <w:rPr>
          <w:color w:val="000000" w:themeColor="text1"/>
        </w:rPr>
        <w:t xml:space="preserve">2018/19 the Public Involvement Programme (PIP) launched revised </w:t>
      </w:r>
      <w:r w:rsidR="00A1362F" w:rsidRPr="00190032">
        <w:rPr>
          <w:color w:val="000000" w:themeColor="text1"/>
        </w:rPr>
        <w:t xml:space="preserve">lay member </w:t>
      </w:r>
      <w:r w:rsidR="00BC0E8B" w:rsidRPr="00190032">
        <w:rPr>
          <w:color w:val="000000" w:themeColor="text1"/>
        </w:rPr>
        <w:t>recruitment documentation</w:t>
      </w:r>
      <w:r w:rsidR="00A1362F" w:rsidRPr="00190032">
        <w:rPr>
          <w:color w:val="000000" w:themeColor="text1"/>
        </w:rPr>
        <w:t>. These revised and simplified documents dr</w:t>
      </w:r>
      <w:r w:rsidR="00DF7080">
        <w:rPr>
          <w:color w:val="000000" w:themeColor="text1"/>
        </w:rPr>
        <w:t>e</w:t>
      </w:r>
      <w:r w:rsidR="00A1362F" w:rsidRPr="00190032">
        <w:rPr>
          <w:color w:val="000000" w:themeColor="text1"/>
        </w:rPr>
        <w:t xml:space="preserve">w </w:t>
      </w:r>
      <w:r w:rsidR="00190032" w:rsidRPr="00190032">
        <w:rPr>
          <w:color w:val="000000" w:themeColor="text1"/>
        </w:rPr>
        <w:t xml:space="preserve">on </w:t>
      </w:r>
      <w:r w:rsidR="00044208">
        <w:rPr>
          <w:color w:val="000000" w:themeColor="text1"/>
        </w:rPr>
        <w:t xml:space="preserve">the feedback at </w:t>
      </w:r>
      <w:r w:rsidR="00190032" w:rsidRPr="00190032">
        <w:rPr>
          <w:color w:val="000000" w:themeColor="text1"/>
        </w:rPr>
        <w:t xml:space="preserve">workshops and focus groups </w:t>
      </w:r>
      <w:r w:rsidR="00C51B05" w:rsidRPr="00190032">
        <w:rPr>
          <w:color w:val="000000" w:themeColor="text1"/>
        </w:rPr>
        <w:t>t</w:t>
      </w:r>
      <w:r w:rsidR="00044208">
        <w:rPr>
          <w:color w:val="000000" w:themeColor="text1"/>
        </w:rPr>
        <w:t xml:space="preserve">hat </w:t>
      </w:r>
      <w:r w:rsidR="00C51B05" w:rsidRPr="00190032">
        <w:rPr>
          <w:color w:val="000000" w:themeColor="text1"/>
        </w:rPr>
        <w:t>discuss</w:t>
      </w:r>
      <w:r w:rsidR="00044208">
        <w:rPr>
          <w:color w:val="000000" w:themeColor="text1"/>
        </w:rPr>
        <w:t>ed</w:t>
      </w:r>
      <w:r w:rsidR="00C51B05" w:rsidRPr="00190032">
        <w:rPr>
          <w:color w:val="000000" w:themeColor="text1"/>
        </w:rPr>
        <w:t xml:space="preserve"> methods to encourage and increase applications for lay member roles</w:t>
      </w:r>
      <w:r w:rsidR="002723F7" w:rsidRPr="00190032">
        <w:rPr>
          <w:color w:val="000000" w:themeColor="text1"/>
        </w:rPr>
        <w:t xml:space="preserve"> from black, Asian and minority ethnic groups. </w:t>
      </w:r>
      <w:r w:rsidR="007D32F2">
        <w:rPr>
          <w:color w:val="000000" w:themeColor="text1"/>
        </w:rPr>
        <w:t>The revised documentation seeks to be more accessible and appealing to people from a broader range of backgrounds and who may not have previously considered applying for a role with NICE or similar organisation.</w:t>
      </w:r>
      <w:r w:rsidR="00E57E3D">
        <w:rPr>
          <w:color w:val="000000" w:themeColor="text1"/>
        </w:rPr>
        <w:t xml:space="preserve"> </w:t>
      </w:r>
    </w:p>
    <w:p w14:paraId="5276F41B" w14:textId="628C4558" w:rsidR="007D32F2" w:rsidRPr="009D67C8" w:rsidRDefault="00044208" w:rsidP="007D32F2">
      <w:pPr>
        <w:pStyle w:val="Paragraph"/>
      </w:pPr>
      <w:r>
        <w:t xml:space="preserve">These </w:t>
      </w:r>
      <w:r w:rsidR="00797A5A">
        <w:t xml:space="preserve">sit along the wider changes to </w:t>
      </w:r>
      <w:r>
        <w:t>t</w:t>
      </w:r>
      <w:r w:rsidR="007D32F2">
        <w:t xml:space="preserve">he </w:t>
      </w:r>
      <w:r w:rsidR="007D32F2" w:rsidRPr="009D67C8">
        <w:t xml:space="preserve">committee recruitment </w:t>
      </w:r>
      <w:r w:rsidR="007D32F2">
        <w:t xml:space="preserve">pages on the NICE </w:t>
      </w:r>
      <w:hyperlink r:id="rId9" w:history="1">
        <w:r w:rsidR="007D32F2" w:rsidRPr="004A3A90">
          <w:rPr>
            <w:rStyle w:val="Hyperlink"/>
          </w:rPr>
          <w:t>website</w:t>
        </w:r>
      </w:hyperlink>
      <w:r w:rsidR="007D32F2">
        <w:t xml:space="preserve"> </w:t>
      </w:r>
      <w:r>
        <w:t xml:space="preserve">which </w:t>
      </w:r>
      <w:r w:rsidR="007D32F2">
        <w:t xml:space="preserve">have been comprehensively redesigned to provide information in a more accessible format and therefore encourage applications from those who have not previously been involved with NICE. The pages explicitly reference </w:t>
      </w:r>
      <w:r w:rsidR="007D32F2" w:rsidRPr="009D67C8">
        <w:t>NICE’s commitment to increasing</w:t>
      </w:r>
      <w:r w:rsidR="007D32F2">
        <w:t xml:space="preserve"> applications</w:t>
      </w:r>
      <w:r w:rsidR="007D32F2" w:rsidRPr="009D67C8">
        <w:t xml:space="preserve"> </w:t>
      </w:r>
      <w:r w:rsidR="007D32F2" w:rsidRPr="000358E9">
        <w:rPr>
          <w:color w:val="000000" w:themeColor="text1"/>
        </w:rPr>
        <w:t>from black, Asian and minority ethnic groups</w:t>
      </w:r>
      <w:r w:rsidR="007D32F2">
        <w:rPr>
          <w:color w:val="000000" w:themeColor="text1"/>
        </w:rPr>
        <w:t xml:space="preserve">, </w:t>
      </w:r>
      <w:r w:rsidR="007D32F2">
        <w:t xml:space="preserve">and are </w:t>
      </w:r>
      <w:r w:rsidR="007D32F2" w:rsidRPr="009D67C8">
        <w:t xml:space="preserve">receiving positive feedback. </w:t>
      </w:r>
      <w:r w:rsidR="00797A5A">
        <w:t>They include a b</w:t>
      </w:r>
      <w:r w:rsidR="007D32F2">
        <w:t xml:space="preserve">log from a </w:t>
      </w:r>
      <w:hyperlink r:id="rId10" w:history="1">
        <w:r w:rsidR="007D32F2" w:rsidRPr="005E3431">
          <w:rPr>
            <w:rStyle w:val="Hyperlink"/>
          </w:rPr>
          <w:t>committee member</w:t>
        </w:r>
      </w:hyperlink>
      <w:r w:rsidR="007D32F2">
        <w:t xml:space="preserve"> encouraging people from black, Asian and minority ethnic groups to apply for committee roles at NICE.</w:t>
      </w:r>
      <w:r w:rsidR="0021465A">
        <w:t xml:space="preserve"> We </w:t>
      </w:r>
      <w:r w:rsidR="003E0AB8">
        <w:t xml:space="preserve">also </w:t>
      </w:r>
      <w:r w:rsidR="0021465A">
        <w:t xml:space="preserve">plan to add a video interview from a committee chair who is from a </w:t>
      </w:r>
      <w:r w:rsidR="0021465A" w:rsidRPr="000358E9">
        <w:rPr>
          <w:color w:val="000000" w:themeColor="text1"/>
        </w:rPr>
        <w:t>black, Asian and minority ethnic group</w:t>
      </w:r>
      <w:r w:rsidR="0021465A">
        <w:rPr>
          <w:color w:val="000000" w:themeColor="text1"/>
        </w:rPr>
        <w:t xml:space="preserve">, </w:t>
      </w:r>
      <w:r w:rsidR="00DF7080">
        <w:rPr>
          <w:color w:val="000000" w:themeColor="text1"/>
        </w:rPr>
        <w:t xml:space="preserve">who </w:t>
      </w:r>
      <w:r w:rsidR="0021465A">
        <w:rPr>
          <w:color w:val="000000" w:themeColor="text1"/>
        </w:rPr>
        <w:t xml:space="preserve">will talk about </w:t>
      </w:r>
      <w:r w:rsidR="00DF7080">
        <w:rPr>
          <w:color w:val="000000" w:themeColor="text1"/>
        </w:rPr>
        <w:t xml:space="preserve">their </w:t>
      </w:r>
      <w:r w:rsidR="0021465A">
        <w:rPr>
          <w:color w:val="000000" w:themeColor="text1"/>
        </w:rPr>
        <w:t>experience working with NICE.</w:t>
      </w:r>
    </w:p>
    <w:p w14:paraId="2647C282" w14:textId="5822F912" w:rsidR="00B61A51" w:rsidRDefault="00E57E3D" w:rsidP="00B61A51">
      <w:pPr>
        <w:pStyle w:val="Paragraph"/>
      </w:pPr>
      <w:r>
        <w:t>In 2019/20</w:t>
      </w:r>
      <w:r w:rsidR="00293A3C">
        <w:t>, the final year of the objective,</w:t>
      </w:r>
      <w:r>
        <w:t xml:space="preserve"> PIP will consider the scope </w:t>
      </w:r>
      <w:r w:rsidR="00DF7080">
        <w:t>to</w:t>
      </w:r>
      <w:r>
        <w:t xml:space="preserve"> </w:t>
      </w:r>
      <w:r w:rsidR="00B61A51">
        <w:t xml:space="preserve">offer mentoring support </w:t>
      </w:r>
      <w:r w:rsidR="00DF7080">
        <w:t>to</w:t>
      </w:r>
      <w:r w:rsidR="00B61A51">
        <w:t xml:space="preserve"> lay members, with the aim of ensuring a positive experience for people who have not undertaken a similar role in the past and may </w:t>
      </w:r>
      <w:r w:rsidR="00C829AD">
        <w:t>be unsure about whether to apply for a vacancy. Guidance teams will also consider whether the guidance development process</w:t>
      </w:r>
      <w:r w:rsidR="00DF7080">
        <w:t>es</w:t>
      </w:r>
      <w:r w:rsidR="00C829AD">
        <w:t xml:space="preserve"> </w:t>
      </w:r>
      <w:r w:rsidR="00004192">
        <w:t xml:space="preserve">place any barriers to involvement </w:t>
      </w:r>
      <w:r w:rsidR="009A78BE">
        <w:t>for</w:t>
      </w:r>
      <w:r w:rsidR="00004192">
        <w:t xml:space="preserve"> people from </w:t>
      </w:r>
      <w:r w:rsidR="00C829AD" w:rsidRPr="000358E9">
        <w:rPr>
          <w:color w:val="000000" w:themeColor="text1"/>
        </w:rPr>
        <w:t>black, Asian and minority ethnic groups</w:t>
      </w:r>
      <w:r w:rsidR="00DF7080">
        <w:rPr>
          <w:color w:val="000000" w:themeColor="text1"/>
        </w:rPr>
        <w:t xml:space="preserve">. </w:t>
      </w:r>
      <w:r w:rsidR="003256DF">
        <w:rPr>
          <w:color w:val="000000" w:themeColor="text1"/>
        </w:rPr>
        <w:t>Some staff have undertaken u</w:t>
      </w:r>
      <w:r w:rsidR="00004192">
        <w:rPr>
          <w:color w:val="000000" w:themeColor="text1"/>
        </w:rPr>
        <w:t xml:space="preserve">nconscious bias training </w:t>
      </w:r>
      <w:r w:rsidR="003256DF">
        <w:rPr>
          <w:color w:val="000000" w:themeColor="text1"/>
        </w:rPr>
        <w:t xml:space="preserve">and </w:t>
      </w:r>
      <w:r w:rsidR="00EA46BA">
        <w:rPr>
          <w:color w:val="000000" w:themeColor="text1"/>
        </w:rPr>
        <w:t>we are exploring a wider roll</w:t>
      </w:r>
      <w:r w:rsidR="003256DF">
        <w:rPr>
          <w:color w:val="000000" w:themeColor="text1"/>
        </w:rPr>
        <w:t>-out</w:t>
      </w:r>
      <w:r w:rsidR="00EA46BA">
        <w:rPr>
          <w:color w:val="000000" w:themeColor="text1"/>
        </w:rPr>
        <w:t xml:space="preserve">. </w:t>
      </w:r>
    </w:p>
    <w:p w14:paraId="4E51057B" w14:textId="074EAEEB" w:rsidR="00D432C7" w:rsidRPr="00D432C7" w:rsidRDefault="00007934" w:rsidP="00C51B05">
      <w:pPr>
        <w:pStyle w:val="Paragraph"/>
        <w:rPr>
          <w:color w:val="FF0000"/>
        </w:rPr>
      </w:pPr>
      <w:r w:rsidRPr="00DD50A9">
        <w:t>The ethnicity of applicants</w:t>
      </w:r>
      <w:r w:rsidR="006C034E" w:rsidRPr="00DD50A9">
        <w:t xml:space="preserve"> </w:t>
      </w:r>
      <w:r w:rsidRPr="00DD50A9">
        <w:t xml:space="preserve">to NICE’s advisory committees in </w:t>
      </w:r>
      <w:r w:rsidR="004A3A90" w:rsidRPr="00DD50A9">
        <w:t xml:space="preserve">the </w:t>
      </w:r>
      <w:r w:rsidR="00DF7080">
        <w:t xml:space="preserve">last </w:t>
      </w:r>
      <w:r w:rsidR="00E21AFA" w:rsidRPr="00DD50A9">
        <w:t>four</w:t>
      </w:r>
      <w:r w:rsidR="004A3A90" w:rsidRPr="00DD50A9">
        <w:t xml:space="preserve"> years</w:t>
      </w:r>
      <w:r w:rsidRPr="00DD50A9">
        <w:t xml:space="preserve"> is outlined below. </w:t>
      </w:r>
      <w:r w:rsidR="00E21AFA" w:rsidRPr="00DD50A9">
        <w:t>Last year’s equality report noted the</w:t>
      </w:r>
      <w:r w:rsidR="000358E9" w:rsidRPr="00DD50A9">
        <w:t xml:space="preserve"> year on year increase in the proportion of applicants from black, Asian and minority ethnic groups.</w:t>
      </w:r>
      <w:r w:rsidR="00E21AFA" w:rsidRPr="00DD50A9">
        <w:t xml:space="preserve"> However, in 2018/19 this trend </w:t>
      </w:r>
      <w:r w:rsidR="009A78BE">
        <w:t xml:space="preserve">unfortunately </w:t>
      </w:r>
      <w:r w:rsidR="00E21AFA" w:rsidRPr="00DD50A9">
        <w:t xml:space="preserve">reversed, with the proportion of </w:t>
      </w:r>
      <w:r w:rsidR="00DD50A9" w:rsidRPr="00DD50A9">
        <w:t xml:space="preserve">applicants from black, </w:t>
      </w:r>
      <w:proofErr w:type="gramStart"/>
      <w:r w:rsidR="009A78BE">
        <w:t>Asian</w:t>
      </w:r>
      <w:proofErr w:type="gramEnd"/>
      <w:r w:rsidR="009A78BE">
        <w:t xml:space="preserve"> and </w:t>
      </w:r>
      <w:r w:rsidR="00DD50A9" w:rsidRPr="00DD50A9">
        <w:t>ethnic minority ethnic groups falling</w:t>
      </w:r>
      <w:r w:rsidR="00702694">
        <w:t xml:space="preserve">. </w:t>
      </w:r>
    </w:p>
    <w:p w14:paraId="441E8801" w14:textId="302D738D" w:rsidR="00007934" w:rsidRPr="00510FD4" w:rsidRDefault="00D432C7" w:rsidP="00C51B05">
      <w:pPr>
        <w:pStyle w:val="Paragraph"/>
        <w:rPr>
          <w:color w:val="FF0000"/>
        </w:rPr>
      </w:pPr>
      <w:r>
        <w:rPr>
          <w:color w:val="000000" w:themeColor="text1"/>
        </w:rPr>
        <w:t>The NICE equality and diversity group will review this data and consider any required amendments to the action plan for the objective.</w:t>
      </w:r>
      <w:r w:rsidR="009D3C0F">
        <w:rPr>
          <w:color w:val="000000" w:themeColor="text1"/>
        </w:rPr>
        <w:t xml:space="preserve"> It is though positive to note that </w:t>
      </w:r>
      <w:r w:rsidR="00DF7080">
        <w:rPr>
          <w:color w:val="000000" w:themeColor="text1"/>
        </w:rPr>
        <w:t xml:space="preserve">in the annual committee survey the </w:t>
      </w:r>
      <w:r w:rsidR="009D3C0F" w:rsidRPr="009D3C0F">
        <w:rPr>
          <w:color w:val="000000" w:themeColor="text1"/>
        </w:rPr>
        <w:t xml:space="preserve">proportion of committee members who describe themselves as from black, Asian and minority ethnic </w:t>
      </w:r>
      <w:r w:rsidR="009D3C0F" w:rsidRPr="009D3C0F">
        <w:rPr>
          <w:color w:val="000000" w:themeColor="text1"/>
        </w:rPr>
        <w:lastRenderedPageBreak/>
        <w:t>groups continued to increase year on year</w:t>
      </w:r>
      <w:r w:rsidR="00DF7080">
        <w:rPr>
          <w:color w:val="000000" w:themeColor="text1"/>
        </w:rPr>
        <w:t xml:space="preserve"> (see paragraphs </w:t>
      </w:r>
      <w:r w:rsidR="00DF7080" w:rsidRPr="00D628F5">
        <w:rPr>
          <w:color w:val="000000" w:themeColor="text1"/>
        </w:rPr>
        <w:t>68-70</w:t>
      </w:r>
      <w:r w:rsidR="00DF7080">
        <w:rPr>
          <w:color w:val="000000" w:themeColor="text1"/>
        </w:rPr>
        <w:t xml:space="preserve"> for more information)</w:t>
      </w:r>
      <w:r w:rsidR="009D3C0F" w:rsidRPr="009D3C0F">
        <w:rPr>
          <w:color w:val="000000" w:themeColor="text1"/>
        </w:rPr>
        <w:t>.</w:t>
      </w:r>
    </w:p>
    <w:p w14:paraId="625461FB" w14:textId="77777777" w:rsidR="00007934" w:rsidRPr="00E23AB3" w:rsidRDefault="00007934" w:rsidP="00314427">
      <w:pPr>
        <w:pStyle w:val="Tableandgraphheading"/>
      </w:pPr>
      <w:r w:rsidRPr="00E23AB3">
        <w:t xml:space="preserve">Table 1: Ethnicity of applicants to NICE </w:t>
      </w:r>
      <w:r w:rsidR="00C228BA" w:rsidRPr="00E23AB3">
        <w:t xml:space="preserve">advisory </w:t>
      </w:r>
      <w:r w:rsidRPr="00314427">
        <w:t>committees</w:t>
      </w:r>
      <w:r w:rsidRPr="00E23AB3">
        <w:t xml:space="preserve"> </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552"/>
        <w:gridCol w:w="1012"/>
        <w:gridCol w:w="1012"/>
        <w:gridCol w:w="1012"/>
        <w:gridCol w:w="1012"/>
      </w:tblGrid>
      <w:tr w:rsidR="00314427" w:rsidRPr="00E23AB3" w14:paraId="1D076BA7" w14:textId="23A04C17" w:rsidTr="00AC2DB4">
        <w:trPr>
          <w:tblHeader/>
          <w:jc w:val="center"/>
        </w:trPr>
        <w:tc>
          <w:tcPr>
            <w:tcW w:w="0" w:type="auto"/>
            <w:shd w:val="clear" w:color="auto" w:fill="A2BDC1"/>
          </w:tcPr>
          <w:p w14:paraId="37847986" w14:textId="697B8D03" w:rsidR="00314427" w:rsidRPr="006C034E" w:rsidRDefault="006C034E" w:rsidP="00EB069D">
            <w:pPr>
              <w:pStyle w:val="Tablecolumnheading"/>
            </w:pPr>
            <w:r>
              <w:t>Ethnicity</w:t>
            </w:r>
          </w:p>
        </w:tc>
        <w:tc>
          <w:tcPr>
            <w:tcW w:w="0" w:type="auto"/>
            <w:tcBorders>
              <w:right w:val="single" w:sz="4" w:space="0" w:color="auto"/>
            </w:tcBorders>
            <w:shd w:val="clear" w:color="auto" w:fill="A2BDC1"/>
          </w:tcPr>
          <w:p w14:paraId="7036EBE8" w14:textId="45CA9CE7" w:rsidR="00314427" w:rsidRPr="006C034E" w:rsidRDefault="00314427" w:rsidP="00EB069D">
            <w:pPr>
              <w:pStyle w:val="Tablecolumnheading"/>
            </w:pPr>
            <w:r w:rsidRPr="006C034E">
              <w:t>2015</w:t>
            </w:r>
            <w:r w:rsidR="00D432C7">
              <w:t>/</w:t>
            </w:r>
            <w:r w:rsidRPr="006C034E">
              <w:t>16</w:t>
            </w:r>
          </w:p>
        </w:tc>
        <w:tc>
          <w:tcPr>
            <w:tcW w:w="0" w:type="auto"/>
            <w:tcBorders>
              <w:left w:val="single" w:sz="4" w:space="0" w:color="auto"/>
            </w:tcBorders>
            <w:shd w:val="clear" w:color="auto" w:fill="A2BDC1"/>
          </w:tcPr>
          <w:p w14:paraId="06052882" w14:textId="4A083588" w:rsidR="00314427" w:rsidRPr="006C034E" w:rsidRDefault="00314427" w:rsidP="00EB069D">
            <w:pPr>
              <w:pStyle w:val="Tablecolumnheading"/>
            </w:pPr>
            <w:r w:rsidRPr="006C034E">
              <w:t>2016</w:t>
            </w:r>
            <w:r w:rsidR="00D432C7">
              <w:t>/</w:t>
            </w:r>
            <w:r w:rsidRPr="006C034E">
              <w:t>17</w:t>
            </w:r>
          </w:p>
        </w:tc>
        <w:tc>
          <w:tcPr>
            <w:tcW w:w="0" w:type="auto"/>
            <w:shd w:val="clear" w:color="auto" w:fill="A2BDC1"/>
          </w:tcPr>
          <w:p w14:paraId="0EEFB535" w14:textId="1EED9507" w:rsidR="00314427" w:rsidRPr="006C034E" w:rsidRDefault="00314427" w:rsidP="00EB069D">
            <w:pPr>
              <w:pStyle w:val="Tablecolumnheading"/>
            </w:pPr>
            <w:r w:rsidRPr="006C034E">
              <w:t>2017</w:t>
            </w:r>
            <w:r w:rsidR="00D432C7">
              <w:t>/</w:t>
            </w:r>
            <w:r w:rsidRPr="006C034E">
              <w:t>18</w:t>
            </w:r>
          </w:p>
        </w:tc>
        <w:tc>
          <w:tcPr>
            <w:tcW w:w="0" w:type="auto"/>
            <w:shd w:val="clear" w:color="auto" w:fill="A2BDC1"/>
          </w:tcPr>
          <w:p w14:paraId="5793CC05" w14:textId="562836B1" w:rsidR="00314427" w:rsidRPr="006C034E" w:rsidRDefault="00314427" w:rsidP="00EB069D">
            <w:pPr>
              <w:pStyle w:val="Tablecolumnheading"/>
            </w:pPr>
            <w:r w:rsidRPr="006C034E">
              <w:t>2018</w:t>
            </w:r>
            <w:r w:rsidR="00D432C7">
              <w:t>/</w:t>
            </w:r>
            <w:r w:rsidRPr="006C034E">
              <w:t>19</w:t>
            </w:r>
          </w:p>
        </w:tc>
      </w:tr>
      <w:tr w:rsidR="00314427" w:rsidRPr="00E23AB3" w14:paraId="218B72D2" w14:textId="7A980855" w:rsidTr="00AC2DB4">
        <w:trPr>
          <w:jc w:val="center"/>
        </w:trPr>
        <w:tc>
          <w:tcPr>
            <w:tcW w:w="0" w:type="auto"/>
          </w:tcPr>
          <w:p w14:paraId="23931CBD" w14:textId="77777777" w:rsidR="00314427" w:rsidRPr="006C034E" w:rsidRDefault="00314427" w:rsidP="00EB069D">
            <w:pPr>
              <w:pStyle w:val="Tabletext"/>
            </w:pPr>
            <w:r w:rsidRPr="006C034E">
              <w:t>Asian or Asian British</w:t>
            </w:r>
          </w:p>
        </w:tc>
        <w:tc>
          <w:tcPr>
            <w:tcW w:w="0" w:type="auto"/>
            <w:tcBorders>
              <w:right w:val="single" w:sz="4" w:space="0" w:color="auto"/>
            </w:tcBorders>
          </w:tcPr>
          <w:p w14:paraId="5DC233C8" w14:textId="77777777" w:rsidR="00314427" w:rsidRPr="006C034E" w:rsidRDefault="00314427" w:rsidP="00EB069D">
            <w:pPr>
              <w:pStyle w:val="Tabletext"/>
            </w:pPr>
            <w:r w:rsidRPr="006C034E">
              <w:t>8%</w:t>
            </w:r>
          </w:p>
        </w:tc>
        <w:tc>
          <w:tcPr>
            <w:tcW w:w="0" w:type="auto"/>
            <w:tcBorders>
              <w:left w:val="single" w:sz="4" w:space="0" w:color="auto"/>
            </w:tcBorders>
          </w:tcPr>
          <w:p w14:paraId="7E49778A" w14:textId="77777777" w:rsidR="00314427" w:rsidRPr="006C034E" w:rsidRDefault="00314427" w:rsidP="00EB069D">
            <w:pPr>
              <w:pStyle w:val="Tabletext"/>
            </w:pPr>
            <w:r w:rsidRPr="006C034E">
              <w:t>9%</w:t>
            </w:r>
          </w:p>
        </w:tc>
        <w:tc>
          <w:tcPr>
            <w:tcW w:w="0" w:type="auto"/>
          </w:tcPr>
          <w:p w14:paraId="637BDAF2" w14:textId="77777777" w:rsidR="00314427" w:rsidRPr="006C034E" w:rsidRDefault="00314427" w:rsidP="00EB069D">
            <w:pPr>
              <w:pStyle w:val="Tabletext"/>
            </w:pPr>
            <w:r w:rsidRPr="006C034E">
              <w:t>10%</w:t>
            </w:r>
          </w:p>
        </w:tc>
        <w:tc>
          <w:tcPr>
            <w:tcW w:w="0" w:type="auto"/>
          </w:tcPr>
          <w:p w14:paraId="3584AAC7" w14:textId="4BA69B62" w:rsidR="00314427" w:rsidRPr="006C034E" w:rsidRDefault="00314427" w:rsidP="00EB069D">
            <w:pPr>
              <w:pStyle w:val="Tabletext"/>
            </w:pPr>
            <w:r w:rsidRPr="006C034E">
              <w:t>8%</w:t>
            </w:r>
          </w:p>
        </w:tc>
      </w:tr>
      <w:tr w:rsidR="00314427" w:rsidRPr="00E23AB3" w14:paraId="394D40C9" w14:textId="3D985E8C" w:rsidTr="00314427">
        <w:trPr>
          <w:jc w:val="center"/>
        </w:trPr>
        <w:tc>
          <w:tcPr>
            <w:tcW w:w="0" w:type="auto"/>
          </w:tcPr>
          <w:p w14:paraId="7DC0B442" w14:textId="77777777" w:rsidR="00314427" w:rsidRPr="006C034E" w:rsidRDefault="00314427" w:rsidP="00EB069D">
            <w:pPr>
              <w:pStyle w:val="Tabletext"/>
            </w:pPr>
            <w:r w:rsidRPr="006C034E">
              <w:t>Black or Black British</w:t>
            </w:r>
          </w:p>
        </w:tc>
        <w:tc>
          <w:tcPr>
            <w:tcW w:w="0" w:type="auto"/>
          </w:tcPr>
          <w:p w14:paraId="64D03D3D" w14:textId="77777777" w:rsidR="00314427" w:rsidRPr="006C034E" w:rsidRDefault="00314427" w:rsidP="00EB069D">
            <w:pPr>
              <w:pStyle w:val="Tabletext"/>
            </w:pPr>
            <w:r w:rsidRPr="006C034E">
              <w:t>2%</w:t>
            </w:r>
          </w:p>
        </w:tc>
        <w:tc>
          <w:tcPr>
            <w:tcW w:w="0" w:type="auto"/>
          </w:tcPr>
          <w:p w14:paraId="23CA3157" w14:textId="77777777" w:rsidR="00314427" w:rsidRPr="006C034E" w:rsidRDefault="00314427" w:rsidP="00EB069D">
            <w:pPr>
              <w:pStyle w:val="Tabletext"/>
            </w:pPr>
            <w:r w:rsidRPr="006C034E">
              <w:t>2%</w:t>
            </w:r>
          </w:p>
        </w:tc>
        <w:tc>
          <w:tcPr>
            <w:tcW w:w="0" w:type="auto"/>
          </w:tcPr>
          <w:p w14:paraId="1ED3AAD4" w14:textId="77777777" w:rsidR="00314427" w:rsidRPr="006C034E" w:rsidRDefault="00314427" w:rsidP="00EB069D">
            <w:pPr>
              <w:pStyle w:val="Tabletext"/>
            </w:pPr>
            <w:r w:rsidRPr="006C034E">
              <w:t>3%</w:t>
            </w:r>
          </w:p>
        </w:tc>
        <w:tc>
          <w:tcPr>
            <w:tcW w:w="0" w:type="auto"/>
          </w:tcPr>
          <w:p w14:paraId="196FFAED" w14:textId="38C72661" w:rsidR="00314427" w:rsidRPr="006C034E" w:rsidRDefault="00314427" w:rsidP="00EB069D">
            <w:pPr>
              <w:pStyle w:val="Tabletext"/>
            </w:pPr>
            <w:r w:rsidRPr="006C034E">
              <w:t>2%</w:t>
            </w:r>
          </w:p>
        </w:tc>
      </w:tr>
      <w:tr w:rsidR="00314427" w:rsidRPr="00E23AB3" w14:paraId="220197DF" w14:textId="77FA164F" w:rsidTr="00314427">
        <w:trPr>
          <w:jc w:val="center"/>
        </w:trPr>
        <w:tc>
          <w:tcPr>
            <w:tcW w:w="0" w:type="auto"/>
          </w:tcPr>
          <w:p w14:paraId="63BB3A94" w14:textId="77777777" w:rsidR="00314427" w:rsidRPr="006C034E" w:rsidRDefault="00314427" w:rsidP="00EB069D">
            <w:pPr>
              <w:pStyle w:val="Tabletext"/>
            </w:pPr>
            <w:r w:rsidRPr="006C034E">
              <w:t>Mixed</w:t>
            </w:r>
          </w:p>
        </w:tc>
        <w:tc>
          <w:tcPr>
            <w:tcW w:w="0" w:type="auto"/>
          </w:tcPr>
          <w:p w14:paraId="20C33E9F" w14:textId="77777777" w:rsidR="00314427" w:rsidRPr="006C034E" w:rsidRDefault="00314427" w:rsidP="00EB069D">
            <w:pPr>
              <w:pStyle w:val="Tabletext"/>
            </w:pPr>
            <w:r w:rsidRPr="006C034E">
              <w:t>2%</w:t>
            </w:r>
          </w:p>
        </w:tc>
        <w:tc>
          <w:tcPr>
            <w:tcW w:w="0" w:type="auto"/>
          </w:tcPr>
          <w:p w14:paraId="7D462117" w14:textId="77777777" w:rsidR="00314427" w:rsidRPr="006C034E" w:rsidRDefault="00314427" w:rsidP="00EB069D">
            <w:pPr>
              <w:pStyle w:val="Tabletext"/>
            </w:pPr>
            <w:r w:rsidRPr="006C034E">
              <w:t>3%</w:t>
            </w:r>
          </w:p>
        </w:tc>
        <w:tc>
          <w:tcPr>
            <w:tcW w:w="0" w:type="auto"/>
          </w:tcPr>
          <w:p w14:paraId="06706C91" w14:textId="77777777" w:rsidR="00314427" w:rsidRPr="006C034E" w:rsidRDefault="00314427" w:rsidP="00EB069D">
            <w:pPr>
              <w:pStyle w:val="Tabletext"/>
            </w:pPr>
            <w:r w:rsidRPr="006C034E">
              <w:t>2%</w:t>
            </w:r>
          </w:p>
        </w:tc>
        <w:tc>
          <w:tcPr>
            <w:tcW w:w="0" w:type="auto"/>
          </w:tcPr>
          <w:p w14:paraId="5036C817" w14:textId="7A3F3C83" w:rsidR="00314427" w:rsidRPr="006C034E" w:rsidRDefault="00314427" w:rsidP="00EB069D">
            <w:pPr>
              <w:pStyle w:val="Tabletext"/>
            </w:pPr>
            <w:r w:rsidRPr="006C034E">
              <w:t>2%</w:t>
            </w:r>
          </w:p>
        </w:tc>
      </w:tr>
      <w:tr w:rsidR="00314427" w:rsidRPr="00E23AB3" w14:paraId="1DE559F1" w14:textId="60A6E9B4" w:rsidTr="00314427">
        <w:trPr>
          <w:jc w:val="center"/>
        </w:trPr>
        <w:tc>
          <w:tcPr>
            <w:tcW w:w="0" w:type="auto"/>
          </w:tcPr>
          <w:p w14:paraId="322C0B66" w14:textId="77777777" w:rsidR="00314427" w:rsidRPr="006C034E" w:rsidRDefault="00314427" w:rsidP="00EB069D">
            <w:pPr>
              <w:pStyle w:val="Tabletext"/>
            </w:pPr>
            <w:r w:rsidRPr="006C034E">
              <w:t>White British</w:t>
            </w:r>
          </w:p>
        </w:tc>
        <w:tc>
          <w:tcPr>
            <w:tcW w:w="0" w:type="auto"/>
          </w:tcPr>
          <w:p w14:paraId="5EBE032C" w14:textId="77777777" w:rsidR="00314427" w:rsidRPr="006C034E" w:rsidRDefault="00314427" w:rsidP="00EB069D">
            <w:pPr>
              <w:pStyle w:val="Tabletext"/>
            </w:pPr>
            <w:r w:rsidRPr="006C034E">
              <w:t>67%</w:t>
            </w:r>
          </w:p>
        </w:tc>
        <w:tc>
          <w:tcPr>
            <w:tcW w:w="0" w:type="auto"/>
          </w:tcPr>
          <w:p w14:paraId="3A8C94E3" w14:textId="77777777" w:rsidR="00314427" w:rsidRPr="006C034E" w:rsidRDefault="00314427" w:rsidP="00EB069D">
            <w:pPr>
              <w:pStyle w:val="Tabletext"/>
            </w:pPr>
            <w:r w:rsidRPr="006C034E">
              <w:t>67%</w:t>
            </w:r>
          </w:p>
        </w:tc>
        <w:tc>
          <w:tcPr>
            <w:tcW w:w="0" w:type="auto"/>
          </w:tcPr>
          <w:p w14:paraId="3E38A381" w14:textId="77777777" w:rsidR="00314427" w:rsidRPr="006C034E" w:rsidRDefault="00314427" w:rsidP="00EB069D">
            <w:pPr>
              <w:pStyle w:val="Tabletext"/>
            </w:pPr>
            <w:r w:rsidRPr="006C034E">
              <w:t>63%</w:t>
            </w:r>
          </w:p>
        </w:tc>
        <w:tc>
          <w:tcPr>
            <w:tcW w:w="0" w:type="auto"/>
          </w:tcPr>
          <w:p w14:paraId="7E6085F0" w14:textId="56998CD0" w:rsidR="00314427" w:rsidRPr="006C034E" w:rsidRDefault="006C034E" w:rsidP="00EB069D">
            <w:pPr>
              <w:pStyle w:val="Tabletext"/>
            </w:pPr>
            <w:r w:rsidRPr="006C034E">
              <w:t>68%</w:t>
            </w:r>
          </w:p>
        </w:tc>
      </w:tr>
      <w:tr w:rsidR="00314427" w:rsidRPr="00E23AB3" w14:paraId="727EBCA1" w14:textId="57FF4970" w:rsidTr="00314427">
        <w:trPr>
          <w:jc w:val="center"/>
        </w:trPr>
        <w:tc>
          <w:tcPr>
            <w:tcW w:w="0" w:type="auto"/>
          </w:tcPr>
          <w:p w14:paraId="02B8305F" w14:textId="77777777" w:rsidR="00314427" w:rsidRPr="006C034E" w:rsidRDefault="00314427" w:rsidP="00EB069D">
            <w:pPr>
              <w:pStyle w:val="Tabletext"/>
            </w:pPr>
            <w:r w:rsidRPr="006C034E">
              <w:t>Other white background</w:t>
            </w:r>
          </w:p>
        </w:tc>
        <w:tc>
          <w:tcPr>
            <w:tcW w:w="0" w:type="auto"/>
          </w:tcPr>
          <w:p w14:paraId="6F245A5E" w14:textId="77777777" w:rsidR="00314427" w:rsidRPr="006C034E" w:rsidRDefault="00314427" w:rsidP="00EB069D">
            <w:pPr>
              <w:pStyle w:val="Tabletext"/>
            </w:pPr>
            <w:r w:rsidRPr="006C034E">
              <w:t>9%</w:t>
            </w:r>
          </w:p>
        </w:tc>
        <w:tc>
          <w:tcPr>
            <w:tcW w:w="0" w:type="auto"/>
          </w:tcPr>
          <w:p w14:paraId="60ABA848" w14:textId="77777777" w:rsidR="00314427" w:rsidRPr="006C034E" w:rsidRDefault="00314427" w:rsidP="00EB069D">
            <w:pPr>
              <w:pStyle w:val="Tabletext"/>
            </w:pPr>
            <w:r w:rsidRPr="006C034E">
              <w:t>8%</w:t>
            </w:r>
          </w:p>
        </w:tc>
        <w:tc>
          <w:tcPr>
            <w:tcW w:w="0" w:type="auto"/>
          </w:tcPr>
          <w:p w14:paraId="3463C4B9" w14:textId="77777777" w:rsidR="00314427" w:rsidRPr="006C034E" w:rsidRDefault="00314427" w:rsidP="00EB069D">
            <w:pPr>
              <w:pStyle w:val="Tabletext"/>
            </w:pPr>
            <w:r w:rsidRPr="006C034E">
              <w:t>9%</w:t>
            </w:r>
          </w:p>
        </w:tc>
        <w:tc>
          <w:tcPr>
            <w:tcW w:w="0" w:type="auto"/>
          </w:tcPr>
          <w:p w14:paraId="77B13443" w14:textId="511685D9" w:rsidR="00314427" w:rsidRPr="006C034E" w:rsidRDefault="006C034E" w:rsidP="00EB069D">
            <w:pPr>
              <w:pStyle w:val="Tabletext"/>
            </w:pPr>
            <w:r w:rsidRPr="006C034E">
              <w:t>8%</w:t>
            </w:r>
          </w:p>
        </w:tc>
      </w:tr>
      <w:tr w:rsidR="00314427" w:rsidRPr="00E23AB3" w14:paraId="04477F9F" w14:textId="642EE1BA" w:rsidTr="00314427">
        <w:trPr>
          <w:jc w:val="center"/>
        </w:trPr>
        <w:tc>
          <w:tcPr>
            <w:tcW w:w="0" w:type="auto"/>
          </w:tcPr>
          <w:p w14:paraId="03175B03" w14:textId="77777777" w:rsidR="00314427" w:rsidRPr="006C034E" w:rsidRDefault="00314427" w:rsidP="00EB069D">
            <w:pPr>
              <w:pStyle w:val="Tabletext"/>
            </w:pPr>
            <w:r w:rsidRPr="006C034E">
              <w:t>Any other ethnic group</w:t>
            </w:r>
          </w:p>
        </w:tc>
        <w:tc>
          <w:tcPr>
            <w:tcW w:w="0" w:type="auto"/>
          </w:tcPr>
          <w:p w14:paraId="320B3292" w14:textId="77777777" w:rsidR="00314427" w:rsidRPr="006C034E" w:rsidRDefault="00314427" w:rsidP="00EB069D">
            <w:pPr>
              <w:pStyle w:val="Tabletext"/>
            </w:pPr>
            <w:r w:rsidRPr="006C034E">
              <w:t>2%</w:t>
            </w:r>
          </w:p>
        </w:tc>
        <w:tc>
          <w:tcPr>
            <w:tcW w:w="0" w:type="auto"/>
          </w:tcPr>
          <w:p w14:paraId="729FD285" w14:textId="77777777" w:rsidR="00314427" w:rsidRPr="006C034E" w:rsidRDefault="00314427" w:rsidP="00EB069D">
            <w:pPr>
              <w:pStyle w:val="Tabletext"/>
            </w:pPr>
            <w:r w:rsidRPr="006C034E">
              <w:t>2%</w:t>
            </w:r>
          </w:p>
        </w:tc>
        <w:tc>
          <w:tcPr>
            <w:tcW w:w="0" w:type="auto"/>
          </w:tcPr>
          <w:p w14:paraId="785C3418" w14:textId="77777777" w:rsidR="00314427" w:rsidRPr="006C034E" w:rsidRDefault="00314427" w:rsidP="00EB069D">
            <w:pPr>
              <w:pStyle w:val="Tabletext"/>
            </w:pPr>
            <w:r w:rsidRPr="006C034E">
              <w:t>3%</w:t>
            </w:r>
          </w:p>
        </w:tc>
        <w:tc>
          <w:tcPr>
            <w:tcW w:w="0" w:type="auto"/>
          </w:tcPr>
          <w:p w14:paraId="75969248" w14:textId="3EF34E72" w:rsidR="00314427" w:rsidRPr="006C034E" w:rsidRDefault="006C034E" w:rsidP="00EB069D">
            <w:pPr>
              <w:pStyle w:val="Tabletext"/>
            </w:pPr>
            <w:r w:rsidRPr="006C034E">
              <w:t>3%</w:t>
            </w:r>
          </w:p>
        </w:tc>
      </w:tr>
      <w:tr w:rsidR="00314427" w:rsidRPr="00E23AB3" w14:paraId="5CB22B7D" w14:textId="2C76BBB5" w:rsidTr="00314427">
        <w:trPr>
          <w:jc w:val="center"/>
        </w:trPr>
        <w:tc>
          <w:tcPr>
            <w:tcW w:w="0" w:type="auto"/>
          </w:tcPr>
          <w:p w14:paraId="45F7B6D3" w14:textId="77777777" w:rsidR="00314427" w:rsidRPr="006C034E" w:rsidRDefault="00314427" w:rsidP="00EB069D">
            <w:pPr>
              <w:pStyle w:val="Tabletext"/>
            </w:pPr>
            <w:r w:rsidRPr="006C034E">
              <w:t>Undisclosed</w:t>
            </w:r>
          </w:p>
        </w:tc>
        <w:tc>
          <w:tcPr>
            <w:tcW w:w="0" w:type="auto"/>
          </w:tcPr>
          <w:p w14:paraId="4B2DA21B" w14:textId="77777777" w:rsidR="00314427" w:rsidRPr="006C034E" w:rsidRDefault="00314427" w:rsidP="00EB069D">
            <w:pPr>
              <w:pStyle w:val="Tabletext"/>
            </w:pPr>
            <w:r w:rsidRPr="006C034E">
              <w:t>4%</w:t>
            </w:r>
          </w:p>
        </w:tc>
        <w:tc>
          <w:tcPr>
            <w:tcW w:w="0" w:type="auto"/>
          </w:tcPr>
          <w:p w14:paraId="30B0BD67" w14:textId="77777777" w:rsidR="00314427" w:rsidRPr="006C034E" w:rsidRDefault="00314427" w:rsidP="00EB069D">
            <w:pPr>
              <w:pStyle w:val="Tabletext"/>
            </w:pPr>
            <w:r w:rsidRPr="006C034E">
              <w:t>4%</w:t>
            </w:r>
          </w:p>
        </w:tc>
        <w:tc>
          <w:tcPr>
            <w:tcW w:w="0" w:type="auto"/>
          </w:tcPr>
          <w:p w14:paraId="075ED8DC" w14:textId="77777777" w:rsidR="00314427" w:rsidRPr="006C034E" w:rsidRDefault="00314427" w:rsidP="00EB069D">
            <w:pPr>
              <w:pStyle w:val="Tabletext"/>
            </w:pPr>
            <w:r w:rsidRPr="006C034E">
              <w:t>7%</w:t>
            </w:r>
          </w:p>
        </w:tc>
        <w:tc>
          <w:tcPr>
            <w:tcW w:w="0" w:type="auto"/>
          </w:tcPr>
          <w:p w14:paraId="620BE9CA" w14:textId="26DD96FA" w:rsidR="00314427" w:rsidRPr="006C034E" w:rsidRDefault="006C034E" w:rsidP="00EB069D">
            <w:pPr>
              <w:pStyle w:val="Tabletext"/>
            </w:pPr>
            <w:r w:rsidRPr="006C034E">
              <w:t>5%</w:t>
            </w:r>
          </w:p>
        </w:tc>
      </w:tr>
      <w:tr w:rsidR="00314427" w:rsidRPr="00E23AB3" w14:paraId="00BDDC56" w14:textId="7E14DED1" w:rsidTr="00314427">
        <w:trPr>
          <w:jc w:val="center"/>
        </w:trPr>
        <w:tc>
          <w:tcPr>
            <w:tcW w:w="0" w:type="auto"/>
          </w:tcPr>
          <w:p w14:paraId="3A3B43C3" w14:textId="77777777" w:rsidR="00314427" w:rsidRPr="006C034E" w:rsidRDefault="00314427" w:rsidP="00EB069D">
            <w:pPr>
              <w:pStyle w:val="Tabletext"/>
            </w:pPr>
            <w:r w:rsidRPr="006C034E">
              <w:t>Data not held</w:t>
            </w:r>
          </w:p>
        </w:tc>
        <w:tc>
          <w:tcPr>
            <w:tcW w:w="0" w:type="auto"/>
          </w:tcPr>
          <w:p w14:paraId="0EA35228" w14:textId="77777777" w:rsidR="00314427" w:rsidRPr="006C034E" w:rsidRDefault="00314427" w:rsidP="00EB069D">
            <w:pPr>
              <w:pStyle w:val="Tabletext"/>
            </w:pPr>
            <w:r w:rsidRPr="006C034E">
              <w:t>6%</w:t>
            </w:r>
          </w:p>
        </w:tc>
        <w:tc>
          <w:tcPr>
            <w:tcW w:w="0" w:type="auto"/>
          </w:tcPr>
          <w:p w14:paraId="2A93727E" w14:textId="77777777" w:rsidR="00314427" w:rsidRPr="006C034E" w:rsidRDefault="00314427" w:rsidP="00EB069D">
            <w:pPr>
              <w:pStyle w:val="Tabletext"/>
            </w:pPr>
            <w:r w:rsidRPr="006C034E">
              <w:t>5%</w:t>
            </w:r>
          </w:p>
        </w:tc>
        <w:tc>
          <w:tcPr>
            <w:tcW w:w="0" w:type="auto"/>
          </w:tcPr>
          <w:p w14:paraId="759C1AD2" w14:textId="77777777" w:rsidR="00314427" w:rsidRPr="006C034E" w:rsidRDefault="00314427" w:rsidP="00EB069D">
            <w:pPr>
              <w:pStyle w:val="Tabletext"/>
            </w:pPr>
            <w:r w:rsidRPr="006C034E">
              <w:t>3%</w:t>
            </w:r>
          </w:p>
        </w:tc>
        <w:tc>
          <w:tcPr>
            <w:tcW w:w="0" w:type="auto"/>
          </w:tcPr>
          <w:p w14:paraId="01B50279" w14:textId="75BBEC77" w:rsidR="00314427" w:rsidRPr="006C034E" w:rsidRDefault="006C034E" w:rsidP="00EB069D">
            <w:pPr>
              <w:pStyle w:val="Tabletext"/>
            </w:pPr>
            <w:r w:rsidRPr="006C034E">
              <w:t>5%</w:t>
            </w:r>
          </w:p>
        </w:tc>
      </w:tr>
    </w:tbl>
    <w:p w14:paraId="211C4237" w14:textId="1983B291" w:rsidR="0073560B" w:rsidRPr="00A53737" w:rsidRDefault="0073560B" w:rsidP="007B03CB">
      <w:pPr>
        <w:pStyle w:val="Heading2boardreport"/>
        <w:spacing w:before="240"/>
      </w:pPr>
      <w:r w:rsidRPr="00A53737">
        <w:t>Equality objective 2</w:t>
      </w:r>
    </w:p>
    <w:p w14:paraId="5424E905" w14:textId="77777777" w:rsidR="000C6FB1" w:rsidRPr="00A53737" w:rsidRDefault="000C6FB1" w:rsidP="000358E9">
      <w:pPr>
        <w:pStyle w:val="Heading3boardreport"/>
      </w:pPr>
      <w:r w:rsidRPr="00A53737">
        <w:t>Rationale</w:t>
      </w:r>
      <w:r w:rsidR="000358E9" w:rsidRPr="00A53737">
        <w:t xml:space="preserve"> for setting the objective in 2016</w:t>
      </w:r>
    </w:p>
    <w:p w14:paraId="270C4D61" w14:textId="77777777" w:rsidR="0073560B" w:rsidRPr="00A53737" w:rsidRDefault="0073560B" w:rsidP="00C51B05">
      <w:pPr>
        <w:pStyle w:val="Paragraph"/>
      </w:pPr>
      <w:r w:rsidRPr="00A53737">
        <w:t xml:space="preserve">Our second objective recognises the centrality of our staff to the successful delivery of our functions. A diverse workforce supports the delivery of the general equality duty and enables us to draw upon the widest pool of talent. </w:t>
      </w:r>
    </w:p>
    <w:p w14:paraId="1E015B41" w14:textId="77777777" w:rsidR="0073560B" w:rsidRPr="00A53737" w:rsidRDefault="000358E9" w:rsidP="00C51B05">
      <w:pPr>
        <w:pStyle w:val="Paragraph"/>
      </w:pPr>
      <w:r w:rsidRPr="00A53737">
        <w:t>Data</w:t>
      </w:r>
      <w:r w:rsidR="00691326" w:rsidRPr="00A53737">
        <w:t xml:space="preserve"> indicated that t</w:t>
      </w:r>
      <w:r w:rsidR="0073560B" w:rsidRPr="00A53737">
        <w:t>he diversity of our workforce in our management roles d</w:t>
      </w:r>
      <w:r w:rsidR="00691326" w:rsidRPr="00A53737">
        <w:t xml:space="preserve">id </w:t>
      </w:r>
      <w:r w:rsidR="0073560B" w:rsidRPr="00A53737">
        <w:t xml:space="preserve">not fully reflect the diversity of the wider population. </w:t>
      </w:r>
      <w:proofErr w:type="gramStart"/>
      <w:r w:rsidR="0073560B" w:rsidRPr="00A53737">
        <w:t>The majority of</w:t>
      </w:r>
      <w:proofErr w:type="gramEnd"/>
      <w:r w:rsidR="0073560B" w:rsidRPr="00A53737">
        <w:t xml:space="preserve"> staff at NICE from black, Asian and minority ethnic groups occup</w:t>
      </w:r>
      <w:r w:rsidRPr="00A53737">
        <w:t>ied</w:t>
      </w:r>
      <w:r w:rsidR="0073560B" w:rsidRPr="00A53737">
        <w:t xml:space="preserve"> junior roles (agenda for change bands 4 and 5) and we </w:t>
      </w:r>
      <w:r w:rsidR="00691326" w:rsidRPr="00A53737">
        <w:t xml:space="preserve">did not have </w:t>
      </w:r>
      <w:r w:rsidR="0073560B" w:rsidRPr="00A53737">
        <w:t>a clear strategy for recruiting and developing talent into more senior roles.</w:t>
      </w:r>
    </w:p>
    <w:p w14:paraId="35169E5C" w14:textId="77777777" w:rsidR="0073560B" w:rsidRPr="00A53737" w:rsidRDefault="0056723E" w:rsidP="00C51B05">
      <w:pPr>
        <w:pStyle w:val="Paragraph"/>
      </w:pPr>
      <w:r w:rsidRPr="00A53737">
        <w:t xml:space="preserve">The Board </w:t>
      </w:r>
      <w:r w:rsidR="0073560B" w:rsidRPr="00A53737">
        <w:t>therefore agreed a specific objective focused on increasing the number of staff from black, Asian and minority ethnic groups in management roles through targeted development programmes and resourcing strategies. We are seeking year on year increases in the proportion of staff from black, Asian and minority ethnic groups in senior roles (agenda for change band 7 and above) across the organisation.</w:t>
      </w:r>
    </w:p>
    <w:p w14:paraId="3FC60FC8" w14:textId="77777777" w:rsidR="0073560B" w:rsidRPr="00A53737" w:rsidRDefault="001043AE" w:rsidP="00FD672F">
      <w:pPr>
        <w:pStyle w:val="Heading3boardreport"/>
      </w:pPr>
      <w:r w:rsidRPr="00A53737">
        <w:t>Progress to date</w:t>
      </w:r>
      <w:r w:rsidR="00CD56A8" w:rsidRPr="00A53737">
        <w:t xml:space="preserve"> and further planned actions</w:t>
      </w:r>
    </w:p>
    <w:p w14:paraId="741D4A97" w14:textId="3726EC69" w:rsidR="00877ADA" w:rsidRPr="00F6031C" w:rsidRDefault="00877ADA" w:rsidP="00877ADA">
      <w:pPr>
        <w:pStyle w:val="Paragraph"/>
      </w:pPr>
      <w:r w:rsidRPr="00F6031C">
        <w:t>The number of black, Asian and minority ethnic staff in senior roles</w:t>
      </w:r>
      <w:r>
        <w:t xml:space="preserve"> </w:t>
      </w:r>
      <w:r w:rsidRPr="00F6031C">
        <w:t xml:space="preserve">(band 7 and above) increased from </w:t>
      </w:r>
      <w:r>
        <w:t>64</w:t>
      </w:r>
      <w:r w:rsidRPr="00F6031C">
        <w:t xml:space="preserve"> staff </w:t>
      </w:r>
      <w:proofErr w:type="gramStart"/>
      <w:r w:rsidRPr="00F6031C">
        <w:t>at</w:t>
      </w:r>
      <w:proofErr w:type="gramEnd"/>
      <w:r w:rsidRPr="00F6031C">
        <w:t xml:space="preserve"> 31 March 201</w:t>
      </w:r>
      <w:r>
        <w:t>8</w:t>
      </w:r>
      <w:r w:rsidRPr="00F6031C">
        <w:t xml:space="preserve"> to </w:t>
      </w:r>
      <w:r>
        <w:t>68</w:t>
      </w:r>
      <w:r w:rsidRPr="00F6031C">
        <w:t xml:space="preserve"> staff at 31 March 201</w:t>
      </w:r>
      <w:r>
        <w:t>9</w:t>
      </w:r>
      <w:r w:rsidRPr="00F6031C">
        <w:t xml:space="preserve">. This increased the proportion of staff in band 7 and above from black, Asian and minority ethnic groups </w:t>
      </w:r>
      <w:r>
        <w:t>from 15% in 2017</w:t>
      </w:r>
      <w:r w:rsidR="00D9402A">
        <w:t>/</w:t>
      </w:r>
      <w:r>
        <w:t>18 to 16.6% in 2018</w:t>
      </w:r>
      <w:r w:rsidR="007A4E3D">
        <w:t>/</w:t>
      </w:r>
      <w:r>
        <w:t>19.</w:t>
      </w:r>
    </w:p>
    <w:p w14:paraId="22C371AD" w14:textId="77777777" w:rsidR="00877ADA" w:rsidRPr="00F6031C" w:rsidRDefault="00877ADA" w:rsidP="00877ADA">
      <w:pPr>
        <w:pStyle w:val="Paragraph"/>
      </w:pPr>
      <w:r w:rsidRPr="00F6031C">
        <w:t xml:space="preserve">In 2018 we appointed a dedicated in-house Recruitment Manager who is working with line managers and the wider HR team to review job adverts to </w:t>
      </w:r>
      <w:r w:rsidRPr="00F6031C">
        <w:lastRenderedPageBreak/>
        <w:t>ensure they are attractive and appealing to candidates from a diverse range of backgrounds.</w:t>
      </w:r>
    </w:p>
    <w:p w14:paraId="3EECC633" w14:textId="6B48392E" w:rsidR="00877ADA" w:rsidRDefault="00877ADA" w:rsidP="00877ADA">
      <w:pPr>
        <w:pStyle w:val="Paragraph"/>
      </w:pPr>
      <w:r>
        <w:t xml:space="preserve">In addition to our recruitment channels of Total Jobs and LinkedIn (two of the UK’s leading jobs boards), in the last twelve months we have improved our use of social media to target active and passive candidates across multiple communities and channels, which helps us to attract a diverse range of candidates. We have also created recruitment videos and blogs featuring existing staff, which promote the diversity of NICE’s workforce and encourage a diverse range of candidates to apply for our roles. </w:t>
      </w:r>
    </w:p>
    <w:p w14:paraId="1C7C6FE4" w14:textId="67CD3749" w:rsidR="00877ADA" w:rsidRPr="00F6031C" w:rsidRDefault="00877ADA" w:rsidP="00877ADA">
      <w:pPr>
        <w:pStyle w:val="Paragraph"/>
      </w:pPr>
      <w:r w:rsidRPr="00F6031C">
        <w:t>NICE is committed to supporting staff regardless of their background</w:t>
      </w:r>
      <w:r>
        <w:t xml:space="preserve">. We are Stonewall Diversity Champions (which supports LGBT staff), </w:t>
      </w:r>
      <w:r w:rsidR="00DB5E79">
        <w:t xml:space="preserve">and </w:t>
      </w:r>
      <w:r>
        <w:t xml:space="preserve">we have signed the Time to Change pledge </w:t>
      </w:r>
      <w:r w:rsidRPr="00F6031C">
        <w:t xml:space="preserve">(which aspires to end mental health discrimination). </w:t>
      </w:r>
      <w:r>
        <w:t>In 2018</w:t>
      </w:r>
      <w:r w:rsidR="00D9402A">
        <w:t>/</w:t>
      </w:r>
      <w:r>
        <w:t xml:space="preserve">19 we achieved the Disability Confident “Employer” standard. We continue to promote specialist development programmes such as </w:t>
      </w:r>
      <w:r w:rsidRPr="00F6031C">
        <w:t xml:space="preserve">the NHS Leadership Academy </w:t>
      </w:r>
      <w:r>
        <w:t>“</w:t>
      </w:r>
      <w:hyperlink r:id="rId11" w:history="1">
        <w:r w:rsidRPr="00F36E7E">
          <w:rPr>
            <w:rStyle w:val="Hyperlink"/>
          </w:rPr>
          <w:t>Stepping Up</w:t>
        </w:r>
      </w:hyperlink>
      <w:r>
        <w:t xml:space="preserve">” and </w:t>
      </w:r>
      <w:hyperlink r:id="rId12" w:history="1">
        <w:r w:rsidRPr="00F11879">
          <w:rPr>
            <w:rStyle w:val="Hyperlink"/>
          </w:rPr>
          <w:t>“Ready Now”</w:t>
        </w:r>
      </w:hyperlink>
      <w:r w:rsidRPr="00F6031C">
        <w:t xml:space="preserve"> programm</w:t>
      </w:r>
      <w:r>
        <w:t>es</w:t>
      </w:r>
      <w:r w:rsidR="00CC3313">
        <w:t xml:space="preserve"> which seek to support aspiring and current leaders from black and minority ethnic groups</w:t>
      </w:r>
      <w:r>
        <w:t>.</w:t>
      </w:r>
      <w:r w:rsidRPr="00F6031C">
        <w:t xml:space="preserve"> </w:t>
      </w:r>
    </w:p>
    <w:p w14:paraId="6CDD3DBD" w14:textId="77777777" w:rsidR="00877ADA" w:rsidRPr="00F6031C" w:rsidRDefault="00877ADA" w:rsidP="00877ADA">
      <w:pPr>
        <w:pStyle w:val="Paragraph"/>
      </w:pPr>
      <w:r w:rsidRPr="00F6031C">
        <w:t xml:space="preserve">NICE is committed to continuing to promote opportunities to potential candidates and existing staff. We are building relationships with other organisations with a view to sharing development opportunities such as vacancies, secondments, </w:t>
      </w:r>
      <w:proofErr w:type="gramStart"/>
      <w:r w:rsidRPr="00F6031C">
        <w:t>training</w:t>
      </w:r>
      <w:proofErr w:type="gramEnd"/>
      <w:r w:rsidRPr="00F6031C">
        <w:t xml:space="preserve"> and forums. This will strengthen further the support we are able to offer our staff. </w:t>
      </w:r>
    </w:p>
    <w:p w14:paraId="7E967989" w14:textId="46CED9F7" w:rsidR="00877ADA" w:rsidRPr="00F6031C" w:rsidRDefault="00877ADA" w:rsidP="00877ADA">
      <w:pPr>
        <w:pStyle w:val="Paragraph"/>
      </w:pPr>
      <w:r w:rsidRPr="00F6031C">
        <w:t>We are actively engaging with staff members to get feedback on how to improve our recruitment practi</w:t>
      </w:r>
      <w:r w:rsidR="005553E1">
        <w:t>c</w:t>
      </w:r>
      <w:r w:rsidRPr="00F6031C">
        <w:t xml:space="preserve">es for </w:t>
      </w:r>
      <w:r>
        <w:t xml:space="preserve">internal and external </w:t>
      </w:r>
      <w:r w:rsidRPr="00F6031C">
        <w:t>applicants from black, Asian and minority ethnic groups, or have other or additional protected characteristics</w:t>
      </w:r>
      <w:r>
        <w:t>.</w:t>
      </w:r>
      <w:r w:rsidRPr="00F6031C">
        <w:t xml:space="preserve"> </w:t>
      </w:r>
      <w:r>
        <w:t xml:space="preserve">In response to feedback from this group, we organised a talk on career development from an Associate Director from a </w:t>
      </w:r>
      <w:r w:rsidR="00D9402A" w:rsidRPr="00F6031C">
        <w:t xml:space="preserve">black, Asian and minority ethnic </w:t>
      </w:r>
      <w:r w:rsidR="00D9402A">
        <w:t xml:space="preserve">group </w:t>
      </w:r>
      <w:r>
        <w:t>background.</w:t>
      </w:r>
    </w:p>
    <w:p w14:paraId="6DC182F7" w14:textId="1A0A0CE7" w:rsidR="00877ADA" w:rsidRDefault="00877ADA" w:rsidP="00877ADA">
      <w:pPr>
        <w:pStyle w:val="Paragraph"/>
      </w:pPr>
      <w:r>
        <w:t>In 2018</w:t>
      </w:r>
      <w:r w:rsidR="00D9402A">
        <w:t>/</w:t>
      </w:r>
      <w:r w:rsidRPr="00F6031C">
        <w:t xml:space="preserve">19 we </w:t>
      </w:r>
      <w:r>
        <w:t>redesigned</w:t>
      </w:r>
      <w:r w:rsidRPr="00F6031C">
        <w:t xml:space="preserve"> our recruitment and selection training with an increased focus on </w:t>
      </w:r>
      <w:r>
        <w:t xml:space="preserve">diversity, inclusion and </w:t>
      </w:r>
      <w:r w:rsidRPr="00F6031C">
        <w:t>understanding unconscious bias.</w:t>
      </w:r>
    </w:p>
    <w:p w14:paraId="33CA23DC" w14:textId="1AE24163" w:rsidR="00877ADA" w:rsidRPr="00F6031C" w:rsidRDefault="00877ADA" w:rsidP="00877ADA">
      <w:pPr>
        <w:pStyle w:val="Paragraph"/>
      </w:pPr>
      <w:r>
        <w:t>In 2019, NICE will be participating in the workforce race equality standard (WRES)</w:t>
      </w:r>
      <w:r w:rsidR="00F939AA">
        <w:t xml:space="preserve"> data collection</w:t>
      </w:r>
      <w:r>
        <w:t xml:space="preserve">, and </w:t>
      </w:r>
      <w:r w:rsidR="00EA46BA">
        <w:t xml:space="preserve">we </w:t>
      </w:r>
      <w:r>
        <w:t xml:space="preserve">will use </w:t>
      </w:r>
      <w:r w:rsidR="00F939AA">
        <w:t xml:space="preserve">this </w:t>
      </w:r>
      <w:r>
        <w:t xml:space="preserve">to continue to improve our activities in supporting our </w:t>
      </w:r>
      <w:r w:rsidR="00D9402A">
        <w:t xml:space="preserve">staff from </w:t>
      </w:r>
      <w:r w:rsidR="00D9402A" w:rsidRPr="00F6031C">
        <w:t>black, Asian and minority ethnic groups</w:t>
      </w:r>
      <w:r w:rsidR="00D9402A">
        <w:t xml:space="preserve">. </w:t>
      </w:r>
    </w:p>
    <w:p w14:paraId="3E4437F9" w14:textId="77777777" w:rsidR="00FD672F" w:rsidRPr="00E23AB3" w:rsidRDefault="00FD672F" w:rsidP="00A53737">
      <w:pPr>
        <w:pStyle w:val="Heading2boardreport"/>
      </w:pPr>
      <w:r w:rsidRPr="00E23AB3">
        <w:t>NICE equality and diversity group (</w:t>
      </w:r>
      <w:r w:rsidRPr="00A53737">
        <w:t>NEDG</w:t>
      </w:r>
      <w:r w:rsidRPr="00E23AB3">
        <w:t>)</w:t>
      </w:r>
    </w:p>
    <w:p w14:paraId="5A241FC0" w14:textId="633747B2" w:rsidR="001043AE" w:rsidRPr="007B17E9" w:rsidRDefault="001043AE" w:rsidP="00610D44">
      <w:pPr>
        <w:pStyle w:val="Paragraph"/>
        <w:rPr>
          <w:color w:val="000000" w:themeColor="text1"/>
        </w:rPr>
      </w:pPr>
      <w:r w:rsidRPr="007B17E9">
        <w:rPr>
          <w:color w:val="000000" w:themeColor="text1"/>
        </w:rPr>
        <w:t>The NI</w:t>
      </w:r>
      <w:r w:rsidR="00FD672F" w:rsidRPr="007B17E9">
        <w:rPr>
          <w:color w:val="000000" w:themeColor="text1"/>
        </w:rPr>
        <w:t>CE equality and diversity group</w:t>
      </w:r>
      <w:r w:rsidRPr="007B17E9">
        <w:rPr>
          <w:color w:val="000000" w:themeColor="text1"/>
        </w:rPr>
        <w:t xml:space="preserve"> support</w:t>
      </w:r>
      <w:r w:rsidR="00FD672F" w:rsidRPr="007B17E9">
        <w:rPr>
          <w:color w:val="000000" w:themeColor="text1"/>
        </w:rPr>
        <w:t>s</w:t>
      </w:r>
      <w:r w:rsidRPr="007B17E9">
        <w:rPr>
          <w:color w:val="000000" w:themeColor="text1"/>
        </w:rPr>
        <w:t xml:space="preserve"> NICE </w:t>
      </w:r>
      <w:r w:rsidR="0071540D" w:rsidRPr="007B17E9">
        <w:rPr>
          <w:color w:val="000000" w:themeColor="text1"/>
        </w:rPr>
        <w:t xml:space="preserve">to </w:t>
      </w:r>
      <w:r w:rsidRPr="007B17E9">
        <w:rPr>
          <w:color w:val="000000" w:themeColor="text1"/>
        </w:rPr>
        <w:t xml:space="preserve">deliver its </w:t>
      </w:r>
      <w:r w:rsidR="0073560B" w:rsidRPr="007B17E9">
        <w:rPr>
          <w:color w:val="000000" w:themeColor="text1"/>
        </w:rPr>
        <w:t xml:space="preserve">obligations under the Equality Act in relation to guidance production. </w:t>
      </w:r>
      <w:r w:rsidRPr="007B17E9">
        <w:rPr>
          <w:color w:val="000000" w:themeColor="text1"/>
        </w:rPr>
        <w:t>The group meets quarterly and includes members from each centre/directorate, plus the Public Involvement Programme</w:t>
      </w:r>
      <w:r w:rsidR="004B0CC8" w:rsidRPr="007B17E9">
        <w:rPr>
          <w:color w:val="000000" w:themeColor="text1"/>
        </w:rPr>
        <w:t xml:space="preserve">, </w:t>
      </w:r>
      <w:r w:rsidRPr="007B17E9">
        <w:rPr>
          <w:color w:val="000000" w:themeColor="text1"/>
        </w:rPr>
        <w:t xml:space="preserve">Corporate </w:t>
      </w:r>
      <w:proofErr w:type="gramStart"/>
      <w:r w:rsidRPr="007B17E9">
        <w:rPr>
          <w:color w:val="000000" w:themeColor="text1"/>
        </w:rPr>
        <w:t>Office</w:t>
      </w:r>
      <w:proofErr w:type="gramEnd"/>
      <w:r w:rsidR="004B0CC8" w:rsidRPr="007B17E9">
        <w:rPr>
          <w:color w:val="000000" w:themeColor="text1"/>
        </w:rPr>
        <w:t xml:space="preserve"> and Field Team</w:t>
      </w:r>
      <w:r w:rsidRPr="007B17E9">
        <w:rPr>
          <w:color w:val="000000" w:themeColor="text1"/>
        </w:rPr>
        <w:t xml:space="preserve">. It </w:t>
      </w:r>
      <w:r w:rsidRPr="007B17E9">
        <w:rPr>
          <w:color w:val="000000" w:themeColor="text1"/>
        </w:rPr>
        <w:lastRenderedPageBreak/>
        <w:t xml:space="preserve">is chaired by </w:t>
      </w:r>
      <w:r w:rsidR="007C2AEC" w:rsidRPr="007B17E9">
        <w:rPr>
          <w:color w:val="000000" w:themeColor="text1"/>
        </w:rPr>
        <w:t>a</w:t>
      </w:r>
      <w:r w:rsidRPr="007B17E9">
        <w:rPr>
          <w:color w:val="000000" w:themeColor="text1"/>
        </w:rPr>
        <w:t xml:space="preserve"> Programme Director </w:t>
      </w:r>
      <w:r w:rsidR="007C2AEC" w:rsidRPr="007B17E9">
        <w:rPr>
          <w:color w:val="000000" w:themeColor="text1"/>
        </w:rPr>
        <w:t>from the</w:t>
      </w:r>
      <w:r w:rsidRPr="007B17E9">
        <w:rPr>
          <w:color w:val="000000" w:themeColor="text1"/>
        </w:rPr>
        <w:t xml:space="preserve"> Centre for Guidelines</w:t>
      </w:r>
      <w:r w:rsidR="008749E8">
        <w:rPr>
          <w:color w:val="000000" w:themeColor="text1"/>
        </w:rPr>
        <w:t xml:space="preserve">, who liaises with the </w:t>
      </w:r>
      <w:r w:rsidR="008D0DEE">
        <w:rPr>
          <w:color w:val="000000" w:themeColor="text1"/>
        </w:rPr>
        <w:t>executive sponsor for diversity – Alexia Tonnel, Director for Evidence Resources</w:t>
      </w:r>
      <w:r w:rsidR="000E468F" w:rsidRPr="007B17E9">
        <w:rPr>
          <w:color w:val="000000" w:themeColor="text1"/>
        </w:rPr>
        <w:t>.</w:t>
      </w:r>
      <w:r w:rsidR="00610D44" w:rsidRPr="007B17E9">
        <w:rPr>
          <w:color w:val="000000" w:themeColor="text1"/>
        </w:rPr>
        <w:t xml:space="preserve"> </w:t>
      </w:r>
    </w:p>
    <w:p w14:paraId="36E2EFDA" w14:textId="33E1706C" w:rsidR="0073560B" w:rsidRPr="007B17E9" w:rsidRDefault="001043AE" w:rsidP="00C51B05">
      <w:pPr>
        <w:pStyle w:val="Paragraph"/>
        <w:rPr>
          <w:color w:val="000000" w:themeColor="text1"/>
        </w:rPr>
      </w:pPr>
      <w:r w:rsidRPr="007B17E9">
        <w:rPr>
          <w:color w:val="000000" w:themeColor="text1"/>
        </w:rPr>
        <w:t>In addition to overseeing the delivery of our equality objectives and coordinating input to the annual equality report, the</w:t>
      </w:r>
      <w:r w:rsidR="00610D44" w:rsidRPr="007B17E9">
        <w:rPr>
          <w:color w:val="000000" w:themeColor="text1"/>
        </w:rPr>
        <w:t xml:space="preserve"> NEDG</w:t>
      </w:r>
      <w:r w:rsidRPr="007B17E9">
        <w:rPr>
          <w:color w:val="000000" w:themeColor="text1"/>
        </w:rPr>
        <w:t xml:space="preserve"> </w:t>
      </w:r>
      <w:r w:rsidR="0073560B" w:rsidRPr="007B17E9">
        <w:rPr>
          <w:color w:val="000000" w:themeColor="text1"/>
        </w:rPr>
        <w:t>seeks to share good practice across NICE and provide a forum for discussing and proposing solutions to cross-</w:t>
      </w:r>
      <w:r w:rsidR="005D39B9" w:rsidRPr="007B17E9">
        <w:rPr>
          <w:color w:val="000000" w:themeColor="text1"/>
        </w:rPr>
        <w:t>i</w:t>
      </w:r>
      <w:r w:rsidR="0073560B" w:rsidRPr="007B17E9">
        <w:rPr>
          <w:color w:val="000000" w:themeColor="text1"/>
        </w:rPr>
        <w:t>nstitute equality issues.</w:t>
      </w:r>
      <w:r w:rsidR="004C5E54" w:rsidRPr="007B17E9">
        <w:rPr>
          <w:color w:val="000000" w:themeColor="text1"/>
        </w:rPr>
        <w:t xml:space="preserve"> It </w:t>
      </w:r>
      <w:r w:rsidR="00B82C14" w:rsidRPr="007B17E9">
        <w:rPr>
          <w:color w:val="000000" w:themeColor="text1"/>
        </w:rPr>
        <w:t>complements</w:t>
      </w:r>
      <w:r w:rsidR="004C5E54" w:rsidRPr="007B17E9">
        <w:rPr>
          <w:color w:val="000000" w:themeColor="text1"/>
        </w:rPr>
        <w:t xml:space="preserve"> the arrangements to support equality considerations within guidance producing programmes.</w:t>
      </w:r>
    </w:p>
    <w:p w14:paraId="79B2CA25" w14:textId="66A4C551" w:rsidR="007B17E9" w:rsidRPr="00074558" w:rsidRDefault="007B17E9" w:rsidP="00074558">
      <w:pPr>
        <w:pStyle w:val="Paragraph"/>
        <w:rPr>
          <w:color w:val="000000" w:themeColor="text1"/>
        </w:rPr>
      </w:pPr>
      <w:r>
        <w:rPr>
          <w:color w:val="000000" w:themeColor="text1"/>
        </w:rPr>
        <w:t>Th</w:t>
      </w:r>
      <w:r w:rsidR="00DB5E79">
        <w:rPr>
          <w:color w:val="000000" w:themeColor="text1"/>
        </w:rPr>
        <w:t>is year th</w:t>
      </w:r>
      <w:r>
        <w:rPr>
          <w:color w:val="000000" w:themeColor="text1"/>
        </w:rPr>
        <w:t xml:space="preserve">e group received a presentation </w:t>
      </w:r>
      <w:r w:rsidR="008D0DEE">
        <w:rPr>
          <w:color w:val="000000" w:themeColor="text1"/>
        </w:rPr>
        <w:t>f</w:t>
      </w:r>
      <w:r>
        <w:rPr>
          <w:color w:val="000000" w:themeColor="text1"/>
        </w:rPr>
        <w:t>rom Stonewall on LGBT inclusive terminology</w:t>
      </w:r>
      <w:r w:rsidR="008D0DEE">
        <w:rPr>
          <w:color w:val="000000" w:themeColor="text1"/>
        </w:rPr>
        <w:t xml:space="preserve"> and </w:t>
      </w:r>
      <w:r>
        <w:rPr>
          <w:color w:val="000000" w:themeColor="text1"/>
        </w:rPr>
        <w:t>note</w:t>
      </w:r>
      <w:r w:rsidR="0013210A">
        <w:rPr>
          <w:color w:val="000000" w:themeColor="text1"/>
        </w:rPr>
        <w:t>d</w:t>
      </w:r>
      <w:r>
        <w:rPr>
          <w:color w:val="000000" w:themeColor="text1"/>
        </w:rPr>
        <w:t xml:space="preserve"> the work undertaken to use inclusive terminology in NICE’s internal HR policies</w:t>
      </w:r>
      <w:r w:rsidR="008D0DEE">
        <w:rPr>
          <w:color w:val="000000" w:themeColor="text1"/>
        </w:rPr>
        <w:t xml:space="preserve">. </w:t>
      </w:r>
      <w:r w:rsidR="0013210A">
        <w:rPr>
          <w:color w:val="000000" w:themeColor="text1"/>
        </w:rPr>
        <w:t xml:space="preserve">The group </w:t>
      </w:r>
      <w:r w:rsidR="006B3FE7">
        <w:rPr>
          <w:color w:val="000000" w:themeColor="text1"/>
        </w:rPr>
        <w:t xml:space="preserve">agreed </w:t>
      </w:r>
      <w:r w:rsidR="008D0DEE">
        <w:rPr>
          <w:color w:val="000000" w:themeColor="text1"/>
        </w:rPr>
        <w:t xml:space="preserve">that </w:t>
      </w:r>
      <w:r w:rsidR="006B3FE7">
        <w:rPr>
          <w:color w:val="000000" w:themeColor="text1"/>
        </w:rPr>
        <w:t xml:space="preserve">it would be helpful to </w:t>
      </w:r>
      <w:r w:rsidR="00D900B1">
        <w:rPr>
          <w:color w:val="000000" w:themeColor="text1"/>
        </w:rPr>
        <w:t xml:space="preserve">clarify NICE’s </w:t>
      </w:r>
      <w:r w:rsidR="006B3FE7">
        <w:rPr>
          <w:color w:val="000000" w:themeColor="text1"/>
        </w:rPr>
        <w:t xml:space="preserve">position on the use of </w:t>
      </w:r>
      <w:proofErr w:type="gramStart"/>
      <w:r w:rsidR="006B3FE7">
        <w:rPr>
          <w:color w:val="000000" w:themeColor="text1"/>
        </w:rPr>
        <w:t>gender neu</w:t>
      </w:r>
      <w:r w:rsidR="00D378F8">
        <w:rPr>
          <w:color w:val="000000" w:themeColor="text1"/>
        </w:rPr>
        <w:t>t</w:t>
      </w:r>
      <w:r w:rsidR="006B3FE7">
        <w:rPr>
          <w:color w:val="000000" w:themeColor="text1"/>
        </w:rPr>
        <w:t>ral</w:t>
      </w:r>
      <w:proofErr w:type="gramEnd"/>
      <w:r w:rsidR="006B3FE7">
        <w:rPr>
          <w:color w:val="000000" w:themeColor="text1"/>
        </w:rPr>
        <w:t xml:space="preserve"> language in guidance publications</w:t>
      </w:r>
      <w:r w:rsidR="00074558">
        <w:rPr>
          <w:color w:val="000000" w:themeColor="text1"/>
        </w:rPr>
        <w:t xml:space="preserve"> </w:t>
      </w:r>
      <w:r w:rsidR="003712B0">
        <w:rPr>
          <w:color w:val="000000" w:themeColor="text1"/>
        </w:rPr>
        <w:t>through an update to our</w:t>
      </w:r>
      <w:r w:rsidR="00D900B1">
        <w:rPr>
          <w:color w:val="000000" w:themeColor="text1"/>
        </w:rPr>
        <w:t xml:space="preserve"> style guide. </w:t>
      </w:r>
    </w:p>
    <w:p w14:paraId="6867220D" w14:textId="2EFBCB69" w:rsidR="006B3FE7" w:rsidRDefault="00DB5E79" w:rsidP="00C51B05">
      <w:pPr>
        <w:pStyle w:val="Paragraph"/>
        <w:rPr>
          <w:color w:val="000000" w:themeColor="text1"/>
        </w:rPr>
      </w:pPr>
      <w:r>
        <w:rPr>
          <w:color w:val="000000" w:themeColor="text1"/>
        </w:rPr>
        <w:t xml:space="preserve">The group considered issues arising from </w:t>
      </w:r>
      <w:r w:rsidR="00074558">
        <w:rPr>
          <w:color w:val="000000" w:themeColor="text1"/>
        </w:rPr>
        <w:t>the 2017/18 annual equality report</w:t>
      </w:r>
      <w:r w:rsidR="00684F4C">
        <w:rPr>
          <w:color w:val="000000" w:themeColor="text1"/>
        </w:rPr>
        <w:t>. It discussed</w:t>
      </w:r>
      <w:r w:rsidR="00074558">
        <w:rPr>
          <w:color w:val="000000" w:themeColor="text1"/>
        </w:rPr>
        <w:t xml:space="preserve"> actions to increase the completion of equality monitoring forms by people applying for committee roles, </w:t>
      </w:r>
      <w:r w:rsidR="00684F4C">
        <w:rPr>
          <w:color w:val="000000" w:themeColor="text1"/>
        </w:rPr>
        <w:t xml:space="preserve">and </w:t>
      </w:r>
      <w:r w:rsidR="00074558">
        <w:rPr>
          <w:color w:val="000000" w:themeColor="text1"/>
        </w:rPr>
        <w:t xml:space="preserve">the </w:t>
      </w:r>
      <w:r w:rsidR="005329BB">
        <w:rPr>
          <w:color w:val="000000" w:themeColor="text1"/>
        </w:rPr>
        <w:t xml:space="preserve">equality impact assessment process across guidance programmes. The group also considered feedback from lay members on their experience on NICE committees. </w:t>
      </w:r>
    </w:p>
    <w:p w14:paraId="337A904F" w14:textId="4C56564B" w:rsidR="00424F21" w:rsidRPr="00E43C8C" w:rsidRDefault="008D0DEE" w:rsidP="00C51B05">
      <w:pPr>
        <w:pStyle w:val="Paragraph"/>
      </w:pPr>
      <w:r w:rsidRPr="00E43C8C">
        <w:t xml:space="preserve">As noted </w:t>
      </w:r>
      <w:r w:rsidR="00F75E64" w:rsidRPr="00E43C8C">
        <w:t xml:space="preserve">in paragraph </w:t>
      </w:r>
      <w:r w:rsidR="00684F4C" w:rsidRPr="00D628F5">
        <w:t>14</w:t>
      </w:r>
      <w:r w:rsidRPr="00D628F5">
        <w:t>,</w:t>
      </w:r>
      <w:r w:rsidRPr="00E43C8C">
        <w:t xml:space="preserve"> </w:t>
      </w:r>
      <w:r w:rsidR="00424F21" w:rsidRPr="00E43C8C">
        <w:t xml:space="preserve">NICE’s current equality objectives were agreed in March 2016 and run to </w:t>
      </w:r>
      <w:r w:rsidR="00402964">
        <w:t xml:space="preserve">March </w:t>
      </w:r>
      <w:r w:rsidR="00424F21" w:rsidRPr="00E43C8C">
        <w:t>2020. In 2019/20 the group will therefore consider options for objectives for the next period and recommend these to the senior management team and Board</w:t>
      </w:r>
      <w:r w:rsidR="00AD4B30" w:rsidRPr="00E43C8C">
        <w:t xml:space="preserve"> for approval</w:t>
      </w:r>
      <w:r w:rsidR="00424F21" w:rsidRPr="00E43C8C">
        <w:t>.</w:t>
      </w:r>
    </w:p>
    <w:p w14:paraId="51F019DB" w14:textId="77777777" w:rsidR="00FD672F" w:rsidRPr="00E23AB3" w:rsidRDefault="00FD672F" w:rsidP="00A53737">
      <w:pPr>
        <w:pStyle w:val="Heading1boardreport"/>
      </w:pPr>
      <w:r w:rsidRPr="00E23AB3">
        <w:t xml:space="preserve">Composition of and appointments to NICE </w:t>
      </w:r>
      <w:r w:rsidRPr="00A53737">
        <w:t>committees</w:t>
      </w:r>
    </w:p>
    <w:p w14:paraId="031CD156" w14:textId="77777777" w:rsidR="00FD672F" w:rsidRPr="00A53737" w:rsidRDefault="00B2559F" w:rsidP="00C51B05">
      <w:pPr>
        <w:pStyle w:val="Paragraph"/>
      </w:pPr>
      <w:r w:rsidRPr="00A53737">
        <w:t>As noted above, d</w:t>
      </w:r>
      <w:r w:rsidR="00FD672F" w:rsidRPr="00A53737">
        <w:t xml:space="preserve">iversity in advisory body membership contributes to the aims of NICE’s equality programme and improves the quality of guidance. It also supports the public sector equality duty of fostering good relations between those sharing protected characteristics and those who do not. </w:t>
      </w:r>
    </w:p>
    <w:p w14:paraId="03977D81" w14:textId="5A32AA70" w:rsidR="00FD672F" w:rsidRPr="00A53737" w:rsidRDefault="00FD672F" w:rsidP="00C51B05">
      <w:pPr>
        <w:pStyle w:val="Paragraph"/>
      </w:pPr>
      <w:r w:rsidRPr="00A53737">
        <w:t xml:space="preserve">We collect information on the background of </w:t>
      </w:r>
      <w:r w:rsidR="00597D38">
        <w:t xml:space="preserve">people </w:t>
      </w:r>
      <w:r w:rsidRPr="00A53737">
        <w:t xml:space="preserve">applying for positions on our </w:t>
      </w:r>
      <w:r w:rsidR="00766647" w:rsidRPr="00A53737">
        <w:t>committees</w:t>
      </w:r>
      <w:r w:rsidR="00660740">
        <w:t xml:space="preserve"> and </w:t>
      </w:r>
      <w:r w:rsidRPr="00A53737">
        <w:t xml:space="preserve">compare this to the background of </w:t>
      </w:r>
      <w:r w:rsidR="00597D38">
        <w:t>people</w:t>
      </w:r>
      <w:r w:rsidRPr="00A53737">
        <w:t xml:space="preserve"> subsequently appointed. This enables us to monitor the impact of our recruitment processes.</w:t>
      </w:r>
    </w:p>
    <w:p w14:paraId="65B66640" w14:textId="209BC0E6" w:rsidR="00FD672F" w:rsidRPr="00E23AB3" w:rsidRDefault="00FD672F" w:rsidP="009550C1">
      <w:pPr>
        <w:pStyle w:val="Heading2boardreport"/>
      </w:pPr>
      <w:r w:rsidRPr="00E23AB3">
        <w:t xml:space="preserve">Equalities monitoring of </w:t>
      </w:r>
      <w:r w:rsidR="009550C1">
        <w:t>2018/19</w:t>
      </w:r>
      <w:r w:rsidRPr="00E23AB3">
        <w:t xml:space="preserve"> applications and appointments</w:t>
      </w:r>
    </w:p>
    <w:p w14:paraId="217D926A" w14:textId="43F1E3DA" w:rsidR="00FD672F" w:rsidRPr="002239B5" w:rsidRDefault="00FD672F" w:rsidP="00C51B05">
      <w:pPr>
        <w:pStyle w:val="Paragraph"/>
      </w:pPr>
      <w:r w:rsidRPr="00502A23">
        <w:t xml:space="preserve">Across the roles overall, </w:t>
      </w:r>
      <w:r w:rsidR="000F0954" w:rsidRPr="00502A23">
        <w:t xml:space="preserve">broadly </w:t>
      </w:r>
      <w:r w:rsidRPr="00502A23">
        <w:t xml:space="preserve">similar proportions of people sharing the various protected characteristics were appointed to advisory bodies as </w:t>
      </w:r>
      <w:r w:rsidRPr="00502A23">
        <w:lastRenderedPageBreak/>
        <w:t>applied</w:t>
      </w:r>
      <w:r w:rsidR="00502A23">
        <w:t>. The main exceptions are age</w:t>
      </w:r>
      <w:r w:rsidR="001041D4">
        <w:t xml:space="preserve"> and </w:t>
      </w:r>
      <w:r w:rsidR="00502A23">
        <w:t>ethnicity for non-lay appointment</w:t>
      </w:r>
      <w:r w:rsidR="008025F4">
        <w:t>s</w:t>
      </w:r>
      <w:r w:rsidR="001041D4">
        <w:t xml:space="preserve">. </w:t>
      </w:r>
      <w:r w:rsidR="00EB3EB8" w:rsidRPr="002239B5">
        <w:t>Further information, by protected characteristic, is outlined below</w:t>
      </w:r>
      <w:r w:rsidR="002239B5" w:rsidRPr="002239B5">
        <w:t>.</w:t>
      </w:r>
      <w:r w:rsidR="001041D4" w:rsidRPr="002239B5">
        <w:t xml:space="preserve"> </w:t>
      </w:r>
    </w:p>
    <w:p w14:paraId="6966A9A6" w14:textId="77777777" w:rsidR="00FD672F" w:rsidRPr="00E23AB3" w:rsidRDefault="00FD672F" w:rsidP="002239B5">
      <w:pPr>
        <w:pStyle w:val="Heading3boardreport"/>
      </w:pPr>
      <w:r w:rsidRPr="002239B5">
        <w:t>Gender</w:t>
      </w:r>
    </w:p>
    <w:p w14:paraId="2287278A" w14:textId="52C10DE8" w:rsidR="00C16776" w:rsidRPr="0005057A" w:rsidRDefault="00DE2F3F" w:rsidP="00C51B05">
      <w:pPr>
        <w:pStyle w:val="Paragraph"/>
      </w:pPr>
      <w:r w:rsidRPr="0005057A">
        <w:t>There is a difference in the gender balance between lay and non-lay roles.</w:t>
      </w:r>
      <w:r w:rsidR="009048D4" w:rsidRPr="0005057A">
        <w:t xml:space="preserve"> </w:t>
      </w:r>
      <w:r w:rsidR="0005057A" w:rsidRPr="0005057A">
        <w:t xml:space="preserve">The proportion of </w:t>
      </w:r>
      <w:r w:rsidR="003765CA" w:rsidRPr="0005057A">
        <w:t xml:space="preserve">applicants and appointees </w:t>
      </w:r>
      <w:r w:rsidR="0005057A" w:rsidRPr="0005057A">
        <w:t xml:space="preserve">who were women was higher for </w:t>
      </w:r>
      <w:r w:rsidR="003765CA" w:rsidRPr="0005057A">
        <w:t>lay roles</w:t>
      </w:r>
      <w:r w:rsidR="009048D4" w:rsidRPr="0005057A">
        <w:t xml:space="preserve"> (57% and 59% respectively)</w:t>
      </w:r>
      <w:r w:rsidR="0005057A" w:rsidRPr="0005057A">
        <w:t xml:space="preserve"> than non-lay roles (43% and 43% respectively).</w:t>
      </w:r>
    </w:p>
    <w:p w14:paraId="360491A1" w14:textId="77777777" w:rsidR="00FD672F" w:rsidRPr="00D63868" w:rsidRDefault="00FD672F" w:rsidP="00C16776">
      <w:pPr>
        <w:pStyle w:val="Heading3boardreport"/>
      </w:pPr>
      <w:r w:rsidRPr="00D63868">
        <w:t>Disability</w:t>
      </w:r>
    </w:p>
    <w:p w14:paraId="782D825A" w14:textId="0DBFF89D" w:rsidR="0044700B" w:rsidRPr="00D63868" w:rsidRDefault="0044700B" w:rsidP="0044700B">
      <w:pPr>
        <w:pStyle w:val="Paragraph"/>
      </w:pPr>
      <w:r w:rsidRPr="00D63868">
        <w:t xml:space="preserve">The proportion of applicants and appointees who identified themselves as disabled was higher for lay roles than non-lay roles. 40% of all lay applicants and 36% of lay appointees identified themselves as disabled (which is an increase from 2017/18 when the figures were 34% and 32% respectively). In </w:t>
      </w:r>
      <w:r w:rsidR="005836BE" w:rsidRPr="00D63868">
        <w:t xml:space="preserve">2018/19, the proportion of people who identified themselves as disabled was </w:t>
      </w:r>
      <w:r w:rsidRPr="00D63868">
        <w:t xml:space="preserve">5% for non-lay applicants and 6% </w:t>
      </w:r>
      <w:r w:rsidR="005836BE" w:rsidRPr="00D63868">
        <w:t xml:space="preserve">for </w:t>
      </w:r>
      <w:r w:rsidRPr="00D63868">
        <w:t>non-lay appointees</w:t>
      </w:r>
      <w:r w:rsidR="005836BE" w:rsidRPr="00D63868">
        <w:t xml:space="preserve"> (a 1% decrease from the previous year)</w:t>
      </w:r>
      <w:r w:rsidRPr="00D63868">
        <w:t xml:space="preserve">. </w:t>
      </w:r>
    </w:p>
    <w:p w14:paraId="6C07D608" w14:textId="0A6645E6" w:rsidR="004A488A" w:rsidRPr="00A02589" w:rsidRDefault="008E46F5" w:rsidP="00C51B05">
      <w:pPr>
        <w:pStyle w:val="Paragraph"/>
      </w:pPr>
      <w:r>
        <w:t xml:space="preserve">These conversion rates of applications to appointments give </w:t>
      </w:r>
      <w:r w:rsidR="004A488A" w:rsidRPr="00A02589">
        <w:t xml:space="preserve">an indication of the non-discriminatory nature of the recruitment process and </w:t>
      </w:r>
      <w:r w:rsidR="003269E0" w:rsidRPr="00A02589">
        <w:t xml:space="preserve">reflect </w:t>
      </w:r>
      <w:r w:rsidR="004A488A" w:rsidRPr="00A02589">
        <w:t>the reasonable adjustments NICE will make</w:t>
      </w:r>
      <w:r w:rsidR="0096497E" w:rsidRPr="00A02589">
        <w:t xml:space="preserve"> to </w:t>
      </w:r>
      <w:r w:rsidR="00EF7A79" w:rsidRPr="00A02589">
        <w:t xml:space="preserve">the recruitment process </w:t>
      </w:r>
      <w:r w:rsidR="0096497E" w:rsidRPr="00A02589">
        <w:t xml:space="preserve">to take account of applicants’ specific circumstances. </w:t>
      </w:r>
    </w:p>
    <w:p w14:paraId="03AAD83D" w14:textId="77777777" w:rsidR="00FD672F" w:rsidRPr="0048127D" w:rsidRDefault="00FD672F" w:rsidP="00B76FF6">
      <w:pPr>
        <w:pStyle w:val="Heading3boardreport"/>
      </w:pPr>
      <w:r w:rsidRPr="0048127D">
        <w:t>Ethnicity</w:t>
      </w:r>
    </w:p>
    <w:p w14:paraId="4C363BDB" w14:textId="3773D94A" w:rsidR="00394AD1" w:rsidRDefault="009B1A85" w:rsidP="00394AD1">
      <w:pPr>
        <w:pStyle w:val="Paragraph"/>
      </w:pPr>
      <w:r w:rsidRPr="0048127D">
        <w:t>As shown in table</w:t>
      </w:r>
      <w:r w:rsidR="0054340D">
        <w:t>s</w:t>
      </w:r>
      <w:r w:rsidRPr="0048127D">
        <w:t xml:space="preserve"> </w:t>
      </w:r>
      <w:r w:rsidR="0054340D">
        <w:t>2a and 2b</w:t>
      </w:r>
      <w:r w:rsidRPr="0048127D">
        <w:t>, t</w:t>
      </w:r>
      <w:r w:rsidR="00415815" w:rsidRPr="0048127D">
        <w:t xml:space="preserve">he proportion of applicants and appointees who identified themselves </w:t>
      </w:r>
      <w:r w:rsidR="00D8191C">
        <w:t xml:space="preserve">as being </w:t>
      </w:r>
      <w:r w:rsidR="00415815" w:rsidRPr="0048127D">
        <w:t xml:space="preserve">of white ethnicity </w:t>
      </w:r>
      <w:r w:rsidRPr="0048127D">
        <w:t xml:space="preserve">was </w:t>
      </w:r>
      <w:r w:rsidR="00415815" w:rsidRPr="0048127D">
        <w:t xml:space="preserve">higher for lay roles than non-lay roles. </w:t>
      </w:r>
    </w:p>
    <w:p w14:paraId="5909AD91" w14:textId="10943943" w:rsidR="0064668D" w:rsidRDefault="00150603" w:rsidP="00394AD1">
      <w:pPr>
        <w:pStyle w:val="Paragraph"/>
      </w:pPr>
      <w:r>
        <w:t>Last year’s equality report noted th</w:t>
      </w:r>
      <w:r w:rsidR="0064668D">
        <w:t xml:space="preserve">at while 14% of people who applied for a lay role in 2017/18 identified themselves </w:t>
      </w:r>
      <w:r w:rsidR="000A3B30">
        <w:t xml:space="preserve">as being </w:t>
      </w:r>
      <w:r w:rsidR="0064668D">
        <w:t xml:space="preserve">of non-white ethnicity, the proportion of lay </w:t>
      </w:r>
      <w:r w:rsidR="00232377">
        <w:t>appointees</w:t>
      </w:r>
      <w:r w:rsidR="0064668D">
        <w:t xml:space="preserve"> who identified </w:t>
      </w:r>
      <w:r w:rsidR="008502A2">
        <w:t xml:space="preserve">themselves </w:t>
      </w:r>
      <w:r w:rsidR="000A3B30">
        <w:t xml:space="preserve">as being </w:t>
      </w:r>
      <w:r w:rsidR="008502A2">
        <w:t xml:space="preserve">of non-white ethnicity was only 6%. It is therefore positive that in 2018/19 the conversion rate of applications to appointments </w:t>
      </w:r>
      <w:r w:rsidR="00D95A75">
        <w:t xml:space="preserve">to lay roles </w:t>
      </w:r>
      <w:r w:rsidR="008502A2">
        <w:t xml:space="preserve">for people who </w:t>
      </w:r>
      <w:r w:rsidR="00D95A75">
        <w:t xml:space="preserve">identified </w:t>
      </w:r>
      <w:r w:rsidR="008B0259">
        <w:t>themselves</w:t>
      </w:r>
      <w:r w:rsidR="00D95A75">
        <w:t xml:space="preserve"> </w:t>
      </w:r>
      <w:r w:rsidR="000A3B30">
        <w:t xml:space="preserve">as being </w:t>
      </w:r>
      <w:r w:rsidR="00D95A75">
        <w:t xml:space="preserve">of non-white ethnicity improved. </w:t>
      </w:r>
      <w:r w:rsidR="008B0259">
        <w:t xml:space="preserve">People who identified themselves </w:t>
      </w:r>
      <w:r w:rsidR="000A3B30">
        <w:t xml:space="preserve">as being </w:t>
      </w:r>
      <w:r w:rsidR="008B0259">
        <w:t>of non-white ethnicity accounted for 10% of lay applicants and 13% of lay appoint</w:t>
      </w:r>
      <w:r w:rsidR="00734640">
        <w:t>ees</w:t>
      </w:r>
      <w:r w:rsidR="008B0259">
        <w:t xml:space="preserve"> in 2018/19.</w:t>
      </w:r>
    </w:p>
    <w:p w14:paraId="0403F1A5" w14:textId="03462225" w:rsidR="0044251D" w:rsidRPr="00E91AC1" w:rsidRDefault="008025F4" w:rsidP="0044251D">
      <w:pPr>
        <w:pStyle w:val="Paragraph"/>
      </w:pPr>
      <w:r>
        <w:t xml:space="preserve">However, </w:t>
      </w:r>
      <w:r w:rsidR="00C500FC">
        <w:t xml:space="preserve">for non-lay roles, </w:t>
      </w:r>
      <w:r>
        <w:t xml:space="preserve">the conversion rate for </w:t>
      </w:r>
      <w:r w:rsidR="00C500FC">
        <w:t xml:space="preserve">people who identified themselves </w:t>
      </w:r>
      <w:r w:rsidR="000A3B30">
        <w:t xml:space="preserve">as being </w:t>
      </w:r>
      <w:r w:rsidR="00C500FC">
        <w:t xml:space="preserve">of non-white ethnicity is lower than it is for people of white ethnicity. People who identified themselves </w:t>
      </w:r>
      <w:r w:rsidR="000A3B30">
        <w:t xml:space="preserve">as being </w:t>
      </w:r>
      <w:r w:rsidR="00C500FC">
        <w:t>of non-white ethnicity accounted for 16% of applica</w:t>
      </w:r>
      <w:r w:rsidR="003C2B55">
        <w:t xml:space="preserve">tions for </w:t>
      </w:r>
      <w:r w:rsidR="00C500FC">
        <w:t>non-lay roles</w:t>
      </w:r>
      <w:r w:rsidR="003C2B55">
        <w:t xml:space="preserve">, but 12% of non-lay appointees. </w:t>
      </w:r>
      <w:r w:rsidR="0044251D" w:rsidRPr="00E91AC1">
        <w:t xml:space="preserve">As outlined later in the report, this is also seen in staff recruitment where the conversion rate is lower for applicants of non-white ethnicity. </w:t>
      </w:r>
    </w:p>
    <w:p w14:paraId="6AB7CE5B" w14:textId="651DF5F6" w:rsidR="002E45C0" w:rsidRDefault="009B1A85" w:rsidP="0048127D">
      <w:pPr>
        <w:pStyle w:val="Tableandgraphheading"/>
      </w:pPr>
      <w:r w:rsidRPr="00E23AB3">
        <w:lastRenderedPageBreak/>
        <w:t xml:space="preserve">Table </w:t>
      </w:r>
      <w:r w:rsidR="007F2EA3" w:rsidRPr="00E23AB3">
        <w:t>2</w:t>
      </w:r>
      <w:r w:rsidR="00D751C1">
        <w:t>a</w:t>
      </w:r>
      <w:r w:rsidRPr="00E23AB3">
        <w:t xml:space="preserve">: </w:t>
      </w:r>
      <w:r w:rsidR="00C228BA" w:rsidRPr="00E23AB3">
        <w:t>E</w:t>
      </w:r>
      <w:r w:rsidRPr="00E23AB3">
        <w:t xml:space="preserve">thnicity of </w:t>
      </w:r>
      <w:r w:rsidR="00C228BA" w:rsidRPr="00E23AB3">
        <w:t xml:space="preserve">advisory committee </w:t>
      </w:r>
      <w:r w:rsidRPr="00E23AB3">
        <w:t>applicants and appointees</w:t>
      </w:r>
      <w:r w:rsidR="0082760E" w:rsidRPr="00E23AB3">
        <w:t xml:space="preserve"> </w:t>
      </w:r>
      <w:r w:rsidR="00D751C1">
        <w:t>(lay roles)</w:t>
      </w:r>
    </w:p>
    <w:tbl>
      <w:tblPr>
        <w:tblStyle w:val="TableGrid"/>
        <w:tblW w:w="2862" w:type="pct"/>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328"/>
        <w:gridCol w:w="1305"/>
        <w:gridCol w:w="1378"/>
      </w:tblGrid>
      <w:tr w:rsidR="0048127D" w:rsidRPr="00E23AB3" w14:paraId="1C3BF78C" w14:textId="77777777" w:rsidTr="002239B5">
        <w:trPr>
          <w:tblHeader/>
          <w:jc w:val="center"/>
        </w:trPr>
        <w:tc>
          <w:tcPr>
            <w:tcW w:w="2400" w:type="pct"/>
            <w:shd w:val="clear" w:color="auto" w:fill="A2BDC1"/>
          </w:tcPr>
          <w:p w14:paraId="7D094063" w14:textId="659C44B4" w:rsidR="0048127D" w:rsidRPr="0048127D" w:rsidRDefault="00996688" w:rsidP="002239B5">
            <w:pPr>
              <w:pStyle w:val="Tablecolumnheading"/>
              <w:rPr>
                <w:color w:val="000000" w:themeColor="text1"/>
              </w:rPr>
            </w:pPr>
            <w:r>
              <w:rPr>
                <w:color w:val="000000" w:themeColor="text1"/>
              </w:rPr>
              <w:t>Ethnicity</w:t>
            </w:r>
          </w:p>
        </w:tc>
        <w:tc>
          <w:tcPr>
            <w:tcW w:w="1264" w:type="pct"/>
            <w:shd w:val="clear" w:color="auto" w:fill="A2BDC1"/>
          </w:tcPr>
          <w:p w14:paraId="66F8211B" w14:textId="77777777" w:rsidR="0048127D" w:rsidRPr="0048127D" w:rsidRDefault="0048127D" w:rsidP="002239B5">
            <w:pPr>
              <w:pStyle w:val="Tablecolumnheading"/>
              <w:rPr>
                <w:color w:val="000000" w:themeColor="text1"/>
              </w:rPr>
            </w:pPr>
            <w:r w:rsidRPr="0048127D">
              <w:rPr>
                <w:color w:val="000000" w:themeColor="text1"/>
              </w:rPr>
              <w:t>% of all applicants</w:t>
            </w:r>
          </w:p>
        </w:tc>
        <w:tc>
          <w:tcPr>
            <w:tcW w:w="1336" w:type="pct"/>
            <w:shd w:val="clear" w:color="auto" w:fill="A2BDC1"/>
          </w:tcPr>
          <w:p w14:paraId="581AEE7C" w14:textId="77777777" w:rsidR="0048127D" w:rsidRPr="0048127D" w:rsidRDefault="0048127D" w:rsidP="002239B5">
            <w:pPr>
              <w:pStyle w:val="Tablecolumnheading"/>
              <w:rPr>
                <w:color w:val="000000" w:themeColor="text1"/>
              </w:rPr>
            </w:pPr>
            <w:r w:rsidRPr="0048127D">
              <w:rPr>
                <w:color w:val="000000" w:themeColor="text1"/>
              </w:rPr>
              <w:t>% of all appointees</w:t>
            </w:r>
          </w:p>
        </w:tc>
      </w:tr>
      <w:tr w:rsidR="0048127D" w:rsidRPr="00E23AB3" w14:paraId="753B32E0" w14:textId="77777777" w:rsidTr="00AC2DB4">
        <w:trPr>
          <w:jc w:val="center"/>
        </w:trPr>
        <w:tc>
          <w:tcPr>
            <w:tcW w:w="2400" w:type="pct"/>
          </w:tcPr>
          <w:p w14:paraId="0EA2FBE8" w14:textId="77777777" w:rsidR="0048127D" w:rsidRPr="0048127D" w:rsidRDefault="0048127D" w:rsidP="002239B5">
            <w:pPr>
              <w:pStyle w:val="Tabletext"/>
              <w:rPr>
                <w:color w:val="000000" w:themeColor="text1"/>
              </w:rPr>
            </w:pPr>
            <w:r w:rsidRPr="0048127D">
              <w:rPr>
                <w:color w:val="000000" w:themeColor="text1"/>
              </w:rPr>
              <w:t>White</w:t>
            </w:r>
          </w:p>
        </w:tc>
        <w:tc>
          <w:tcPr>
            <w:tcW w:w="1264" w:type="pct"/>
            <w:tcBorders>
              <w:right w:val="single" w:sz="4" w:space="0" w:color="auto"/>
            </w:tcBorders>
          </w:tcPr>
          <w:p w14:paraId="1DA6A2DD" w14:textId="7ED7A7B6" w:rsidR="0048127D" w:rsidRPr="0048127D" w:rsidRDefault="00AE3114" w:rsidP="002239B5">
            <w:pPr>
              <w:pStyle w:val="Tabletext"/>
              <w:rPr>
                <w:color w:val="000000" w:themeColor="text1"/>
              </w:rPr>
            </w:pPr>
            <w:r>
              <w:rPr>
                <w:color w:val="000000" w:themeColor="text1"/>
              </w:rPr>
              <w:t>81%</w:t>
            </w:r>
          </w:p>
        </w:tc>
        <w:tc>
          <w:tcPr>
            <w:tcW w:w="1336" w:type="pct"/>
            <w:tcBorders>
              <w:left w:val="single" w:sz="4" w:space="0" w:color="auto"/>
            </w:tcBorders>
          </w:tcPr>
          <w:p w14:paraId="1CC2B8E0" w14:textId="3E3631F7" w:rsidR="0048127D" w:rsidRPr="0048127D" w:rsidRDefault="00AE3114" w:rsidP="002239B5">
            <w:pPr>
              <w:pStyle w:val="Tabletext"/>
              <w:rPr>
                <w:color w:val="000000" w:themeColor="text1"/>
              </w:rPr>
            </w:pPr>
            <w:r>
              <w:rPr>
                <w:color w:val="000000" w:themeColor="text1"/>
              </w:rPr>
              <w:t>80%</w:t>
            </w:r>
          </w:p>
        </w:tc>
      </w:tr>
      <w:tr w:rsidR="0048127D" w:rsidRPr="00E23AB3" w14:paraId="332CC91B" w14:textId="77777777" w:rsidTr="002239B5">
        <w:trPr>
          <w:jc w:val="center"/>
        </w:trPr>
        <w:tc>
          <w:tcPr>
            <w:tcW w:w="2400" w:type="pct"/>
          </w:tcPr>
          <w:p w14:paraId="7B1BC2D8" w14:textId="77777777" w:rsidR="0048127D" w:rsidRPr="0048127D" w:rsidRDefault="0048127D" w:rsidP="002239B5">
            <w:pPr>
              <w:pStyle w:val="Tabletext"/>
              <w:rPr>
                <w:color w:val="000000" w:themeColor="text1"/>
              </w:rPr>
            </w:pPr>
            <w:r w:rsidRPr="0048127D">
              <w:rPr>
                <w:color w:val="000000" w:themeColor="text1"/>
              </w:rPr>
              <w:t>Non-white</w:t>
            </w:r>
          </w:p>
        </w:tc>
        <w:tc>
          <w:tcPr>
            <w:tcW w:w="1264" w:type="pct"/>
          </w:tcPr>
          <w:p w14:paraId="730EC1E4" w14:textId="344986FB" w:rsidR="0048127D" w:rsidRPr="0048127D" w:rsidRDefault="00AE3114" w:rsidP="002239B5">
            <w:pPr>
              <w:pStyle w:val="Tabletext"/>
              <w:rPr>
                <w:color w:val="000000" w:themeColor="text1"/>
              </w:rPr>
            </w:pPr>
            <w:r>
              <w:rPr>
                <w:color w:val="000000" w:themeColor="text1"/>
              </w:rPr>
              <w:t>10%</w:t>
            </w:r>
          </w:p>
        </w:tc>
        <w:tc>
          <w:tcPr>
            <w:tcW w:w="1336" w:type="pct"/>
          </w:tcPr>
          <w:p w14:paraId="1831378D" w14:textId="73BC78DE" w:rsidR="0048127D" w:rsidRPr="0048127D" w:rsidRDefault="00AE3114" w:rsidP="002239B5">
            <w:pPr>
              <w:pStyle w:val="Tabletext"/>
              <w:rPr>
                <w:color w:val="000000" w:themeColor="text1"/>
              </w:rPr>
            </w:pPr>
            <w:r>
              <w:rPr>
                <w:color w:val="000000" w:themeColor="text1"/>
              </w:rPr>
              <w:t>13%</w:t>
            </w:r>
          </w:p>
        </w:tc>
      </w:tr>
      <w:tr w:rsidR="0048127D" w:rsidRPr="00E23AB3" w14:paraId="4010DC5D" w14:textId="77777777" w:rsidTr="002239B5">
        <w:trPr>
          <w:jc w:val="center"/>
        </w:trPr>
        <w:tc>
          <w:tcPr>
            <w:tcW w:w="2400" w:type="pct"/>
          </w:tcPr>
          <w:p w14:paraId="582BE314" w14:textId="77777777" w:rsidR="0048127D" w:rsidRPr="0048127D" w:rsidRDefault="0048127D" w:rsidP="002239B5">
            <w:pPr>
              <w:pStyle w:val="Tabletext"/>
              <w:rPr>
                <w:i/>
                <w:color w:val="000000" w:themeColor="text1"/>
              </w:rPr>
            </w:pPr>
            <w:r w:rsidRPr="0048127D">
              <w:rPr>
                <w:i/>
                <w:color w:val="000000" w:themeColor="text1"/>
              </w:rPr>
              <w:t>Not disclosed/not held</w:t>
            </w:r>
          </w:p>
        </w:tc>
        <w:tc>
          <w:tcPr>
            <w:tcW w:w="1264" w:type="pct"/>
          </w:tcPr>
          <w:p w14:paraId="26B3610A" w14:textId="2F7EF514" w:rsidR="0048127D" w:rsidRPr="0048127D" w:rsidRDefault="00150603" w:rsidP="002239B5">
            <w:pPr>
              <w:pStyle w:val="Tabletext"/>
              <w:rPr>
                <w:i/>
                <w:color w:val="000000" w:themeColor="text1"/>
              </w:rPr>
            </w:pPr>
            <w:r>
              <w:rPr>
                <w:i/>
                <w:color w:val="000000" w:themeColor="text1"/>
              </w:rPr>
              <w:t>9%</w:t>
            </w:r>
          </w:p>
        </w:tc>
        <w:tc>
          <w:tcPr>
            <w:tcW w:w="1336" w:type="pct"/>
          </w:tcPr>
          <w:p w14:paraId="4A9E9041" w14:textId="15DB060F" w:rsidR="0048127D" w:rsidRPr="0048127D" w:rsidRDefault="00150603" w:rsidP="002239B5">
            <w:pPr>
              <w:pStyle w:val="Tabletext"/>
              <w:rPr>
                <w:i/>
                <w:color w:val="000000" w:themeColor="text1"/>
              </w:rPr>
            </w:pPr>
            <w:r>
              <w:rPr>
                <w:i/>
                <w:color w:val="000000" w:themeColor="text1"/>
              </w:rPr>
              <w:t>7%</w:t>
            </w:r>
          </w:p>
        </w:tc>
      </w:tr>
    </w:tbl>
    <w:p w14:paraId="16EEACD4" w14:textId="1052A727" w:rsidR="00996688" w:rsidRDefault="00996688" w:rsidP="007B03CB">
      <w:pPr>
        <w:pStyle w:val="Tableandgraphheading"/>
        <w:spacing w:before="240"/>
      </w:pPr>
      <w:r w:rsidRPr="00E23AB3">
        <w:t>Table 2</w:t>
      </w:r>
      <w:r>
        <w:t>b</w:t>
      </w:r>
      <w:r w:rsidRPr="00E23AB3">
        <w:t xml:space="preserve">: Ethnicity of advisory committee applicants and appointees </w:t>
      </w:r>
      <w:r>
        <w:t>(non-lay roles)</w:t>
      </w:r>
    </w:p>
    <w:tbl>
      <w:tblPr>
        <w:tblStyle w:val="TableGrid"/>
        <w:tblW w:w="2862" w:type="pct"/>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328"/>
        <w:gridCol w:w="1305"/>
        <w:gridCol w:w="1378"/>
      </w:tblGrid>
      <w:tr w:rsidR="00996688" w:rsidRPr="00E23AB3" w14:paraId="3ED2EDD9" w14:textId="77777777" w:rsidTr="00996688">
        <w:trPr>
          <w:tblHeader/>
          <w:jc w:val="center"/>
        </w:trPr>
        <w:tc>
          <w:tcPr>
            <w:tcW w:w="2400" w:type="pct"/>
            <w:shd w:val="clear" w:color="auto" w:fill="A2BDC1"/>
          </w:tcPr>
          <w:p w14:paraId="744483F9" w14:textId="78344CD8" w:rsidR="00996688" w:rsidRPr="0048127D" w:rsidRDefault="00996688" w:rsidP="00996688">
            <w:pPr>
              <w:pStyle w:val="Tablecolumnheading"/>
              <w:rPr>
                <w:color w:val="000000" w:themeColor="text1"/>
              </w:rPr>
            </w:pPr>
            <w:r>
              <w:rPr>
                <w:color w:val="000000" w:themeColor="text1"/>
              </w:rPr>
              <w:t>Ethnicity</w:t>
            </w:r>
          </w:p>
        </w:tc>
        <w:tc>
          <w:tcPr>
            <w:tcW w:w="1264" w:type="pct"/>
            <w:shd w:val="clear" w:color="auto" w:fill="A2BDC1"/>
          </w:tcPr>
          <w:p w14:paraId="0387EF9B" w14:textId="77777777" w:rsidR="00996688" w:rsidRPr="0048127D" w:rsidRDefault="00996688" w:rsidP="00996688">
            <w:pPr>
              <w:pStyle w:val="Tablecolumnheading"/>
              <w:rPr>
                <w:color w:val="000000" w:themeColor="text1"/>
              </w:rPr>
            </w:pPr>
            <w:r w:rsidRPr="0048127D">
              <w:rPr>
                <w:color w:val="000000" w:themeColor="text1"/>
              </w:rPr>
              <w:t>% of all applicants</w:t>
            </w:r>
          </w:p>
        </w:tc>
        <w:tc>
          <w:tcPr>
            <w:tcW w:w="1336" w:type="pct"/>
            <w:shd w:val="clear" w:color="auto" w:fill="A2BDC1"/>
          </w:tcPr>
          <w:p w14:paraId="10FFC270" w14:textId="77777777" w:rsidR="00996688" w:rsidRPr="0048127D" w:rsidRDefault="00996688" w:rsidP="00996688">
            <w:pPr>
              <w:pStyle w:val="Tablecolumnheading"/>
              <w:rPr>
                <w:color w:val="000000" w:themeColor="text1"/>
              </w:rPr>
            </w:pPr>
            <w:r w:rsidRPr="0048127D">
              <w:rPr>
                <w:color w:val="000000" w:themeColor="text1"/>
              </w:rPr>
              <w:t>% of all appointees</w:t>
            </w:r>
          </w:p>
        </w:tc>
      </w:tr>
      <w:tr w:rsidR="00996688" w:rsidRPr="00E23AB3" w14:paraId="2408FE41" w14:textId="77777777" w:rsidTr="00996688">
        <w:trPr>
          <w:jc w:val="center"/>
        </w:trPr>
        <w:tc>
          <w:tcPr>
            <w:tcW w:w="2400" w:type="pct"/>
          </w:tcPr>
          <w:p w14:paraId="5C8C8604" w14:textId="77777777" w:rsidR="00996688" w:rsidRPr="0048127D" w:rsidRDefault="00996688" w:rsidP="00996688">
            <w:pPr>
              <w:pStyle w:val="Tabletext"/>
              <w:rPr>
                <w:color w:val="000000" w:themeColor="text1"/>
              </w:rPr>
            </w:pPr>
            <w:r w:rsidRPr="0048127D">
              <w:rPr>
                <w:color w:val="000000" w:themeColor="text1"/>
              </w:rPr>
              <w:t>White</w:t>
            </w:r>
          </w:p>
        </w:tc>
        <w:tc>
          <w:tcPr>
            <w:tcW w:w="1264" w:type="pct"/>
            <w:tcBorders>
              <w:right w:val="single" w:sz="4" w:space="0" w:color="auto"/>
            </w:tcBorders>
          </w:tcPr>
          <w:p w14:paraId="15FE3168" w14:textId="77777777" w:rsidR="00996688" w:rsidRPr="0048127D" w:rsidRDefault="00996688" w:rsidP="00996688">
            <w:pPr>
              <w:pStyle w:val="Tabletext"/>
              <w:rPr>
                <w:color w:val="000000" w:themeColor="text1"/>
              </w:rPr>
            </w:pPr>
            <w:r>
              <w:rPr>
                <w:color w:val="000000" w:themeColor="text1"/>
              </w:rPr>
              <w:t>75%</w:t>
            </w:r>
          </w:p>
        </w:tc>
        <w:tc>
          <w:tcPr>
            <w:tcW w:w="1336" w:type="pct"/>
            <w:tcBorders>
              <w:left w:val="single" w:sz="4" w:space="0" w:color="auto"/>
            </w:tcBorders>
          </w:tcPr>
          <w:p w14:paraId="53BA101D" w14:textId="77777777" w:rsidR="00996688" w:rsidRPr="0048127D" w:rsidRDefault="00996688" w:rsidP="00996688">
            <w:pPr>
              <w:pStyle w:val="Tabletext"/>
              <w:rPr>
                <w:color w:val="000000" w:themeColor="text1"/>
              </w:rPr>
            </w:pPr>
            <w:r>
              <w:rPr>
                <w:color w:val="000000" w:themeColor="text1"/>
              </w:rPr>
              <w:t>76%</w:t>
            </w:r>
          </w:p>
        </w:tc>
      </w:tr>
      <w:tr w:rsidR="00996688" w:rsidRPr="00E23AB3" w14:paraId="3B1599C7" w14:textId="77777777" w:rsidTr="00996688">
        <w:trPr>
          <w:jc w:val="center"/>
        </w:trPr>
        <w:tc>
          <w:tcPr>
            <w:tcW w:w="2400" w:type="pct"/>
          </w:tcPr>
          <w:p w14:paraId="080ED5AA" w14:textId="77777777" w:rsidR="00996688" w:rsidRPr="0048127D" w:rsidRDefault="00996688" w:rsidP="00996688">
            <w:pPr>
              <w:pStyle w:val="Tabletext"/>
              <w:rPr>
                <w:color w:val="000000" w:themeColor="text1"/>
              </w:rPr>
            </w:pPr>
            <w:r w:rsidRPr="0048127D">
              <w:rPr>
                <w:color w:val="000000" w:themeColor="text1"/>
              </w:rPr>
              <w:t>Non-white</w:t>
            </w:r>
          </w:p>
        </w:tc>
        <w:tc>
          <w:tcPr>
            <w:tcW w:w="1264" w:type="pct"/>
          </w:tcPr>
          <w:p w14:paraId="3C278A43" w14:textId="77777777" w:rsidR="00996688" w:rsidRPr="0048127D" w:rsidRDefault="00996688" w:rsidP="00996688">
            <w:pPr>
              <w:pStyle w:val="Tabletext"/>
              <w:rPr>
                <w:color w:val="000000" w:themeColor="text1"/>
              </w:rPr>
            </w:pPr>
            <w:r>
              <w:rPr>
                <w:color w:val="000000" w:themeColor="text1"/>
              </w:rPr>
              <w:t>16%</w:t>
            </w:r>
          </w:p>
        </w:tc>
        <w:tc>
          <w:tcPr>
            <w:tcW w:w="1336" w:type="pct"/>
          </w:tcPr>
          <w:p w14:paraId="53F00C52" w14:textId="77777777" w:rsidR="00996688" w:rsidRPr="0048127D" w:rsidRDefault="00996688" w:rsidP="00996688">
            <w:pPr>
              <w:pStyle w:val="Tabletext"/>
              <w:rPr>
                <w:color w:val="000000" w:themeColor="text1"/>
              </w:rPr>
            </w:pPr>
            <w:r>
              <w:rPr>
                <w:color w:val="000000" w:themeColor="text1"/>
              </w:rPr>
              <w:t>12%</w:t>
            </w:r>
          </w:p>
        </w:tc>
      </w:tr>
      <w:tr w:rsidR="00996688" w:rsidRPr="00E23AB3" w14:paraId="6920E3EB" w14:textId="77777777" w:rsidTr="00996688">
        <w:trPr>
          <w:jc w:val="center"/>
        </w:trPr>
        <w:tc>
          <w:tcPr>
            <w:tcW w:w="2400" w:type="pct"/>
          </w:tcPr>
          <w:p w14:paraId="46B94806" w14:textId="77777777" w:rsidR="00996688" w:rsidRPr="0048127D" w:rsidRDefault="00996688" w:rsidP="00996688">
            <w:pPr>
              <w:pStyle w:val="Tabletext"/>
              <w:rPr>
                <w:i/>
                <w:color w:val="000000" w:themeColor="text1"/>
              </w:rPr>
            </w:pPr>
            <w:r w:rsidRPr="0048127D">
              <w:rPr>
                <w:i/>
                <w:color w:val="000000" w:themeColor="text1"/>
              </w:rPr>
              <w:t>Not disclosed/not held</w:t>
            </w:r>
          </w:p>
        </w:tc>
        <w:tc>
          <w:tcPr>
            <w:tcW w:w="1264" w:type="pct"/>
          </w:tcPr>
          <w:p w14:paraId="4D0CFB20" w14:textId="77777777" w:rsidR="00996688" w:rsidRPr="0048127D" w:rsidRDefault="00996688" w:rsidP="00996688">
            <w:pPr>
              <w:pStyle w:val="Tabletext"/>
              <w:rPr>
                <w:i/>
                <w:color w:val="000000" w:themeColor="text1"/>
              </w:rPr>
            </w:pPr>
            <w:r>
              <w:rPr>
                <w:i/>
                <w:color w:val="000000" w:themeColor="text1"/>
              </w:rPr>
              <w:t>10%</w:t>
            </w:r>
          </w:p>
        </w:tc>
        <w:tc>
          <w:tcPr>
            <w:tcW w:w="1336" w:type="pct"/>
          </w:tcPr>
          <w:p w14:paraId="060AD884" w14:textId="77777777" w:rsidR="00996688" w:rsidRPr="0048127D" w:rsidRDefault="00996688" w:rsidP="00996688">
            <w:pPr>
              <w:pStyle w:val="Tabletext"/>
              <w:rPr>
                <w:i/>
                <w:color w:val="000000" w:themeColor="text1"/>
              </w:rPr>
            </w:pPr>
            <w:r>
              <w:rPr>
                <w:i/>
                <w:color w:val="000000" w:themeColor="text1"/>
              </w:rPr>
              <w:t>13%</w:t>
            </w:r>
          </w:p>
        </w:tc>
      </w:tr>
    </w:tbl>
    <w:p w14:paraId="430BB231" w14:textId="010D2880" w:rsidR="00FD672F" w:rsidRPr="00B91F1B" w:rsidRDefault="00FD672F" w:rsidP="007B03CB">
      <w:pPr>
        <w:pStyle w:val="Heading3boardreport"/>
        <w:spacing w:before="240"/>
      </w:pPr>
      <w:r w:rsidRPr="00B91F1B">
        <w:t>Age</w:t>
      </w:r>
    </w:p>
    <w:p w14:paraId="32BFEB4D" w14:textId="77777777" w:rsidR="00FD672F" w:rsidRPr="00B91F1B" w:rsidRDefault="00FD672F" w:rsidP="00C51B05">
      <w:pPr>
        <w:pStyle w:val="Paragraph"/>
      </w:pPr>
      <w:proofErr w:type="gramStart"/>
      <w:r w:rsidRPr="00B91F1B">
        <w:t>The majority of</w:t>
      </w:r>
      <w:proofErr w:type="gramEnd"/>
      <w:r w:rsidRPr="00B91F1B">
        <w:t xml:space="preserve"> applicants and appointees were between 36 and 65 years old:</w:t>
      </w:r>
    </w:p>
    <w:p w14:paraId="07B2B93A" w14:textId="2ABFBB69" w:rsidR="00FD672F" w:rsidRPr="00B91F1B" w:rsidRDefault="00FD672F" w:rsidP="00B76FF6">
      <w:pPr>
        <w:pStyle w:val="Bullets"/>
      </w:pPr>
      <w:r w:rsidRPr="00B91F1B">
        <w:t xml:space="preserve">Lay applicants: </w:t>
      </w:r>
      <w:r w:rsidR="008B0259" w:rsidRPr="00B91F1B">
        <w:t>59</w:t>
      </w:r>
      <w:r w:rsidRPr="00B91F1B">
        <w:t>%</w:t>
      </w:r>
    </w:p>
    <w:p w14:paraId="6E7887C9" w14:textId="4C6E9DC3" w:rsidR="00FD672F" w:rsidRPr="00B91F1B" w:rsidRDefault="00FD672F" w:rsidP="00B76FF6">
      <w:pPr>
        <w:pStyle w:val="Bullets"/>
      </w:pPr>
      <w:r w:rsidRPr="00B91F1B">
        <w:t xml:space="preserve">Lay appointees: </w:t>
      </w:r>
      <w:r w:rsidR="009571E5" w:rsidRPr="00B91F1B">
        <w:t>5</w:t>
      </w:r>
      <w:r w:rsidR="00B91F1B" w:rsidRPr="00B91F1B">
        <w:t>8</w:t>
      </w:r>
      <w:r w:rsidRPr="00B91F1B">
        <w:t>%</w:t>
      </w:r>
    </w:p>
    <w:p w14:paraId="20FE202F" w14:textId="77777777" w:rsidR="00FD672F" w:rsidRPr="00B91F1B" w:rsidRDefault="00FD672F" w:rsidP="00B76FF6">
      <w:pPr>
        <w:pStyle w:val="Bullets"/>
      </w:pPr>
      <w:r w:rsidRPr="00B91F1B">
        <w:t xml:space="preserve">Non-lay applicants: </w:t>
      </w:r>
      <w:r w:rsidR="009571E5" w:rsidRPr="00B91F1B">
        <w:t>77</w:t>
      </w:r>
      <w:r w:rsidRPr="00B91F1B">
        <w:t>%</w:t>
      </w:r>
    </w:p>
    <w:p w14:paraId="50256FC8" w14:textId="3BD79246" w:rsidR="00FD672F" w:rsidRPr="00B91F1B" w:rsidRDefault="00FD672F" w:rsidP="00A52850">
      <w:pPr>
        <w:pStyle w:val="Bulletslast"/>
      </w:pPr>
      <w:r w:rsidRPr="00B91F1B">
        <w:t xml:space="preserve">Non-lay appointees: </w:t>
      </w:r>
      <w:r w:rsidR="00B91F1B" w:rsidRPr="00B91F1B">
        <w:t>78</w:t>
      </w:r>
      <w:r w:rsidRPr="00B91F1B">
        <w:t>%.</w:t>
      </w:r>
    </w:p>
    <w:p w14:paraId="3B009996" w14:textId="4138614E" w:rsidR="00E12CAA" w:rsidRPr="00E12CAA" w:rsidRDefault="003172C7" w:rsidP="002239B5">
      <w:pPr>
        <w:pStyle w:val="Paragraph"/>
        <w:rPr>
          <w:color w:val="FF0000"/>
        </w:rPr>
      </w:pPr>
      <w:r w:rsidRPr="00B91F1B">
        <w:t xml:space="preserve">As in </w:t>
      </w:r>
      <w:r w:rsidR="00B91F1B" w:rsidRPr="00B91F1B">
        <w:t>2017/18</w:t>
      </w:r>
      <w:r w:rsidRPr="00B91F1B">
        <w:t>, t</w:t>
      </w:r>
      <w:r w:rsidR="00A61AD9" w:rsidRPr="00B91F1B">
        <w:t>he proportion of</w:t>
      </w:r>
      <w:r w:rsidR="00FD672F" w:rsidRPr="00B91F1B">
        <w:t xml:space="preserve"> applicants and appointees between 18 and 35 years old and over 65 years old </w:t>
      </w:r>
      <w:r w:rsidR="00A61AD9" w:rsidRPr="00B91F1B">
        <w:t xml:space="preserve">is </w:t>
      </w:r>
      <w:r w:rsidR="00FD672F" w:rsidRPr="00B91F1B">
        <w:t xml:space="preserve">higher </w:t>
      </w:r>
      <w:r w:rsidR="00A61AD9" w:rsidRPr="00B91F1B">
        <w:t>for lay role</w:t>
      </w:r>
      <w:r w:rsidR="0096497E" w:rsidRPr="00B91F1B">
        <w:t>s</w:t>
      </w:r>
      <w:r w:rsidR="00A61AD9" w:rsidRPr="00B91F1B">
        <w:t xml:space="preserve"> </w:t>
      </w:r>
      <w:r w:rsidR="00FD672F" w:rsidRPr="00B91F1B">
        <w:t xml:space="preserve">than for non-lay roles. </w:t>
      </w:r>
      <w:r w:rsidR="00E12CAA">
        <w:t>The conversion rate of application</w:t>
      </w:r>
      <w:r w:rsidR="00597D38">
        <w:t xml:space="preserve">s to </w:t>
      </w:r>
      <w:r w:rsidR="00E12CAA">
        <w:t>appoint</w:t>
      </w:r>
      <w:r w:rsidR="00597D38">
        <w:t xml:space="preserve">ments </w:t>
      </w:r>
      <w:r w:rsidR="00E12CAA">
        <w:t>also varies for these age groups</w:t>
      </w:r>
      <w:r w:rsidR="001E4A8D">
        <w:t xml:space="preserve">. While 52% of all non-lay applicants were appointed, only 26% of non-lay applicants between 18 and 35 were appointed. </w:t>
      </w:r>
      <w:r w:rsidR="00CD0C2A" w:rsidRPr="00B91F1B">
        <w:t xml:space="preserve">This </w:t>
      </w:r>
      <w:r w:rsidR="001045B8">
        <w:t xml:space="preserve">profile and variation </w:t>
      </w:r>
      <w:proofErr w:type="gramStart"/>
      <w:r w:rsidR="00CD0C2A" w:rsidRPr="00B91F1B">
        <w:t>reflects</w:t>
      </w:r>
      <w:proofErr w:type="gramEnd"/>
      <w:r w:rsidR="00CD0C2A" w:rsidRPr="00B91F1B">
        <w:t xml:space="preserve"> that many non-lay positions require the appointee to hold a</w:t>
      </w:r>
      <w:r w:rsidR="0096497E" w:rsidRPr="00B91F1B">
        <w:t xml:space="preserve"> current </w:t>
      </w:r>
      <w:r w:rsidR="00CD0C2A" w:rsidRPr="00B91F1B">
        <w:t xml:space="preserve">senior role in the health and care system. </w:t>
      </w:r>
    </w:p>
    <w:p w14:paraId="3970056F" w14:textId="7E707334" w:rsidR="00FD672F" w:rsidRPr="00E12CAA" w:rsidRDefault="00FD672F" w:rsidP="00E12CAA">
      <w:pPr>
        <w:pStyle w:val="Heading3boardreport"/>
      </w:pPr>
      <w:r w:rsidRPr="00E12CAA">
        <w:t>Sexual orientation</w:t>
      </w:r>
    </w:p>
    <w:p w14:paraId="198D4AFE" w14:textId="77777777" w:rsidR="00FD672F" w:rsidRPr="00CE3014" w:rsidRDefault="0096497E" w:rsidP="00C51B05">
      <w:pPr>
        <w:pStyle w:val="Paragraph"/>
      </w:pPr>
      <w:r w:rsidRPr="00CE3014">
        <w:t xml:space="preserve">As in previous years, </w:t>
      </w:r>
      <w:proofErr w:type="gramStart"/>
      <w:r w:rsidRPr="00CE3014">
        <w:t>t</w:t>
      </w:r>
      <w:r w:rsidR="00FD672F" w:rsidRPr="00CE3014">
        <w:t>he majority of</w:t>
      </w:r>
      <w:proofErr w:type="gramEnd"/>
      <w:r w:rsidR="00FD672F" w:rsidRPr="00CE3014">
        <w:t xml:space="preserve"> applicants and appointees </w:t>
      </w:r>
      <w:r w:rsidR="00A52850" w:rsidRPr="00CE3014">
        <w:t xml:space="preserve">for both lay and non-lay roles </w:t>
      </w:r>
      <w:r w:rsidR="00FD672F" w:rsidRPr="00CE3014">
        <w:t>identified themselves as heterosexual:</w:t>
      </w:r>
    </w:p>
    <w:p w14:paraId="5C82B9AE" w14:textId="3BD2B659" w:rsidR="00FD672F" w:rsidRPr="00CE3014" w:rsidRDefault="00FD672F" w:rsidP="00B76FF6">
      <w:pPr>
        <w:pStyle w:val="Bullets"/>
      </w:pPr>
      <w:r w:rsidRPr="00CE3014">
        <w:t xml:space="preserve">Lay applicants: </w:t>
      </w:r>
      <w:r w:rsidR="00CE3014" w:rsidRPr="00CE3014">
        <w:t>79</w:t>
      </w:r>
      <w:r w:rsidRPr="00CE3014">
        <w:t>%</w:t>
      </w:r>
    </w:p>
    <w:p w14:paraId="1E1A2606" w14:textId="77777777" w:rsidR="00FD672F" w:rsidRPr="00CE3014" w:rsidRDefault="00A633C5" w:rsidP="00B76FF6">
      <w:pPr>
        <w:pStyle w:val="Bullets"/>
      </w:pPr>
      <w:r w:rsidRPr="00CE3014">
        <w:t xml:space="preserve">Lay appointees: </w:t>
      </w:r>
      <w:r w:rsidR="00CD0C2A" w:rsidRPr="00CE3014">
        <w:t>78</w:t>
      </w:r>
      <w:r w:rsidR="00FD672F" w:rsidRPr="00CE3014">
        <w:t>%</w:t>
      </w:r>
    </w:p>
    <w:p w14:paraId="6C31778A" w14:textId="7B62D47B" w:rsidR="00FD672F" w:rsidRPr="00CE3014" w:rsidRDefault="00FD672F" w:rsidP="00B76FF6">
      <w:pPr>
        <w:pStyle w:val="Bullets"/>
      </w:pPr>
      <w:r w:rsidRPr="00CE3014">
        <w:lastRenderedPageBreak/>
        <w:t xml:space="preserve">Non-lay applicants: </w:t>
      </w:r>
      <w:r w:rsidR="00CE3014" w:rsidRPr="00CE3014">
        <w:t>83</w:t>
      </w:r>
      <w:r w:rsidRPr="00CE3014">
        <w:t>%</w:t>
      </w:r>
    </w:p>
    <w:p w14:paraId="40C3CE49" w14:textId="4827525C" w:rsidR="00FD672F" w:rsidRPr="00CE3014" w:rsidRDefault="00FD672F" w:rsidP="00A52850">
      <w:pPr>
        <w:pStyle w:val="Bulletslast"/>
      </w:pPr>
      <w:r w:rsidRPr="00CE3014">
        <w:t xml:space="preserve">Non-lay appointees: </w:t>
      </w:r>
      <w:r w:rsidR="00CE3014" w:rsidRPr="00CE3014">
        <w:t>83</w:t>
      </w:r>
      <w:r w:rsidRPr="00CE3014">
        <w:t>%</w:t>
      </w:r>
      <w:r w:rsidR="00A633C5" w:rsidRPr="00CE3014">
        <w:t>.</w:t>
      </w:r>
    </w:p>
    <w:p w14:paraId="32CDA8C0" w14:textId="77777777" w:rsidR="00FD672F" w:rsidRPr="009A76EE" w:rsidRDefault="00FD672F" w:rsidP="00B76FF6">
      <w:pPr>
        <w:pStyle w:val="Heading3boardreport"/>
      </w:pPr>
      <w:r w:rsidRPr="009A76EE">
        <w:t>Religion or belief</w:t>
      </w:r>
    </w:p>
    <w:p w14:paraId="648C461C" w14:textId="66C08539" w:rsidR="003D2589" w:rsidRPr="009A76EE" w:rsidRDefault="00597D38" w:rsidP="003D2589">
      <w:pPr>
        <w:pStyle w:val="Paragraph"/>
      </w:pPr>
      <w:r>
        <w:t xml:space="preserve">People </w:t>
      </w:r>
      <w:r w:rsidR="003D2589" w:rsidRPr="009A76EE">
        <w:t xml:space="preserve">identifying themselves as of Christian belief represented the largest group of applicants and appointees across lay and non-lay roles: </w:t>
      </w:r>
    </w:p>
    <w:p w14:paraId="6D8DA58C" w14:textId="68BA51C7" w:rsidR="003D2589" w:rsidRPr="009A76EE" w:rsidRDefault="003D2589" w:rsidP="003D2589">
      <w:pPr>
        <w:pStyle w:val="Bullets"/>
      </w:pPr>
      <w:r w:rsidRPr="009A76EE">
        <w:t>Lay applicants: 35%</w:t>
      </w:r>
    </w:p>
    <w:p w14:paraId="4EE02AD1" w14:textId="67FC6F30" w:rsidR="003D2589" w:rsidRPr="009A76EE" w:rsidRDefault="003D2589" w:rsidP="003D2589">
      <w:pPr>
        <w:pStyle w:val="Bullets"/>
      </w:pPr>
      <w:r w:rsidRPr="009A76EE">
        <w:t>Lay appointees: 41%</w:t>
      </w:r>
    </w:p>
    <w:p w14:paraId="746A99DA" w14:textId="11B87C85" w:rsidR="003D2589" w:rsidRPr="009A76EE" w:rsidRDefault="003D2589" w:rsidP="003D2589">
      <w:pPr>
        <w:pStyle w:val="Bullets"/>
      </w:pPr>
      <w:r w:rsidRPr="009A76EE">
        <w:t>Non-lay applicants: 41%</w:t>
      </w:r>
    </w:p>
    <w:p w14:paraId="389D3FCD" w14:textId="2B9517A2" w:rsidR="003D2589" w:rsidRPr="009A76EE" w:rsidRDefault="003D2589" w:rsidP="003D2589">
      <w:pPr>
        <w:pStyle w:val="Bulletslast"/>
      </w:pPr>
      <w:r w:rsidRPr="009A76EE">
        <w:t>Non-lay appointees: 40%.</w:t>
      </w:r>
    </w:p>
    <w:p w14:paraId="3A26606A" w14:textId="77777777" w:rsidR="00FD672F" w:rsidRPr="006A0321" w:rsidRDefault="00FD672F" w:rsidP="00B76FF6">
      <w:pPr>
        <w:pStyle w:val="Heading3boardreport"/>
      </w:pPr>
      <w:r w:rsidRPr="006A0321">
        <w:t>Data quality</w:t>
      </w:r>
    </w:p>
    <w:p w14:paraId="6D4DA782" w14:textId="77777777" w:rsidR="00377047" w:rsidRPr="006A0321" w:rsidRDefault="00FD672F" w:rsidP="00C51B05">
      <w:pPr>
        <w:pStyle w:val="Paragraph"/>
        <w:rPr>
          <w:b/>
        </w:rPr>
      </w:pPr>
      <w:r w:rsidRPr="006A0321">
        <w:t>It is not compulsory to provide equalities monitoring information when applying for a committee role</w:t>
      </w:r>
      <w:r w:rsidR="00377047" w:rsidRPr="006A0321">
        <w:t>. Prior to 2016 one of NICE’s equality objectives sought to more clearly explain to prospective employees and members of advisory bodies why we collect data on the protected characteristics under equality legislation, to better inform their decisions on whether or not to declare this information in our monitoring forms. We also sought to strengthen internal processes to collate and manage the data provided by applicants to our committees</w:t>
      </w:r>
      <w:r w:rsidR="00D358EE" w:rsidRPr="006A0321">
        <w:t xml:space="preserve"> to address gaps in the data</w:t>
      </w:r>
      <w:r w:rsidR="00377047" w:rsidRPr="006A0321">
        <w:t xml:space="preserve">. </w:t>
      </w:r>
    </w:p>
    <w:p w14:paraId="77A7520F" w14:textId="48351E28" w:rsidR="0032473D" w:rsidRPr="006A0321" w:rsidRDefault="0032473D" w:rsidP="002239B5">
      <w:pPr>
        <w:pStyle w:val="Paragraph"/>
        <w:rPr>
          <w:b/>
        </w:rPr>
      </w:pPr>
      <w:r w:rsidRPr="006A0321">
        <w:t xml:space="preserve">Last year’s report noted the ongoing improvements in data quality with </w:t>
      </w:r>
      <w:r w:rsidR="00377047" w:rsidRPr="006A0321">
        <w:t xml:space="preserve">monitoring forms returned for </w:t>
      </w:r>
      <w:r w:rsidR="009255F2" w:rsidRPr="006A0321">
        <w:t>97% of applicants and 98% of all appointees in 2017</w:t>
      </w:r>
      <w:r w:rsidRPr="006A0321">
        <w:t>/</w:t>
      </w:r>
      <w:r w:rsidR="009255F2" w:rsidRPr="006A0321">
        <w:t xml:space="preserve">18, </w:t>
      </w:r>
      <w:r w:rsidR="00377047" w:rsidRPr="006A0321">
        <w:t xml:space="preserve">up from 94% and 93% </w:t>
      </w:r>
      <w:r w:rsidR="00EF7A79" w:rsidRPr="006A0321">
        <w:t xml:space="preserve">respectively </w:t>
      </w:r>
      <w:r w:rsidR="00377047" w:rsidRPr="006A0321">
        <w:t>in 2015</w:t>
      </w:r>
      <w:r w:rsidRPr="006A0321">
        <w:t>/</w:t>
      </w:r>
      <w:r w:rsidR="00377047" w:rsidRPr="006A0321">
        <w:t xml:space="preserve">16. </w:t>
      </w:r>
      <w:r w:rsidRPr="006A0321">
        <w:t xml:space="preserve">However, in 2018/19 </w:t>
      </w:r>
      <w:r w:rsidR="00D82D02" w:rsidRPr="006A0321">
        <w:t>this trend reversed: monitoring forms were returned for 9</w:t>
      </w:r>
      <w:r w:rsidR="006922D5">
        <w:t>6</w:t>
      </w:r>
      <w:r w:rsidR="00D82D02" w:rsidRPr="006A0321">
        <w:t xml:space="preserve">% of </w:t>
      </w:r>
      <w:r w:rsidR="006922D5">
        <w:t xml:space="preserve">non-lay </w:t>
      </w:r>
      <w:r w:rsidR="00D82D02" w:rsidRPr="006A0321">
        <w:t>app</w:t>
      </w:r>
      <w:r w:rsidR="00D15E45" w:rsidRPr="006A0321">
        <w:t xml:space="preserve">lications </w:t>
      </w:r>
      <w:r w:rsidR="00D82D02" w:rsidRPr="006A0321">
        <w:t xml:space="preserve">and </w:t>
      </w:r>
      <w:r w:rsidR="00BC3043">
        <w:t xml:space="preserve">96% of non-lay </w:t>
      </w:r>
      <w:r w:rsidR="00D82D02" w:rsidRPr="006A0321">
        <w:t>appointees</w:t>
      </w:r>
      <w:r w:rsidR="006922D5">
        <w:t xml:space="preserve">, </w:t>
      </w:r>
      <w:r w:rsidR="00D15E45" w:rsidRPr="006A0321">
        <w:t xml:space="preserve">and 93% and 94% </w:t>
      </w:r>
      <w:r w:rsidR="006922D5">
        <w:t>of</w:t>
      </w:r>
      <w:r w:rsidR="00D15E45" w:rsidRPr="006A0321">
        <w:t xml:space="preserve"> lay applications and appointees. </w:t>
      </w:r>
      <w:r w:rsidR="00411104">
        <w:t>The NICE equality and diversity group will</w:t>
      </w:r>
      <w:r w:rsidR="00597D38">
        <w:t xml:space="preserve"> therefore consider </w:t>
      </w:r>
      <w:r w:rsidR="00D15E45" w:rsidRPr="006A0321">
        <w:t xml:space="preserve">any action that can be taken in </w:t>
      </w:r>
      <w:r w:rsidR="006A0321" w:rsidRPr="006A0321">
        <w:t xml:space="preserve">response. </w:t>
      </w:r>
    </w:p>
    <w:p w14:paraId="15EB2DB0" w14:textId="58891041" w:rsidR="00F706E7" w:rsidRPr="00D628F5" w:rsidRDefault="00411104" w:rsidP="000A17A4">
      <w:pPr>
        <w:pStyle w:val="Paragraph"/>
        <w:rPr>
          <w:b/>
          <w:color w:val="FF0000"/>
        </w:rPr>
      </w:pPr>
      <w:r w:rsidRPr="00411104">
        <w:t xml:space="preserve">Last year’s report also noted that </w:t>
      </w:r>
      <w:r w:rsidR="00E67411" w:rsidRPr="00411104">
        <w:t xml:space="preserve">the proportion of respondents who returned a monitoring </w:t>
      </w:r>
      <w:proofErr w:type="gramStart"/>
      <w:r w:rsidR="00E67411" w:rsidRPr="00411104">
        <w:t>form, but</w:t>
      </w:r>
      <w:proofErr w:type="gramEnd"/>
      <w:r w:rsidR="00E67411" w:rsidRPr="00411104">
        <w:t xml:space="preserve"> did not disclose the information increased across all of the protected characteristics</w:t>
      </w:r>
      <w:r w:rsidRPr="00411104">
        <w:t xml:space="preserve"> in 2017/18</w:t>
      </w:r>
      <w:r w:rsidR="00E67411" w:rsidRPr="00411104">
        <w:t xml:space="preserve">. </w:t>
      </w:r>
      <w:r w:rsidRPr="00411104">
        <w:t xml:space="preserve">Subsequently, the NICE equality and diversity group </w:t>
      </w:r>
      <w:r w:rsidR="00E67411" w:rsidRPr="00411104">
        <w:t>revisit</w:t>
      </w:r>
      <w:r w:rsidRPr="00411104">
        <w:t>ed</w:t>
      </w:r>
      <w:r w:rsidR="00E67411" w:rsidRPr="00411104">
        <w:t xml:space="preserve"> the information provided to </w:t>
      </w:r>
      <w:r w:rsidR="00E67411" w:rsidRPr="004E2FA1">
        <w:t xml:space="preserve">applicants </w:t>
      </w:r>
      <w:r w:rsidR="00DC74EC">
        <w:t xml:space="preserve">that </w:t>
      </w:r>
      <w:r w:rsidR="00E67411" w:rsidRPr="004E2FA1">
        <w:t>explain</w:t>
      </w:r>
      <w:r w:rsidR="00DC74EC">
        <w:t>s</w:t>
      </w:r>
      <w:r w:rsidR="00E67411" w:rsidRPr="004E2FA1">
        <w:t xml:space="preserve"> why NICE asks for this information and how it is used</w:t>
      </w:r>
      <w:r w:rsidRPr="004E2FA1">
        <w:t xml:space="preserve">. </w:t>
      </w:r>
      <w:r w:rsidR="000940EB" w:rsidRPr="004E2FA1">
        <w:t>Further information was added to the equality monitoring form to explain how the data is used</w:t>
      </w:r>
      <w:r w:rsidR="00DC74EC">
        <w:t xml:space="preserve"> – </w:t>
      </w:r>
      <w:r w:rsidR="00E534E9" w:rsidRPr="004E2FA1">
        <w:t xml:space="preserve">that it is </w:t>
      </w:r>
      <w:r w:rsidR="00E67411" w:rsidRPr="004E2FA1">
        <w:t xml:space="preserve">aggregated anonymously </w:t>
      </w:r>
      <w:r w:rsidR="00925AD2" w:rsidRPr="004E2FA1">
        <w:t xml:space="preserve">to see which groups are underrepresented on our committees and consider how we could raise awareness of upcoming committee vacancies to address this. The narrative </w:t>
      </w:r>
      <w:r w:rsidR="004E2FA1" w:rsidRPr="004E2FA1">
        <w:t xml:space="preserve">to the form </w:t>
      </w:r>
      <w:r w:rsidR="00597D38">
        <w:t xml:space="preserve">also </w:t>
      </w:r>
      <w:r w:rsidR="004E2FA1" w:rsidRPr="004E2FA1">
        <w:t>explains that the recruiting panel do not see the information about the applicant’s background.</w:t>
      </w:r>
      <w:r w:rsidR="004E2FA1">
        <w:t xml:space="preserve"> </w:t>
      </w:r>
    </w:p>
    <w:p w14:paraId="572020BC" w14:textId="1277711B" w:rsidR="00FD672F" w:rsidRPr="0032473D" w:rsidRDefault="00427B04" w:rsidP="002239B5">
      <w:pPr>
        <w:pStyle w:val="Paragraph"/>
        <w:rPr>
          <w:b/>
          <w:color w:val="FF0000"/>
        </w:rPr>
      </w:pPr>
      <w:r>
        <w:lastRenderedPageBreak/>
        <w:t xml:space="preserve">While these changes were made to the form half-way through the year, it is positive to note that the </w:t>
      </w:r>
      <w:r w:rsidR="00DC74EC">
        <w:t>disclosure rates increased in 2018/19</w:t>
      </w:r>
      <w:r w:rsidRPr="00427B04">
        <w:t>.</w:t>
      </w:r>
      <w:r>
        <w:t xml:space="preserve"> It will be important to keep a watch on this to identify whether this positive position continues</w:t>
      </w:r>
      <w:r w:rsidR="008025F4">
        <w:t>.</w:t>
      </w:r>
    </w:p>
    <w:p w14:paraId="0694A58A" w14:textId="77777777" w:rsidR="00AB06E8" w:rsidRPr="00E23AB3" w:rsidRDefault="00AB06E8" w:rsidP="00A53737">
      <w:pPr>
        <w:pStyle w:val="Heading2boardreport"/>
        <w:rPr>
          <w:i/>
        </w:rPr>
      </w:pPr>
      <w:r w:rsidRPr="00E23AB3">
        <w:t>The Picker survey of current committee members</w:t>
      </w:r>
    </w:p>
    <w:p w14:paraId="0F9F5F6D" w14:textId="53C9621F" w:rsidR="00AB06E8" w:rsidRPr="00A53737" w:rsidRDefault="00AB06E8" w:rsidP="00C51B05">
      <w:pPr>
        <w:pStyle w:val="Paragraph"/>
      </w:pPr>
      <w:r w:rsidRPr="00A53737">
        <w:t>As in previous years, we commissioned Picker to carry out a web</w:t>
      </w:r>
      <w:r w:rsidR="00BC3043">
        <w:t>-</w:t>
      </w:r>
      <w:r w:rsidRPr="00A53737">
        <w:t>based survey to provide a snapshot of the makeup of the NICE committee</w:t>
      </w:r>
      <w:r w:rsidR="00A61AD9" w:rsidRPr="00A53737">
        <w:t>s</w:t>
      </w:r>
      <w:r w:rsidRPr="00A53737">
        <w:t xml:space="preserve">. This provides us with a view of the current composition of the advisory bodies, in addition to the data </w:t>
      </w:r>
      <w:r w:rsidR="0013210A">
        <w:t xml:space="preserve">earlier in the report </w:t>
      </w:r>
      <w:r w:rsidR="00F91D83" w:rsidRPr="00A53737">
        <w:t xml:space="preserve">on </w:t>
      </w:r>
      <w:r w:rsidR="00C224B0" w:rsidRPr="00A53737">
        <w:t xml:space="preserve">applications and </w:t>
      </w:r>
      <w:r w:rsidRPr="00A53737">
        <w:t>appointments over the last year.</w:t>
      </w:r>
    </w:p>
    <w:p w14:paraId="4B621E55" w14:textId="6C5E2709" w:rsidR="00EC49B8" w:rsidRPr="00EC49B8" w:rsidRDefault="00AB06E8" w:rsidP="00C51B05">
      <w:pPr>
        <w:pStyle w:val="Paragraph"/>
      </w:pPr>
      <w:r w:rsidRPr="00EC49B8">
        <w:t xml:space="preserve">This year the survey ran from </w:t>
      </w:r>
      <w:r w:rsidR="00315C2E" w:rsidRPr="00EC49B8">
        <w:t>9 April</w:t>
      </w:r>
      <w:r w:rsidRPr="00EC49B8">
        <w:t xml:space="preserve"> to </w:t>
      </w:r>
      <w:r w:rsidR="00315C2E" w:rsidRPr="00EC49B8">
        <w:t>7 May 201</w:t>
      </w:r>
      <w:r w:rsidR="00EC49B8" w:rsidRPr="00EC49B8">
        <w:t>9</w:t>
      </w:r>
      <w:r w:rsidRPr="00EC49B8">
        <w:t xml:space="preserve">. An email invitation was sent out to </w:t>
      </w:r>
      <w:r w:rsidR="00EC49B8" w:rsidRPr="00EC49B8">
        <w:t>917</w:t>
      </w:r>
      <w:r w:rsidRPr="00EC49B8">
        <w:t xml:space="preserve"> committee members</w:t>
      </w:r>
      <w:r w:rsidR="00EC49B8">
        <w:t xml:space="preserve">, with </w:t>
      </w:r>
      <w:r w:rsidR="007A2E98">
        <w:t xml:space="preserve">566 responses received (a 62% response rate). This is lower than in previous years: 71% in 2018, 69% in 2017 and 78% in 2016. </w:t>
      </w:r>
    </w:p>
    <w:p w14:paraId="701C863A" w14:textId="181FF9FF" w:rsidR="00802C7D" w:rsidRPr="00A0649F" w:rsidRDefault="005674E9" w:rsidP="00C51B05">
      <w:pPr>
        <w:pStyle w:val="Paragraph"/>
      </w:pPr>
      <w:r w:rsidRPr="00A0649F">
        <w:t>W</w:t>
      </w:r>
      <w:r w:rsidR="00802C7D" w:rsidRPr="00A0649F">
        <w:t>e asked respondents whether they were a committee member appointed for their lay expertise or were appointed for their professional expertise (referred to as non-lay members in this report).</w:t>
      </w:r>
      <w:r w:rsidR="003B4F12" w:rsidRPr="00A0649F">
        <w:t xml:space="preserve"> Of the </w:t>
      </w:r>
      <w:r w:rsidR="00A0649F" w:rsidRPr="00A0649F">
        <w:t>566</w:t>
      </w:r>
      <w:r w:rsidR="003B4F12" w:rsidRPr="00A0649F">
        <w:t xml:space="preserve"> responses:</w:t>
      </w:r>
    </w:p>
    <w:p w14:paraId="115650AA" w14:textId="0FD098E5" w:rsidR="003B4F12" w:rsidRPr="00A0649F" w:rsidRDefault="00A0649F" w:rsidP="003B4F12">
      <w:pPr>
        <w:pStyle w:val="Bullets"/>
      </w:pPr>
      <w:r w:rsidRPr="00A0649F">
        <w:t>95</w:t>
      </w:r>
      <w:r w:rsidR="003B4F12" w:rsidRPr="00A0649F">
        <w:t xml:space="preserve"> (1</w:t>
      </w:r>
      <w:r w:rsidRPr="00A0649F">
        <w:t>4</w:t>
      </w:r>
      <w:r w:rsidR="00615407" w:rsidRPr="00A0649F">
        <w:t>%</w:t>
      </w:r>
      <w:r w:rsidR="003B4F12" w:rsidRPr="00A0649F">
        <w:t>) were from lay members</w:t>
      </w:r>
    </w:p>
    <w:p w14:paraId="37614B52" w14:textId="6838EC90" w:rsidR="003B4F12" w:rsidRPr="00A0649F" w:rsidRDefault="00A0649F" w:rsidP="003B4F12">
      <w:pPr>
        <w:pStyle w:val="Bullets"/>
      </w:pPr>
      <w:r w:rsidRPr="00A0649F">
        <w:t>438</w:t>
      </w:r>
      <w:r w:rsidR="003B4F12" w:rsidRPr="00A0649F">
        <w:t xml:space="preserve"> (</w:t>
      </w:r>
      <w:r w:rsidRPr="00A0649F">
        <w:t>77</w:t>
      </w:r>
      <w:r w:rsidR="003B4F12" w:rsidRPr="00A0649F">
        <w:t>%) were from non-lay members</w:t>
      </w:r>
    </w:p>
    <w:p w14:paraId="18F88D3F" w14:textId="77777777" w:rsidR="00D60B37" w:rsidRDefault="005674E9" w:rsidP="0013210A">
      <w:pPr>
        <w:pStyle w:val="Bulletslast"/>
      </w:pPr>
      <w:r w:rsidRPr="00A0649F">
        <w:t>3</w:t>
      </w:r>
      <w:r w:rsidR="00A0649F" w:rsidRPr="00A0649F">
        <w:t>3</w:t>
      </w:r>
      <w:r w:rsidR="003B4F12" w:rsidRPr="00A0649F">
        <w:t xml:space="preserve"> (</w:t>
      </w:r>
      <w:r w:rsidR="00A0649F" w:rsidRPr="00A0649F">
        <w:t>6</w:t>
      </w:r>
      <w:r w:rsidR="003B4F12" w:rsidRPr="00A0649F">
        <w:t>%) did not answer whether they were a lay or non-lay member.</w:t>
      </w:r>
      <w:bookmarkStart w:id="1" w:name="_Hlk17361211"/>
    </w:p>
    <w:p w14:paraId="72DCB06D" w14:textId="38A53E72" w:rsidR="003B4F12" w:rsidRPr="00A0649F" w:rsidRDefault="00D358EE" w:rsidP="00D60B37">
      <w:pPr>
        <w:pStyle w:val="Paragraph"/>
      </w:pPr>
      <w:r w:rsidRPr="00A0649F">
        <w:t xml:space="preserve">The responses </w:t>
      </w:r>
      <w:r w:rsidR="00286CFF" w:rsidRPr="00A0649F">
        <w:t xml:space="preserve">for each of the protected characteristics </w:t>
      </w:r>
      <w:r w:rsidRPr="00A0649F">
        <w:t>are outlined below</w:t>
      </w:r>
      <w:r w:rsidR="003712B0">
        <w:t>, including comparisons with last year and variations between the different committees</w:t>
      </w:r>
      <w:r w:rsidR="00D60B37">
        <w:t xml:space="preserve"> (w</w:t>
      </w:r>
      <w:r w:rsidR="00D60B37" w:rsidRPr="00D60B37">
        <w:t>hen looking at the variation in the composition of the committees it is important to note the committee groupings</w:t>
      </w:r>
      <w:r w:rsidR="00805743">
        <w:t xml:space="preserve"> vary in size</w:t>
      </w:r>
      <w:r w:rsidR="00D60B37">
        <w:t>)</w:t>
      </w:r>
      <w:r w:rsidR="003712B0">
        <w:t xml:space="preserve">. </w:t>
      </w:r>
      <w:r w:rsidR="00D60B37">
        <w:t xml:space="preserve">The total category in the charts includes </w:t>
      </w:r>
      <w:r w:rsidR="00D60B37" w:rsidRPr="00D60B37">
        <w:t>all 566 respondents, including the 33 respondents who did not identify whether they were a lay or non-lay member</w:t>
      </w:r>
      <w:r w:rsidR="00D60B37">
        <w:t>.</w:t>
      </w:r>
    </w:p>
    <w:bookmarkEnd w:id="1"/>
    <w:p w14:paraId="176933E5" w14:textId="77777777" w:rsidR="00AB06E8" w:rsidRPr="00E23AB3" w:rsidRDefault="00AB06E8" w:rsidP="0054792F">
      <w:pPr>
        <w:pStyle w:val="Heading3boardreport"/>
      </w:pPr>
      <w:r w:rsidRPr="0054792F">
        <w:lastRenderedPageBreak/>
        <w:t>Gender</w:t>
      </w:r>
    </w:p>
    <w:p w14:paraId="113AD7F7" w14:textId="77777777" w:rsidR="00AB06E8" w:rsidRPr="00E23AB3" w:rsidRDefault="00AB06E8" w:rsidP="00C51767">
      <w:pPr>
        <w:pStyle w:val="Tableandgraphheading"/>
        <w:spacing w:before="240"/>
        <w:ind w:left="567"/>
      </w:pPr>
      <w:r w:rsidRPr="00E23AB3">
        <w:t>Chart 1: Gender</w:t>
      </w:r>
      <w:r w:rsidR="009503FF" w:rsidRPr="00E23AB3">
        <w:t xml:space="preserve">: </w:t>
      </w:r>
      <w:r w:rsidR="009503FF" w:rsidRPr="0054792F">
        <w:t>advisory</w:t>
      </w:r>
      <w:r w:rsidR="009503FF" w:rsidRPr="00E23AB3">
        <w:t xml:space="preserve"> committee members</w:t>
      </w:r>
    </w:p>
    <w:p w14:paraId="197BE025" w14:textId="23272737" w:rsidR="00AB06E8" w:rsidRDefault="00D01299" w:rsidP="007A56E0">
      <w:pPr>
        <w:pStyle w:val="Paragraph"/>
        <w:numPr>
          <w:ilvl w:val="0"/>
          <w:numId w:val="0"/>
        </w:numPr>
        <w:ind w:left="567"/>
        <w:jc w:val="center"/>
        <w:rPr>
          <w:noProof/>
          <w:color w:val="FF0000"/>
        </w:rPr>
      </w:pPr>
      <w:r>
        <w:rPr>
          <w:noProof/>
        </w:rPr>
        <w:drawing>
          <wp:inline distT="0" distB="0" distL="0" distR="0" wp14:anchorId="2930788F" wp14:editId="4ED223CD">
            <wp:extent cx="4575463" cy="2933700"/>
            <wp:effectExtent l="0" t="0" r="15875" b="0"/>
            <wp:docPr id="1" name="Chart 1" descr="Chart 1, which shows the gender of the advisory committee members as at 31 March 201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CFFBDF" w14:textId="7CA7AA97" w:rsidR="00037A24" w:rsidRPr="00037A24" w:rsidRDefault="007B03CB" w:rsidP="00B94771">
      <w:pPr>
        <w:pStyle w:val="Paragraphnonumbers"/>
        <w:ind w:firstLine="567"/>
        <w:rPr>
          <w:rFonts w:cs="Arial"/>
          <w:noProof/>
          <w:color w:val="FF0000"/>
        </w:rPr>
      </w:pPr>
      <w:hyperlink r:id="rId14" w:history="1">
        <w:r w:rsidR="00393E63">
          <w:rPr>
            <w:rStyle w:val="Hyperlink"/>
          </w:rPr>
          <w:t>D</w:t>
        </w:r>
        <w:r w:rsidR="00037A24" w:rsidRPr="00B94771">
          <w:rPr>
            <w:rStyle w:val="Hyperlink"/>
          </w:rPr>
          <w:t>ownload the data set for this chart</w:t>
        </w:r>
      </w:hyperlink>
    </w:p>
    <w:p w14:paraId="4052B4DF" w14:textId="213AC25C" w:rsidR="00757CF6" w:rsidRPr="00FE3641" w:rsidRDefault="00F37376" w:rsidP="00C51B05">
      <w:pPr>
        <w:pStyle w:val="Paragraph"/>
      </w:pPr>
      <w:r w:rsidRPr="00FE3641">
        <w:t xml:space="preserve">In the </w:t>
      </w:r>
      <w:r w:rsidR="0054792F" w:rsidRPr="00FE3641">
        <w:t>2019</w:t>
      </w:r>
      <w:r w:rsidRPr="00FE3641">
        <w:t xml:space="preserve"> survey </w:t>
      </w:r>
      <w:r w:rsidR="00DB79A0" w:rsidRPr="00FE3641">
        <w:t>4</w:t>
      </w:r>
      <w:r w:rsidR="0054792F" w:rsidRPr="00FE3641">
        <w:t>8</w:t>
      </w:r>
      <w:r w:rsidR="00AB06E8" w:rsidRPr="00FE3641">
        <w:t xml:space="preserve">% of respondents were women and </w:t>
      </w:r>
      <w:r w:rsidR="00757CF6" w:rsidRPr="00FE3641">
        <w:t xml:space="preserve">50% </w:t>
      </w:r>
      <w:r w:rsidR="00AB06E8" w:rsidRPr="00FE3641">
        <w:t xml:space="preserve">were men. </w:t>
      </w:r>
      <w:r w:rsidR="00757CF6" w:rsidRPr="00FE3641">
        <w:t xml:space="preserve">There is difference in the gender balance between lay and non-lay positions, with women accounting for </w:t>
      </w:r>
      <w:r w:rsidR="0054792F" w:rsidRPr="00FE3641">
        <w:t>72</w:t>
      </w:r>
      <w:r w:rsidR="00757CF6" w:rsidRPr="00FE3641">
        <w:t>% of lay respondents and 4</w:t>
      </w:r>
      <w:r w:rsidR="00E805B2" w:rsidRPr="00FE3641">
        <w:t>3</w:t>
      </w:r>
      <w:r w:rsidR="00757CF6" w:rsidRPr="00FE3641">
        <w:t>% of non-lay respondents.</w:t>
      </w:r>
      <w:r w:rsidR="00286CFF" w:rsidRPr="00FE3641">
        <w:t xml:space="preserve"> </w:t>
      </w:r>
    </w:p>
    <w:p w14:paraId="3FF1A927" w14:textId="0B3AE11E" w:rsidR="00870913" w:rsidRPr="00FE3641" w:rsidRDefault="00AB06E8" w:rsidP="00C51B05">
      <w:pPr>
        <w:pStyle w:val="Paragraph"/>
      </w:pPr>
      <w:r w:rsidRPr="00FE3641">
        <w:t>There is variation in the gender balance across the advisory bodies</w:t>
      </w:r>
      <w:r w:rsidR="00757CF6" w:rsidRPr="00FE3641">
        <w:t xml:space="preserve">. As in </w:t>
      </w:r>
      <w:r w:rsidR="00907667" w:rsidRPr="00FE3641">
        <w:t xml:space="preserve">previous years, </w:t>
      </w:r>
      <w:r w:rsidR="00757CF6" w:rsidRPr="00FE3641">
        <w:t>t</w:t>
      </w:r>
      <w:r w:rsidRPr="00FE3641">
        <w:t>he proportion of respondents wh</w:t>
      </w:r>
      <w:r w:rsidR="00615407" w:rsidRPr="00FE3641">
        <w:t xml:space="preserve">o were women was lowest on the </w:t>
      </w:r>
      <w:r w:rsidR="00757CF6" w:rsidRPr="00FE3641">
        <w:t>Interventional Procedures Advisory Committee (1</w:t>
      </w:r>
      <w:r w:rsidR="00907667" w:rsidRPr="00FE3641">
        <w:t>7</w:t>
      </w:r>
      <w:r w:rsidR="00757CF6" w:rsidRPr="00FE3641">
        <w:t>%)</w:t>
      </w:r>
      <w:r w:rsidR="00024552" w:rsidRPr="00FE3641">
        <w:t xml:space="preserve"> and the </w:t>
      </w:r>
      <w:r w:rsidR="00615407" w:rsidRPr="00FE3641">
        <w:t>M</w:t>
      </w:r>
      <w:r w:rsidR="00870913" w:rsidRPr="00FE3641">
        <w:t>edical Technologies Advisory Committee (</w:t>
      </w:r>
      <w:r w:rsidR="00024552" w:rsidRPr="00FE3641">
        <w:t>19</w:t>
      </w:r>
      <w:r w:rsidR="00870913" w:rsidRPr="00FE3641">
        <w:t>%</w:t>
      </w:r>
      <w:r w:rsidR="00615407" w:rsidRPr="00FE3641">
        <w:t>)</w:t>
      </w:r>
      <w:r w:rsidR="003C1ED1" w:rsidRPr="00FE3641">
        <w:t xml:space="preserve">; followed by the </w:t>
      </w:r>
      <w:r w:rsidR="00FF3403">
        <w:t>T</w:t>
      </w:r>
      <w:r w:rsidR="00024552" w:rsidRPr="00FE3641">
        <w:t xml:space="preserve">echnology </w:t>
      </w:r>
      <w:r w:rsidR="00FF3403">
        <w:t>A</w:t>
      </w:r>
      <w:r w:rsidR="00024552" w:rsidRPr="00FE3641">
        <w:t xml:space="preserve">ppraisal </w:t>
      </w:r>
      <w:r w:rsidR="00FF3403">
        <w:t>C</w:t>
      </w:r>
      <w:r w:rsidR="00024552" w:rsidRPr="00FE3641">
        <w:t xml:space="preserve">ommittees </w:t>
      </w:r>
      <w:r w:rsidR="003C1ED1" w:rsidRPr="00FE3641">
        <w:t xml:space="preserve">(25%). </w:t>
      </w:r>
      <w:r w:rsidR="00DC74EC">
        <w:t>Collectively, t</w:t>
      </w:r>
      <w:r w:rsidR="003C1ED1" w:rsidRPr="00FE3641">
        <w:t xml:space="preserve">he </w:t>
      </w:r>
      <w:r w:rsidR="00FE3641" w:rsidRPr="00FE3641">
        <w:t xml:space="preserve">guideline committees had the highest proportion of respondents who were women (56%). </w:t>
      </w:r>
    </w:p>
    <w:p w14:paraId="34F3045A" w14:textId="77777777" w:rsidR="00AB06E8" w:rsidRPr="00E23AB3" w:rsidRDefault="00AB06E8" w:rsidP="00B24638">
      <w:pPr>
        <w:pStyle w:val="Heading3boardreport"/>
      </w:pPr>
      <w:r w:rsidRPr="00B24638">
        <w:lastRenderedPageBreak/>
        <w:t>Disability</w:t>
      </w:r>
    </w:p>
    <w:p w14:paraId="22523C27" w14:textId="6EE4AC65" w:rsidR="00AB06E8" w:rsidRPr="007F28F6" w:rsidRDefault="00AB06E8" w:rsidP="007F28F6">
      <w:pPr>
        <w:pStyle w:val="Tableandgraphheading"/>
        <w:ind w:left="567"/>
      </w:pPr>
      <w:r w:rsidRPr="00E23AB3">
        <w:t>Chart 2: Disability</w:t>
      </w:r>
      <w:r w:rsidR="009503FF" w:rsidRPr="00E23AB3">
        <w:t xml:space="preserve">: </w:t>
      </w:r>
      <w:r w:rsidR="009503FF" w:rsidRPr="00B24638">
        <w:t>advisory</w:t>
      </w:r>
      <w:r w:rsidR="009503FF" w:rsidRPr="00E23AB3">
        <w:t xml:space="preserve"> committee members</w:t>
      </w:r>
      <w:r w:rsidR="00D01299">
        <w:rPr>
          <w:noProof/>
        </w:rPr>
        <w:drawing>
          <wp:inline distT="0" distB="0" distL="0" distR="0" wp14:anchorId="36D1D122" wp14:editId="1EE5C30D">
            <wp:extent cx="4572000" cy="2933700"/>
            <wp:effectExtent l="0" t="0" r="0" b="0"/>
            <wp:docPr id="5" name="Chart 5" descr="Chart 2, which shows the disability of the advisory committee members as at 31 March 2019.">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6ABFF3" w14:textId="77777777" w:rsidR="00E83A91" w:rsidRPr="00037A24" w:rsidRDefault="007B03CB" w:rsidP="00E83A91">
      <w:pPr>
        <w:pStyle w:val="Paragraph"/>
        <w:numPr>
          <w:ilvl w:val="0"/>
          <w:numId w:val="0"/>
        </w:numPr>
        <w:ind w:left="567"/>
        <w:rPr>
          <w:rFonts w:cs="Arial"/>
          <w:noProof/>
          <w:color w:val="FF0000"/>
        </w:rPr>
      </w:pPr>
      <w:hyperlink r:id="rId16" w:history="1">
        <w:r w:rsidR="00E83A91">
          <w:rPr>
            <w:rStyle w:val="Hyperlink"/>
          </w:rPr>
          <w:t>D</w:t>
        </w:r>
        <w:r w:rsidR="00E83A91" w:rsidRPr="00B94771">
          <w:rPr>
            <w:rStyle w:val="Hyperlink"/>
          </w:rPr>
          <w:t>ownload the data set for this chart</w:t>
        </w:r>
      </w:hyperlink>
    </w:p>
    <w:p w14:paraId="72A518C2" w14:textId="4A4BF539" w:rsidR="00B24638" w:rsidRPr="00B24638" w:rsidRDefault="00B24638" w:rsidP="00B24638">
      <w:pPr>
        <w:pStyle w:val="Paragraph"/>
      </w:pPr>
      <w:r w:rsidRPr="00B24638">
        <w:t>In the 201</w:t>
      </w:r>
      <w:r>
        <w:t>9</w:t>
      </w:r>
      <w:r w:rsidRPr="00B24638">
        <w:t xml:space="preserve"> survey, </w:t>
      </w:r>
      <w:r>
        <w:t>10</w:t>
      </w:r>
      <w:r w:rsidRPr="00B24638">
        <w:t>% of respondents identified themselves as disabled and 7</w:t>
      </w:r>
      <w:r w:rsidR="00723B7D">
        <w:t>2</w:t>
      </w:r>
      <w:r w:rsidRPr="00B24638">
        <w:t xml:space="preserve">% did not. The comparative figures in </w:t>
      </w:r>
      <w:r w:rsidR="00723B7D">
        <w:t xml:space="preserve">2018 were 9% </w:t>
      </w:r>
      <w:r w:rsidRPr="00B24638">
        <w:t xml:space="preserve">and </w:t>
      </w:r>
      <w:r w:rsidR="00723B7D">
        <w:t>73</w:t>
      </w:r>
      <w:r w:rsidRPr="00B24638">
        <w:t xml:space="preserve">%. </w:t>
      </w:r>
    </w:p>
    <w:p w14:paraId="42B3C92E" w14:textId="60AEF3E0" w:rsidR="00B24638" w:rsidRPr="00723B7D" w:rsidRDefault="00B24638" w:rsidP="00B24638">
      <w:pPr>
        <w:pStyle w:val="Paragraph"/>
        <w:rPr>
          <w:color w:val="FF0000"/>
        </w:rPr>
      </w:pPr>
      <w:r w:rsidRPr="00B24638">
        <w:t xml:space="preserve">As in </w:t>
      </w:r>
      <w:r w:rsidR="00723B7D">
        <w:t xml:space="preserve">previous years, </w:t>
      </w:r>
      <w:r w:rsidRPr="00B24638">
        <w:t>a higher proportion of lay members identified themselves as disabled (</w:t>
      </w:r>
      <w:r w:rsidR="00723B7D">
        <w:t>32</w:t>
      </w:r>
      <w:r w:rsidRPr="00B24638">
        <w:t xml:space="preserve">%) than non-lay members (5%). </w:t>
      </w:r>
      <w:r w:rsidR="00723B7D" w:rsidRPr="00B24638">
        <w:t xml:space="preserve">The comparative figures in </w:t>
      </w:r>
      <w:r w:rsidR="00723B7D">
        <w:t xml:space="preserve">2018 were 26% </w:t>
      </w:r>
      <w:r w:rsidR="00723B7D" w:rsidRPr="00B24638">
        <w:t xml:space="preserve">and </w:t>
      </w:r>
      <w:r w:rsidR="00723B7D">
        <w:t>5</w:t>
      </w:r>
      <w:r w:rsidR="00723B7D" w:rsidRPr="00B24638">
        <w:t xml:space="preserve">%. </w:t>
      </w:r>
      <w:r w:rsidRPr="00F00432">
        <w:t>As noted earlier in the report, this difference between lay and non-lay roles is also reflected in the committee recruitment</w:t>
      </w:r>
      <w:r w:rsidR="006847F5">
        <w:t xml:space="preserve"> in 2018/19</w:t>
      </w:r>
      <w:r w:rsidR="00F00432" w:rsidRPr="00F00432">
        <w:t xml:space="preserve">. </w:t>
      </w:r>
    </w:p>
    <w:p w14:paraId="0639C98C" w14:textId="77777777" w:rsidR="00B24638" w:rsidRPr="00B24638" w:rsidRDefault="00B24638" w:rsidP="00B24638">
      <w:pPr>
        <w:pStyle w:val="Paragraph"/>
      </w:pPr>
      <w:r w:rsidRPr="00B24638">
        <w:t>In comparison, 82% of the England and Wales population in the 2011 census did not have an activity limiting health problem or disability.</w:t>
      </w:r>
    </w:p>
    <w:p w14:paraId="71F5BF8C" w14:textId="27BED4CC" w:rsidR="00B24638" w:rsidRPr="00B24638" w:rsidRDefault="00B24638" w:rsidP="00B24638">
      <w:pPr>
        <w:pStyle w:val="Paragraph"/>
      </w:pPr>
      <w:r w:rsidRPr="00B24638">
        <w:t xml:space="preserve">The Highly Specialised Technologies Evaluation Committee, </w:t>
      </w:r>
      <w:r w:rsidR="00DB52A9">
        <w:t xml:space="preserve">Indicator Advisory Committee, </w:t>
      </w:r>
      <w:r w:rsidR="00DC74EC">
        <w:t xml:space="preserve">and </w:t>
      </w:r>
      <w:r w:rsidRPr="00B24638">
        <w:t>Interventional Procedures Advisory Committee had no respondents who identified themselves as disabled. The proportion of respondents who identified themselves as disabled was highest on the Quality Standards Advisory Committees (</w:t>
      </w:r>
      <w:r w:rsidR="00DB52A9">
        <w:t>16</w:t>
      </w:r>
      <w:r w:rsidRPr="00B24638">
        <w:t xml:space="preserve">%) and </w:t>
      </w:r>
      <w:r w:rsidR="00DB52A9">
        <w:t>the guideline committees</w:t>
      </w:r>
      <w:r w:rsidRPr="00B24638">
        <w:t xml:space="preserve"> (1</w:t>
      </w:r>
      <w:r w:rsidR="00DB52A9">
        <w:t>2</w:t>
      </w:r>
      <w:r w:rsidRPr="00B24638">
        <w:t xml:space="preserve">%). </w:t>
      </w:r>
    </w:p>
    <w:p w14:paraId="4E06B6F1" w14:textId="77777777" w:rsidR="00B24638" w:rsidRDefault="00B24638" w:rsidP="00DB52A9">
      <w:pPr>
        <w:pStyle w:val="Paragraph"/>
        <w:numPr>
          <w:ilvl w:val="0"/>
          <w:numId w:val="0"/>
        </w:numPr>
        <w:ind w:left="567"/>
        <w:rPr>
          <w:color w:val="FF0000"/>
        </w:rPr>
      </w:pPr>
    </w:p>
    <w:p w14:paraId="2E45DE47" w14:textId="77777777" w:rsidR="00AB06E8" w:rsidRPr="00E23AB3" w:rsidRDefault="00AB06E8" w:rsidP="00061B20">
      <w:pPr>
        <w:pStyle w:val="Heading3boardreport"/>
      </w:pPr>
      <w:r w:rsidRPr="00061B20">
        <w:lastRenderedPageBreak/>
        <w:t>Ethnicity</w:t>
      </w:r>
    </w:p>
    <w:p w14:paraId="2EC16A73" w14:textId="0F458741" w:rsidR="00A73CCF" w:rsidRPr="007F28F6" w:rsidRDefault="00AB06E8" w:rsidP="007F28F6">
      <w:pPr>
        <w:pStyle w:val="Tableandgraphheading"/>
        <w:spacing w:before="240"/>
        <w:ind w:left="426"/>
      </w:pPr>
      <w:r w:rsidRPr="00E23AB3">
        <w:t xml:space="preserve">Chart 3: </w:t>
      </w:r>
      <w:r w:rsidRPr="00061B20">
        <w:t>Ethnicity</w:t>
      </w:r>
      <w:r w:rsidR="009503FF" w:rsidRPr="00E23AB3">
        <w:t>: advisory committee members</w:t>
      </w:r>
      <w:r w:rsidRPr="00E23AB3">
        <w:t xml:space="preserve"> </w:t>
      </w:r>
      <w:r w:rsidR="00D01299">
        <w:rPr>
          <w:noProof/>
        </w:rPr>
        <w:drawing>
          <wp:inline distT="0" distB="0" distL="0" distR="0" wp14:anchorId="2D83BBEF" wp14:editId="7C9B9CDE">
            <wp:extent cx="5671298" cy="3504282"/>
            <wp:effectExtent l="0" t="0" r="5715" b="1270"/>
            <wp:docPr id="11" name="Chart 11" descr="Chart 3, which shows the ethnicity of the advisory committee members as at 31 March 2019.&#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0BF5AD" w14:textId="77777777" w:rsidR="00E83A91" w:rsidRPr="00037A24" w:rsidRDefault="007B03CB" w:rsidP="00E83A91">
      <w:pPr>
        <w:pStyle w:val="Paragraph"/>
        <w:numPr>
          <w:ilvl w:val="0"/>
          <w:numId w:val="0"/>
        </w:numPr>
        <w:ind w:left="567"/>
        <w:rPr>
          <w:rFonts w:cs="Arial"/>
          <w:noProof/>
          <w:color w:val="FF0000"/>
        </w:rPr>
      </w:pPr>
      <w:hyperlink r:id="rId18" w:history="1">
        <w:r w:rsidR="00E83A91">
          <w:rPr>
            <w:rStyle w:val="Hyperlink"/>
          </w:rPr>
          <w:t>D</w:t>
        </w:r>
        <w:r w:rsidR="00E83A91" w:rsidRPr="00B94771">
          <w:rPr>
            <w:rStyle w:val="Hyperlink"/>
          </w:rPr>
          <w:t>ownload the data set for this chart</w:t>
        </w:r>
      </w:hyperlink>
    </w:p>
    <w:p w14:paraId="4D1D93B8" w14:textId="5BC92C1F" w:rsidR="0094448C" w:rsidRPr="00E23AB3" w:rsidRDefault="00B27D31" w:rsidP="00D03A50">
      <w:pPr>
        <w:pStyle w:val="Paragraph"/>
      </w:pPr>
      <w:r w:rsidRPr="00E23AB3">
        <w:t>In the 201</w:t>
      </w:r>
      <w:r w:rsidR="005C6FAE">
        <w:t>9</w:t>
      </w:r>
      <w:r w:rsidRPr="00E23AB3">
        <w:t xml:space="preserve"> survey</w:t>
      </w:r>
      <w:r w:rsidR="00766096" w:rsidRPr="00E23AB3">
        <w:t>,</w:t>
      </w:r>
      <w:r w:rsidRPr="00E23AB3">
        <w:t xml:space="preserve"> 8</w:t>
      </w:r>
      <w:r w:rsidR="005C6FAE">
        <w:t>3</w:t>
      </w:r>
      <w:r w:rsidRPr="00E23AB3">
        <w:t>% of respondents</w:t>
      </w:r>
      <w:r w:rsidR="00B70D69" w:rsidRPr="00E23AB3">
        <w:t xml:space="preserve"> identified themselves </w:t>
      </w:r>
      <w:r w:rsidR="002845C9">
        <w:t xml:space="preserve">as being </w:t>
      </w:r>
      <w:r w:rsidR="00B70D69" w:rsidRPr="00E23AB3">
        <w:t>of white ethnicity</w:t>
      </w:r>
      <w:r w:rsidR="00E7286B" w:rsidRPr="00E23AB3">
        <w:t xml:space="preserve">, and </w:t>
      </w:r>
      <w:r w:rsidR="00286CFF" w:rsidRPr="00E23AB3">
        <w:t>14</w:t>
      </w:r>
      <w:r w:rsidR="00E7286B" w:rsidRPr="00E23AB3">
        <w:t xml:space="preserve">% </w:t>
      </w:r>
      <w:r w:rsidR="002845C9">
        <w:t xml:space="preserve">as being </w:t>
      </w:r>
      <w:r w:rsidR="00E7286B" w:rsidRPr="00E23AB3">
        <w:t xml:space="preserve">of non-white </w:t>
      </w:r>
      <w:r w:rsidR="00E7286B" w:rsidRPr="00D03A50">
        <w:t>ethnicity</w:t>
      </w:r>
      <w:r w:rsidR="00E7286B" w:rsidRPr="00E23AB3">
        <w:t>. As shown in table</w:t>
      </w:r>
      <w:r w:rsidR="0054340D">
        <w:t xml:space="preserve"> 3</w:t>
      </w:r>
      <w:r w:rsidR="00E7286B" w:rsidRPr="00E23AB3">
        <w:t xml:space="preserve">, the proportion of respondents of non-white ethnicity has increased each year over the last </w:t>
      </w:r>
      <w:r w:rsidR="005C6FAE">
        <w:t>four</w:t>
      </w:r>
      <w:r w:rsidR="00E7286B" w:rsidRPr="00E23AB3">
        <w:t xml:space="preserve"> surveys</w:t>
      </w:r>
      <w:r w:rsidR="0094448C" w:rsidRPr="00E23AB3">
        <w:t xml:space="preserve">. </w:t>
      </w:r>
    </w:p>
    <w:p w14:paraId="02B8E0CD" w14:textId="0C3B6057" w:rsidR="00B27D31" w:rsidRPr="00E23AB3" w:rsidRDefault="00B27D31" w:rsidP="00C51767">
      <w:pPr>
        <w:pStyle w:val="Tableandgraphheading"/>
        <w:ind w:left="567"/>
      </w:pPr>
      <w:r w:rsidRPr="00E23AB3">
        <w:t xml:space="preserve">Table </w:t>
      </w:r>
      <w:r w:rsidR="007F2EA3" w:rsidRPr="00E23AB3">
        <w:t>3</w:t>
      </w:r>
      <w:r w:rsidR="00C228BA" w:rsidRPr="00E23AB3">
        <w:t>:</w:t>
      </w:r>
      <w:r w:rsidRPr="00E23AB3">
        <w:t xml:space="preserve"> </w:t>
      </w:r>
      <w:r w:rsidR="00C228BA" w:rsidRPr="00E23AB3">
        <w:t>E</w:t>
      </w:r>
      <w:r w:rsidRPr="00E23AB3">
        <w:t xml:space="preserve">thnicity of advisory </w:t>
      </w:r>
      <w:r w:rsidRPr="00D03A50">
        <w:t>committee</w:t>
      </w:r>
      <w:r w:rsidRPr="00E23AB3">
        <w:t xml:space="preserve"> </w:t>
      </w:r>
      <w:r w:rsidR="00C228BA" w:rsidRPr="00E23AB3">
        <w:t xml:space="preserve">members </w:t>
      </w:r>
      <w:r w:rsidRPr="00E23AB3">
        <w:t xml:space="preserve">in last </w:t>
      </w:r>
      <w:r w:rsidR="00D03A50">
        <w:t>four</w:t>
      </w:r>
      <w:r w:rsidRPr="00E23AB3">
        <w:t xml:space="preserve"> Picker surveys</w:t>
      </w:r>
    </w:p>
    <w:tbl>
      <w:tblPr>
        <w:tblStyle w:val="TableGrid"/>
        <w:tblW w:w="3778" w:type="pct"/>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558"/>
        <w:gridCol w:w="1098"/>
        <w:gridCol w:w="935"/>
        <w:gridCol w:w="942"/>
        <w:gridCol w:w="1082"/>
      </w:tblGrid>
      <w:tr w:rsidR="00D03A50" w:rsidRPr="00E23AB3" w14:paraId="2C8BDE9F" w14:textId="7880D92C" w:rsidTr="00967F2E">
        <w:trPr>
          <w:trHeight w:val="572"/>
          <w:tblHeader/>
          <w:jc w:val="center"/>
        </w:trPr>
        <w:tc>
          <w:tcPr>
            <w:tcW w:w="1933" w:type="pct"/>
            <w:shd w:val="clear" w:color="auto" w:fill="A2BDC1"/>
          </w:tcPr>
          <w:p w14:paraId="7729DF76" w14:textId="30B7F213" w:rsidR="00D03A50" w:rsidRPr="00D03A50" w:rsidRDefault="00DE5C6A" w:rsidP="00B27D31">
            <w:pPr>
              <w:pStyle w:val="Tablecolumnheading"/>
            </w:pPr>
            <w:r>
              <w:t>Et</w:t>
            </w:r>
            <w:r w:rsidR="00F00432">
              <w:t>hnicity</w:t>
            </w:r>
          </w:p>
        </w:tc>
        <w:tc>
          <w:tcPr>
            <w:tcW w:w="830" w:type="pct"/>
            <w:tcBorders>
              <w:right w:val="single" w:sz="4" w:space="0" w:color="auto"/>
            </w:tcBorders>
            <w:shd w:val="clear" w:color="auto" w:fill="A2BDC1"/>
          </w:tcPr>
          <w:p w14:paraId="1C6EB9CA" w14:textId="77777777" w:rsidR="00D03A50" w:rsidRPr="00D03A50" w:rsidRDefault="00D03A50" w:rsidP="00B27D31">
            <w:pPr>
              <w:pStyle w:val="Tablecolumnheading"/>
            </w:pPr>
            <w:r w:rsidRPr="00D03A50">
              <w:t>2016</w:t>
            </w:r>
          </w:p>
        </w:tc>
        <w:tc>
          <w:tcPr>
            <w:tcW w:w="707" w:type="pct"/>
            <w:tcBorders>
              <w:left w:val="single" w:sz="4" w:space="0" w:color="auto"/>
            </w:tcBorders>
            <w:shd w:val="clear" w:color="auto" w:fill="A2BDC1"/>
          </w:tcPr>
          <w:p w14:paraId="5EDA410A" w14:textId="77777777" w:rsidR="00D03A50" w:rsidRPr="00D03A50" w:rsidRDefault="00D03A50" w:rsidP="00B27D31">
            <w:pPr>
              <w:pStyle w:val="Tablecolumnheading"/>
            </w:pPr>
            <w:r w:rsidRPr="00D03A50">
              <w:t>2017</w:t>
            </w:r>
          </w:p>
        </w:tc>
        <w:tc>
          <w:tcPr>
            <w:tcW w:w="712" w:type="pct"/>
            <w:shd w:val="clear" w:color="auto" w:fill="A2BDC1"/>
          </w:tcPr>
          <w:p w14:paraId="75FE017C" w14:textId="77777777" w:rsidR="00D03A50" w:rsidRPr="00D03A50" w:rsidRDefault="00D03A50" w:rsidP="00B27D31">
            <w:pPr>
              <w:pStyle w:val="Tablecolumnheading"/>
            </w:pPr>
            <w:r w:rsidRPr="00D03A50">
              <w:t>2018</w:t>
            </w:r>
          </w:p>
        </w:tc>
        <w:tc>
          <w:tcPr>
            <w:tcW w:w="818" w:type="pct"/>
            <w:shd w:val="clear" w:color="auto" w:fill="A2BDC1"/>
          </w:tcPr>
          <w:p w14:paraId="02185703" w14:textId="1E941C1C" w:rsidR="00D03A50" w:rsidRPr="00D03A50" w:rsidRDefault="00DE5C6A" w:rsidP="00B27D31">
            <w:pPr>
              <w:pStyle w:val="Tablecolumnheading"/>
            </w:pPr>
            <w:r>
              <w:t>2019</w:t>
            </w:r>
          </w:p>
        </w:tc>
      </w:tr>
      <w:tr w:rsidR="00D03A50" w:rsidRPr="00E23AB3" w14:paraId="47BF8F5E" w14:textId="528EA27D" w:rsidTr="00967F2E">
        <w:trPr>
          <w:jc w:val="center"/>
        </w:trPr>
        <w:tc>
          <w:tcPr>
            <w:tcW w:w="1933" w:type="pct"/>
          </w:tcPr>
          <w:p w14:paraId="364A9823" w14:textId="77777777" w:rsidR="00D03A50" w:rsidRPr="00D03A50" w:rsidRDefault="00D03A50" w:rsidP="00B27D31">
            <w:pPr>
              <w:pStyle w:val="Tabletext"/>
            </w:pPr>
            <w:r w:rsidRPr="00D03A50">
              <w:t>Asian or Asian British</w:t>
            </w:r>
          </w:p>
        </w:tc>
        <w:tc>
          <w:tcPr>
            <w:tcW w:w="830" w:type="pct"/>
            <w:tcBorders>
              <w:right w:val="single" w:sz="4" w:space="0" w:color="auto"/>
            </w:tcBorders>
          </w:tcPr>
          <w:p w14:paraId="66BB4B02" w14:textId="77777777" w:rsidR="00D03A50" w:rsidRPr="00D03A50" w:rsidRDefault="00D03A50" w:rsidP="00B27D31">
            <w:pPr>
              <w:pStyle w:val="Tabletext"/>
            </w:pPr>
            <w:r w:rsidRPr="00D03A50">
              <w:t>5.3%</w:t>
            </w:r>
          </w:p>
        </w:tc>
        <w:tc>
          <w:tcPr>
            <w:tcW w:w="707" w:type="pct"/>
            <w:tcBorders>
              <w:left w:val="single" w:sz="4" w:space="0" w:color="auto"/>
            </w:tcBorders>
          </w:tcPr>
          <w:p w14:paraId="3A3972D4" w14:textId="77777777" w:rsidR="00D03A50" w:rsidRPr="00D03A50" w:rsidRDefault="00D03A50" w:rsidP="00B27D31">
            <w:pPr>
              <w:pStyle w:val="Tabletext"/>
            </w:pPr>
            <w:r w:rsidRPr="00D03A50">
              <w:t>5.9%</w:t>
            </w:r>
          </w:p>
        </w:tc>
        <w:tc>
          <w:tcPr>
            <w:tcW w:w="712" w:type="pct"/>
          </w:tcPr>
          <w:p w14:paraId="48F70675" w14:textId="77777777" w:rsidR="00D03A50" w:rsidRPr="00D03A50" w:rsidRDefault="00D03A50" w:rsidP="00B27D31">
            <w:pPr>
              <w:pStyle w:val="Tabletext"/>
            </w:pPr>
            <w:r w:rsidRPr="00D03A50">
              <w:t>6.9%</w:t>
            </w:r>
          </w:p>
        </w:tc>
        <w:tc>
          <w:tcPr>
            <w:tcW w:w="818" w:type="pct"/>
          </w:tcPr>
          <w:p w14:paraId="44FC6608" w14:textId="0C857957" w:rsidR="00D03A50" w:rsidRPr="00D03A50" w:rsidRDefault="00DE5C6A" w:rsidP="00B27D31">
            <w:pPr>
              <w:pStyle w:val="Tabletext"/>
            </w:pPr>
            <w:r>
              <w:t>7.4%</w:t>
            </w:r>
          </w:p>
        </w:tc>
      </w:tr>
      <w:tr w:rsidR="00D03A50" w:rsidRPr="00E23AB3" w14:paraId="3E53D0B1" w14:textId="21E32BD5" w:rsidTr="00967F2E">
        <w:trPr>
          <w:jc w:val="center"/>
        </w:trPr>
        <w:tc>
          <w:tcPr>
            <w:tcW w:w="1933" w:type="pct"/>
          </w:tcPr>
          <w:p w14:paraId="1AEBF353" w14:textId="77777777" w:rsidR="00D03A50" w:rsidRPr="00D03A50" w:rsidRDefault="00D03A50" w:rsidP="00B27D31">
            <w:pPr>
              <w:pStyle w:val="Tabletext"/>
            </w:pPr>
            <w:r w:rsidRPr="00D03A50">
              <w:t>Black or Black British</w:t>
            </w:r>
          </w:p>
        </w:tc>
        <w:tc>
          <w:tcPr>
            <w:tcW w:w="830" w:type="pct"/>
            <w:tcBorders>
              <w:right w:val="single" w:sz="4" w:space="0" w:color="auto"/>
            </w:tcBorders>
          </w:tcPr>
          <w:p w14:paraId="68E27963" w14:textId="77777777" w:rsidR="00D03A50" w:rsidRPr="00D03A50" w:rsidRDefault="00D03A50" w:rsidP="00B27D31">
            <w:pPr>
              <w:pStyle w:val="Tabletext"/>
            </w:pPr>
            <w:r w:rsidRPr="00D03A50">
              <w:t>1.4%</w:t>
            </w:r>
          </w:p>
        </w:tc>
        <w:tc>
          <w:tcPr>
            <w:tcW w:w="707" w:type="pct"/>
            <w:tcBorders>
              <w:left w:val="single" w:sz="4" w:space="0" w:color="auto"/>
            </w:tcBorders>
          </w:tcPr>
          <w:p w14:paraId="5357BAAF" w14:textId="77777777" w:rsidR="00D03A50" w:rsidRPr="00D03A50" w:rsidRDefault="00D03A50" w:rsidP="00B27D31">
            <w:pPr>
              <w:pStyle w:val="Tabletext"/>
            </w:pPr>
            <w:r w:rsidRPr="00D03A50">
              <w:t>1.3%</w:t>
            </w:r>
          </w:p>
        </w:tc>
        <w:tc>
          <w:tcPr>
            <w:tcW w:w="712" w:type="pct"/>
          </w:tcPr>
          <w:p w14:paraId="67A19EBE" w14:textId="77777777" w:rsidR="00D03A50" w:rsidRPr="00D03A50" w:rsidRDefault="00D03A50" w:rsidP="00B27D31">
            <w:pPr>
              <w:pStyle w:val="Tabletext"/>
            </w:pPr>
            <w:r w:rsidRPr="00D03A50">
              <w:t>1.0%</w:t>
            </w:r>
          </w:p>
        </w:tc>
        <w:tc>
          <w:tcPr>
            <w:tcW w:w="818" w:type="pct"/>
          </w:tcPr>
          <w:p w14:paraId="23154593" w14:textId="357473F3" w:rsidR="00D03A50" w:rsidRPr="00D03A50" w:rsidRDefault="00DE5C6A" w:rsidP="00B27D31">
            <w:pPr>
              <w:pStyle w:val="Tabletext"/>
            </w:pPr>
            <w:r>
              <w:t>0.7%</w:t>
            </w:r>
          </w:p>
        </w:tc>
      </w:tr>
      <w:tr w:rsidR="00D03A50" w:rsidRPr="00E23AB3" w14:paraId="3EDD81DA" w14:textId="021ADEEA" w:rsidTr="00967F2E">
        <w:trPr>
          <w:jc w:val="center"/>
        </w:trPr>
        <w:tc>
          <w:tcPr>
            <w:tcW w:w="1933" w:type="pct"/>
          </w:tcPr>
          <w:p w14:paraId="3079DED5" w14:textId="77777777" w:rsidR="00D03A50" w:rsidRPr="00D03A50" w:rsidRDefault="00D03A50" w:rsidP="00B27D31">
            <w:pPr>
              <w:pStyle w:val="Tabletext"/>
            </w:pPr>
            <w:r w:rsidRPr="00D03A50">
              <w:t>Mixed</w:t>
            </w:r>
          </w:p>
        </w:tc>
        <w:tc>
          <w:tcPr>
            <w:tcW w:w="830" w:type="pct"/>
            <w:tcBorders>
              <w:right w:val="single" w:sz="4" w:space="0" w:color="auto"/>
            </w:tcBorders>
          </w:tcPr>
          <w:p w14:paraId="4E6664A0" w14:textId="77777777" w:rsidR="00D03A50" w:rsidRPr="00D03A50" w:rsidRDefault="00D03A50" w:rsidP="00B27D31">
            <w:pPr>
              <w:pStyle w:val="Tabletext"/>
            </w:pPr>
            <w:r w:rsidRPr="00D03A50">
              <w:t>1.8%</w:t>
            </w:r>
          </w:p>
        </w:tc>
        <w:tc>
          <w:tcPr>
            <w:tcW w:w="707" w:type="pct"/>
            <w:tcBorders>
              <w:left w:val="single" w:sz="4" w:space="0" w:color="auto"/>
            </w:tcBorders>
          </w:tcPr>
          <w:p w14:paraId="492F2065" w14:textId="77777777" w:rsidR="00D03A50" w:rsidRPr="00D03A50" w:rsidRDefault="00D03A50" w:rsidP="00B27D31">
            <w:pPr>
              <w:pStyle w:val="Tabletext"/>
            </w:pPr>
            <w:r w:rsidRPr="00D03A50">
              <w:t>2.2%</w:t>
            </w:r>
          </w:p>
        </w:tc>
        <w:tc>
          <w:tcPr>
            <w:tcW w:w="712" w:type="pct"/>
          </w:tcPr>
          <w:p w14:paraId="2FFAAD77" w14:textId="77777777" w:rsidR="00D03A50" w:rsidRPr="00D03A50" w:rsidRDefault="00D03A50" w:rsidP="00B27D31">
            <w:pPr>
              <w:pStyle w:val="Tabletext"/>
            </w:pPr>
            <w:r w:rsidRPr="00D03A50">
              <w:t>2.3%</w:t>
            </w:r>
          </w:p>
        </w:tc>
        <w:tc>
          <w:tcPr>
            <w:tcW w:w="818" w:type="pct"/>
          </w:tcPr>
          <w:p w14:paraId="5BE6678F" w14:textId="58805557" w:rsidR="00D03A50" w:rsidRPr="00D03A50" w:rsidRDefault="00DE5C6A" w:rsidP="00B27D31">
            <w:pPr>
              <w:pStyle w:val="Tabletext"/>
            </w:pPr>
            <w:r>
              <w:t>3.3%</w:t>
            </w:r>
          </w:p>
        </w:tc>
      </w:tr>
      <w:tr w:rsidR="00D03A50" w:rsidRPr="00E23AB3" w14:paraId="5574746F" w14:textId="311FCDC4" w:rsidTr="00967F2E">
        <w:trPr>
          <w:jc w:val="center"/>
        </w:trPr>
        <w:tc>
          <w:tcPr>
            <w:tcW w:w="1933" w:type="pct"/>
          </w:tcPr>
          <w:p w14:paraId="52CB56F2" w14:textId="77777777" w:rsidR="00D03A50" w:rsidRPr="00D03A50" w:rsidRDefault="00D03A50" w:rsidP="00B27D31">
            <w:pPr>
              <w:pStyle w:val="Tabletext"/>
            </w:pPr>
            <w:r w:rsidRPr="00D03A50">
              <w:t>Other</w:t>
            </w:r>
          </w:p>
        </w:tc>
        <w:tc>
          <w:tcPr>
            <w:tcW w:w="830" w:type="pct"/>
            <w:tcBorders>
              <w:right w:val="single" w:sz="4" w:space="0" w:color="auto"/>
            </w:tcBorders>
          </w:tcPr>
          <w:p w14:paraId="5DD35815" w14:textId="77777777" w:rsidR="00D03A50" w:rsidRPr="00D03A50" w:rsidRDefault="00D03A50" w:rsidP="00B27D31">
            <w:pPr>
              <w:pStyle w:val="Tabletext"/>
            </w:pPr>
            <w:r w:rsidRPr="00D03A50">
              <w:t>2.1%</w:t>
            </w:r>
          </w:p>
        </w:tc>
        <w:tc>
          <w:tcPr>
            <w:tcW w:w="707" w:type="pct"/>
            <w:tcBorders>
              <w:left w:val="single" w:sz="4" w:space="0" w:color="auto"/>
            </w:tcBorders>
          </w:tcPr>
          <w:p w14:paraId="0FE6F320" w14:textId="77777777" w:rsidR="00D03A50" w:rsidRPr="00D03A50" w:rsidRDefault="00D03A50" w:rsidP="00B27D31">
            <w:pPr>
              <w:pStyle w:val="Tabletext"/>
            </w:pPr>
            <w:r w:rsidRPr="00D03A50">
              <w:t>2.4%</w:t>
            </w:r>
          </w:p>
        </w:tc>
        <w:tc>
          <w:tcPr>
            <w:tcW w:w="712" w:type="pct"/>
          </w:tcPr>
          <w:p w14:paraId="2A09CFC5" w14:textId="77777777" w:rsidR="00D03A50" w:rsidRPr="00D03A50" w:rsidRDefault="00D03A50" w:rsidP="00B27D31">
            <w:pPr>
              <w:pStyle w:val="Tabletext"/>
            </w:pPr>
            <w:r w:rsidRPr="00D03A50">
              <w:t>3.4%</w:t>
            </w:r>
          </w:p>
        </w:tc>
        <w:tc>
          <w:tcPr>
            <w:tcW w:w="818" w:type="pct"/>
          </w:tcPr>
          <w:p w14:paraId="2C25A980" w14:textId="12975353" w:rsidR="00D03A50" w:rsidRPr="00D03A50" w:rsidRDefault="00DE5C6A" w:rsidP="00B27D31">
            <w:pPr>
              <w:pStyle w:val="Tabletext"/>
            </w:pPr>
            <w:r>
              <w:t>2.9%</w:t>
            </w:r>
          </w:p>
        </w:tc>
      </w:tr>
      <w:tr w:rsidR="00D03A50" w:rsidRPr="00E23AB3" w14:paraId="4EFC9E8C" w14:textId="3BE47069" w:rsidTr="00967F2E">
        <w:trPr>
          <w:jc w:val="center"/>
        </w:trPr>
        <w:tc>
          <w:tcPr>
            <w:tcW w:w="1933" w:type="pct"/>
          </w:tcPr>
          <w:p w14:paraId="6FA3A52E" w14:textId="77777777" w:rsidR="00D03A50" w:rsidRPr="00D03A50" w:rsidRDefault="00D03A50" w:rsidP="00886CB9">
            <w:pPr>
              <w:pStyle w:val="Tabletext"/>
              <w:rPr>
                <w:i/>
              </w:rPr>
            </w:pPr>
            <w:r w:rsidRPr="00D03A50">
              <w:rPr>
                <w:i/>
              </w:rPr>
              <w:t>Total: all non-white</w:t>
            </w:r>
          </w:p>
        </w:tc>
        <w:tc>
          <w:tcPr>
            <w:tcW w:w="830" w:type="pct"/>
            <w:tcBorders>
              <w:right w:val="single" w:sz="4" w:space="0" w:color="auto"/>
            </w:tcBorders>
          </w:tcPr>
          <w:p w14:paraId="7404D443" w14:textId="77777777" w:rsidR="00D03A50" w:rsidRPr="00D03A50" w:rsidRDefault="00D03A50" w:rsidP="00B27D31">
            <w:pPr>
              <w:pStyle w:val="Tabletext"/>
              <w:rPr>
                <w:i/>
              </w:rPr>
            </w:pPr>
            <w:r w:rsidRPr="00D03A50">
              <w:rPr>
                <w:i/>
              </w:rPr>
              <w:t>10.6%</w:t>
            </w:r>
          </w:p>
        </w:tc>
        <w:tc>
          <w:tcPr>
            <w:tcW w:w="707" w:type="pct"/>
            <w:tcBorders>
              <w:left w:val="single" w:sz="4" w:space="0" w:color="auto"/>
            </w:tcBorders>
          </w:tcPr>
          <w:p w14:paraId="78500699" w14:textId="77777777" w:rsidR="00D03A50" w:rsidRPr="00D03A50" w:rsidRDefault="00D03A50" w:rsidP="00B27D31">
            <w:pPr>
              <w:pStyle w:val="Tabletext"/>
              <w:rPr>
                <w:i/>
              </w:rPr>
            </w:pPr>
            <w:r w:rsidRPr="00D03A50">
              <w:rPr>
                <w:i/>
              </w:rPr>
              <w:t>11.8%</w:t>
            </w:r>
          </w:p>
        </w:tc>
        <w:tc>
          <w:tcPr>
            <w:tcW w:w="712" w:type="pct"/>
          </w:tcPr>
          <w:p w14:paraId="311A09F4" w14:textId="77777777" w:rsidR="00D03A50" w:rsidRPr="00D03A50" w:rsidRDefault="00D03A50" w:rsidP="00B27D31">
            <w:pPr>
              <w:pStyle w:val="Tabletext"/>
              <w:rPr>
                <w:i/>
              </w:rPr>
            </w:pPr>
            <w:r w:rsidRPr="00D03A50">
              <w:rPr>
                <w:i/>
              </w:rPr>
              <w:t>13.6%</w:t>
            </w:r>
          </w:p>
        </w:tc>
        <w:tc>
          <w:tcPr>
            <w:tcW w:w="818" w:type="pct"/>
          </w:tcPr>
          <w:p w14:paraId="45B94EFA" w14:textId="1FEDD628" w:rsidR="00D03A50" w:rsidRPr="00D03A50" w:rsidRDefault="000711F6" w:rsidP="00B27D31">
            <w:pPr>
              <w:pStyle w:val="Tabletext"/>
              <w:rPr>
                <w:i/>
              </w:rPr>
            </w:pPr>
            <w:r>
              <w:rPr>
                <w:i/>
              </w:rPr>
              <w:t>14.3%</w:t>
            </w:r>
          </w:p>
        </w:tc>
      </w:tr>
      <w:tr w:rsidR="00D03A50" w:rsidRPr="00E23AB3" w14:paraId="247BAD06" w14:textId="711796B2" w:rsidTr="00967F2E">
        <w:trPr>
          <w:jc w:val="center"/>
        </w:trPr>
        <w:tc>
          <w:tcPr>
            <w:tcW w:w="1933" w:type="pct"/>
          </w:tcPr>
          <w:p w14:paraId="4C5B3095" w14:textId="77777777" w:rsidR="00D03A50" w:rsidRPr="00D03A50" w:rsidRDefault="00D03A50" w:rsidP="00B27D31">
            <w:pPr>
              <w:pStyle w:val="Tabletext"/>
            </w:pPr>
            <w:r w:rsidRPr="00D03A50">
              <w:t xml:space="preserve">White </w:t>
            </w:r>
          </w:p>
        </w:tc>
        <w:tc>
          <w:tcPr>
            <w:tcW w:w="830" w:type="pct"/>
          </w:tcPr>
          <w:p w14:paraId="6163A828" w14:textId="77777777" w:rsidR="00D03A50" w:rsidRPr="00D03A50" w:rsidRDefault="00D03A50" w:rsidP="00886CB9">
            <w:pPr>
              <w:pStyle w:val="Tabletext"/>
            </w:pPr>
            <w:r w:rsidRPr="00D03A50">
              <w:t>88.1%</w:t>
            </w:r>
          </w:p>
        </w:tc>
        <w:tc>
          <w:tcPr>
            <w:tcW w:w="707" w:type="pct"/>
          </w:tcPr>
          <w:p w14:paraId="4736F32D" w14:textId="77777777" w:rsidR="00D03A50" w:rsidRPr="00D03A50" w:rsidRDefault="00D03A50" w:rsidP="00B27D31">
            <w:pPr>
              <w:pStyle w:val="Tabletext"/>
            </w:pPr>
            <w:r w:rsidRPr="00D03A50">
              <w:t>85.9%</w:t>
            </w:r>
          </w:p>
        </w:tc>
        <w:tc>
          <w:tcPr>
            <w:tcW w:w="712" w:type="pct"/>
          </w:tcPr>
          <w:p w14:paraId="221BEDBA" w14:textId="77777777" w:rsidR="00D03A50" w:rsidRPr="00D03A50" w:rsidRDefault="00D03A50" w:rsidP="00B27D31">
            <w:pPr>
              <w:pStyle w:val="Tabletext"/>
            </w:pPr>
            <w:r w:rsidRPr="00D03A50">
              <w:t>85.1%</w:t>
            </w:r>
          </w:p>
        </w:tc>
        <w:tc>
          <w:tcPr>
            <w:tcW w:w="818" w:type="pct"/>
          </w:tcPr>
          <w:p w14:paraId="30FD2E9D" w14:textId="7B04ECBC" w:rsidR="00D03A50" w:rsidRPr="00D03A50" w:rsidRDefault="000711F6" w:rsidP="00B27D31">
            <w:pPr>
              <w:pStyle w:val="Tabletext"/>
            </w:pPr>
            <w:r>
              <w:t>83%</w:t>
            </w:r>
          </w:p>
        </w:tc>
      </w:tr>
      <w:tr w:rsidR="00D03A50" w:rsidRPr="00E23AB3" w14:paraId="1F8F51C5" w14:textId="7BF211ED" w:rsidTr="00967F2E">
        <w:trPr>
          <w:jc w:val="center"/>
        </w:trPr>
        <w:tc>
          <w:tcPr>
            <w:tcW w:w="1933" w:type="pct"/>
          </w:tcPr>
          <w:p w14:paraId="37A9785A" w14:textId="77777777" w:rsidR="00D03A50" w:rsidRPr="00D03A50" w:rsidRDefault="00D03A50" w:rsidP="00B27D31">
            <w:pPr>
              <w:pStyle w:val="Tabletext"/>
            </w:pPr>
            <w:r w:rsidRPr="00D03A50">
              <w:t>Did not disclose or answer</w:t>
            </w:r>
          </w:p>
        </w:tc>
        <w:tc>
          <w:tcPr>
            <w:tcW w:w="830" w:type="pct"/>
          </w:tcPr>
          <w:p w14:paraId="7B7ADEDF" w14:textId="77777777" w:rsidR="00D03A50" w:rsidRPr="00D03A50" w:rsidRDefault="00D03A50" w:rsidP="00B27D31">
            <w:pPr>
              <w:pStyle w:val="Tabletext"/>
            </w:pPr>
            <w:r w:rsidRPr="00D03A50">
              <w:t>1.2%</w:t>
            </w:r>
          </w:p>
        </w:tc>
        <w:tc>
          <w:tcPr>
            <w:tcW w:w="707" w:type="pct"/>
          </w:tcPr>
          <w:p w14:paraId="33C50A79" w14:textId="77777777" w:rsidR="00D03A50" w:rsidRPr="00D03A50" w:rsidRDefault="00D03A50" w:rsidP="00B27D31">
            <w:pPr>
              <w:pStyle w:val="Tabletext"/>
            </w:pPr>
            <w:r w:rsidRPr="00D03A50">
              <w:t>2.5%</w:t>
            </w:r>
          </w:p>
        </w:tc>
        <w:tc>
          <w:tcPr>
            <w:tcW w:w="712" w:type="pct"/>
          </w:tcPr>
          <w:p w14:paraId="292F885E" w14:textId="77777777" w:rsidR="00D03A50" w:rsidRPr="00D03A50" w:rsidRDefault="00D03A50" w:rsidP="00B27D31">
            <w:pPr>
              <w:pStyle w:val="Tabletext"/>
            </w:pPr>
            <w:r w:rsidRPr="00D03A50">
              <w:t>1.3%</w:t>
            </w:r>
          </w:p>
        </w:tc>
        <w:tc>
          <w:tcPr>
            <w:tcW w:w="818" w:type="pct"/>
          </w:tcPr>
          <w:p w14:paraId="10A6A996" w14:textId="6E66EBA3" w:rsidR="00D03A50" w:rsidRPr="00D03A50" w:rsidRDefault="000711F6" w:rsidP="00B27D31">
            <w:pPr>
              <w:pStyle w:val="Tabletext"/>
            </w:pPr>
            <w:r>
              <w:t>2.9%</w:t>
            </w:r>
          </w:p>
        </w:tc>
      </w:tr>
    </w:tbl>
    <w:p w14:paraId="5840C151" w14:textId="0A1A1A74" w:rsidR="003246EF" w:rsidRPr="008C5569" w:rsidRDefault="0094448C" w:rsidP="00C51B05">
      <w:pPr>
        <w:pStyle w:val="Paragraph"/>
      </w:pPr>
      <w:r w:rsidRPr="008C5569">
        <w:t xml:space="preserve">The proportion of respondents who identified themselves </w:t>
      </w:r>
      <w:r w:rsidR="002845C9">
        <w:t xml:space="preserve">as being </w:t>
      </w:r>
      <w:r w:rsidRPr="008C5569">
        <w:t xml:space="preserve">of non-white ethnicity was </w:t>
      </w:r>
      <w:r w:rsidR="003246EF" w:rsidRPr="008C5569">
        <w:t xml:space="preserve">higher amongst </w:t>
      </w:r>
      <w:r w:rsidRPr="008C5569">
        <w:t>non-</w:t>
      </w:r>
      <w:r w:rsidR="003246EF" w:rsidRPr="008C5569">
        <w:t>lay members (</w:t>
      </w:r>
      <w:r w:rsidR="000711F6" w:rsidRPr="008C5569">
        <w:t>16</w:t>
      </w:r>
      <w:r w:rsidR="003246EF" w:rsidRPr="008C5569">
        <w:t xml:space="preserve">%) than lay members </w:t>
      </w:r>
      <w:r w:rsidRPr="008C5569">
        <w:t>(</w:t>
      </w:r>
      <w:r w:rsidR="000711F6" w:rsidRPr="008C5569">
        <w:t>8</w:t>
      </w:r>
      <w:r w:rsidR="005A3F2F" w:rsidRPr="008C5569">
        <w:t>%)</w:t>
      </w:r>
      <w:r w:rsidR="003246EF" w:rsidRPr="008C5569">
        <w:t>.</w:t>
      </w:r>
      <w:r w:rsidR="00766096" w:rsidRPr="008C5569">
        <w:t xml:space="preserve"> The proportion of respondents of Black ethnicity is lower </w:t>
      </w:r>
      <w:r w:rsidR="00766096" w:rsidRPr="008C5569">
        <w:lastRenderedPageBreak/>
        <w:t xml:space="preserve">than the general population (England and Wales, 2011 census) for both lay and non-lay roles. </w:t>
      </w:r>
      <w:r w:rsidR="0063752D" w:rsidRPr="008C5569">
        <w:t>B</w:t>
      </w:r>
      <w:r w:rsidR="00766096" w:rsidRPr="008C5569">
        <w:t>ased on the responses, people of Asian ethnicity are underrepresented</w:t>
      </w:r>
      <w:r w:rsidR="0063752D" w:rsidRPr="008C5569">
        <w:t xml:space="preserve"> in lay roles</w:t>
      </w:r>
      <w:r w:rsidR="00766096" w:rsidRPr="008C5569">
        <w:t xml:space="preserve"> compared </w:t>
      </w:r>
      <w:r w:rsidR="005071AA">
        <w:t xml:space="preserve">with </w:t>
      </w:r>
      <w:r w:rsidR="00766096" w:rsidRPr="008C5569">
        <w:t>the general population, but the proportion of non-lay members of Asian ethnicity is higher than the general population.</w:t>
      </w:r>
    </w:p>
    <w:p w14:paraId="47451698" w14:textId="59615DAF" w:rsidR="003D42EF" w:rsidRPr="005D5AA7" w:rsidRDefault="005A3F2F" w:rsidP="007F28F6">
      <w:pPr>
        <w:pStyle w:val="Paragraph"/>
        <w:ind w:firstLine="0"/>
      </w:pPr>
      <w:r w:rsidRPr="004A4789">
        <w:t xml:space="preserve">The proportion of respondents who </w:t>
      </w:r>
      <w:r w:rsidR="003D42EF" w:rsidRPr="004A4789">
        <w:t>identified themselves of non-white ethnicity w</w:t>
      </w:r>
      <w:r w:rsidRPr="004A4789">
        <w:t xml:space="preserve">as highest on </w:t>
      </w:r>
      <w:r w:rsidR="003D42EF" w:rsidRPr="004A4789">
        <w:t>the Medical Technologies Advisory Committee (</w:t>
      </w:r>
      <w:r w:rsidR="004A4789" w:rsidRPr="004A4789">
        <w:t>44</w:t>
      </w:r>
      <w:r w:rsidR="003D42EF" w:rsidRPr="004A4789">
        <w:t>%)</w:t>
      </w:r>
      <w:r w:rsidR="004A4789" w:rsidRPr="004A4789">
        <w:t>, followed by the Quality Standards Advisory Committees (22%) and Technology Appraisal Committees (22%)</w:t>
      </w:r>
      <w:r w:rsidR="003D42EF" w:rsidRPr="004A4789">
        <w:t>.</w:t>
      </w:r>
      <w:r w:rsidR="00FF3403">
        <w:t xml:space="preserve"> It was lowest on the Interventional Procedures Advisory </w:t>
      </w:r>
      <w:r w:rsidR="00FF3403" w:rsidRPr="005D5AA7">
        <w:t>Committee (6%).</w:t>
      </w:r>
    </w:p>
    <w:p w14:paraId="40809AB6" w14:textId="77777777" w:rsidR="00AB06E8" w:rsidRPr="005D5AA7" w:rsidRDefault="00AB06E8" w:rsidP="00AB06E8">
      <w:pPr>
        <w:pStyle w:val="Heading3boardreport"/>
      </w:pPr>
      <w:r w:rsidRPr="005D5AA7">
        <w:t>Age</w:t>
      </w:r>
    </w:p>
    <w:p w14:paraId="6B7C84FE" w14:textId="77777777" w:rsidR="009503FF" w:rsidRPr="00E23AB3" w:rsidRDefault="00AB06E8" w:rsidP="007F28F6">
      <w:pPr>
        <w:pStyle w:val="Tableandgraphheading"/>
        <w:ind w:left="142" w:firstLine="426"/>
      </w:pPr>
      <w:r w:rsidRPr="00E23AB3">
        <w:t xml:space="preserve">Chart 4: </w:t>
      </w:r>
      <w:r w:rsidRPr="005D5AA7">
        <w:t>Age</w:t>
      </w:r>
      <w:r w:rsidRPr="00E23AB3">
        <w:t xml:space="preserve"> distribution</w:t>
      </w:r>
      <w:r w:rsidR="009503FF" w:rsidRPr="00E23AB3">
        <w:t>: advisory committee members</w:t>
      </w:r>
    </w:p>
    <w:p w14:paraId="2306E322" w14:textId="0A7C58D6" w:rsidR="00AB06E8" w:rsidRDefault="00D01299" w:rsidP="007F28F6">
      <w:pPr>
        <w:pStyle w:val="Paragraph"/>
        <w:numPr>
          <w:ilvl w:val="0"/>
          <w:numId w:val="0"/>
        </w:numPr>
        <w:ind w:left="567"/>
        <w:jc w:val="center"/>
        <w:rPr>
          <w:color w:val="FF0000"/>
        </w:rPr>
      </w:pPr>
      <w:r>
        <w:rPr>
          <w:noProof/>
        </w:rPr>
        <w:drawing>
          <wp:inline distT="0" distB="0" distL="0" distR="0" wp14:anchorId="596F5A09" wp14:editId="75BE2951">
            <wp:extent cx="5362575" cy="2297689"/>
            <wp:effectExtent l="0" t="0" r="9525" b="7620"/>
            <wp:docPr id="12" name="Chart 12" descr="Chart 4, which shows the age of the advisory committee members as at 31 March 2019.&#10;">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57DD24" w14:textId="77777777" w:rsidR="00E83A91" w:rsidRPr="00037A24" w:rsidRDefault="007B03CB" w:rsidP="00E83A91">
      <w:pPr>
        <w:pStyle w:val="Paragraph"/>
        <w:numPr>
          <w:ilvl w:val="0"/>
          <w:numId w:val="0"/>
        </w:numPr>
        <w:ind w:left="567"/>
        <w:rPr>
          <w:rFonts w:cs="Arial"/>
          <w:noProof/>
          <w:color w:val="FF0000"/>
        </w:rPr>
      </w:pPr>
      <w:hyperlink r:id="rId20" w:history="1">
        <w:r w:rsidR="00E83A91">
          <w:rPr>
            <w:rStyle w:val="Hyperlink"/>
          </w:rPr>
          <w:t>D</w:t>
        </w:r>
        <w:r w:rsidR="00E83A91" w:rsidRPr="00B94771">
          <w:rPr>
            <w:rStyle w:val="Hyperlink"/>
          </w:rPr>
          <w:t>ownload the data set for this chart</w:t>
        </w:r>
      </w:hyperlink>
    </w:p>
    <w:p w14:paraId="5A4467B1" w14:textId="2DB3E734" w:rsidR="00CA4462" w:rsidRPr="00F25466" w:rsidRDefault="00A04BE7" w:rsidP="00C51B05">
      <w:pPr>
        <w:pStyle w:val="Paragraph"/>
      </w:pPr>
      <w:r w:rsidRPr="00E859D3">
        <w:t>Just under half (48%) of the respondents in the 201</w:t>
      </w:r>
      <w:r w:rsidR="00E859D3" w:rsidRPr="00E859D3">
        <w:t>9</w:t>
      </w:r>
      <w:r w:rsidRPr="00E859D3">
        <w:t xml:space="preserve"> </w:t>
      </w:r>
      <w:r w:rsidR="00F37376" w:rsidRPr="00E859D3">
        <w:t xml:space="preserve">survey </w:t>
      </w:r>
      <w:r w:rsidR="00AB06E8" w:rsidRPr="00E859D3">
        <w:t>were between 51 and 65 years old</w:t>
      </w:r>
      <w:r w:rsidR="00CA4462" w:rsidRPr="00E859D3">
        <w:t>, and 8</w:t>
      </w:r>
      <w:r w:rsidR="00E859D3" w:rsidRPr="00E859D3">
        <w:t>4</w:t>
      </w:r>
      <w:r w:rsidR="00CA4462" w:rsidRPr="00E859D3">
        <w:t>% between 36 and 65 years old</w:t>
      </w:r>
      <w:r w:rsidR="00AB06E8" w:rsidRPr="00E859D3">
        <w:t xml:space="preserve">. </w:t>
      </w:r>
      <w:r w:rsidR="00AB06E8" w:rsidRPr="00F25466">
        <w:t xml:space="preserve">Overall, the age profile is </w:t>
      </w:r>
      <w:r w:rsidRPr="00F25466">
        <w:t xml:space="preserve">broadly </w:t>
      </w:r>
      <w:proofErr w:type="gramStart"/>
      <w:r w:rsidR="00AB06E8" w:rsidRPr="00F25466">
        <w:t>similar to</w:t>
      </w:r>
      <w:proofErr w:type="gramEnd"/>
      <w:r w:rsidR="00AB06E8" w:rsidRPr="00F25466">
        <w:t xml:space="preserve"> that in the </w:t>
      </w:r>
      <w:r w:rsidR="0044527D" w:rsidRPr="00F25466">
        <w:t>201</w:t>
      </w:r>
      <w:r w:rsidR="00782318">
        <w:t>8</w:t>
      </w:r>
      <w:r w:rsidR="00AB06E8" w:rsidRPr="00F25466">
        <w:t xml:space="preserve"> survey. </w:t>
      </w:r>
    </w:p>
    <w:p w14:paraId="0D4AD110" w14:textId="77777777" w:rsidR="00A04BE7" w:rsidRPr="00E859D3" w:rsidRDefault="00A04BE7" w:rsidP="00C51B05">
      <w:pPr>
        <w:pStyle w:val="Paragraph"/>
      </w:pPr>
      <w:r w:rsidRPr="00E859D3">
        <w:t xml:space="preserve">The proportion of respondents between 51 and 65 years old was similar for lay and non-lay roles. </w:t>
      </w:r>
      <w:proofErr w:type="gramStart"/>
      <w:r w:rsidRPr="00E859D3">
        <w:t>However</w:t>
      </w:r>
      <w:proofErr w:type="gramEnd"/>
      <w:r w:rsidRPr="00E859D3">
        <w:t xml:space="preserve"> the spread of responses across the other </w:t>
      </w:r>
      <w:r w:rsidR="007F2EA3" w:rsidRPr="00E859D3">
        <w:t xml:space="preserve">age bands </w:t>
      </w:r>
      <w:r w:rsidRPr="00E859D3">
        <w:t xml:space="preserve">varied between lay and non-lay roles. </w:t>
      </w:r>
    </w:p>
    <w:p w14:paraId="0A430B89" w14:textId="492AB098" w:rsidR="00CA4462" w:rsidRPr="00E859D3" w:rsidRDefault="00CA4462" w:rsidP="00C51B05">
      <w:pPr>
        <w:pStyle w:val="Paragraph"/>
      </w:pPr>
      <w:r w:rsidRPr="00E859D3">
        <w:t xml:space="preserve">The proportion of respondents between 18 and 35 years old was higher </w:t>
      </w:r>
      <w:r w:rsidR="001176C1" w:rsidRPr="00E859D3">
        <w:t>for</w:t>
      </w:r>
      <w:r w:rsidRPr="00E859D3">
        <w:t xml:space="preserve"> lay members (</w:t>
      </w:r>
      <w:r w:rsidR="0063752D" w:rsidRPr="00E859D3">
        <w:t>1</w:t>
      </w:r>
      <w:r w:rsidR="00E859D3" w:rsidRPr="00E859D3">
        <w:t>3</w:t>
      </w:r>
      <w:r w:rsidRPr="00E859D3">
        <w:t>%) than non-lay members (</w:t>
      </w:r>
      <w:r w:rsidR="00E859D3" w:rsidRPr="00E859D3">
        <w:t>3</w:t>
      </w:r>
      <w:r w:rsidRPr="00E859D3">
        <w:t xml:space="preserve">%), as was the proportion of respondents over 65 </w:t>
      </w:r>
      <w:r w:rsidR="007F2EA3" w:rsidRPr="00E859D3">
        <w:t xml:space="preserve">years old </w:t>
      </w:r>
      <w:r w:rsidRPr="00E859D3">
        <w:t>(2</w:t>
      </w:r>
      <w:r w:rsidR="0063752D" w:rsidRPr="00E859D3">
        <w:t>5</w:t>
      </w:r>
      <w:r w:rsidRPr="00E859D3">
        <w:t xml:space="preserve">% of lay members and </w:t>
      </w:r>
      <w:r w:rsidR="00E859D3" w:rsidRPr="00E859D3">
        <w:t>6</w:t>
      </w:r>
      <w:r w:rsidRPr="00E859D3">
        <w:t>% of non-lay members).</w:t>
      </w:r>
      <w:r w:rsidR="004816F5" w:rsidRPr="00E859D3">
        <w:t xml:space="preserve"> </w:t>
      </w:r>
    </w:p>
    <w:p w14:paraId="491E4D80" w14:textId="0753F957" w:rsidR="00AB06E8" w:rsidRPr="00A67A60" w:rsidRDefault="0009209B" w:rsidP="00C51B05">
      <w:pPr>
        <w:pStyle w:val="Paragraph"/>
      </w:pPr>
      <w:r w:rsidRPr="00A67A60">
        <w:t>C</w:t>
      </w:r>
      <w:r w:rsidR="00AB06E8" w:rsidRPr="00A67A60">
        <w:t xml:space="preserve">ompared </w:t>
      </w:r>
      <w:r w:rsidR="005071AA">
        <w:t xml:space="preserve">with </w:t>
      </w:r>
      <w:r w:rsidR="00AB06E8" w:rsidRPr="00A67A60">
        <w:t xml:space="preserve">the </w:t>
      </w:r>
      <w:r w:rsidRPr="00A67A60">
        <w:t xml:space="preserve">general </w:t>
      </w:r>
      <w:r w:rsidR="00AB06E8" w:rsidRPr="00A67A60">
        <w:t>population (</w:t>
      </w:r>
      <w:r w:rsidRPr="00A67A60">
        <w:t xml:space="preserve">England and Wales, </w:t>
      </w:r>
      <w:r w:rsidR="00AB06E8" w:rsidRPr="00A67A60">
        <w:t>O</w:t>
      </w:r>
      <w:r w:rsidRPr="00A67A60">
        <w:t xml:space="preserve">ffice for National Statistics </w:t>
      </w:r>
      <w:r w:rsidR="00A67A60" w:rsidRPr="00A67A60">
        <w:t>mid-</w:t>
      </w:r>
      <w:r w:rsidRPr="00A67A60">
        <w:t>201</w:t>
      </w:r>
      <w:r w:rsidR="00A67A60" w:rsidRPr="00A67A60">
        <w:t>7</w:t>
      </w:r>
      <w:r w:rsidRPr="00A67A60">
        <w:t xml:space="preserve"> </w:t>
      </w:r>
      <w:r w:rsidR="00AB06E8" w:rsidRPr="00A67A60">
        <w:t>estimates</w:t>
      </w:r>
      <w:r w:rsidR="001176C1" w:rsidRPr="00A67A60">
        <w:t>) committees are under</w:t>
      </w:r>
      <w:r w:rsidR="00893667" w:rsidRPr="00A67A60">
        <w:t>-</w:t>
      </w:r>
      <w:r w:rsidR="001176C1" w:rsidRPr="00A67A60">
        <w:t xml:space="preserve">representative </w:t>
      </w:r>
      <w:r w:rsidRPr="00A67A60">
        <w:lastRenderedPageBreak/>
        <w:t xml:space="preserve">of </w:t>
      </w:r>
      <w:r w:rsidR="00C944E7">
        <w:t>people</w:t>
      </w:r>
      <w:r w:rsidR="00AB06E8" w:rsidRPr="00A67A60">
        <w:t xml:space="preserve"> </w:t>
      </w:r>
      <w:r w:rsidRPr="00A67A60">
        <w:t xml:space="preserve">under </w:t>
      </w:r>
      <w:r w:rsidR="00AB06E8" w:rsidRPr="00A67A60">
        <w:t>35 years old and over 65 years old</w:t>
      </w:r>
      <w:r w:rsidRPr="00A67A60">
        <w:t>.</w:t>
      </w:r>
      <w:r w:rsidRPr="00A67A60">
        <w:rPr>
          <w:rStyle w:val="FootnoteReference"/>
        </w:rPr>
        <w:footnoteReference w:id="5"/>
      </w:r>
      <w:r w:rsidRPr="00A67A60">
        <w:t xml:space="preserve"> </w:t>
      </w:r>
      <w:r w:rsidR="004816F5" w:rsidRPr="00A67A60">
        <w:t xml:space="preserve">This is a likely consequence of </w:t>
      </w:r>
      <w:r w:rsidR="00A61AD9" w:rsidRPr="00A67A60">
        <w:t xml:space="preserve">seeking </w:t>
      </w:r>
      <w:r w:rsidR="009938FF" w:rsidRPr="00A67A60">
        <w:t xml:space="preserve">very </w:t>
      </w:r>
      <w:r w:rsidR="00A61AD9" w:rsidRPr="00A67A60">
        <w:t xml:space="preserve">experienced </w:t>
      </w:r>
      <w:r w:rsidR="00B2559F" w:rsidRPr="00A67A60">
        <w:t xml:space="preserve">and currently </w:t>
      </w:r>
      <w:r w:rsidR="004816F5" w:rsidRPr="00A67A60">
        <w:t xml:space="preserve">practising health and social care professionals </w:t>
      </w:r>
      <w:r w:rsidR="00A61AD9" w:rsidRPr="00A67A60">
        <w:t>for</w:t>
      </w:r>
      <w:r w:rsidR="004816F5" w:rsidRPr="00A67A60">
        <w:t xml:space="preserve"> non-lay roles.</w:t>
      </w:r>
      <w:r w:rsidR="00DA3510" w:rsidRPr="00A67A60">
        <w:t xml:space="preserve"> Lay roles, which do not require a current senior level role in the health and care services, have a higher proportion of respondents under 36 years old and over 65 years old.</w:t>
      </w:r>
    </w:p>
    <w:p w14:paraId="2A901353" w14:textId="71C99821" w:rsidR="00DA3510" w:rsidRPr="00E23AB3" w:rsidRDefault="00AB06E8" w:rsidP="00C51B05">
      <w:pPr>
        <w:pStyle w:val="Paragraph"/>
        <w:rPr>
          <w:color w:val="FF0000"/>
        </w:rPr>
      </w:pPr>
      <w:r w:rsidRPr="0089295E">
        <w:t xml:space="preserve">The </w:t>
      </w:r>
      <w:r w:rsidR="00ED160E" w:rsidRPr="0089295E">
        <w:t xml:space="preserve">proportion of respondents </w:t>
      </w:r>
      <w:r w:rsidR="00DA3510" w:rsidRPr="0089295E">
        <w:t>between 51 and 65 years old was highest on the Medical Technologies Advisory Committee (</w:t>
      </w:r>
      <w:r w:rsidR="0089295E" w:rsidRPr="0089295E">
        <w:t>69</w:t>
      </w:r>
      <w:r w:rsidR="00DA3510" w:rsidRPr="0089295E">
        <w:t xml:space="preserve">%) and </w:t>
      </w:r>
      <w:r w:rsidR="0089295E" w:rsidRPr="0089295E">
        <w:t xml:space="preserve">Quality Standards Advisory Committee </w:t>
      </w:r>
      <w:r w:rsidR="00DA3510" w:rsidRPr="0089295E">
        <w:t>(6</w:t>
      </w:r>
      <w:r w:rsidR="0089295E" w:rsidRPr="0089295E">
        <w:t>5</w:t>
      </w:r>
      <w:r w:rsidR="00DA3510" w:rsidRPr="0089295E">
        <w:t xml:space="preserve">%). It was lowest on the </w:t>
      </w:r>
      <w:r w:rsidR="0089295E" w:rsidRPr="0089295E">
        <w:t xml:space="preserve">Indicator Advisory Committee (18%) and </w:t>
      </w:r>
      <w:r w:rsidR="00DA3510" w:rsidRPr="0089295E">
        <w:t>Highly Specialised Technologies Evaluation Committee (</w:t>
      </w:r>
      <w:r w:rsidR="0089295E" w:rsidRPr="0089295E">
        <w:t>33</w:t>
      </w:r>
      <w:r w:rsidR="00DA3510" w:rsidRPr="0089295E">
        <w:t>%)</w:t>
      </w:r>
      <w:r w:rsidR="0089295E" w:rsidRPr="0089295E">
        <w:t xml:space="preserve">. </w:t>
      </w:r>
    </w:p>
    <w:p w14:paraId="7442193C" w14:textId="77777777" w:rsidR="00AB06E8" w:rsidRPr="00E23AB3" w:rsidRDefault="00AB06E8" w:rsidP="00AF3BCA">
      <w:pPr>
        <w:pStyle w:val="Heading3boardreport"/>
      </w:pPr>
      <w:r w:rsidRPr="00E23AB3">
        <w:t xml:space="preserve">Sexual </w:t>
      </w:r>
      <w:r w:rsidRPr="00AF3BCA">
        <w:t>orientation</w:t>
      </w:r>
    </w:p>
    <w:p w14:paraId="72496B09" w14:textId="77777777" w:rsidR="009503FF" w:rsidRPr="00E23AB3" w:rsidRDefault="00AB06E8" w:rsidP="007F28F6">
      <w:pPr>
        <w:pStyle w:val="Tableandgraphheading"/>
        <w:spacing w:before="240"/>
        <w:ind w:left="567"/>
      </w:pPr>
      <w:r w:rsidRPr="00AF3BCA">
        <w:t>Chart</w:t>
      </w:r>
      <w:r w:rsidRPr="00E23AB3">
        <w:t xml:space="preserve"> 5: Sexual orientation</w:t>
      </w:r>
      <w:r w:rsidR="009503FF" w:rsidRPr="00E23AB3">
        <w:t>: advisory committee members</w:t>
      </w:r>
    </w:p>
    <w:p w14:paraId="059C3029" w14:textId="65EBB63D" w:rsidR="00AB06E8" w:rsidRDefault="00D01299" w:rsidP="007A56E0">
      <w:pPr>
        <w:pStyle w:val="Paragraph"/>
        <w:numPr>
          <w:ilvl w:val="0"/>
          <w:numId w:val="0"/>
        </w:numPr>
        <w:ind w:left="-567"/>
        <w:jc w:val="center"/>
        <w:rPr>
          <w:color w:val="FF0000"/>
        </w:rPr>
      </w:pPr>
      <w:r>
        <w:rPr>
          <w:noProof/>
        </w:rPr>
        <w:drawing>
          <wp:inline distT="0" distB="0" distL="0" distR="0" wp14:anchorId="12458CA0" wp14:editId="1CFD4F60">
            <wp:extent cx="4572000" cy="2743200"/>
            <wp:effectExtent l="0" t="0" r="0" b="0"/>
            <wp:docPr id="13" name="Chart 13" descr="Chart 5, which shows the sexual orientation of the advisory committee members as at 31 March 2019.&#10;">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F25A9D" w14:textId="1FFBFC37" w:rsidR="00393E63" w:rsidRPr="00E23AB3" w:rsidRDefault="00E91AC1" w:rsidP="00393E63">
      <w:pPr>
        <w:pStyle w:val="Paragraphnonumbers"/>
        <w:ind w:firstLine="426"/>
        <w:rPr>
          <w:color w:val="FF0000"/>
        </w:rPr>
      </w:pPr>
      <w:r>
        <w:fldChar w:fldCharType="begin"/>
      </w:r>
      <w:r>
        <w:instrText xml:space="preserve"> HYPERLINK "https://www.nice.org.uk/Media/Default/Get-involved/Meetings-In-Public/Public-board-meetings/Data-sets/sep19-board-paper-data-sets.xlsx." </w:instrText>
      </w:r>
      <w:r>
        <w:fldChar w:fldCharType="separate"/>
      </w:r>
      <w:hyperlink r:id="rId22" w:history="1">
        <w:r w:rsidR="00393E63">
          <w:rPr>
            <w:rStyle w:val="Hyperlink"/>
          </w:rPr>
          <w:t>D</w:t>
        </w:r>
        <w:r w:rsidR="00393E63" w:rsidRPr="004D16C3">
          <w:rPr>
            <w:rStyle w:val="Hyperlink"/>
          </w:rPr>
          <w:t>ownload the data set for this chart</w:t>
        </w:r>
      </w:hyperlink>
    </w:p>
    <w:p w14:paraId="53F039FC" w14:textId="523B02C8" w:rsidR="00DA3510" w:rsidRPr="007E0B23" w:rsidRDefault="00E91AC1" w:rsidP="00393E63">
      <w:pPr>
        <w:pStyle w:val="Paragraph"/>
      </w:pPr>
      <w:r>
        <w:rPr>
          <w:rStyle w:val="Hyperlink"/>
        </w:rPr>
        <w:fldChar w:fldCharType="end"/>
      </w:r>
      <w:r w:rsidR="008A44E5" w:rsidRPr="007E0B23">
        <w:t>In the 201</w:t>
      </w:r>
      <w:r w:rsidR="007E0B23" w:rsidRPr="007E0B23">
        <w:t>9</w:t>
      </w:r>
      <w:r w:rsidR="008A44E5" w:rsidRPr="007E0B23">
        <w:t xml:space="preserve"> survey 88% of respondents </w:t>
      </w:r>
      <w:r w:rsidR="00DC0E9C">
        <w:t>identified themselves as</w:t>
      </w:r>
      <w:r w:rsidR="003C1D0A" w:rsidRPr="007E0B23">
        <w:t xml:space="preserve"> heterosexual, </w:t>
      </w:r>
      <w:r w:rsidR="007E0B23" w:rsidRPr="007E0B23">
        <w:t>4</w:t>
      </w:r>
      <w:r w:rsidR="003C1D0A" w:rsidRPr="007E0B23">
        <w:t xml:space="preserve">% </w:t>
      </w:r>
      <w:r w:rsidR="00CD4996" w:rsidRPr="007E0B23">
        <w:t xml:space="preserve">lesbian, gay, </w:t>
      </w:r>
      <w:proofErr w:type="gramStart"/>
      <w:r w:rsidR="003C1D0A" w:rsidRPr="007E0B23">
        <w:t>bisexual</w:t>
      </w:r>
      <w:proofErr w:type="gramEnd"/>
      <w:r w:rsidR="003C1D0A" w:rsidRPr="007E0B23">
        <w:t xml:space="preserve"> or other, and 7% did not answer or provide this information. In the 201</w:t>
      </w:r>
      <w:r w:rsidR="007E0B23" w:rsidRPr="007E0B23">
        <w:t>8</w:t>
      </w:r>
      <w:r w:rsidR="003C1D0A" w:rsidRPr="007E0B23">
        <w:t xml:space="preserve"> survey, </w:t>
      </w:r>
      <w:r w:rsidR="007F2EA3" w:rsidRPr="007E0B23">
        <w:t>5%</w:t>
      </w:r>
      <w:r w:rsidR="003C1D0A" w:rsidRPr="007E0B23">
        <w:t xml:space="preserve"> of respondents identified themselves as </w:t>
      </w:r>
      <w:r w:rsidR="00CD4996" w:rsidRPr="007E0B23">
        <w:t xml:space="preserve">lesbian, </w:t>
      </w:r>
      <w:r w:rsidR="003C1D0A" w:rsidRPr="007E0B23">
        <w:t xml:space="preserve">gay, </w:t>
      </w:r>
      <w:proofErr w:type="gramStart"/>
      <w:r w:rsidR="003C1D0A" w:rsidRPr="007E0B23">
        <w:t>bisexual</w:t>
      </w:r>
      <w:proofErr w:type="gramEnd"/>
      <w:r w:rsidR="003C1D0A" w:rsidRPr="007E0B23">
        <w:t xml:space="preserve"> or other, with 8</w:t>
      </w:r>
      <w:r w:rsidR="007E0B23" w:rsidRPr="007E0B23">
        <w:t>8</w:t>
      </w:r>
      <w:r w:rsidR="003C1D0A" w:rsidRPr="007E0B23">
        <w:t xml:space="preserve">% </w:t>
      </w:r>
      <w:r w:rsidR="00DC0E9C">
        <w:t>identifying as</w:t>
      </w:r>
      <w:r w:rsidR="003C1D0A" w:rsidRPr="007E0B23">
        <w:t xml:space="preserve"> heterosexual and </w:t>
      </w:r>
      <w:r w:rsidR="007E0B23" w:rsidRPr="007E0B23">
        <w:t>7</w:t>
      </w:r>
      <w:r w:rsidR="003C1D0A" w:rsidRPr="007E0B23">
        <w:t xml:space="preserve">% not providing this information. </w:t>
      </w:r>
    </w:p>
    <w:p w14:paraId="41ED4F04" w14:textId="6DB677E7" w:rsidR="003C1D0A" w:rsidRPr="00E34372" w:rsidRDefault="003C1D0A" w:rsidP="00DC0E9C">
      <w:pPr>
        <w:pStyle w:val="Paragraph"/>
      </w:pPr>
      <w:r w:rsidRPr="00E34372">
        <w:t>As in 201</w:t>
      </w:r>
      <w:r w:rsidR="007E0B23" w:rsidRPr="00E34372">
        <w:t>8</w:t>
      </w:r>
      <w:r w:rsidRPr="00E34372">
        <w:t>, the proportion of respondents who</w:t>
      </w:r>
      <w:r w:rsidR="00DC0E9C">
        <w:t xml:space="preserve"> identified as </w:t>
      </w:r>
      <w:r w:rsidR="00CD4996" w:rsidRPr="00E34372">
        <w:t xml:space="preserve">lesbian, </w:t>
      </w:r>
      <w:r w:rsidRPr="00E34372">
        <w:t xml:space="preserve">gay, </w:t>
      </w:r>
      <w:proofErr w:type="gramStart"/>
      <w:r w:rsidRPr="00E34372">
        <w:t>bisexual</w:t>
      </w:r>
      <w:proofErr w:type="gramEnd"/>
      <w:r w:rsidRPr="00E34372">
        <w:t xml:space="preserve"> or other was higher for lay members (</w:t>
      </w:r>
      <w:r w:rsidR="00E34372" w:rsidRPr="00E34372">
        <w:t>11</w:t>
      </w:r>
      <w:r w:rsidRPr="00E34372">
        <w:t>%) than non-lay members (</w:t>
      </w:r>
      <w:r w:rsidR="00E34372" w:rsidRPr="00E34372">
        <w:t>4</w:t>
      </w:r>
      <w:r w:rsidRPr="00E34372">
        <w:t xml:space="preserve">%). </w:t>
      </w:r>
      <w:r w:rsidR="00E34372" w:rsidRPr="00E34372">
        <w:t xml:space="preserve">In 2018, the figures were 7% and 5% respectively. </w:t>
      </w:r>
    </w:p>
    <w:p w14:paraId="47FD1775" w14:textId="10AD72E9" w:rsidR="00AB06E8" w:rsidRPr="00F66F0A" w:rsidRDefault="00892B34" w:rsidP="00C51B05">
      <w:pPr>
        <w:pStyle w:val="Paragraph"/>
      </w:pPr>
      <w:r w:rsidRPr="00F66F0A">
        <w:lastRenderedPageBreak/>
        <w:t>Estimates from the 201</w:t>
      </w:r>
      <w:r w:rsidR="00E34372" w:rsidRPr="00F66F0A">
        <w:t>7</w:t>
      </w:r>
      <w:r w:rsidRPr="00F66F0A">
        <w:t xml:space="preserve"> </w:t>
      </w:r>
      <w:r w:rsidR="006D6196" w:rsidRPr="00F66F0A">
        <w:t xml:space="preserve">Annual Population Survey published by the </w:t>
      </w:r>
      <w:r w:rsidR="00AB06E8" w:rsidRPr="00F66F0A">
        <w:t>Office for National Statistics</w:t>
      </w:r>
      <w:r w:rsidR="006D6196" w:rsidRPr="00F66F0A">
        <w:t xml:space="preserve">, </w:t>
      </w:r>
      <w:r w:rsidRPr="00F66F0A">
        <w:t xml:space="preserve">showed that </w:t>
      </w:r>
      <w:r w:rsidR="006D6196" w:rsidRPr="00F66F0A">
        <w:t>9</w:t>
      </w:r>
      <w:r w:rsidRPr="00F66F0A">
        <w:t>3</w:t>
      </w:r>
      <w:r w:rsidR="006D6196" w:rsidRPr="00F66F0A">
        <w:t>% of the UK population identified themselves as</w:t>
      </w:r>
      <w:r w:rsidR="00AB06E8" w:rsidRPr="00F66F0A">
        <w:t xml:space="preserve"> heterosexual; </w:t>
      </w:r>
      <w:r w:rsidR="00E34372" w:rsidRPr="00F66F0A">
        <w:t>5</w:t>
      </w:r>
      <w:r w:rsidR="00AB06E8" w:rsidRPr="00F66F0A">
        <w:t xml:space="preserve">% </w:t>
      </w:r>
      <w:r w:rsidR="006D6196" w:rsidRPr="00F66F0A">
        <w:t>as</w:t>
      </w:r>
      <w:r w:rsidR="00AB06E8" w:rsidRPr="00F66F0A">
        <w:t xml:space="preserve"> </w:t>
      </w:r>
      <w:r w:rsidR="00CD4996" w:rsidRPr="00F66F0A">
        <w:t xml:space="preserve">lesbian, </w:t>
      </w:r>
      <w:r w:rsidR="00AB06E8" w:rsidRPr="00F66F0A">
        <w:t xml:space="preserve">gay, </w:t>
      </w:r>
      <w:proofErr w:type="gramStart"/>
      <w:r w:rsidR="00AB06E8" w:rsidRPr="00F66F0A">
        <w:t>bisexual</w:t>
      </w:r>
      <w:proofErr w:type="gramEnd"/>
      <w:r w:rsidR="00E34372" w:rsidRPr="00F66F0A">
        <w:t xml:space="preserve"> or other</w:t>
      </w:r>
      <w:r w:rsidR="00AB06E8" w:rsidRPr="00F66F0A">
        <w:t xml:space="preserve">; </w:t>
      </w:r>
      <w:r w:rsidR="00F66F0A" w:rsidRPr="00F66F0A">
        <w:t>and</w:t>
      </w:r>
      <w:r w:rsidR="00AB06E8" w:rsidRPr="00F66F0A">
        <w:t xml:space="preserve"> </w:t>
      </w:r>
      <w:r w:rsidR="006D6196" w:rsidRPr="00F66F0A">
        <w:t>4</w:t>
      </w:r>
      <w:r w:rsidR="00AB06E8" w:rsidRPr="00F66F0A">
        <w:t xml:space="preserve">% did not know or answer. </w:t>
      </w:r>
    </w:p>
    <w:p w14:paraId="5379B686" w14:textId="77777777" w:rsidR="00AB06E8" w:rsidRPr="00F66F0A" w:rsidRDefault="00AB06E8" w:rsidP="00AB06E8">
      <w:pPr>
        <w:pStyle w:val="Heading3boardreport"/>
      </w:pPr>
      <w:r w:rsidRPr="00F66F0A">
        <w:t>Religion or belief</w:t>
      </w:r>
    </w:p>
    <w:p w14:paraId="0AD48AEC" w14:textId="77777777" w:rsidR="009503FF" w:rsidRPr="00E23AB3" w:rsidRDefault="00AB06E8" w:rsidP="007F28F6">
      <w:pPr>
        <w:pStyle w:val="Tableandgraphheading"/>
        <w:spacing w:before="240"/>
        <w:ind w:left="426"/>
      </w:pPr>
      <w:r w:rsidRPr="00E23AB3">
        <w:t>Chart 6: Religion or belief</w:t>
      </w:r>
      <w:r w:rsidR="009503FF" w:rsidRPr="00E23AB3">
        <w:t>: advisory committee members</w:t>
      </w:r>
    </w:p>
    <w:p w14:paraId="16E22C05" w14:textId="5D093F0B" w:rsidR="00AB06E8" w:rsidRDefault="00495CE7" w:rsidP="007F28F6">
      <w:pPr>
        <w:pStyle w:val="Paragraph"/>
        <w:numPr>
          <w:ilvl w:val="0"/>
          <w:numId w:val="0"/>
        </w:numPr>
        <w:ind w:left="142"/>
        <w:jc w:val="center"/>
        <w:rPr>
          <w:color w:val="FF0000"/>
        </w:rPr>
      </w:pPr>
      <w:r>
        <w:rPr>
          <w:noProof/>
        </w:rPr>
        <w:drawing>
          <wp:inline distT="0" distB="0" distL="0" distR="0" wp14:anchorId="27985FE9" wp14:editId="45C235A4">
            <wp:extent cx="5125720" cy="2943225"/>
            <wp:effectExtent l="0" t="0" r="17780" b="9525"/>
            <wp:docPr id="17" name="Chart 17" descr="Chart 6, which shows the religion of the advisory committee members as at 31 March 2019.&#10;">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E69DE1" w14:textId="6DAA839E" w:rsidR="00393E63" w:rsidRPr="00E23AB3" w:rsidRDefault="007B03CB" w:rsidP="00393E63">
      <w:pPr>
        <w:pStyle w:val="Paragraph"/>
        <w:numPr>
          <w:ilvl w:val="0"/>
          <w:numId w:val="0"/>
        </w:numPr>
        <w:ind w:left="567"/>
        <w:rPr>
          <w:color w:val="FF0000"/>
        </w:rPr>
      </w:pPr>
      <w:hyperlink r:id="rId24" w:history="1">
        <w:r w:rsidR="00393E63">
          <w:rPr>
            <w:rStyle w:val="Hyperlink"/>
          </w:rPr>
          <w:t>D</w:t>
        </w:r>
        <w:r w:rsidR="00393E63" w:rsidRPr="004D16C3">
          <w:rPr>
            <w:rStyle w:val="Hyperlink"/>
          </w:rPr>
          <w:t>ownload the data set for this chart</w:t>
        </w:r>
      </w:hyperlink>
    </w:p>
    <w:p w14:paraId="07678921" w14:textId="5EF65978" w:rsidR="00FE3F2A" w:rsidRPr="000C5316" w:rsidRDefault="00FE3F2A" w:rsidP="005672FB">
      <w:pPr>
        <w:pStyle w:val="Paragraph"/>
        <w:rPr>
          <w:color w:val="FF0000"/>
        </w:rPr>
      </w:pPr>
      <w:r w:rsidRPr="000C5316">
        <w:t>The largest proportion of respondents to the 2019 survey identified themselves of Christian belief</w:t>
      </w:r>
      <w:r w:rsidR="0073534F">
        <w:t xml:space="preserve"> (45%) followed by no religion (38%)</w:t>
      </w:r>
      <w:r w:rsidRPr="000C5316">
        <w:t xml:space="preserve">. </w:t>
      </w:r>
      <w:r w:rsidRPr="005672FB">
        <w:t>This is a change from 2018 when the highest proportion of respondents identified themselves as having no religion, but</w:t>
      </w:r>
      <w:r w:rsidR="000C5316" w:rsidRPr="005672FB">
        <w:t xml:space="preserve"> consistent with the responses to the 2016 and 2017 survey when the </w:t>
      </w:r>
      <w:r w:rsidRPr="005672FB">
        <w:t xml:space="preserve">highest proportion of respondents identified themselves of Christian belief.  </w:t>
      </w:r>
      <w:r w:rsidR="00551216">
        <w:t xml:space="preserve">The proportion of lay respondents who </w:t>
      </w:r>
      <w:r w:rsidR="00471086">
        <w:t>stated they had no religion decreased from 52% in 2018 to 34%</w:t>
      </w:r>
      <w:r w:rsidR="00095CAF">
        <w:t xml:space="preserve"> in 2019</w:t>
      </w:r>
      <w:r w:rsidR="00471086">
        <w:t xml:space="preserve">. </w:t>
      </w:r>
    </w:p>
    <w:p w14:paraId="361FEAC5" w14:textId="2BD335C0" w:rsidR="00750BCF" w:rsidRPr="00E23AB3" w:rsidRDefault="007813D1" w:rsidP="00C51B05">
      <w:pPr>
        <w:pStyle w:val="Paragraph"/>
        <w:rPr>
          <w:color w:val="FF0000"/>
        </w:rPr>
      </w:pPr>
      <w:r w:rsidRPr="000C5316">
        <w:t xml:space="preserve">Compared </w:t>
      </w:r>
      <w:r w:rsidR="005071AA">
        <w:t xml:space="preserve">with </w:t>
      </w:r>
      <w:r w:rsidRPr="000C5316">
        <w:t>the general population (England and Wales, 2011 cens</w:t>
      </w:r>
      <w:r w:rsidR="0018388D" w:rsidRPr="000C5316">
        <w:t xml:space="preserve">us) NICE’s committees are </w:t>
      </w:r>
      <w:r w:rsidR="00E85471" w:rsidRPr="000C5316">
        <w:t xml:space="preserve">over-representative of </w:t>
      </w:r>
      <w:r w:rsidR="00380E40">
        <w:t>people</w:t>
      </w:r>
      <w:r w:rsidR="00E85471" w:rsidRPr="000C5316">
        <w:t xml:space="preserve"> without a religion</w:t>
      </w:r>
      <w:r w:rsidR="00E85471">
        <w:t>, and</w:t>
      </w:r>
      <w:r w:rsidR="00E85471" w:rsidRPr="000C5316">
        <w:t xml:space="preserve"> </w:t>
      </w:r>
      <w:r w:rsidR="0018388D" w:rsidRPr="000C5316">
        <w:t>under</w:t>
      </w:r>
      <w:r w:rsidR="00825B59" w:rsidRPr="000C5316">
        <w:t>-</w:t>
      </w:r>
      <w:r w:rsidRPr="000C5316">
        <w:t xml:space="preserve">representative of </w:t>
      </w:r>
      <w:r w:rsidR="00380E40">
        <w:t>people</w:t>
      </w:r>
      <w:r w:rsidRPr="000C5316">
        <w:t xml:space="preserve"> of Christian and Muslim </w:t>
      </w:r>
      <w:r w:rsidR="00E70C3C">
        <w:t>religion</w:t>
      </w:r>
      <w:r w:rsidRPr="000C5316">
        <w:t xml:space="preserve">. </w:t>
      </w:r>
    </w:p>
    <w:p w14:paraId="09276B2A" w14:textId="2B5DF219" w:rsidR="00FA6DFE" w:rsidRPr="00551216" w:rsidRDefault="0068364E" w:rsidP="00C51B05">
      <w:pPr>
        <w:pStyle w:val="Paragraph"/>
      </w:pPr>
      <w:r w:rsidRPr="00551216">
        <w:t xml:space="preserve">The proportion of respondents who identified themselves </w:t>
      </w:r>
      <w:r w:rsidR="00FA6DFE" w:rsidRPr="00551216">
        <w:t xml:space="preserve">as having no religion was highest on the Technology Appraisal Committees (58%) and lowest on the Highly Specialised Technologies Evaluation Committee (8%). </w:t>
      </w:r>
      <w:r w:rsidR="00BB61E5" w:rsidRPr="00551216">
        <w:t xml:space="preserve">These committees also had the lowest and highest proportion of respondents who identified themselves of Christian belief </w:t>
      </w:r>
      <w:r w:rsidR="00415B22" w:rsidRPr="00551216">
        <w:t>–</w:t>
      </w:r>
      <w:r w:rsidR="00BB61E5" w:rsidRPr="00551216">
        <w:t xml:space="preserve"> </w:t>
      </w:r>
      <w:r w:rsidR="00415B22" w:rsidRPr="00551216">
        <w:t xml:space="preserve">23% and 75% respectively. </w:t>
      </w:r>
    </w:p>
    <w:p w14:paraId="670CF43B" w14:textId="77777777" w:rsidR="003C1D0A" w:rsidRPr="00E23AB3" w:rsidRDefault="00B245AB" w:rsidP="00471086">
      <w:pPr>
        <w:pStyle w:val="Heading2boardreport"/>
      </w:pPr>
      <w:r w:rsidRPr="00471086">
        <w:lastRenderedPageBreak/>
        <w:t>Rurality</w:t>
      </w:r>
    </w:p>
    <w:p w14:paraId="770258DE" w14:textId="1F0AB69D" w:rsidR="00B245AB" w:rsidRPr="0070541D" w:rsidRDefault="006D39F0" w:rsidP="00C51B05">
      <w:pPr>
        <w:pStyle w:val="Paragraph"/>
      </w:pPr>
      <w:r w:rsidRPr="0070541D">
        <w:t xml:space="preserve">While not a protected characteristic, the Board is mindful of the </w:t>
      </w:r>
      <w:r w:rsidR="00BE4B4B" w:rsidRPr="0070541D">
        <w:t xml:space="preserve">inequalities arising from rurality, particularly in terms of access to services. </w:t>
      </w:r>
      <w:r w:rsidR="008321C6" w:rsidRPr="0070541D">
        <w:t xml:space="preserve">It </w:t>
      </w:r>
      <w:r w:rsidR="0070541D" w:rsidRPr="0070541D">
        <w:t xml:space="preserve">has therefore requested </w:t>
      </w:r>
      <w:r w:rsidR="00BE4B4B" w:rsidRPr="0070541D">
        <w:t xml:space="preserve">information is collated on the geographical spread of committee members, </w:t>
      </w:r>
      <w:proofErr w:type="gramStart"/>
      <w:r w:rsidR="00BE4B4B" w:rsidRPr="0070541D">
        <w:t>in particular the</w:t>
      </w:r>
      <w:proofErr w:type="gramEnd"/>
      <w:r w:rsidR="00BE4B4B" w:rsidRPr="0070541D">
        <w:t xml:space="preserve"> proportion drawn from urban and rural areas. </w:t>
      </w:r>
    </w:p>
    <w:p w14:paraId="3018355C" w14:textId="3BCF9C9E" w:rsidR="00BE4B4B" w:rsidRPr="0070541D" w:rsidRDefault="0054340D" w:rsidP="00C51B05">
      <w:pPr>
        <w:pStyle w:val="Paragraph"/>
      </w:pPr>
      <w:r>
        <w:t xml:space="preserve">Table 4 </w:t>
      </w:r>
      <w:r w:rsidR="00BE4B4B" w:rsidRPr="0070541D">
        <w:t>outlines</w:t>
      </w:r>
      <w:r w:rsidR="0018388D" w:rsidRPr="0070541D">
        <w:t xml:space="preserve"> the spread of committee members’</w:t>
      </w:r>
      <w:r w:rsidR="00BE4B4B" w:rsidRPr="0070541D">
        <w:t xml:space="preserve"> </w:t>
      </w:r>
      <w:r w:rsidR="0018388D" w:rsidRPr="0070541D">
        <w:t xml:space="preserve">home addresses </w:t>
      </w:r>
      <w:r w:rsidR="00BE4B4B" w:rsidRPr="0070541D">
        <w:t>between urban and rural areas</w:t>
      </w:r>
      <w:r w:rsidR="008321C6" w:rsidRPr="0070541D">
        <w:t xml:space="preserve"> in England</w:t>
      </w:r>
      <w:r w:rsidR="00BE4B4B" w:rsidRPr="0070541D">
        <w:t xml:space="preserve">. Where a home address was not held, </w:t>
      </w:r>
      <w:r w:rsidR="0018388D" w:rsidRPr="0070541D">
        <w:t>a</w:t>
      </w:r>
      <w:r w:rsidR="00BE4B4B" w:rsidRPr="0070541D">
        <w:t xml:space="preserve"> committee member</w:t>
      </w:r>
      <w:r w:rsidR="0018388D" w:rsidRPr="0070541D">
        <w:t>’</w:t>
      </w:r>
      <w:r w:rsidR="00BE4B4B" w:rsidRPr="0070541D">
        <w:t xml:space="preserve">s work address was used. </w:t>
      </w:r>
    </w:p>
    <w:p w14:paraId="2BC3D5E0" w14:textId="1E9275DF" w:rsidR="00BE4B4B" w:rsidRPr="00E23AB3" w:rsidRDefault="008321C6" w:rsidP="0070541D">
      <w:pPr>
        <w:pStyle w:val="Tableandgraphheading"/>
      </w:pPr>
      <w:r w:rsidRPr="00E23AB3">
        <w:t xml:space="preserve">Table </w:t>
      </w:r>
      <w:r w:rsidR="007F2EA3" w:rsidRPr="00E23AB3">
        <w:t>4</w:t>
      </w:r>
      <w:r w:rsidRPr="00E23AB3">
        <w:t xml:space="preserve">: Distribution of </w:t>
      </w:r>
      <w:r w:rsidR="00C228BA" w:rsidRPr="0070541D">
        <w:t>advisory</w:t>
      </w:r>
      <w:r w:rsidR="00C228BA" w:rsidRPr="00E23AB3">
        <w:t xml:space="preserve"> </w:t>
      </w:r>
      <w:r w:rsidRPr="00E23AB3">
        <w:t>committee members</w:t>
      </w:r>
      <w:r w:rsidR="006E0DDA">
        <w:t xml:space="preserve"> (lay and non-lay)</w:t>
      </w:r>
      <w:r w:rsidRPr="00E23AB3">
        <w:t xml:space="preserve"> in England between rural and urban areas</w:t>
      </w:r>
      <w:r w:rsidR="006E0DDA">
        <w:t xml:space="preserve"> – March 2019</w:t>
      </w:r>
    </w:p>
    <w:tbl>
      <w:tblPr>
        <w:tblStyle w:val="TableGrid"/>
        <w:tblW w:w="5000" w:type="pct"/>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273"/>
        <w:gridCol w:w="2346"/>
        <w:gridCol w:w="2070"/>
        <w:gridCol w:w="2066"/>
      </w:tblGrid>
      <w:tr w:rsidR="0078786A" w:rsidRPr="00E23AB3" w14:paraId="2557178D" w14:textId="77777777" w:rsidTr="00787185">
        <w:trPr>
          <w:tblHeader/>
          <w:jc w:val="center"/>
        </w:trPr>
        <w:tc>
          <w:tcPr>
            <w:tcW w:w="1298" w:type="pct"/>
            <w:shd w:val="clear" w:color="auto" w:fill="A2BDC1"/>
          </w:tcPr>
          <w:p w14:paraId="12F0C8D8" w14:textId="05C8155A" w:rsidR="0078786A" w:rsidRPr="0078786A" w:rsidRDefault="00A83B77" w:rsidP="003765CA">
            <w:pPr>
              <w:pStyle w:val="Tablecolumnheading"/>
            </w:pPr>
            <w:r>
              <w:t>Area</w:t>
            </w:r>
          </w:p>
        </w:tc>
        <w:tc>
          <w:tcPr>
            <w:tcW w:w="1340" w:type="pct"/>
            <w:tcBorders>
              <w:right w:val="single" w:sz="4" w:space="0" w:color="auto"/>
            </w:tcBorders>
            <w:shd w:val="clear" w:color="auto" w:fill="A2BDC1"/>
          </w:tcPr>
          <w:p w14:paraId="3A55D179" w14:textId="476BC4FB" w:rsidR="0078786A" w:rsidRPr="0078786A" w:rsidRDefault="0078786A" w:rsidP="007F2EA3">
            <w:pPr>
              <w:pStyle w:val="Tablecolumnheading"/>
            </w:pPr>
            <w:r w:rsidRPr="0078786A">
              <w:t>% of NICE committee members in 2018</w:t>
            </w:r>
          </w:p>
        </w:tc>
        <w:tc>
          <w:tcPr>
            <w:tcW w:w="1182" w:type="pct"/>
            <w:tcBorders>
              <w:left w:val="single" w:sz="4" w:space="0" w:color="auto"/>
            </w:tcBorders>
            <w:shd w:val="clear" w:color="auto" w:fill="A2BDC1"/>
          </w:tcPr>
          <w:p w14:paraId="35B12B97" w14:textId="333AEA33" w:rsidR="0078786A" w:rsidRPr="0078786A" w:rsidRDefault="0078786A" w:rsidP="007F2EA3">
            <w:pPr>
              <w:pStyle w:val="Tablecolumnheading"/>
            </w:pPr>
            <w:r w:rsidRPr="0078786A">
              <w:t>% of NICE committee members in 2019</w:t>
            </w:r>
          </w:p>
        </w:tc>
        <w:tc>
          <w:tcPr>
            <w:tcW w:w="1180" w:type="pct"/>
            <w:shd w:val="clear" w:color="auto" w:fill="A2BDC1"/>
          </w:tcPr>
          <w:p w14:paraId="0951E1FB" w14:textId="4AE7B254" w:rsidR="0078786A" w:rsidRPr="0078786A" w:rsidRDefault="0078786A" w:rsidP="007F2EA3">
            <w:pPr>
              <w:pStyle w:val="Tablecolumnheading"/>
            </w:pPr>
            <w:r w:rsidRPr="0078786A">
              <w:t>% of population in England</w:t>
            </w:r>
          </w:p>
        </w:tc>
      </w:tr>
      <w:tr w:rsidR="0078786A" w:rsidRPr="00E23AB3" w14:paraId="4F29E6E1" w14:textId="77777777" w:rsidTr="00787185">
        <w:trPr>
          <w:jc w:val="center"/>
        </w:trPr>
        <w:tc>
          <w:tcPr>
            <w:tcW w:w="1298" w:type="pct"/>
          </w:tcPr>
          <w:p w14:paraId="6F748160" w14:textId="1FCBD17A" w:rsidR="0078786A" w:rsidRPr="0078786A" w:rsidRDefault="0078786A" w:rsidP="003765CA">
            <w:pPr>
              <w:pStyle w:val="Tabletext"/>
            </w:pPr>
            <w:r w:rsidRPr="0078786A">
              <w:t>Urban</w:t>
            </w:r>
            <w:r w:rsidR="00A83B77">
              <w:br/>
            </w:r>
            <w:r w:rsidR="00C2424F">
              <w:rPr>
                <w:rFonts w:cs="Arial"/>
                <w:sz w:val="18"/>
              </w:rPr>
              <w:t>(C</w:t>
            </w:r>
            <w:r w:rsidR="00A83B77" w:rsidRPr="008321C6">
              <w:rPr>
                <w:rFonts w:cs="Arial"/>
                <w:sz w:val="18"/>
              </w:rPr>
              <w:t>onnected built up areas identified by Ordnance Survey mapping that have resident populations above 10,000 people (2011 Census</w:t>
            </w:r>
            <w:hyperlink r:id="rId25" w:history="1">
              <w:r w:rsidR="00A83B77" w:rsidRPr="00C2424F">
                <w:rPr>
                  <w:rStyle w:val="Hyperlink"/>
                  <w:rFonts w:cs="Arial"/>
                  <w:sz w:val="18"/>
                </w:rPr>
                <w:t>)</w:t>
              </w:r>
              <w:r w:rsidR="00C2424F">
                <w:rPr>
                  <w:rStyle w:val="Hyperlink"/>
                  <w:rFonts w:cs="Arial"/>
                  <w:sz w:val="18"/>
                </w:rPr>
                <w:t xml:space="preserve"> ONS definition</w:t>
              </w:r>
            </w:hyperlink>
            <w:r w:rsidR="00C2424F">
              <w:rPr>
                <w:rFonts w:cs="Arial"/>
                <w:sz w:val="18"/>
              </w:rPr>
              <w:t>)</w:t>
            </w:r>
          </w:p>
        </w:tc>
        <w:tc>
          <w:tcPr>
            <w:tcW w:w="1340" w:type="pct"/>
            <w:tcBorders>
              <w:right w:val="single" w:sz="4" w:space="0" w:color="auto"/>
            </w:tcBorders>
          </w:tcPr>
          <w:p w14:paraId="6394362F" w14:textId="77777777" w:rsidR="0078786A" w:rsidRPr="0078786A" w:rsidRDefault="0078786A" w:rsidP="007F2EA3">
            <w:pPr>
              <w:pStyle w:val="Tabletext"/>
            </w:pPr>
            <w:r w:rsidRPr="0078786A">
              <w:t>86</w:t>
            </w:r>
          </w:p>
        </w:tc>
        <w:tc>
          <w:tcPr>
            <w:tcW w:w="1182" w:type="pct"/>
            <w:tcBorders>
              <w:left w:val="single" w:sz="4" w:space="0" w:color="auto"/>
              <w:right w:val="single" w:sz="4" w:space="0" w:color="auto"/>
            </w:tcBorders>
          </w:tcPr>
          <w:p w14:paraId="2CE6EEDC" w14:textId="1358DF10" w:rsidR="0078786A" w:rsidRPr="0078786A" w:rsidRDefault="00F14F67" w:rsidP="007F2EA3">
            <w:pPr>
              <w:pStyle w:val="Tabletext"/>
            </w:pPr>
            <w:r>
              <w:t>83</w:t>
            </w:r>
          </w:p>
        </w:tc>
        <w:tc>
          <w:tcPr>
            <w:tcW w:w="1180" w:type="pct"/>
            <w:tcBorders>
              <w:left w:val="single" w:sz="4" w:space="0" w:color="auto"/>
            </w:tcBorders>
          </w:tcPr>
          <w:p w14:paraId="47EFA215" w14:textId="32CAE604" w:rsidR="0078786A" w:rsidRPr="0078786A" w:rsidRDefault="0078786A" w:rsidP="007F2EA3">
            <w:pPr>
              <w:pStyle w:val="Tabletext"/>
            </w:pPr>
            <w:r w:rsidRPr="0078786A">
              <w:t>82</w:t>
            </w:r>
          </w:p>
        </w:tc>
      </w:tr>
      <w:tr w:rsidR="0078786A" w:rsidRPr="00E23AB3" w14:paraId="6574B8B7" w14:textId="77777777" w:rsidTr="00787185">
        <w:trPr>
          <w:jc w:val="center"/>
        </w:trPr>
        <w:tc>
          <w:tcPr>
            <w:tcW w:w="1298" w:type="pct"/>
          </w:tcPr>
          <w:p w14:paraId="25E65B4B" w14:textId="77777777" w:rsidR="0078786A" w:rsidRDefault="0078786A" w:rsidP="003765CA">
            <w:pPr>
              <w:pStyle w:val="Tabletext"/>
            </w:pPr>
            <w:r w:rsidRPr="0078786A">
              <w:t>Rural</w:t>
            </w:r>
          </w:p>
          <w:p w14:paraId="158B2B1F" w14:textId="0F57F948" w:rsidR="00A83B77" w:rsidRPr="0078786A" w:rsidRDefault="00C2424F" w:rsidP="003765CA">
            <w:pPr>
              <w:pStyle w:val="Tabletext"/>
            </w:pPr>
            <w:r>
              <w:rPr>
                <w:rFonts w:cs="Arial"/>
                <w:sz w:val="18"/>
              </w:rPr>
              <w:t>(A</w:t>
            </w:r>
            <w:r w:rsidR="00A83B77" w:rsidRPr="008321C6">
              <w:rPr>
                <w:rFonts w:cs="Arial"/>
                <w:sz w:val="18"/>
              </w:rPr>
              <w:t>reas that are not urban</w:t>
            </w:r>
            <w:r w:rsidR="00A83B77">
              <w:rPr>
                <w:rFonts w:cs="Arial"/>
                <w:sz w:val="18"/>
              </w:rPr>
              <w:t xml:space="preserve"> - </w:t>
            </w:r>
            <w:r w:rsidR="00A83B77" w:rsidRPr="008321C6">
              <w:rPr>
                <w:rFonts w:cs="Arial"/>
                <w:sz w:val="18"/>
              </w:rPr>
              <w:t>consisting of settlements below 10,000 people or are open countryside</w:t>
            </w:r>
            <w:r w:rsidR="00A83B77">
              <w:rPr>
                <w:rFonts w:cs="Arial"/>
                <w:sz w:val="18"/>
              </w:rPr>
              <w:t>.</w:t>
            </w:r>
            <w:r>
              <w:rPr>
                <w:rFonts w:cs="Arial"/>
                <w:sz w:val="18"/>
              </w:rPr>
              <w:t xml:space="preserve"> </w:t>
            </w:r>
            <w:hyperlink r:id="rId26" w:history="1">
              <w:r>
                <w:rPr>
                  <w:rStyle w:val="Hyperlink"/>
                  <w:rFonts w:cs="Arial"/>
                  <w:sz w:val="18"/>
                </w:rPr>
                <w:t>ONS definition</w:t>
              </w:r>
            </w:hyperlink>
            <w:r>
              <w:rPr>
                <w:rFonts w:cs="Arial"/>
                <w:sz w:val="18"/>
              </w:rPr>
              <w:t>)</w:t>
            </w:r>
          </w:p>
        </w:tc>
        <w:tc>
          <w:tcPr>
            <w:tcW w:w="1340" w:type="pct"/>
            <w:tcBorders>
              <w:right w:val="single" w:sz="4" w:space="0" w:color="auto"/>
            </w:tcBorders>
          </w:tcPr>
          <w:p w14:paraId="1701EE86" w14:textId="77777777" w:rsidR="0078786A" w:rsidRPr="0078786A" w:rsidRDefault="0078786A" w:rsidP="007F2EA3">
            <w:pPr>
              <w:pStyle w:val="Tabletext"/>
            </w:pPr>
            <w:r w:rsidRPr="0078786A">
              <w:t>15</w:t>
            </w:r>
          </w:p>
        </w:tc>
        <w:tc>
          <w:tcPr>
            <w:tcW w:w="1182" w:type="pct"/>
            <w:tcBorders>
              <w:left w:val="single" w:sz="4" w:space="0" w:color="auto"/>
              <w:right w:val="single" w:sz="4" w:space="0" w:color="auto"/>
            </w:tcBorders>
          </w:tcPr>
          <w:p w14:paraId="19742EA9" w14:textId="5E157923" w:rsidR="0078786A" w:rsidRPr="0078786A" w:rsidRDefault="00F14F67" w:rsidP="007F2EA3">
            <w:pPr>
              <w:pStyle w:val="Tabletext"/>
            </w:pPr>
            <w:r>
              <w:t>17</w:t>
            </w:r>
          </w:p>
        </w:tc>
        <w:tc>
          <w:tcPr>
            <w:tcW w:w="1180" w:type="pct"/>
            <w:tcBorders>
              <w:left w:val="single" w:sz="4" w:space="0" w:color="auto"/>
            </w:tcBorders>
          </w:tcPr>
          <w:p w14:paraId="40284F3D" w14:textId="32664BBC" w:rsidR="0078786A" w:rsidRPr="0078786A" w:rsidRDefault="0078786A" w:rsidP="007F2EA3">
            <w:pPr>
              <w:pStyle w:val="Tabletext"/>
            </w:pPr>
            <w:r w:rsidRPr="0078786A">
              <w:t>18</w:t>
            </w:r>
          </w:p>
        </w:tc>
      </w:tr>
    </w:tbl>
    <w:p w14:paraId="49DF315A" w14:textId="77777777" w:rsidR="008321C6" w:rsidRPr="00F14F67" w:rsidRDefault="008321C6" w:rsidP="00C51B05">
      <w:pPr>
        <w:pStyle w:val="Paragraph"/>
        <w:numPr>
          <w:ilvl w:val="0"/>
          <w:numId w:val="0"/>
        </w:numPr>
        <w:ind w:left="426"/>
      </w:pPr>
    </w:p>
    <w:p w14:paraId="1275209E" w14:textId="5471D7A2" w:rsidR="00BE4B4B" w:rsidRPr="00F14F67" w:rsidRDefault="00805743" w:rsidP="00C51B05">
      <w:pPr>
        <w:pStyle w:val="Paragraph"/>
      </w:pPr>
      <w:r>
        <w:t>C</w:t>
      </w:r>
      <w:r w:rsidR="00F14F67" w:rsidRPr="00F14F67">
        <w:t xml:space="preserve">ompared </w:t>
      </w:r>
      <w:r w:rsidR="005071AA">
        <w:t xml:space="preserve">with </w:t>
      </w:r>
      <w:r w:rsidR="00F14F67" w:rsidRPr="00F14F67">
        <w:t xml:space="preserve">last year the proportion of </w:t>
      </w:r>
      <w:r w:rsidR="008321C6" w:rsidRPr="00F14F67">
        <w:t>NICE committee members drawn from urban areas</w:t>
      </w:r>
      <w:r w:rsidR="00F14F67" w:rsidRPr="00F14F67">
        <w:t xml:space="preserve"> and rural areas respectively is now closer to</w:t>
      </w:r>
      <w:r w:rsidR="008321C6" w:rsidRPr="00F14F67">
        <w:t xml:space="preserve"> </w:t>
      </w:r>
      <w:r w:rsidR="00F14F67" w:rsidRPr="00F14F67">
        <w:t xml:space="preserve">the split in the </w:t>
      </w:r>
      <w:r w:rsidR="008321C6" w:rsidRPr="00F14F67">
        <w:t xml:space="preserve">overall population </w:t>
      </w:r>
      <w:r w:rsidR="00F14F67" w:rsidRPr="00F14F67">
        <w:t xml:space="preserve">in </w:t>
      </w:r>
      <w:r w:rsidR="008321C6" w:rsidRPr="00F14F67">
        <w:t>England.</w:t>
      </w:r>
    </w:p>
    <w:p w14:paraId="3270F57C" w14:textId="77777777" w:rsidR="00AB06E8" w:rsidRPr="00DB7FDD" w:rsidRDefault="00AB06E8" w:rsidP="009D7EDF">
      <w:pPr>
        <w:pStyle w:val="Heading2boardreport"/>
      </w:pPr>
      <w:r w:rsidRPr="00DB7FDD">
        <w:t>Benchmarking performance</w:t>
      </w:r>
    </w:p>
    <w:p w14:paraId="328676B5" w14:textId="77777777" w:rsidR="00AB06E8" w:rsidRPr="00DB7FDD" w:rsidRDefault="00AB06E8" w:rsidP="00C51B05">
      <w:pPr>
        <w:pStyle w:val="Paragraph"/>
      </w:pPr>
      <w:r w:rsidRPr="00DB7FDD">
        <w:t xml:space="preserve">NICE is unique in the way it uses advisory bodies and in the </w:t>
      </w:r>
      <w:proofErr w:type="gramStart"/>
      <w:r w:rsidRPr="00DB7FDD">
        <w:t>number</w:t>
      </w:r>
      <w:proofErr w:type="gramEnd"/>
      <w:r w:rsidRPr="00DB7FDD">
        <w:t xml:space="preserve"> it creates, so it is difficult to find information for purposes of comparison on bodies elsewhere with a similar function. Public bodies are probably the nearest equivalent when it comes to the capabilities required of members, even if they may have less need of the concentration of technical knowledge evident in NICE’s advisory bodies. </w:t>
      </w:r>
    </w:p>
    <w:p w14:paraId="6B84BD5E" w14:textId="0E7B7A49" w:rsidR="00AB06E8" w:rsidRPr="00DB7FDD" w:rsidRDefault="00AB06E8" w:rsidP="00C51B05">
      <w:pPr>
        <w:pStyle w:val="Paragraph"/>
      </w:pPr>
      <w:r w:rsidRPr="00DB7FDD">
        <w:lastRenderedPageBreak/>
        <w:t>Table</w:t>
      </w:r>
      <w:r w:rsidR="00A042B4">
        <w:t>s</w:t>
      </w:r>
      <w:r w:rsidRPr="00DB7FDD">
        <w:t xml:space="preserve"> </w:t>
      </w:r>
      <w:r w:rsidR="007F2EA3" w:rsidRPr="00DB7FDD">
        <w:t>5</w:t>
      </w:r>
      <w:r w:rsidR="00A042B4">
        <w:t>a-d</w:t>
      </w:r>
      <w:r w:rsidRPr="00DB7FDD">
        <w:t xml:space="preserve"> compare the composition of the NICE advisory bodies (using the results of the 201</w:t>
      </w:r>
      <w:r w:rsidR="00D867B5">
        <w:t>9</w:t>
      </w:r>
      <w:r w:rsidRPr="00DB7FDD">
        <w:t xml:space="preserve"> Picker survey) with the population of England, and statistics published by the Commissioner for Public Appointments (CPA) on </w:t>
      </w:r>
      <w:r w:rsidR="003B4F12" w:rsidRPr="00DB7FDD">
        <w:t xml:space="preserve">regulated </w:t>
      </w:r>
      <w:r w:rsidRPr="00DB7FDD">
        <w:t>appointments made by Ministers between 1 April 201</w:t>
      </w:r>
      <w:r w:rsidR="00DB7FDD" w:rsidRPr="00DB7FDD">
        <w:t>7</w:t>
      </w:r>
      <w:r w:rsidRPr="00DB7FDD">
        <w:t xml:space="preserve"> and 31 March 201</w:t>
      </w:r>
      <w:r w:rsidR="00DB7FDD" w:rsidRPr="00DB7FDD">
        <w:t>8</w:t>
      </w:r>
      <w:r w:rsidR="009D7EDF" w:rsidRPr="00DB7FDD">
        <w:t xml:space="preserve"> (the latest available </w:t>
      </w:r>
      <w:hyperlink r:id="rId27" w:history="1">
        <w:r w:rsidR="009D7EDF" w:rsidRPr="00136F21">
          <w:rPr>
            <w:rStyle w:val="Hyperlink"/>
          </w:rPr>
          <w:t>data</w:t>
        </w:r>
      </w:hyperlink>
      <w:r w:rsidR="009D7EDF" w:rsidRPr="00DB7FDD">
        <w:t>)</w:t>
      </w:r>
      <w:r w:rsidR="00A73CCF" w:rsidRPr="00DB7FDD">
        <w:t>.</w:t>
      </w:r>
      <w:r w:rsidR="00D42974">
        <w:t xml:space="preserve"> </w:t>
      </w:r>
    </w:p>
    <w:p w14:paraId="6270457C" w14:textId="77777777" w:rsidR="00AB06E8" w:rsidRPr="00D42974" w:rsidRDefault="00E33D72" w:rsidP="00C51B05">
      <w:pPr>
        <w:pStyle w:val="Paragraph"/>
      </w:pPr>
      <w:bookmarkStart w:id="2" w:name="_Hlk10704090"/>
      <w:r w:rsidRPr="00D42974">
        <w:t xml:space="preserve">The data indicates that: </w:t>
      </w:r>
    </w:p>
    <w:bookmarkEnd w:id="2"/>
    <w:p w14:paraId="558417E4" w14:textId="77777777" w:rsidR="00D42974" w:rsidRPr="00E23AB3" w:rsidRDefault="00D42974" w:rsidP="00D42974">
      <w:pPr>
        <w:pStyle w:val="Bullets"/>
      </w:pPr>
      <w:r w:rsidRPr="00E23AB3">
        <w:t xml:space="preserve">The proportion of women on NICE committees is higher than for the CPA appointments in </w:t>
      </w:r>
      <w:r>
        <w:t>2017/18</w:t>
      </w:r>
      <w:r w:rsidRPr="00E23AB3">
        <w:t xml:space="preserve"> in both the NHS and overall. </w:t>
      </w:r>
    </w:p>
    <w:p w14:paraId="479577B8" w14:textId="77777777" w:rsidR="00D42974" w:rsidRPr="00E23AB3" w:rsidRDefault="00D42974" w:rsidP="00D42974">
      <w:pPr>
        <w:pStyle w:val="Bullets"/>
      </w:pPr>
      <w:r w:rsidRPr="00E23AB3">
        <w:t xml:space="preserve">The proportion of members of non-white ethnicity on NICE’s committees is </w:t>
      </w:r>
      <w:r>
        <w:t xml:space="preserve">higher than for the CPA appointments in the NHS in 2017/18, and more than </w:t>
      </w:r>
      <w:r w:rsidRPr="00E23AB3">
        <w:t xml:space="preserve">twice that for </w:t>
      </w:r>
      <w:proofErr w:type="gramStart"/>
      <w:r>
        <w:t>all of</w:t>
      </w:r>
      <w:proofErr w:type="gramEnd"/>
      <w:r>
        <w:t xml:space="preserve"> </w:t>
      </w:r>
      <w:r w:rsidRPr="00E23AB3">
        <w:t xml:space="preserve">the CPA appointments in </w:t>
      </w:r>
      <w:r>
        <w:t xml:space="preserve">2017/18. </w:t>
      </w:r>
    </w:p>
    <w:p w14:paraId="4C1EAB47" w14:textId="77777777" w:rsidR="00D42974" w:rsidRDefault="00D42974" w:rsidP="00D42974">
      <w:pPr>
        <w:pStyle w:val="Bullets"/>
      </w:pPr>
      <w:r w:rsidRPr="00E23AB3">
        <w:t xml:space="preserve">The proportion of people identifying themselves as disabled on NICE’s committees is higher than for CPA appointments in both the NHS and all public bodies, although this remains lower than the overall population. </w:t>
      </w:r>
    </w:p>
    <w:p w14:paraId="4F9DB00A" w14:textId="1EBE82E8" w:rsidR="00F946F8" w:rsidRDefault="00D42974" w:rsidP="00D42974">
      <w:pPr>
        <w:pStyle w:val="Bulletslast"/>
      </w:pPr>
      <w:r>
        <w:t xml:space="preserve">The proportion of NICE committee members who identified themselves as lesbian, gay </w:t>
      </w:r>
      <w:r w:rsidR="000F2AE0">
        <w:t>or</w:t>
      </w:r>
      <w:r>
        <w:t xml:space="preserve"> bisexual was the same as the CPA appointments in 2017/18 </w:t>
      </w:r>
      <w:r w:rsidR="00EC14FF">
        <w:t xml:space="preserve">both </w:t>
      </w:r>
      <w:r>
        <w:t>overall</w:t>
      </w:r>
      <w:r w:rsidR="00EC14FF">
        <w:t xml:space="preserve"> and in the NHS</w:t>
      </w:r>
      <w:r>
        <w:t xml:space="preserve">. </w:t>
      </w:r>
    </w:p>
    <w:p w14:paraId="7690E007" w14:textId="6A23738B" w:rsidR="00AB06E8" w:rsidRDefault="00AB06E8" w:rsidP="00DB7FDD">
      <w:pPr>
        <w:pStyle w:val="Tableandgraphheading"/>
      </w:pPr>
      <w:r w:rsidRPr="00E23AB3">
        <w:t xml:space="preserve">Table </w:t>
      </w:r>
      <w:r w:rsidR="007F2EA3" w:rsidRPr="00E23AB3">
        <w:t>5</w:t>
      </w:r>
      <w:r w:rsidR="005B5533">
        <w:t>a</w:t>
      </w:r>
      <w:r w:rsidRPr="00E23AB3">
        <w:t>: NICE compared with ‘</w:t>
      </w:r>
      <w:r w:rsidRPr="00DB7FDD">
        <w:t>benchmark’</w:t>
      </w:r>
      <w:r w:rsidRPr="00E23AB3">
        <w:t xml:space="preserve"> organisations</w:t>
      </w:r>
      <w:r w:rsidR="005B5533">
        <w:t xml:space="preserve"> – gender</w:t>
      </w:r>
    </w:p>
    <w:tbl>
      <w:tblPr>
        <w:tblStyle w:val="GridTable1Light"/>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96"/>
        <w:gridCol w:w="1270"/>
        <w:gridCol w:w="1565"/>
        <w:gridCol w:w="1990"/>
      </w:tblGrid>
      <w:tr w:rsidR="00E23AB3" w:rsidRPr="00E23AB3" w14:paraId="448D8D41" w14:textId="77777777" w:rsidTr="00A11142">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127" w:type="dxa"/>
            <w:tcBorders>
              <w:bottom w:val="none" w:sz="0" w:space="0" w:color="auto"/>
            </w:tcBorders>
            <w:shd w:val="clear" w:color="auto" w:fill="A2BDC1"/>
          </w:tcPr>
          <w:p w14:paraId="2EEF59CA" w14:textId="667A9C14" w:rsidR="00AB06E8" w:rsidRPr="0052598D" w:rsidRDefault="00AB06E8" w:rsidP="00D567D6">
            <w:pPr>
              <w:pStyle w:val="Tabletext"/>
              <w:rPr>
                <w:color w:val="000000" w:themeColor="text1"/>
              </w:rPr>
            </w:pPr>
            <w:r w:rsidRPr="0052598D">
              <w:rPr>
                <w:color w:val="000000" w:themeColor="text1"/>
              </w:rPr>
              <w:t> </w:t>
            </w:r>
            <w:r w:rsidR="00A11142">
              <w:rPr>
                <w:color w:val="000000" w:themeColor="text1"/>
              </w:rPr>
              <w:t>Gender</w:t>
            </w:r>
          </w:p>
        </w:tc>
        <w:tc>
          <w:tcPr>
            <w:tcW w:w="1696" w:type="dxa"/>
            <w:tcBorders>
              <w:bottom w:val="none" w:sz="0" w:space="0" w:color="auto"/>
            </w:tcBorders>
            <w:shd w:val="clear" w:color="auto" w:fill="A2BDC1"/>
          </w:tcPr>
          <w:p w14:paraId="550A0B3E" w14:textId="3C99773B" w:rsidR="00AB06E8" w:rsidRPr="0052598D" w:rsidRDefault="00AB06E8" w:rsidP="00206601">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NICE advisory bodies</w:t>
            </w:r>
            <w:r w:rsidR="00206601" w:rsidRPr="0052598D">
              <w:rPr>
                <w:color w:val="000000" w:themeColor="text1"/>
              </w:rPr>
              <w:t xml:space="preserve"> (%)</w:t>
            </w:r>
          </w:p>
        </w:tc>
        <w:tc>
          <w:tcPr>
            <w:tcW w:w="1270" w:type="dxa"/>
            <w:tcBorders>
              <w:bottom w:val="none" w:sz="0" w:space="0" w:color="auto"/>
            </w:tcBorders>
            <w:shd w:val="clear" w:color="auto" w:fill="A2BDC1"/>
          </w:tcPr>
          <w:p w14:paraId="1F90B7AF" w14:textId="6DD040EF" w:rsidR="00AB06E8" w:rsidRPr="0052598D" w:rsidRDefault="00AB06E8" w:rsidP="00206601">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All public bodies</w:t>
            </w:r>
            <w:r w:rsidR="00206601" w:rsidRPr="0052598D">
              <w:rPr>
                <w:color w:val="000000" w:themeColor="text1"/>
              </w:rPr>
              <w:t xml:space="preserve"> (%) </w:t>
            </w:r>
          </w:p>
        </w:tc>
        <w:tc>
          <w:tcPr>
            <w:tcW w:w="1565" w:type="dxa"/>
            <w:tcBorders>
              <w:bottom w:val="none" w:sz="0" w:space="0" w:color="auto"/>
            </w:tcBorders>
            <w:shd w:val="clear" w:color="auto" w:fill="A2BDC1"/>
          </w:tcPr>
          <w:p w14:paraId="6A1575A2" w14:textId="78864639" w:rsidR="00AB06E8" w:rsidRPr="0052598D" w:rsidRDefault="00AB06E8" w:rsidP="00206601">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NHS bodies</w:t>
            </w:r>
            <w:r w:rsidR="00206601" w:rsidRPr="0052598D">
              <w:rPr>
                <w:color w:val="000000" w:themeColor="text1"/>
              </w:rPr>
              <w:t xml:space="preserve"> (%)</w:t>
            </w:r>
          </w:p>
        </w:tc>
        <w:tc>
          <w:tcPr>
            <w:tcW w:w="1990" w:type="dxa"/>
            <w:tcBorders>
              <w:bottom w:val="none" w:sz="0" w:space="0" w:color="auto"/>
            </w:tcBorders>
            <w:shd w:val="clear" w:color="auto" w:fill="A2BDC1"/>
          </w:tcPr>
          <w:p w14:paraId="63389DC6" w14:textId="77777777" w:rsidR="00AB06E8" w:rsidRDefault="00AB06E8" w:rsidP="00206601">
            <w:pPr>
              <w:pStyle w:val="Tabletext"/>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52598D">
              <w:rPr>
                <w:color w:val="000000" w:themeColor="text1"/>
              </w:rPr>
              <w:t>England</w:t>
            </w:r>
            <w:r w:rsidR="00D567D6" w:rsidRPr="0052598D">
              <w:rPr>
                <w:color w:val="000000" w:themeColor="text1"/>
              </w:rPr>
              <w:t xml:space="preserve"> population</w:t>
            </w:r>
            <w:r w:rsidR="00206601" w:rsidRPr="0052598D">
              <w:rPr>
                <w:color w:val="000000" w:themeColor="text1"/>
              </w:rPr>
              <w:t xml:space="preserve"> (%)</w:t>
            </w:r>
          </w:p>
          <w:p w14:paraId="68168F8A" w14:textId="46D69FAF" w:rsidR="00136F21" w:rsidRPr="0052598D" w:rsidRDefault="00136F21" w:rsidP="00206601">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2011 Census</w:t>
            </w:r>
          </w:p>
        </w:tc>
      </w:tr>
      <w:tr w:rsidR="00E23AB3" w:rsidRPr="00E23AB3" w14:paraId="1155CB73" w14:textId="77777777" w:rsidTr="00A11142">
        <w:trPr>
          <w:trHeight w:val="212"/>
        </w:trPr>
        <w:tc>
          <w:tcPr>
            <w:cnfStyle w:val="001000000000" w:firstRow="0" w:lastRow="0" w:firstColumn="1" w:lastColumn="0" w:oddVBand="0" w:evenVBand="0" w:oddHBand="0" w:evenHBand="0" w:firstRowFirstColumn="0" w:firstRowLastColumn="0" w:lastRowFirstColumn="0" w:lastRowLastColumn="0"/>
            <w:tcW w:w="2127" w:type="dxa"/>
            <w:hideMark/>
          </w:tcPr>
          <w:p w14:paraId="4A291C42" w14:textId="77777777" w:rsidR="00AB06E8" w:rsidRPr="0052598D" w:rsidRDefault="00AB06E8" w:rsidP="00D567D6">
            <w:pPr>
              <w:pStyle w:val="Tabletext"/>
              <w:rPr>
                <w:color w:val="000000" w:themeColor="text1"/>
              </w:rPr>
            </w:pPr>
            <w:r w:rsidRPr="0052598D">
              <w:rPr>
                <w:color w:val="000000" w:themeColor="text1"/>
              </w:rPr>
              <w:t>Men</w:t>
            </w:r>
          </w:p>
        </w:tc>
        <w:tc>
          <w:tcPr>
            <w:tcW w:w="1696" w:type="dxa"/>
          </w:tcPr>
          <w:p w14:paraId="262DEB77" w14:textId="08362EA3" w:rsidR="00AB06E8" w:rsidRPr="00003410" w:rsidRDefault="00192549" w:rsidP="00D567D6">
            <w:pPr>
              <w:pStyle w:val="Tabletext"/>
              <w:cnfStyle w:val="000000000000" w:firstRow="0" w:lastRow="0" w:firstColumn="0" w:lastColumn="0" w:oddVBand="0" w:evenVBand="0" w:oddHBand="0" w:evenHBand="0" w:firstRowFirstColumn="0" w:firstRowLastColumn="0" w:lastRowFirstColumn="0" w:lastRowLastColumn="0"/>
            </w:pPr>
            <w:r>
              <w:t>50</w:t>
            </w:r>
          </w:p>
        </w:tc>
        <w:tc>
          <w:tcPr>
            <w:tcW w:w="1270" w:type="dxa"/>
          </w:tcPr>
          <w:p w14:paraId="4AAF05C1" w14:textId="6592129A" w:rsidR="00AB06E8" w:rsidRPr="00003410" w:rsidRDefault="00B96551" w:rsidP="00D567D6">
            <w:pPr>
              <w:pStyle w:val="Tabletext"/>
              <w:cnfStyle w:val="000000000000" w:firstRow="0" w:lastRow="0" w:firstColumn="0" w:lastColumn="0" w:oddVBand="0" w:evenVBand="0" w:oddHBand="0" w:evenHBand="0" w:firstRowFirstColumn="0" w:firstRowLastColumn="0" w:lastRowFirstColumn="0" w:lastRowLastColumn="0"/>
            </w:pPr>
            <w:r>
              <w:t>45</w:t>
            </w:r>
          </w:p>
        </w:tc>
        <w:tc>
          <w:tcPr>
            <w:tcW w:w="1565" w:type="dxa"/>
          </w:tcPr>
          <w:p w14:paraId="377C8891" w14:textId="4EA114CA" w:rsidR="00AB06E8" w:rsidRPr="00003410" w:rsidRDefault="00B644BD" w:rsidP="00D567D6">
            <w:pPr>
              <w:pStyle w:val="Tabletext"/>
              <w:cnfStyle w:val="000000000000" w:firstRow="0" w:lastRow="0" w:firstColumn="0" w:lastColumn="0" w:oddVBand="0" w:evenVBand="0" w:oddHBand="0" w:evenHBand="0" w:firstRowFirstColumn="0" w:firstRowLastColumn="0" w:lastRowFirstColumn="0" w:lastRowLastColumn="0"/>
            </w:pPr>
            <w:r>
              <w:t>56</w:t>
            </w:r>
          </w:p>
        </w:tc>
        <w:tc>
          <w:tcPr>
            <w:tcW w:w="1990" w:type="dxa"/>
          </w:tcPr>
          <w:p w14:paraId="3F8FF925" w14:textId="77777777" w:rsidR="00AB06E8" w:rsidRPr="007D6E9F" w:rsidRDefault="00D43010" w:rsidP="00D567D6">
            <w:pPr>
              <w:pStyle w:val="Tabletext"/>
              <w:cnfStyle w:val="000000000000" w:firstRow="0" w:lastRow="0" w:firstColumn="0" w:lastColumn="0" w:oddVBand="0" w:evenVBand="0" w:oddHBand="0" w:evenHBand="0" w:firstRowFirstColumn="0" w:firstRowLastColumn="0" w:lastRowFirstColumn="0" w:lastRowLastColumn="0"/>
            </w:pPr>
            <w:r w:rsidRPr="007D6E9F">
              <w:t>49</w:t>
            </w:r>
          </w:p>
        </w:tc>
      </w:tr>
      <w:tr w:rsidR="00E23AB3" w:rsidRPr="00E23AB3" w14:paraId="33EE1A91" w14:textId="77777777" w:rsidTr="00A11142">
        <w:trPr>
          <w:trHeight w:val="330"/>
        </w:trPr>
        <w:tc>
          <w:tcPr>
            <w:cnfStyle w:val="001000000000" w:firstRow="0" w:lastRow="0" w:firstColumn="1" w:lastColumn="0" w:oddVBand="0" w:evenVBand="0" w:oddHBand="0" w:evenHBand="0" w:firstRowFirstColumn="0" w:firstRowLastColumn="0" w:lastRowFirstColumn="0" w:lastRowLastColumn="0"/>
            <w:tcW w:w="2127" w:type="dxa"/>
            <w:hideMark/>
          </w:tcPr>
          <w:p w14:paraId="236AA770" w14:textId="77777777" w:rsidR="00AB06E8" w:rsidRPr="0052598D" w:rsidRDefault="00AB06E8" w:rsidP="00D567D6">
            <w:pPr>
              <w:pStyle w:val="Tabletext"/>
              <w:rPr>
                <w:color w:val="000000" w:themeColor="text1"/>
              </w:rPr>
            </w:pPr>
            <w:r w:rsidRPr="0052598D">
              <w:rPr>
                <w:color w:val="000000" w:themeColor="text1"/>
              </w:rPr>
              <w:t>Women</w:t>
            </w:r>
          </w:p>
        </w:tc>
        <w:tc>
          <w:tcPr>
            <w:tcW w:w="1696" w:type="dxa"/>
          </w:tcPr>
          <w:p w14:paraId="4DA6310E" w14:textId="41DAF3D5" w:rsidR="00AB06E8" w:rsidRPr="00003410" w:rsidRDefault="00192549" w:rsidP="00D567D6">
            <w:pPr>
              <w:pStyle w:val="Tabletext"/>
              <w:cnfStyle w:val="000000000000" w:firstRow="0" w:lastRow="0" w:firstColumn="0" w:lastColumn="0" w:oddVBand="0" w:evenVBand="0" w:oddHBand="0" w:evenHBand="0" w:firstRowFirstColumn="0" w:firstRowLastColumn="0" w:lastRowFirstColumn="0" w:lastRowLastColumn="0"/>
            </w:pPr>
            <w:r>
              <w:t>48</w:t>
            </w:r>
          </w:p>
        </w:tc>
        <w:tc>
          <w:tcPr>
            <w:tcW w:w="1270" w:type="dxa"/>
          </w:tcPr>
          <w:p w14:paraId="7BB4B6DB" w14:textId="2FE083B3" w:rsidR="00AB06E8" w:rsidRPr="00003410" w:rsidRDefault="001B1123" w:rsidP="00D567D6">
            <w:pPr>
              <w:pStyle w:val="Tabletext"/>
              <w:cnfStyle w:val="000000000000" w:firstRow="0" w:lastRow="0" w:firstColumn="0" w:lastColumn="0" w:oddVBand="0" w:evenVBand="0" w:oddHBand="0" w:evenHBand="0" w:firstRowFirstColumn="0" w:firstRowLastColumn="0" w:lastRowFirstColumn="0" w:lastRowLastColumn="0"/>
            </w:pPr>
            <w:r>
              <w:t>41</w:t>
            </w:r>
          </w:p>
        </w:tc>
        <w:tc>
          <w:tcPr>
            <w:tcW w:w="1565" w:type="dxa"/>
          </w:tcPr>
          <w:p w14:paraId="5ED7E86B" w14:textId="3AC91115" w:rsidR="00AB06E8" w:rsidRPr="00003410" w:rsidRDefault="00B96551" w:rsidP="00D567D6">
            <w:pPr>
              <w:pStyle w:val="Tabletext"/>
              <w:cnfStyle w:val="000000000000" w:firstRow="0" w:lastRow="0" w:firstColumn="0" w:lastColumn="0" w:oddVBand="0" w:evenVBand="0" w:oddHBand="0" w:evenHBand="0" w:firstRowFirstColumn="0" w:firstRowLastColumn="0" w:lastRowFirstColumn="0" w:lastRowLastColumn="0"/>
            </w:pPr>
            <w:r>
              <w:t>40</w:t>
            </w:r>
          </w:p>
        </w:tc>
        <w:tc>
          <w:tcPr>
            <w:tcW w:w="1990" w:type="dxa"/>
          </w:tcPr>
          <w:p w14:paraId="1BFC2A43" w14:textId="77777777" w:rsidR="00AB06E8" w:rsidRPr="007D6E9F" w:rsidRDefault="00D43010" w:rsidP="00D567D6">
            <w:pPr>
              <w:pStyle w:val="Tabletext"/>
              <w:cnfStyle w:val="000000000000" w:firstRow="0" w:lastRow="0" w:firstColumn="0" w:lastColumn="0" w:oddVBand="0" w:evenVBand="0" w:oddHBand="0" w:evenHBand="0" w:firstRowFirstColumn="0" w:firstRowLastColumn="0" w:lastRowFirstColumn="0" w:lastRowLastColumn="0"/>
            </w:pPr>
            <w:r w:rsidRPr="007D6E9F">
              <w:t>51</w:t>
            </w:r>
          </w:p>
        </w:tc>
      </w:tr>
      <w:tr w:rsidR="00E23AB3" w:rsidRPr="00E23AB3" w14:paraId="356FCACD" w14:textId="77777777" w:rsidTr="00A11142">
        <w:trPr>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507DF86D" w14:textId="77777777" w:rsidR="00AB06E8" w:rsidRPr="0052598D" w:rsidRDefault="00AB06E8" w:rsidP="00D567D6">
            <w:pPr>
              <w:pStyle w:val="Tabletext"/>
              <w:rPr>
                <w:color w:val="000000" w:themeColor="text1"/>
              </w:rPr>
            </w:pPr>
            <w:r w:rsidRPr="0052598D">
              <w:rPr>
                <w:color w:val="000000" w:themeColor="text1"/>
              </w:rPr>
              <w:t>Undisclosed</w:t>
            </w:r>
            <w:r w:rsidR="002774A4" w:rsidRPr="0052598D">
              <w:rPr>
                <w:color w:val="000000" w:themeColor="text1"/>
              </w:rPr>
              <w:t xml:space="preserve"> / not known</w:t>
            </w:r>
          </w:p>
        </w:tc>
        <w:tc>
          <w:tcPr>
            <w:tcW w:w="1696" w:type="dxa"/>
          </w:tcPr>
          <w:p w14:paraId="0BB05FF1" w14:textId="07C8FDFC" w:rsidR="00AB06E8" w:rsidRPr="00003410" w:rsidRDefault="00192549" w:rsidP="00D567D6">
            <w:pPr>
              <w:pStyle w:val="Tabletext"/>
              <w:cnfStyle w:val="000000000000" w:firstRow="0" w:lastRow="0" w:firstColumn="0" w:lastColumn="0" w:oddVBand="0" w:evenVBand="0" w:oddHBand="0" w:evenHBand="0" w:firstRowFirstColumn="0" w:firstRowLastColumn="0" w:lastRowFirstColumn="0" w:lastRowLastColumn="0"/>
            </w:pPr>
            <w:r>
              <w:t>2</w:t>
            </w:r>
          </w:p>
        </w:tc>
        <w:tc>
          <w:tcPr>
            <w:tcW w:w="1270" w:type="dxa"/>
          </w:tcPr>
          <w:p w14:paraId="085D5B13" w14:textId="53293721" w:rsidR="00AB06E8" w:rsidRPr="00003410" w:rsidRDefault="00B96551" w:rsidP="00D567D6">
            <w:pPr>
              <w:pStyle w:val="Tabletext"/>
              <w:cnfStyle w:val="000000000000" w:firstRow="0" w:lastRow="0" w:firstColumn="0" w:lastColumn="0" w:oddVBand="0" w:evenVBand="0" w:oddHBand="0" w:evenHBand="0" w:firstRowFirstColumn="0" w:firstRowLastColumn="0" w:lastRowFirstColumn="0" w:lastRowLastColumn="0"/>
            </w:pPr>
            <w:r>
              <w:t>14</w:t>
            </w:r>
          </w:p>
        </w:tc>
        <w:tc>
          <w:tcPr>
            <w:tcW w:w="1565" w:type="dxa"/>
          </w:tcPr>
          <w:p w14:paraId="007B9610" w14:textId="14A77223" w:rsidR="00AB06E8" w:rsidRPr="00003410" w:rsidRDefault="00B644BD" w:rsidP="00D567D6">
            <w:pPr>
              <w:pStyle w:val="Tabletext"/>
              <w:cnfStyle w:val="000000000000" w:firstRow="0" w:lastRow="0" w:firstColumn="0" w:lastColumn="0" w:oddVBand="0" w:evenVBand="0" w:oddHBand="0" w:evenHBand="0" w:firstRowFirstColumn="0" w:firstRowLastColumn="0" w:lastRowFirstColumn="0" w:lastRowLastColumn="0"/>
            </w:pPr>
            <w:r>
              <w:t>4</w:t>
            </w:r>
          </w:p>
        </w:tc>
        <w:tc>
          <w:tcPr>
            <w:tcW w:w="1990" w:type="dxa"/>
          </w:tcPr>
          <w:p w14:paraId="20389318" w14:textId="77777777" w:rsidR="00AB06E8" w:rsidRPr="007D6E9F" w:rsidRDefault="00D43010" w:rsidP="00D567D6">
            <w:pPr>
              <w:pStyle w:val="Tabletext"/>
              <w:cnfStyle w:val="000000000000" w:firstRow="0" w:lastRow="0" w:firstColumn="0" w:lastColumn="0" w:oddVBand="0" w:evenVBand="0" w:oddHBand="0" w:evenHBand="0" w:firstRowFirstColumn="0" w:firstRowLastColumn="0" w:lastRowFirstColumn="0" w:lastRowLastColumn="0"/>
            </w:pPr>
            <w:r w:rsidRPr="007D6E9F">
              <w:t>0</w:t>
            </w:r>
          </w:p>
        </w:tc>
      </w:tr>
    </w:tbl>
    <w:p w14:paraId="75E918C6" w14:textId="572F74E8" w:rsidR="005B5533" w:rsidRDefault="005B5533" w:rsidP="007B03CB">
      <w:pPr>
        <w:pStyle w:val="Tableandgraphheading"/>
        <w:spacing w:before="240"/>
      </w:pPr>
      <w:r w:rsidRPr="00E23AB3">
        <w:t>Table 5</w:t>
      </w:r>
      <w:r>
        <w:t>b</w:t>
      </w:r>
      <w:r w:rsidRPr="00E23AB3">
        <w:t>: NICE compared with ‘</w:t>
      </w:r>
      <w:r w:rsidRPr="00DB7FDD">
        <w:t>benchmark’</w:t>
      </w:r>
      <w:r w:rsidRPr="00E23AB3">
        <w:t xml:space="preserve"> organisations</w:t>
      </w:r>
      <w:r>
        <w:t xml:space="preserve"> – ethnicity</w:t>
      </w:r>
    </w:p>
    <w:tbl>
      <w:tblPr>
        <w:tblStyle w:val="GridTable1Light"/>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96"/>
        <w:gridCol w:w="1270"/>
        <w:gridCol w:w="1565"/>
        <w:gridCol w:w="1990"/>
      </w:tblGrid>
      <w:tr w:rsidR="005B5533" w:rsidRPr="00E23AB3" w14:paraId="218A5C6F" w14:textId="77777777" w:rsidTr="00A11142">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127" w:type="dxa"/>
            <w:tcBorders>
              <w:bottom w:val="none" w:sz="0" w:space="0" w:color="auto"/>
            </w:tcBorders>
            <w:shd w:val="clear" w:color="auto" w:fill="A2BDC1"/>
          </w:tcPr>
          <w:p w14:paraId="199C34F1" w14:textId="15411E50" w:rsidR="005B5533" w:rsidRPr="0052598D" w:rsidRDefault="005B5533" w:rsidP="0013210A">
            <w:pPr>
              <w:pStyle w:val="Tabletext"/>
              <w:rPr>
                <w:color w:val="000000" w:themeColor="text1"/>
              </w:rPr>
            </w:pPr>
            <w:r w:rsidRPr="0052598D">
              <w:rPr>
                <w:color w:val="000000" w:themeColor="text1"/>
              </w:rPr>
              <w:t> </w:t>
            </w:r>
            <w:r w:rsidR="00A11142">
              <w:rPr>
                <w:color w:val="000000" w:themeColor="text1"/>
              </w:rPr>
              <w:t>Ethnicity</w:t>
            </w:r>
          </w:p>
        </w:tc>
        <w:tc>
          <w:tcPr>
            <w:tcW w:w="1696" w:type="dxa"/>
            <w:tcBorders>
              <w:bottom w:val="none" w:sz="0" w:space="0" w:color="auto"/>
            </w:tcBorders>
            <w:shd w:val="clear" w:color="auto" w:fill="A2BDC1"/>
          </w:tcPr>
          <w:p w14:paraId="18A7B0FC" w14:textId="77777777" w:rsidR="005B5533" w:rsidRPr="0052598D" w:rsidRDefault="005B5533"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NICE advisory bodies (%)</w:t>
            </w:r>
          </w:p>
        </w:tc>
        <w:tc>
          <w:tcPr>
            <w:tcW w:w="1270" w:type="dxa"/>
            <w:tcBorders>
              <w:bottom w:val="none" w:sz="0" w:space="0" w:color="auto"/>
            </w:tcBorders>
            <w:shd w:val="clear" w:color="auto" w:fill="A2BDC1"/>
          </w:tcPr>
          <w:p w14:paraId="743D6632" w14:textId="77777777" w:rsidR="005B5533" w:rsidRPr="0052598D" w:rsidRDefault="005B5533"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 xml:space="preserve">All public bodies (%) </w:t>
            </w:r>
          </w:p>
        </w:tc>
        <w:tc>
          <w:tcPr>
            <w:tcW w:w="1565" w:type="dxa"/>
            <w:tcBorders>
              <w:bottom w:val="none" w:sz="0" w:space="0" w:color="auto"/>
            </w:tcBorders>
            <w:shd w:val="clear" w:color="auto" w:fill="A2BDC1"/>
          </w:tcPr>
          <w:p w14:paraId="72868445" w14:textId="77777777" w:rsidR="005B5533" w:rsidRPr="0052598D" w:rsidRDefault="005B5533"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NHS bodies (%)</w:t>
            </w:r>
          </w:p>
        </w:tc>
        <w:tc>
          <w:tcPr>
            <w:tcW w:w="1990" w:type="dxa"/>
            <w:tcBorders>
              <w:bottom w:val="none" w:sz="0" w:space="0" w:color="auto"/>
            </w:tcBorders>
            <w:shd w:val="clear" w:color="auto" w:fill="A2BDC1"/>
          </w:tcPr>
          <w:p w14:paraId="74DA09EF" w14:textId="77777777" w:rsidR="005B5533" w:rsidRDefault="005B5533" w:rsidP="0013210A">
            <w:pPr>
              <w:pStyle w:val="Tabletext"/>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52598D">
              <w:rPr>
                <w:color w:val="000000" w:themeColor="text1"/>
              </w:rPr>
              <w:t>England population (%)</w:t>
            </w:r>
          </w:p>
          <w:p w14:paraId="2D8D51DD" w14:textId="2A6046E5" w:rsidR="00941A10" w:rsidRPr="0052598D" w:rsidRDefault="00941A10"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2011 Census</w:t>
            </w:r>
          </w:p>
        </w:tc>
      </w:tr>
      <w:tr w:rsidR="005B5533" w:rsidRPr="00E23AB3" w14:paraId="057EFC1C" w14:textId="77777777" w:rsidTr="00A11142">
        <w:trPr>
          <w:trHeight w:val="285"/>
        </w:trPr>
        <w:tc>
          <w:tcPr>
            <w:cnfStyle w:val="001000000000" w:firstRow="0" w:lastRow="0" w:firstColumn="1" w:lastColumn="0" w:oddVBand="0" w:evenVBand="0" w:oddHBand="0" w:evenHBand="0" w:firstRowFirstColumn="0" w:firstRowLastColumn="0" w:lastRowFirstColumn="0" w:lastRowLastColumn="0"/>
            <w:tcW w:w="2127" w:type="dxa"/>
            <w:hideMark/>
          </w:tcPr>
          <w:p w14:paraId="523C34B4" w14:textId="77777777" w:rsidR="005B5533" w:rsidRPr="0052598D" w:rsidRDefault="005B5533" w:rsidP="0013210A">
            <w:pPr>
              <w:pStyle w:val="Tabletext"/>
              <w:rPr>
                <w:color w:val="000000" w:themeColor="text1"/>
              </w:rPr>
            </w:pPr>
            <w:r w:rsidRPr="0052598D">
              <w:rPr>
                <w:color w:val="000000" w:themeColor="text1"/>
              </w:rPr>
              <w:t>Black, Asian &amp; minority ethnic group (includes mixed)</w:t>
            </w:r>
          </w:p>
        </w:tc>
        <w:tc>
          <w:tcPr>
            <w:tcW w:w="1696" w:type="dxa"/>
          </w:tcPr>
          <w:p w14:paraId="6ABEB43B"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14</w:t>
            </w:r>
          </w:p>
        </w:tc>
        <w:tc>
          <w:tcPr>
            <w:tcW w:w="1270" w:type="dxa"/>
          </w:tcPr>
          <w:p w14:paraId="31152948"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6</w:t>
            </w:r>
          </w:p>
        </w:tc>
        <w:tc>
          <w:tcPr>
            <w:tcW w:w="1565" w:type="dxa"/>
          </w:tcPr>
          <w:p w14:paraId="13DD6D93"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10</w:t>
            </w:r>
          </w:p>
        </w:tc>
        <w:tc>
          <w:tcPr>
            <w:tcW w:w="1990" w:type="dxa"/>
          </w:tcPr>
          <w:p w14:paraId="30C15FA5" w14:textId="77777777" w:rsidR="005B5533" w:rsidRPr="007D6E9F" w:rsidRDefault="005B5533" w:rsidP="0013210A">
            <w:pPr>
              <w:pStyle w:val="Tabletext"/>
              <w:cnfStyle w:val="000000000000" w:firstRow="0" w:lastRow="0" w:firstColumn="0" w:lastColumn="0" w:oddVBand="0" w:evenVBand="0" w:oddHBand="0" w:evenHBand="0" w:firstRowFirstColumn="0" w:firstRowLastColumn="0" w:lastRowFirstColumn="0" w:lastRowLastColumn="0"/>
            </w:pPr>
            <w:r w:rsidRPr="007D6E9F">
              <w:t>14</w:t>
            </w:r>
          </w:p>
        </w:tc>
      </w:tr>
      <w:tr w:rsidR="005B5533" w:rsidRPr="00E23AB3" w14:paraId="0817DAFF" w14:textId="77777777" w:rsidTr="00A11142">
        <w:trPr>
          <w:trHeight w:val="287"/>
        </w:trPr>
        <w:tc>
          <w:tcPr>
            <w:cnfStyle w:val="001000000000" w:firstRow="0" w:lastRow="0" w:firstColumn="1" w:lastColumn="0" w:oddVBand="0" w:evenVBand="0" w:oddHBand="0" w:evenHBand="0" w:firstRowFirstColumn="0" w:firstRowLastColumn="0" w:lastRowFirstColumn="0" w:lastRowLastColumn="0"/>
            <w:tcW w:w="2127" w:type="dxa"/>
            <w:hideMark/>
          </w:tcPr>
          <w:p w14:paraId="739A765E" w14:textId="77777777" w:rsidR="005B5533" w:rsidRPr="0052598D" w:rsidRDefault="005B5533" w:rsidP="0013210A">
            <w:pPr>
              <w:pStyle w:val="Tabletext"/>
              <w:rPr>
                <w:color w:val="000000" w:themeColor="text1"/>
              </w:rPr>
            </w:pPr>
            <w:r w:rsidRPr="0052598D">
              <w:rPr>
                <w:color w:val="000000" w:themeColor="text1"/>
              </w:rPr>
              <w:t>White</w:t>
            </w:r>
          </w:p>
        </w:tc>
        <w:tc>
          <w:tcPr>
            <w:tcW w:w="1696" w:type="dxa"/>
          </w:tcPr>
          <w:p w14:paraId="07BBD6D5"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83</w:t>
            </w:r>
          </w:p>
        </w:tc>
        <w:tc>
          <w:tcPr>
            <w:tcW w:w="1270" w:type="dxa"/>
          </w:tcPr>
          <w:p w14:paraId="4C2D6565"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70</w:t>
            </w:r>
          </w:p>
        </w:tc>
        <w:tc>
          <w:tcPr>
            <w:tcW w:w="1565" w:type="dxa"/>
          </w:tcPr>
          <w:p w14:paraId="0497C07E"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85</w:t>
            </w:r>
          </w:p>
        </w:tc>
        <w:tc>
          <w:tcPr>
            <w:tcW w:w="1990" w:type="dxa"/>
          </w:tcPr>
          <w:p w14:paraId="4CC04B5C" w14:textId="77777777" w:rsidR="005B5533" w:rsidRPr="007D6E9F" w:rsidRDefault="005B5533" w:rsidP="0013210A">
            <w:pPr>
              <w:pStyle w:val="Tabletext"/>
              <w:cnfStyle w:val="000000000000" w:firstRow="0" w:lastRow="0" w:firstColumn="0" w:lastColumn="0" w:oddVBand="0" w:evenVBand="0" w:oddHBand="0" w:evenHBand="0" w:firstRowFirstColumn="0" w:firstRowLastColumn="0" w:lastRowFirstColumn="0" w:lastRowLastColumn="0"/>
            </w:pPr>
            <w:r w:rsidRPr="007D6E9F">
              <w:t>85</w:t>
            </w:r>
          </w:p>
        </w:tc>
      </w:tr>
      <w:tr w:rsidR="005B5533" w:rsidRPr="00E23AB3" w14:paraId="2BF0C1CF" w14:textId="77777777" w:rsidTr="00A11142">
        <w:trPr>
          <w:trHeight w:val="267"/>
        </w:trPr>
        <w:tc>
          <w:tcPr>
            <w:cnfStyle w:val="001000000000" w:firstRow="0" w:lastRow="0" w:firstColumn="1" w:lastColumn="0" w:oddVBand="0" w:evenVBand="0" w:oddHBand="0" w:evenHBand="0" w:firstRowFirstColumn="0" w:firstRowLastColumn="0" w:lastRowFirstColumn="0" w:lastRowLastColumn="0"/>
            <w:tcW w:w="2127" w:type="dxa"/>
            <w:hideMark/>
          </w:tcPr>
          <w:p w14:paraId="1639228F" w14:textId="77777777" w:rsidR="005B5533" w:rsidRPr="0052598D" w:rsidRDefault="005B5533" w:rsidP="0013210A">
            <w:pPr>
              <w:pStyle w:val="Tabletext"/>
              <w:rPr>
                <w:color w:val="000000" w:themeColor="text1"/>
              </w:rPr>
            </w:pPr>
            <w:r w:rsidRPr="0052598D">
              <w:rPr>
                <w:color w:val="000000" w:themeColor="text1"/>
              </w:rPr>
              <w:lastRenderedPageBreak/>
              <w:t>Undisclosed / not known</w:t>
            </w:r>
          </w:p>
        </w:tc>
        <w:tc>
          <w:tcPr>
            <w:tcW w:w="1696" w:type="dxa"/>
          </w:tcPr>
          <w:p w14:paraId="28EF8B16"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3</w:t>
            </w:r>
          </w:p>
        </w:tc>
        <w:tc>
          <w:tcPr>
            <w:tcW w:w="1270" w:type="dxa"/>
          </w:tcPr>
          <w:p w14:paraId="08B79B3E"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24</w:t>
            </w:r>
          </w:p>
        </w:tc>
        <w:tc>
          <w:tcPr>
            <w:tcW w:w="1565" w:type="dxa"/>
          </w:tcPr>
          <w:p w14:paraId="06CB619C"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5</w:t>
            </w:r>
          </w:p>
        </w:tc>
        <w:tc>
          <w:tcPr>
            <w:tcW w:w="1990" w:type="dxa"/>
          </w:tcPr>
          <w:p w14:paraId="436C471B" w14:textId="77777777" w:rsidR="005B5533" w:rsidRPr="007D6E9F" w:rsidRDefault="005B5533" w:rsidP="0013210A">
            <w:pPr>
              <w:pStyle w:val="Tabletext"/>
              <w:cnfStyle w:val="000000000000" w:firstRow="0" w:lastRow="0" w:firstColumn="0" w:lastColumn="0" w:oddVBand="0" w:evenVBand="0" w:oddHBand="0" w:evenHBand="0" w:firstRowFirstColumn="0" w:firstRowLastColumn="0" w:lastRowFirstColumn="0" w:lastRowLastColumn="0"/>
            </w:pPr>
            <w:r w:rsidRPr="007D6E9F">
              <w:t>0</w:t>
            </w:r>
          </w:p>
        </w:tc>
      </w:tr>
    </w:tbl>
    <w:p w14:paraId="7F8CF1BC" w14:textId="161C97E0" w:rsidR="005B5533" w:rsidRDefault="005B5533" w:rsidP="007B03CB">
      <w:pPr>
        <w:pStyle w:val="Tableandgraphheading"/>
        <w:spacing w:before="240"/>
      </w:pPr>
      <w:r w:rsidRPr="00E23AB3">
        <w:t>Table 5</w:t>
      </w:r>
      <w:r>
        <w:t>c</w:t>
      </w:r>
      <w:r w:rsidRPr="00E23AB3">
        <w:t>: NICE compared with ‘</w:t>
      </w:r>
      <w:r w:rsidRPr="00DB7FDD">
        <w:t>benchmark’</w:t>
      </w:r>
      <w:r w:rsidRPr="00E23AB3">
        <w:t xml:space="preserve"> organisations</w:t>
      </w:r>
      <w:r>
        <w:t xml:space="preserve"> – disability</w:t>
      </w:r>
    </w:p>
    <w:tbl>
      <w:tblPr>
        <w:tblStyle w:val="GridTable1Light"/>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96"/>
        <w:gridCol w:w="1270"/>
        <w:gridCol w:w="1565"/>
        <w:gridCol w:w="1990"/>
      </w:tblGrid>
      <w:tr w:rsidR="005B5533" w:rsidRPr="00E23AB3" w14:paraId="283139AA" w14:textId="77777777" w:rsidTr="0047189C">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127" w:type="dxa"/>
            <w:tcBorders>
              <w:bottom w:val="none" w:sz="0" w:space="0" w:color="auto"/>
            </w:tcBorders>
            <w:shd w:val="clear" w:color="auto" w:fill="A2BDC1"/>
          </w:tcPr>
          <w:p w14:paraId="2F937E06" w14:textId="525605D3" w:rsidR="005B5533" w:rsidRPr="0052598D" w:rsidRDefault="005B5533" w:rsidP="0013210A">
            <w:pPr>
              <w:pStyle w:val="Tabletext"/>
              <w:rPr>
                <w:color w:val="000000" w:themeColor="text1"/>
              </w:rPr>
            </w:pPr>
            <w:r w:rsidRPr="0052598D">
              <w:rPr>
                <w:color w:val="000000" w:themeColor="text1"/>
              </w:rPr>
              <w:t> </w:t>
            </w:r>
            <w:r w:rsidR="0047189C">
              <w:rPr>
                <w:color w:val="000000" w:themeColor="text1"/>
              </w:rPr>
              <w:t>Disability</w:t>
            </w:r>
          </w:p>
        </w:tc>
        <w:tc>
          <w:tcPr>
            <w:tcW w:w="1696" w:type="dxa"/>
            <w:tcBorders>
              <w:bottom w:val="none" w:sz="0" w:space="0" w:color="auto"/>
            </w:tcBorders>
            <w:shd w:val="clear" w:color="auto" w:fill="A2BDC1"/>
          </w:tcPr>
          <w:p w14:paraId="4856845F" w14:textId="77777777" w:rsidR="005B5533" w:rsidRPr="0052598D" w:rsidRDefault="005B5533"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NICE advisory bodies (%)</w:t>
            </w:r>
          </w:p>
        </w:tc>
        <w:tc>
          <w:tcPr>
            <w:tcW w:w="1270" w:type="dxa"/>
            <w:tcBorders>
              <w:bottom w:val="none" w:sz="0" w:space="0" w:color="auto"/>
            </w:tcBorders>
            <w:shd w:val="clear" w:color="auto" w:fill="A2BDC1"/>
          </w:tcPr>
          <w:p w14:paraId="3A210256" w14:textId="77777777" w:rsidR="005B5533" w:rsidRPr="0052598D" w:rsidRDefault="005B5533"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 xml:space="preserve">All public bodies (%) </w:t>
            </w:r>
          </w:p>
        </w:tc>
        <w:tc>
          <w:tcPr>
            <w:tcW w:w="1565" w:type="dxa"/>
            <w:tcBorders>
              <w:bottom w:val="none" w:sz="0" w:space="0" w:color="auto"/>
            </w:tcBorders>
            <w:shd w:val="clear" w:color="auto" w:fill="A2BDC1"/>
          </w:tcPr>
          <w:p w14:paraId="1F635E35" w14:textId="77777777" w:rsidR="005B5533" w:rsidRPr="0052598D" w:rsidRDefault="005B5533"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NHS bodies (%)</w:t>
            </w:r>
          </w:p>
        </w:tc>
        <w:tc>
          <w:tcPr>
            <w:tcW w:w="1990" w:type="dxa"/>
            <w:tcBorders>
              <w:bottom w:val="none" w:sz="0" w:space="0" w:color="auto"/>
            </w:tcBorders>
            <w:shd w:val="clear" w:color="auto" w:fill="A2BDC1"/>
          </w:tcPr>
          <w:p w14:paraId="098AD6A0" w14:textId="77777777" w:rsidR="005B5533" w:rsidRDefault="005B5533" w:rsidP="0013210A">
            <w:pPr>
              <w:pStyle w:val="Tabletext"/>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52598D">
              <w:rPr>
                <w:color w:val="000000" w:themeColor="text1"/>
              </w:rPr>
              <w:t>England population (%)</w:t>
            </w:r>
          </w:p>
          <w:p w14:paraId="4221DD3D" w14:textId="14C9AC08" w:rsidR="00941A10" w:rsidRPr="0052598D" w:rsidRDefault="00941A10"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2011 Census</w:t>
            </w:r>
          </w:p>
        </w:tc>
      </w:tr>
      <w:tr w:rsidR="005B5533" w:rsidRPr="00E23AB3" w14:paraId="32495929" w14:textId="77777777" w:rsidTr="0047189C">
        <w:trPr>
          <w:trHeight w:val="255"/>
        </w:trPr>
        <w:tc>
          <w:tcPr>
            <w:cnfStyle w:val="001000000000" w:firstRow="0" w:lastRow="0" w:firstColumn="1" w:lastColumn="0" w:oddVBand="0" w:evenVBand="0" w:oddHBand="0" w:evenHBand="0" w:firstRowFirstColumn="0" w:firstRowLastColumn="0" w:lastRowFirstColumn="0" w:lastRowLastColumn="0"/>
            <w:tcW w:w="2127" w:type="dxa"/>
            <w:hideMark/>
          </w:tcPr>
          <w:p w14:paraId="02F3E0B9" w14:textId="77777777" w:rsidR="005B5533" w:rsidRPr="0052598D" w:rsidRDefault="005B5533" w:rsidP="0013210A">
            <w:pPr>
              <w:pStyle w:val="Tabletext"/>
              <w:rPr>
                <w:color w:val="000000" w:themeColor="text1"/>
              </w:rPr>
            </w:pPr>
            <w:r w:rsidRPr="0052598D">
              <w:rPr>
                <w:color w:val="000000" w:themeColor="text1"/>
              </w:rPr>
              <w:t>Yes</w:t>
            </w:r>
          </w:p>
        </w:tc>
        <w:tc>
          <w:tcPr>
            <w:tcW w:w="1696" w:type="dxa"/>
          </w:tcPr>
          <w:p w14:paraId="6100BE25"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10</w:t>
            </w:r>
          </w:p>
        </w:tc>
        <w:tc>
          <w:tcPr>
            <w:tcW w:w="1270" w:type="dxa"/>
          </w:tcPr>
          <w:p w14:paraId="748B8056"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5</w:t>
            </w:r>
          </w:p>
        </w:tc>
        <w:tc>
          <w:tcPr>
            <w:tcW w:w="1565" w:type="dxa"/>
          </w:tcPr>
          <w:p w14:paraId="26C74D7E"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4</w:t>
            </w:r>
          </w:p>
        </w:tc>
        <w:tc>
          <w:tcPr>
            <w:tcW w:w="1990" w:type="dxa"/>
          </w:tcPr>
          <w:p w14:paraId="46F4A421" w14:textId="77777777" w:rsidR="005B5533" w:rsidRPr="007D6E9F" w:rsidRDefault="005B5533" w:rsidP="0013210A">
            <w:pPr>
              <w:pStyle w:val="Tabletext"/>
              <w:cnfStyle w:val="000000000000" w:firstRow="0" w:lastRow="0" w:firstColumn="0" w:lastColumn="0" w:oddVBand="0" w:evenVBand="0" w:oddHBand="0" w:evenHBand="0" w:firstRowFirstColumn="0" w:firstRowLastColumn="0" w:lastRowFirstColumn="0" w:lastRowLastColumn="0"/>
            </w:pPr>
            <w:r w:rsidRPr="007D6E9F">
              <w:t>18</w:t>
            </w:r>
          </w:p>
        </w:tc>
      </w:tr>
      <w:tr w:rsidR="005B5533" w:rsidRPr="00E23AB3" w14:paraId="21C6D634" w14:textId="77777777" w:rsidTr="0047189C">
        <w:trPr>
          <w:trHeight w:val="273"/>
        </w:trPr>
        <w:tc>
          <w:tcPr>
            <w:cnfStyle w:val="001000000000" w:firstRow="0" w:lastRow="0" w:firstColumn="1" w:lastColumn="0" w:oddVBand="0" w:evenVBand="0" w:oddHBand="0" w:evenHBand="0" w:firstRowFirstColumn="0" w:firstRowLastColumn="0" w:lastRowFirstColumn="0" w:lastRowLastColumn="0"/>
            <w:tcW w:w="2127" w:type="dxa"/>
            <w:hideMark/>
          </w:tcPr>
          <w:p w14:paraId="42EE4533" w14:textId="77777777" w:rsidR="005B5533" w:rsidRPr="0052598D" w:rsidRDefault="005B5533" w:rsidP="0013210A">
            <w:pPr>
              <w:pStyle w:val="Tabletext"/>
              <w:rPr>
                <w:color w:val="000000" w:themeColor="text1"/>
              </w:rPr>
            </w:pPr>
            <w:r w:rsidRPr="0052598D">
              <w:rPr>
                <w:color w:val="000000" w:themeColor="text1"/>
              </w:rPr>
              <w:t>No</w:t>
            </w:r>
          </w:p>
        </w:tc>
        <w:tc>
          <w:tcPr>
            <w:tcW w:w="1696" w:type="dxa"/>
          </w:tcPr>
          <w:p w14:paraId="49E17E0F"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72</w:t>
            </w:r>
          </w:p>
        </w:tc>
        <w:tc>
          <w:tcPr>
            <w:tcW w:w="1270" w:type="dxa"/>
          </w:tcPr>
          <w:p w14:paraId="6AADD8B1"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63</w:t>
            </w:r>
          </w:p>
        </w:tc>
        <w:tc>
          <w:tcPr>
            <w:tcW w:w="1565" w:type="dxa"/>
          </w:tcPr>
          <w:p w14:paraId="2A5EF6F0"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91</w:t>
            </w:r>
          </w:p>
        </w:tc>
        <w:tc>
          <w:tcPr>
            <w:tcW w:w="1990" w:type="dxa"/>
          </w:tcPr>
          <w:p w14:paraId="1834199A" w14:textId="77777777" w:rsidR="005B5533" w:rsidRPr="007D6E9F" w:rsidRDefault="005B5533" w:rsidP="0013210A">
            <w:pPr>
              <w:pStyle w:val="Tabletext"/>
              <w:cnfStyle w:val="000000000000" w:firstRow="0" w:lastRow="0" w:firstColumn="0" w:lastColumn="0" w:oddVBand="0" w:evenVBand="0" w:oddHBand="0" w:evenHBand="0" w:firstRowFirstColumn="0" w:firstRowLastColumn="0" w:lastRowFirstColumn="0" w:lastRowLastColumn="0"/>
            </w:pPr>
            <w:r w:rsidRPr="007D6E9F">
              <w:t>82</w:t>
            </w:r>
          </w:p>
        </w:tc>
      </w:tr>
      <w:tr w:rsidR="005B5533" w:rsidRPr="00E23AB3" w14:paraId="25FE6BDD" w14:textId="77777777" w:rsidTr="0047189C">
        <w:trPr>
          <w:trHeight w:val="300"/>
        </w:trPr>
        <w:tc>
          <w:tcPr>
            <w:cnfStyle w:val="001000000000" w:firstRow="0" w:lastRow="0" w:firstColumn="1" w:lastColumn="0" w:oddVBand="0" w:evenVBand="0" w:oddHBand="0" w:evenHBand="0" w:firstRowFirstColumn="0" w:firstRowLastColumn="0" w:lastRowFirstColumn="0" w:lastRowLastColumn="0"/>
            <w:tcW w:w="2127" w:type="dxa"/>
            <w:hideMark/>
          </w:tcPr>
          <w:p w14:paraId="641457A3" w14:textId="77777777" w:rsidR="005B5533" w:rsidRPr="0052598D" w:rsidRDefault="005B5533" w:rsidP="0013210A">
            <w:pPr>
              <w:pStyle w:val="Tabletext"/>
              <w:rPr>
                <w:color w:val="000000" w:themeColor="text1"/>
              </w:rPr>
            </w:pPr>
            <w:r w:rsidRPr="0052598D">
              <w:rPr>
                <w:color w:val="000000" w:themeColor="text1"/>
              </w:rPr>
              <w:t>Undisclosed / not known</w:t>
            </w:r>
          </w:p>
        </w:tc>
        <w:tc>
          <w:tcPr>
            <w:tcW w:w="1696" w:type="dxa"/>
          </w:tcPr>
          <w:p w14:paraId="7B7304BE"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18</w:t>
            </w:r>
          </w:p>
        </w:tc>
        <w:tc>
          <w:tcPr>
            <w:tcW w:w="1270" w:type="dxa"/>
          </w:tcPr>
          <w:p w14:paraId="0689E8E2"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32</w:t>
            </w:r>
          </w:p>
        </w:tc>
        <w:tc>
          <w:tcPr>
            <w:tcW w:w="1565" w:type="dxa"/>
          </w:tcPr>
          <w:p w14:paraId="73B7E351" w14:textId="77777777" w:rsidR="005B5533" w:rsidRPr="00003410" w:rsidRDefault="005B5533" w:rsidP="0013210A">
            <w:pPr>
              <w:pStyle w:val="Tabletext"/>
              <w:cnfStyle w:val="000000000000" w:firstRow="0" w:lastRow="0" w:firstColumn="0" w:lastColumn="0" w:oddVBand="0" w:evenVBand="0" w:oddHBand="0" w:evenHBand="0" w:firstRowFirstColumn="0" w:firstRowLastColumn="0" w:lastRowFirstColumn="0" w:lastRowLastColumn="0"/>
            </w:pPr>
            <w:r>
              <w:t>5</w:t>
            </w:r>
          </w:p>
        </w:tc>
        <w:tc>
          <w:tcPr>
            <w:tcW w:w="1990" w:type="dxa"/>
          </w:tcPr>
          <w:p w14:paraId="7098839F" w14:textId="77777777" w:rsidR="005B5533" w:rsidRPr="007D6E9F" w:rsidRDefault="005B5533" w:rsidP="0013210A">
            <w:pPr>
              <w:pStyle w:val="Tabletext"/>
              <w:cnfStyle w:val="000000000000" w:firstRow="0" w:lastRow="0" w:firstColumn="0" w:lastColumn="0" w:oddVBand="0" w:evenVBand="0" w:oddHBand="0" w:evenHBand="0" w:firstRowFirstColumn="0" w:firstRowLastColumn="0" w:lastRowFirstColumn="0" w:lastRowLastColumn="0"/>
            </w:pPr>
            <w:r w:rsidRPr="007D6E9F">
              <w:t>0</w:t>
            </w:r>
          </w:p>
        </w:tc>
      </w:tr>
    </w:tbl>
    <w:p w14:paraId="7D569F61" w14:textId="492A6271" w:rsidR="0047189C" w:rsidRDefault="0047189C" w:rsidP="007B03CB">
      <w:pPr>
        <w:pStyle w:val="Tableandgraphheading"/>
        <w:spacing w:before="240"/>
      </w:pPr>
      <w:r w:rsidRPr="00E23AB3">
        <w:t>Table 5</w:t>
      </w:r>
      <w:r>
        <w:t>d</w:t>
      </w:r>
      <w:r w:rsidRPr="00E23AB3">
        <w:t>: NICE compared with ‘</w:t>
      </w:r>
      <w:r w:rsidRPr="00DB7FDD">
        <w:t>benchmark’</w:t>
      </w:r>
      <w:r w:rsidRPr="00E23AB3">
        <w:t xml:space="preserve"> organisations</w:t>
      </w:r>
      <w:r>
        <w:t xml:space="preserve"> – sexual orientation</w:t>
      </w:r>
    </w:p>
    <w:tbl>
      <w:tblPr>
        <w:tblStyle w:val="GridTable1Light"/>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96"/>
        <w:gridCol w:w="1270"/>
        <w:gridCol w:w="1565"/>
        <w:gridCol w:w="1990"/>
      </w:tblGrid>
      <w:tr w:rsidR="0047189C" w:rsidRPr="00E23AB3" w14:paraId="05D26109" w14:textId="77777777" w:rsidTr="0047189C">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127" w:type="dxa"/>
            <w:tcBorders>
              <w:bottom w:val="none" w:sz="0" w:space="0" w:color="auto"/>
            </w:tcBorders>
            <w:shd w:val="clear" w:color="auto" w:fill="A2BDC1"/>
          </w:tcPr>
          <w:p w14:paraId="64AC5F05" w14:textId="3C5DE545" w:rsidR="0047189C" w:rsidRPr="0052598D" w:rsidRDefault="0047189C" w:rsidP="0013210A">
            <w:pPr>
              <w:pStyle w:val="Tabletext"/>
              <w:rPr>
                <w:color w:val="000000" w:themeColor="text1"/>
              </w:rPr>
            </w:pPr>
            <w:r w:rsidRPr="0052598D">
              <w:rPr>
                <w:color w:val="000000" w:themeColor="text1"/>
              </w:rPr>
              <w:t> </w:t>
            </w:r>
            <w:r>
              <w:rPr>
                <w:color w:val="000000" w:themeColor="text1"/>
              </w:rPr>
              <w:t>Sexual orientation</w:t>
            </w:r>
          </w:p>
        </w:tc>
        <w:tc>
          <w:tcPr>
            <w:tcW w:w="1696" w:type="dxa"/>
            <w:tcBorders>
              <w:bottom w:val="none" w:sz="0" w:space="0" w:color="auto"/>
            </w:tcBorders>
            <w:shd w:val="clear" w:color="auto" w:fill="A2BDC1"/>
          </w:tcPr>
          <w:p w14:paraId="43C62D24" w14:textId="77777777" w:rsidR="0047189C" w:rsidRPr="0052598D" w:rsidRDefault="0047189C"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NICE advisory bodies (%)</w:t>
            </w:r>
          </w:p>
        </w:tc>
        <w:tc>
          <w:tcPr>
            <w:tcW w:w="1270" w:type="dxa"/>
            <w:tcBorders>
              <w:bottom w:val="none" w:sz="0" w:space="0" w:color="auto"/>
            </w:tcBorders>
            <w:shd w:val="clear" w:color="auto" w:fill="A2BDC1"/>
          </w:tcPr>
          <w:p w14:paraId="24BE8E41" w14:textId="77777777" w:rsidR="0047189C" w:rsidRPr="0052598D" w:rsidRDefault="0047189C"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 xml:space="preserve">All public bodies (%) </w:t>
            </w:r>
          </w:p>
        </w:tc>
        <w:tc>
          <w:tcPr>
            <w:tcW w:w="1565" w:type="dxa"/>
            <w:tcBorders>
              <w:bottom w:val="none" w:sz="0" w:space="0" w:color="auto"/>
            </w:tcBorders>
            <w:shd w:val="clear" w:color="auto" w:fill="A2BDC1"/>
          </w:tcPr>
          <w:p w14:paraId="3D6414BA" w14:textId="77777777" w:rsidR="0047189C" w:rsidRPr="0052598D" w:rsidRDefault="0047189C"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52598D">
              <w:rPr>
                <w:color w:val="000000" w:themeColor="text1"/>
              </w:rPr>
              <w:t>NHS bodies (%)</w:t>
            </w:r>
          </w:p>
        </w:tc>
        <w:tc>
          <w:tcPr>
            <w:tcW w:w="1990" w:type="dxa"/>
            <w:tcBorders>
              <w:bottom w:val="none" w:sz="0" w:space="0" w:color="auto"/>
            </w:tcBorders>
            <w:shd w:val="clear" w:color="auto" w:fill="A2BDC1"/>
          </w:tcPr>
          <w:p w14:paraId="723E8A14" w14:textId="77777777" w:rsidR="0047189C" w:rsidRDefault="0047189C" w:rsidP="0013210A">
            <w:pPr>
              <w:pStyle w:val="Tabletext"/>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52598D">
              <w:rPr>
                <w:color w:val="000000" w:themeColor="text1"/>
              </w:rPr>
              <w:t>England population (%)</w:t>
            </w:r>
          </w:p>
          <w:p w14:paraId="437BF77D" w14:textId="5690DD02" w:rsidR="00941A10" w:rsidRPr="0052598D" w:rsidRDefault="00941A10" w:rsidP="0013210A">
            <w:pPr>
              <w:pStyle w:val="Tabletext"/>
              <w:cnfStyle w:val="100000000000" w:firstRow="1" w:lastRow="0" w:firstColumn="0" w:lastColumn="0" w:oddVBand="0" w:evenVBand="0" w:oddHBand="0" w:evenHBand="0" w:firstRowFirstColumn="0" w:firstRowLastColumn="0" w:lastRowFirstColumn="0" w:lastRowLastColumn="0"/>
              <w:rPr>
                <w:color w:val="000000" w:themeColor="text1"/>
              </w:rPr>
            </w:pPr>
            <w:r w:rsidRPr="00941A10">
              <w:rPr>
                <w:color w:val="000000" w:themeColor="text1"/>
              </w:rPr>
              <w:t>2017 Annual Population Survey</w:t>
            </w:r>
          </w:p>
        </w:tc>
      </w:tr>
      <w:tr w:rsidR="0047189C" w:rsidRPr="00E23AB3" w14:paraId="410898BB" w14:textId="77777777" w:rsidTr="0047189C">
        <w:trPr>
          <w:trHeight w:val="300"/>
        </w:trPr>
        <w:tc>
          <w:tcPr>
            <w:cnfStyle w:val="001000000000" w:firstRow="0" w:lastRow="0" w:firstColumn="1" w:lastColumn="0" w:oddVBand="0" w:evenVBand="0" w:oddHBand="0" w:evenHBand="0" w:firstRowFirstColumn="0" w:firstRowLastColumn="0" w:lastRowFirstColumn="0" w:lastRowLastColumn="0"/>
            <w:tcW w:w="2127" w:type="dxa"/>
          </w:tcPr>
          <w:p w14:paraId="737BB3D7" w14:textId="77777777" w:rsidR="0047189C" w:rsidRPr="0052598D" w:rsidRDefault="0047189C" w:rsidP="0013210A">
            <w:pPr>
              <w:pStyle w:val="Tabletext"/>
              <w:rPr>
                <w:color w:val="000000" w:themeColor="text1"/>
              </w:rPr>
            </w:pPr>
            <w:r w:rsidRPr="0052598D">
              <w:rPr>
                <w:color w:val="000000" w:themeColor="text1"/>
              </w:rPr>
              <w:t xml:space="preserve">Lesbian, gay, </w:t>
            </w:r>
            <w:proofErr w:type="gramStart"/>
            <w:r w:rsidRPr="0052598D">
              <w:rPr>
                <w:color w:val="000000" w:themeColor="text1"/>
              </w:rPr>
              <w:t>bisexual</w:t>
            </w:r>
            <w:proofErr w:type="gramEnd"/>
            <w:r w:rsidRPr="0052598D">
              <w:rPr>
                <w:color w:val="000000" w:themeColor="text1"/>
              </w:rPr>
              <w:t xml:space="preserve"> or other</w:t>
            </w:r>
          </w:p>
        </w:tc>
        <w:tc>
          <w:tcPr>
            <w:tcW w:w="1696" w:type="dxa"/>
          </w:tcPr>
          <w:p w14:paraId="6BAF2D53" w14:textId="77777777" w:rsidR="0047189C" w:rsidRPr="00003410"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4</w:t>
            </w:r>
          </w:p>
        </w:tc>
        <w:tc>
          <w:tcPr>
            <w:tcW w:w="1270" w:type="dxa"/>
          </w:tcPr>
          <w:p w14:paraId="3A6AAA7C" w14:textId="77777777" w:rsidR="0047189C"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4</w:t>
            </w:r>
          </w:p>
        </w:tc>
        <w:tc>
          <w:tcPr>
            <w:tcW w:w="1565" w:type="dxa"/>
          </w:tcPr>
          <w:p w14:paraId="291B2F17" w14:textId="77777777" w:rsidR="0047189C"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4</w:t>
            </w:r>
          </w:p>
        </w:tc>
        <w:tc>
          <w:tcPr>
            <w:tcW w:w="1990" w:type="dxa"/>
          </w:tcPr>
          <w:p w14:paraId="12EA493E" w14:textId="77777777" w:rsidR="0047189C" w:rsidRPr="007D6E9F"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5</w:t>
            </w:r>
          </w:p>
        </w:tc>
      </w:tr>
      <w:tr w:rsidR="0047189C" w:rsidRPr="00E23AB3" w14:paraId="2B0A7C79" w14:textId="77777777" w:rsidTr="0047189C">
        <w:trPr>
          <w:trHeight w:val="300"/>
        </w:trPr>
        <w:tc>
          <w:tcPr>
            <w:cnfStyle w:val="001000000000" w:firstRow="0" w:lastRow="0" w:firstColumn="1" w:lastColumn="0" w:oddVBand="0" w:evenVBand="0" w:oddHBand="0" w:evenHBand="0" w:firstRowFirstColumn="0" w:firstRowLastColumn="0" w:lastRowFirstColumn="0" w:lastRowLastColumn="0"/>
            <w:tcW w:w="2127" w:type="dxa"/>
          </w:tcPr>
          <w:p w14:paraId="01D8032C" w14:textId="77777777" w:rsidR="0047189C" w:rsidRPr="0052598D" w:rsidRDefault="0047189C" w:rsidP="0013210A">
            <w:pPr>
              <w:pStyle w:val="Tabletext"/>
              <w:rPr>
                <w:bCs w:val="0"/>
                <w:color w:val="000000" w:themeColor="text1"/>
              </w:rPr>
            </w:pPr>
            <w:r w:rsidRPr="0052598D">
              <w:rPr>
                <w:color w:val="000000" w:themeColor="text1"/>
              </w:rPr>
              <w:t>Heterosexual</w:t>
            </w:r>
          </w:p>
        </w:tc>
        <w:tc>
          <w:tcPr>
            <w:tcW w:w="1696" w:type="dxa"/>
          </w:tcPr>
          <w:p w14:paraId="56FE5C2A" w14:textId="77777777" w:rsidR="0047189C" w:rsidRPr="00003410"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88</w:t>
            </w:r>
          </w:p>
        </w:tc>
        <w:tc>
          <w:tcPr>
            <w:tcW w:w="1270" w:type="dxa"/>
          </w:tcPr>
          <w:p w14:paraId="7722A567" w14:textId="77777777" w:rsidR="0047189C"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58</w:t>
            </w:r>
          </w:p>
        </w:tc>
        <w:tc>
          <w:tcPr>
            <w:tcW w:w="1565" w:type="dxa"/>
          </w:tcPr>
          <w:p w14:paraId="073051B7" w14:textId="77777777" w:rsidR="0047189C"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86</w:t>
            </w:r>
          </w:p>
        </w:tc>
        <w:tc>
          <w:tcPr>
            <w:tcW w:w="1990" w:type="dxa"/>
          </w:tcPr>
          <w:p w14:paraId="63BB7F2B" w14:textId="77777777" w:rsidR="0047189C" w:rsidRPr="007D6E9F"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93</w:t>
            </w:r>
          </w:p>
        </w:tc>
      </w:tr>
      <w:tr w:rsidR="0047189C" w:rsidRPr="00E23AB3" w14:paraId="2D0E0EA7" w14:textId="77777777" w:rsidTr="0047189C">
        <w:trPr>
          <w:trHeight w:val="300"/>
        </w:trPr>
        <w:tc>
          <w:tcPr>
            <w:cnfStyle w:val="001000000000" w:firstRow="0" w:lastRow="0" w:firstColumn="1" w:lastColumn="0" w:oddVBand="0" w:evenVBand="0" w:oddHBand="0" w:evenHBand="0" w:firstRowFirstColumn="0" w:firstRowLastColumn="0" w:lastRowFirstColumn="0" w:lastRowLastColumn="0"/>
            <w:tcW w:w="2127" w:type="dxa"/>
          </w:tcPr>
          <w:p w14:paraId="4C55FE5B" w14:textId="77777777" w:rsidR="0047189C" w:rsidRPr="0052598D" w:rsidRDefault="0047189C" w:rsidP="0013210A">
            <w:pPr>
              <w:pStyle w:val="Tabletext"/>
              <w:rPr>
                <w:color w:val="000000" w:themeColor="text1"/>
              </w:rPr>
            </w:pPr>
            <w:r w:rsidRPr="0052598D">
              <w:rPr>
                <w:color w:val="000000" w:themeColor="text1"/>
              </w:rPr>
              <w:t>Undisclosed / not known</w:t>
            </w:r>
          </w:p>
        </w:tc>
        <w:tc>
          <w:tcPr>
            <w:tcW w:w="1696" w:type="dxa"/>
          </w:tcPr>
          <w:p w14:paraId="1A0BBF14" w14:textId="77777777" w:rsidR="0047189C" w:rsidRPr="00003410"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7</w:t>
            </w:r>
          </w:p>
        </w:tc>
        <w:tc>
          <w:tcPr>
            <w:tcW w:w="1270" w:type="dxa"/>
          </w:tcPr>
          <w:p w14:paraId="4FAE29D2" w14:textId="77777777" w:rsidR="0047189C"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38</w:t>
            </w:r>
          </w:p>
        </w:tc>
        <w:tc>
          <w:tcPr>
            <w:tcW w:w="1565" w:type="dxa"/>
          </w:tcPr>
          <w:p w14:paraId="67874909" w14:textId="77777777" w:rsidR="0047189C"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10</w:t>
            </w:r>
          </w:p>
        </w:tc>
        <w:tc>
          <w:tcPr>
            <w:tcW w:w="1990" w:type="dxa"/>
          </w:tcPr>
          <w:p w14:paraId="4C09BFC0" w14:textId="77777777" w:rsidR="0047189C" w:rsidRPr="007D6E9F" w:rsidRDefault="0047189C" w:rsidP="0013210A">
            <w:pPr>
              <w:pStyle w:val="Tabletext"/>
              <w:cnfStyle w:val="000000000000" w:firstRow="0" w:lastRow="0" w:firstColumn="0" w:lastColumn="0" w:oddVBand="0" w:evenVBand="0" w:oddHBand="0" w:evenHBand="0" w:firstRowFirstColumn="0" w:firstRowLastColumn="0" w:lastRowFirstColumn="0" w:lastRowLastColumn="0"/>
            </w:pPr>
            <w:r>
              <w:t>4</w:t>
            </w:r>
          </w:p>
        </w:tc>
      </w:tr>
    </w:tbl>
    <w:p w14:paraId="55097D7C" w14:textId="3CE40465" w:rsidR="00AB06E8" w:rsidRPr="00E23AB3" w:rsidRDefault="00AB06E8" w:rsidP="007B03CB">
      <w:pPr>
        <w:pStyle w:val="Heading1boardreport"/>
        <w:spacing w:before="240"/>
      </w:pPr>
      <w:r w:rsidRPr="005914A2">
        <w:t>Equality</w:t>
      </w:r>
      <w:r w:rsidRPr="00E23AB3">
        <w:t xml:space="preserve"> issues impacting on NICE guidance</w:t>
      </w:r>
    </w:p>
    <w:p w14:paraId="681FD1D1" w14:textId="77777777" w:rsidR="00AB06E8" w:rsidRPr="005914A2" w:rsidRDefault="00AB06E8" w:rsidP="00C51B05">
      <w:pPr>
        <w:pStyle w:val="Paragraph"/>
        <w:rPr>
          <w:color w:val="000000" w:themeColor="text1"/>
        </w:rPr>
      </w:pPr>
      <w:r w:rsidRPr="005914A2">
        <w:rPr>
          <w:color w:val="000000" w:themeColor="text1"/>
        </w:rPr>
        <w:t xml:space="preserve">For the purposes of the public sector equality duty, NICE treats each item of its guidance as an individual policy which requires an equality impact assessment. The aim of this analysis is to ensure that, wherever there is sufficient evidence, NICE’s recommendations support local and national efforts to eliminate discrimination, advance equality of opportunity, and foster good relations. We take account of the inputs of organisations and individuals with an interest in equality. </w:t>
      </w:r>
      <w:r w:rsidR="002727E7" w:rsidRPr="005914A2">
        <w:rPr>
          <w:color w:val="000000" w:themeColor="text1"/>
        </w:rPr>
        <w:t>Similarly, we take equality issues into account when developing our advice products.</w:t>
      </w:r>
      <w:r w:rsidR="00BC2B19" w:rsidRPr="005914A2">
        <w:rPr>
          <w:color w:val="000000" w:themeColor="text1"/>
        </w:rPr>
        <w:t xml:space="preserve"> </w:t>
      </w:r>
    </w:p>
    <w:p w14:paraId="27C11B9D" w14:textId="77777777" w:rsidR="00AB06E8" w:rsidRPr="005914A2" w:rsidRDefault="00AB06E8" w:rsidP="00C51B05">
      <w:pPr>
        <w:pStyle w:val="Paragraph"/>
        <w:rPr>
          <w:color w:val="000000" w:themeColor="text1"/>
        </w:rPr>
      </w:pPr>
      <w:r w:rsidRPr="005914A2">
        <w:rPr>
          <w:color w:val="000000" w:themeColor="text1"/>
        </w:rPr>
        <w:t>In assessing the clinical and cost effectiveness of interventions and the validity of quality standards and indicators, we consider their impacts on:</w:t>
      </w:r>
    </w:p>
    <w:p w14:paraId="364D23F6" w14:textId="77777777" w:rsidR="00AB06E8" w:rsidRPr="005914A2" w:rsidRDefault="00AB06E8" w:rsidP="00290F89">
      <w:pPr>
        <w:pStyle w:val="Bullets"/>
        <w:rPr>
          <w:color w:val="000000" w:themeColor="text1"/>
        </w:rPr>
      </w:pPr>
      <w:r w:rsidRPr="005914A2">
        <w:rPr>
          <w:color w:val="000000" w:themeColor="text1"/>
        </w:rPr>
        <w:t>people sharing the characteristics protected by the 2010 Equality Act</w:t>
      </w:r>
    </w:p>
    <w:p w14:paraId="48696A9C" w14:textId="77777777" w:rsidR="00AB06E8" w:rsidRPr="005914A2" w:rsidRDefault="00AB06E8" w:rsidP="00290F89">
      <w:pPr>
        <w:pStyle w:val="Bullets"/>
        <w:rPr>
          <w:color w:val="000000" w:themeColor="text1"/>
        </w:rPr>
      </w:pPr>
      <w:r w:rsidRPr="005914A2">
        <w:rPr>
          <w:color w:val="000000" w:themeColor="text1"/>
        </w:rPr>
        <w:t>population groups experiencing health inequalities arising from socioeconomic factors</w:t>
      </w:r>
    </w:p>
    <w:p w14:paraId="0F2BBF23" w14:textId="77777777" w:rsidR="00AB06E8" w:rsidRPr="005914A2" w:rsidRDefault="00AB06E8" w:rsidP="0018388D">
      <w:pPr>
        <w:pStyle w:val="Bulletslast"/>
        <w:rPr>
          <w:color w:val="000000" w:themeColor="text1"/>
        </w:rPr>
      </w:pPr>
      <w:r w:rsidRPr="005914A2">
        <w:rPr>
          <w:color w:val="000000" w:themeColor="text1"/>
        </w:rPr>
        <w:lastRenderedPageBreak/>
        <w:t xml:space="preserve">‘other’ groups of people whose health may be affected because they have </w:t>
      </w:r>
      <w:proofErr w:type="gramStart"/>
      <w:r w:rsidRPr="005914A2">
        <w:rPr>
          <w:color w:val="000000" w:themeColor="text1"/>
        </w:rPr>
        <w:t>particular circumstances</w:t>
      </w:r>
      <w:proofErr w:type="gramEnd"/>
      <w:r w:rsidRPr="005914A2">
        <w:rPr>
          <w:color w:val="000000" w:themeColor="text1"/>
        </w:rPr>
        <w:t>, behaviours or conditions in common.</w:t>
      </w:r>
    </w:p>
    <w:p w14:paraId="1C505ABD" w14:textId="77777777" w:rsidR="00AB06E8" w:rsidRPr="00E23AB3" w:rsidRDefault="00AB06E8" w:rsidP="00AE7F84">
      <w:pPr>
        <w:pStyle w:val="Paragraph"/>
      </w:pPr>
      <w:r w:rsidRPr="00E23AB3">
        <w:t xml:space="preserve">‘Other’ </w:t>
      </w:r>
      <w:r w:rsidRPr="00AE7F84">
        <w:t>groups</w:t>
      </w:r>
      <w:r w:rsidRPr="00E23AB3">
        <w:t xml:space="preserve"> identified in guidance and quality standards development during the year include:</w:t>
      </w:r>
    </w:p>
    <w:p w14:paraId="358017BB" w14:textId="1564E2B5" w:rsidR="00A4694D" w:rsidRPr="00AE7F84" w:rsidRDefault="00CE4865" w:rsidP="00AE7F84">
      <w:pPr>
        <w:pStyle w:val="Bullets"/>
      </w:pPr>
      <w:r>
        <w:t>v</w:t>
      </w:r>
      <w:r w:rsidR="00A4694D" w:rsidRPr="00AE7F84">
        <w:t>ictims of domestic abuse</w:t>
      </w:r>
    </w:p>
    <w:p w14:paraId="56665FA8" w14:textId="4872D0A5" w:rsidR="00A4694D" w:rsidRPr="00AE7F84" w:rsidRDefault="00CE4865" w:rsidP="00AE7F84">
      <w:pPr>
        <w:pStyle w:val="Bullets"/>
      </w:pPr>
      <w:r>
        <w:t>y</w:t>
      </w:r>
      <w:r w:rsidR="00A4694D" w:rsidRPr="00AE7F84">
        <w:t>oung people leaving care</w:t>
      </w:r>
    </w:p>
    <w:p w14:paraId="09DA0269" w14:textId="01409521" w:rsidR="00A4694D" w:rsidRPr="00AE7F84" w:rsidRDefault="00A4694D" w:rsidP="00AE7F84">
      <w:pPr>
        <w:pStyle w:val="Bullets"/>
      </w:pPr>
      <w:r w:rsidRPr="00AE7F84">
        <w:t>refugees</w:t>
      </w:r>
      <w:r w:rsidR="00AE7F84" w:rsidRPr="00AE7F84">
        <w:t xml:space="preserve"> and asylum seekers</w:t>
      </w:r>
    </w:p>
    <w:p w14:paraId="2D5A0702" w14:textId="77BB366F" w:rsidR="00A4694D" w:rsidRPr="00AE7F84" w:rsidRDefault="00A4694D" w:rsidP="00AE7F84">
      <w:pPr>
        <w:pStyle w:val="Bullets"/>
      </w:pPr>
      <w:r w:rsidRPr="00AE7F84">
        <w:t>people who misu</w:t>
      </w:r>
      <w:r w:rsidR="00CE4865">
        <w:t>s</w:t>
      </w:r>
      <w:r w:rsidRPr="00AE7F84">
        <w:t>e drugs or alcohol</w:t>
      </w:r>
    </w:p>
    <w:p w14:paraId="02C00D18" w14:textId="676BF841" w:rsidR="00A4694D" w:rsidRPr="00AE7F84" w:rsidRDefault="00A4694D" w:rsidP="00AE7F84">
      <w:pPr>
        <w:pStyle w:val="Bullets"/>
      </w:pPr>
      <w:r w:rsidRPr="00AE7F84">
        <w:t>people who are homeless</w:t>
      </w:r>
    </w:p>
    <w:p w14:paraId="72D837C0" w14:textId="25A5BC5A" w:rsidR="00A4694D" w:rsidRPr="00AE7F84" w:rsidRDefault="00A4694D" w:rsidP="00AE7F84">
      <w:pPr>
        <w:pStyle w:val="Bullets"/>
      </w:pPr>
      <w:r w:rsidRPr="00AE7F84">
        <w:t>people whose first language is not English or are unable to read</w:t>
      </w:r>
    </w:p>
    <w:p w14:paraId="6237865C" w14:textId="586C0A04" w:rsidR="00AE7F84" w:rsidRPr="00E23AB3" w:rsidRDefault="00AE7F84" w:rsidP="00AE7F84">
      <w:pPr>
        <w:pStyle w:val="Bulletslast"/>
      </w:pPr>
      <w:r>
        <w:t xml:space="preserve">carers. </w:t>
      </w:r>
    </w:p>
    <w:p w14:paraId="1C551D48" w14:textId="77777777" w:rsidR="00AB06E8" w:rsidRPr="005914A2" w:rsidRDefault="00AB06E8" w:rsidP="00C51B05">
      <w:pPr>
        <w:pStyle w:val="Paragraph"/>
        <w:rPr>
          <w:color w:val="000000" w:themeColor="text1"/>
        </w:rPr>
      </w:pPr>
      <w:r w:rsidRPr="005914A2">
        <w:rPr>
          <w:color w:val="000000" w:themeColor="text1"/>
        </w:rPr>
        <w:t xml:space="preserve">Identification of ‘other’ groups is an aspect of NICE’s compliance with both </w:t>
      </w:r>
      <w:proofErr w:type="gramStart"/>
      <w:r w:rsidRPr="005914A2">
        <w:rPr>
          <w:color w:val="000000" w:themeColor="text1"/>
        </w:rPr>
        <w:t>general public</w:t>
      </w:r>
      <w:proofErr w:type="gramEnd"/>
      <w:r w:rsidRPr="005914A2">
        <w:rPr>
          <w:color w:val="000000" w:themeColor="text1"/>
        </w:rPr>
        <w:t xml:space="preserve"> law requirements to act fairly and reasonably and human rights obligations. Article 14 of the European Convention on Human Rights, as affirmed in the Human Rights Act 1998, prohibits discrimination in relation to Convention rights and freedoms that go beyond the Equality Act in that they include grounds of ‘other status’, by which is meant any definable common characteristic.  </w:t>
      </w:r>
    </w:p>
    <w:p w14:paraId="126B5C3B" w14:textId="340BA50A" w:rsidR="00BB3D11" w:rsidRPr="00F946F8" w:rsidRDefault="00AB06E8" w:rsidP="00D628F5">
      <w:pPr>
        <w:pStyle w:val="Paragraph"/>
        <w:rPr>
          <w:color w:val="000000" w:themeColor="text1"/>
        </w:rPr>
      </w:pPr>
      <w:r w:rsidRPr="00F946F8">
        <w:rPr>
          <w:color w:val="000000" w:themeColor="text1"/>
        </w:rPr>
        <w:t xml:space="preserve">People may share more than one protected characteristic, be affected by socioeconomic factors, and be in an ‘other’ group, so our equality analysis </w:t>
      </w:r>
      <w:proofErr w:type="gramStart"/>
      <w:r w:rsidRPr="00F946F8">
        <w:rPr>
          <w:color w:val="000000" w:themeColor="text1"/>
        </w:rPr>
        <w:t>has to</w:t>
      </w:r>
      <w:proofErr w:type="gramEnd"/>
      <w:r w:rsidRPr="00F946F8">
        <w:rPr>
          <w:color w:val="000000" w:themeColor="text1"/>
        </w:rPr>
        <w:t xml:space="preserve"> accommodate many permutations.</w:t>
      </w:r>
    </w:p>
    <w:p w14:paraId="1C752B40" w14:textId="2E6A51DF" w:rsidR="0091586A" w:rsidRDefault="005965D1" w:rsidP="00C51B05">
      <w:pPr>
        <w:pStyle w:val="Paragraph"/>
        <w:rPr>
          <w:color w:val="000000" w:themeColor="text1"/>
        </w:rPr>
      </w:pPr>
      <w:r w:rsidRPr="00856DA3">
        <w:rPr>
          <w:color w:val="000000" w:themeColor="text1"/>
        </w:rPr>
        <w:t xml:space="preserve">Table </w:t>
      </w:r>
      <w:r w:rsidR="00BF5A98" w:rsidRPr="00856DA3">
        <w:rPr>
          <w:color w:val="000000" w:themeColor="text1"/>
        </w:rPr>
        <w:t>6</w:t>
      </w:r>
      <w:r w:rsidR="00AB06E8" w:rsidRPr="00856DA3">
        <w:rPr>
          <w:color w:val="000000" w:themeColor="text1"/>
        </w:rPr>
        <w:t xml:space="preserve"> </w:t>
      </w:r>
      <w:r w:rsidR="0060229D">
        <w:rPr>
          <w:color w:val="000000" w:themeColor="text1"/>
        </w:rPr>
        <w:t xml:space="preserve">outlines the number of potential equality issues identified across the NICE guidance programmes, and the number which subsequently impacted on recommendations. It also provides a breakdown of the potential </w:t>
      </w:r>
      <w:r w:rsidR="00F62428">
        <w:rPr>
          <w:color w:val="000000" w:themeColor="text1"/>
        </w:rPr>
        <w:t>equality</w:t>
      </w:r>
      <w:r w:rsidR="0060229D">
        <w:rPr>
          <w:color w:val="000000" w:themeColor="text1"/>
        </w:rPr>
        <w:t xml:space="preserve"> issues </w:t>
      </w:r>
      <w:r w:rsidR="00FF10CA">
        <w:rPr>
          <w:color w:val="000000" w:themeColor="text1"/>
        </w:rPr>
        <w:t xml:space="preserve">that were identified </w:t>
      </w:r>
      <w:r w:rsidR="0060229D">
        <w:rPr>
          <w:color w:val="000000" w:themeColor="text1"/>
        </w:rPr>
        <w:t xml:space="preserve">by </w:t>
      </w:r>
      <w:r w:rsidR="00F62428">
        <w:rPr>
          <w:color w:val="000000" w:themeColor="text1"/>
        </w:rPr>
        <w:t xml:space="preserve">protected characteristic. </w:t>
      </w:r>
      <w:r w:rsidR="00F62428" w:rsidRPr="00856DA3">
        <w:rPr>
          <w:color w:val="000000" w:themeColor="text1"/>
        </w:rPr>
        <w:t>It indicates for example, that during the production of the 3 pieces of diagnostic</w:t>
      </w:r>
      <w:r w:rsidR="00805743">
        <w:rPr>
          <w:color w:val="000000" w:themeColor="text1"/>
        </w:rPr>
        <w:t>s</w:t>
      </w:r>
      <w:r w:rsidR="00F62428" w:rsidRPr="00856DA3">
        <w:rPr>
          <w:color w:val="000000" w:themeColor="text1"/>
        </w:rPr>
        <w:t xml:space="preserve"> guidance published in 2018/19, 13 potential equality issues were identified, 3 of which related to age. Three of the 1</w:t>
      </w:r>
      <w:r w:rsidR="00FF10CA">
        <w:rPr>
          <w:color w:val="000000" w:themeColor="text1"/>
        </w:rPr>
        <w:t>3</w:t>
      </w:r>
      <w:r w:rsidR="00F62428" w:rsidRPr="00856DA3">
        <w:rPr>
          <w:color w:val="000000" w:themeColor="text1"/>
        </w:rPr>
        <w:t xml:space="preserve"> potential issues subsequently impacted on recommendations.</w:t>
      </w:r>
    </w:p>
    <w:p w14:paraId="45BDAAE3" w14:textId="77777777" w:rsidR="0091586A" w:rsidRDefault="0091586A">
      <w:pPr>
        <w:rPr>
          <w:rFonts w:ascii="Arial" w:hAnsi="Arial"/>
          <w:color w:val="000000" w:themeColor="text1"/>
          <w14:scene3d>
            <w14:camera w14:prst="orthographicFront"/>
            <w14:lightRig w14:rig="threePt" w14:dir="t">
              <w14:rot w14:lat="0" w14:lon="0" w14:rev="0"/>
            </w14:lightRig>
          </w14:scene3d>
        </w:rPr>
      </w:pPr>
      <w:r>
        <w:rPr>
          <w:color w:val="000000" w:themeColor="text1"/>
        </w:rPr>
        <w:br w:type="page"/>
      </w:r>
    </w:p>
    <w:p w14:paraId="2234B7EA" w14:textId="77777777" w:rsidR="00FD672F" w:rsidRPr="00E23AB3" w:rsidRDefault="00BF5A98" w:rsidP="00EC7BBD">
      <w:pPr>
        <w:pStyle w:val="Tableandgraphheading"/>
      </w:pPr>
      <w:r w:rsidRPr="00E23AB3">
        <w:lastRenderedPageBreak/>
        <w:t>Table 6</w:t>
      </w:r>
      <w:r w:rsidR="00AB06E8" w:rsidRPr="00E23AB3">
        <w:t xml:space="preserve">: </w:t>
      </w:r>
      <w:r w:rsidR="00AB06E8" w:rsidRPr="00EC7BBD">
        <w:t>Summary</w:t>
      </w:r>
      <w:r w:rsidR="00AB06E8" w:rsidRPr="00E23AB3">
        <w:t xml:space="preserve"> of equality analysis of published guidance</w:t>
      </w:r>
    </w:p>
    <w:tbl>
      <w:tblPr>
        <w:tblStyle w:val="TableGrid"/>
        <w:tblW w:w="9717" w:type="dxa"/>
        <w:tblLook w:val="04A0" w:firstRow="1" w:lastRow="0" w:firstColumn="1" w:lastColumn="0" w:noHBand="0" w:noVBand="1"/>
      </w:tblPr>
      <w:tblGrid>
        <w:gridCol w:w="2483"/>
        <w:gridCol w:w="550"/>
        <w:gridCol w:w="731"/>
        <w:gridCol w:w="439"/>
        <w:gridCol w:w="553"/>
        <w:gridCol w:w="435"/>
        <w:gridCol w:w="557"/>
        <w:gridCol w:w="439"/>
        <w:gridCol w:w="439"/>
        <w:gridCol w:w="439"/>
        <w:gridCol w:w="526"/>
        <w:gridCol w:w="439"/>
        <w:gridCol w:w="439"/>
        <w:gridCol w:w="1248"/>
      </w:tblGrid>
      <w:tr w:rsidR="007845EA" w:rsidRPr="0052598D" w14:paraId="44282249" w14:textId="77777777" w:rsidTr="007845EA">
        <w:trPr>
          <w:trHeight w:val="1860"/>
        </w:trPr>
        <w:tc>
          <w:tcPr>
            <w:tcW w:w="2483" w:type="dxa"/>
            <w:shd w:val="clear" w:color="auto" w:fill="A2BDC1"/>
            <w:hideMark/>
          </w:tcPr>
          <w:p w14:paraId="7F54A962" w14:textId="77777777" w:rsidR="00EC7BBD" w:rsidRPr="0052598D" w:rsidRDefault="00EC7BBD" w:rsidP="00843AAA">
            <w:pPr>
              <w:pStyle w:val="Tablecolumnheading"/>
              <w:rPr>
                <w:color w:val="000000" w:themeColor="text1"/>
              </w:rPr>
            </w:pPr>
            <w:r w:rsidRPr="0052598D">
              <w:rPr>
                <w:color w:val="000000" w:themeColor="text1"/>
              </w:rPr>
              <w:t>Guidance type</w:t>
            </w:r>
          </w:p>
        </w:tc>
        <w:tc>
          <w:tcPr>
            <w:tcW w:w="550" w:type="dxa"/>
            <w:shd w:val="clear" w:color="auto" w:fill="A2BDC1"/>
            <w:textDirection w:val="btLr"/>
            <w:hideMark/>
          </w:tcPr>
          <w:p w14:paraId="6DF31EB1"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Number of publications</w:t>
            </w:r>
          </w:p>
        </w:tc>
        <w:tc>
          <w:tcPr>
            <w:tcW w:w="731" w:type="dxa"/>
            <w:shd w:val="clear" w:color="auto" w:fill="A2BDC1"/>
            <w:textDirection w:val="btLr"/>
            <w:hideMark/>
          </w:tcPr>
          <w:p w14:paraId="22ED6384" w14:textId="2A585A6E"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Number of equality issues identified</w:t>
            </w:r>
          </w:p>
        </w:tc>
        <w:tc>
          <w:tcPr>
            <w:tcW w:w="439" w:type="dxa"/>
            <w:shd w:val="clear" w:color="auto" w:fill="A2BDC1"/>
            <w:noWrap/>
            <w:textDirection w:val="btLr"/>
            <w:hideMark/>
          </w:tcPr>
          <w:p w14:paraId="080F7222"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Age</w:t>
            </w:r>
          </w:p>
        </w:tc>
        <w:tc>
          <w:tcPr>
            <w:tcW w:w="553" w:type="dxa"/>
            <w:shd w:val="clear" w:color="auto" w:fill="A2BDC1"/>
            <w:noWrap/>
            <w:textDirection w:val="btLr"/>
            <w:hideMark/>
          </w:tcPr>
          <w:p w14:paraId="539A3826"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Disability</w:t>
            </w:r>
          </w:p>
        </w:tc>
        <w:tc>
          <w:tcPr>
            <w:tcW w:w="435" w:type="dxa"/>
            <w:shd w:val="clear" w:color="auto" w:fill="A2BDC1"/>
            <w:textDirection w:val="btLr"/>
            <w:hideMark/>
          </w:tcPr>
          <w:p w14:paraId="5E68F3AD"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Gender reassignment</w:t>
            </w:r>
          </w:p>
        </w:tc>
        <w:tc>
          <w:tcPr>
            <w:tcW w:w="557" w:type="dxa"/>
            <w:shd w:val="clear" w:color="auto" w:fill="A2BDC1"/>
            <w:textDirection w:val="btLr"/>
            <w:hideMark/>
          </w:tcPr>
          <w:p w14:paraId="7B5926EF" w14:textId="6FA37B4B"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Pregnancy and maternity</w:t>
            </w:r>
          </w:p>
        </w:tc>
        <w:tc>
          <w:tcPr>
            <w:tcW w:w="439" w:type="dxa"/>
            <w:shd w:val="clear" w:color="auto" w:fill="A2BDC1"/>
            <w:noWrap/>
            <w:textDirection w:val="btLr"/>
            <w:hideMark/>
          </w:tcPr>
          <w:p w14:paraId="26379F07"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Race</w:t>
            </w:r>
          </w:p>
        </w:tc>
        <w:tc>
          <w:tcPr>
            <w:tcW w:w="439" w:type="dxa"/>
            <w:shd w:val="clear" w:color="auto" w:fill="A2BDC1"/>
            <w:textDirection w:val="btLr"/>
            <w:hideMark/>
          </w:tcPr>
          <w:p w14:paraId="3EDCA14A"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Religion or belief</w:t>
            </w:r>
          </w:p>
        </w:tc>
        <w:tc>
          <w:tcPr>
            <w:tcW w:w="439" w:type="dxa"/>
            <w:shd w:val="clear" w:color="auto" w:fill="A2BDC1"/>
            <w:noWrap/>
            <w:textDirection w:val="btLr"/>
            <w:hideMark/>
          </w:tcPr>
          <w:p w14:paraId="3124743E"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Sex</w:t>
            </w:r>
          </w:p>
        </w:tc>
        <w:tc>
          <w:tcPr>
            <w:tcW w:w="526" w:type="dxa"/>
            <w:shd w:val="clear" w:color="auto" w:fill="A2BDC1"/>
            <w:textDirection w:val="btLr"/>
            <w:hideMark/>
          </w:tcPr>
          <w:p w14:paraId="5E8C38A0"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Sexual orientation</w:t>
            </w:r>
          </w:p>
        </w:tc>
        <w:tc>
          <w:tcPr>
            <w:tcW w:w="439" w:type="dxa"/>
            <w:shd w:val="clear" w:color="auto" w:fill="A2BDC1"/>
            <w:textDirection w:val="btLr"/>
            <w:hideMark/>
          </w:tcPr>
          <w:p w14:paraId="4465449E"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Socio-economic</w:t>
            </w:r>
          </w:p>
        </w:tc>
        <w:tc>
          <w:tcPr>
            <w:tcW w:w="439" w:type="dxa"/>
            <w:shd w:val="clear" w:color="auto" w:fill="A2BDC1"/>
            <w:noWrap/>
            <w:textDirection w:val="btLr"/>
            <w:hideMark/>
          </w:tcPr>
          <w:p w14:paraId="7C0629DA" w14:textId="77777777"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Other</w:t>
            </w:r>
          </w:p>
        </w:tc>
        <w:tc>
          <w:tcPr>
            <w:tcW w:w="1248" w:type="dxa"/>
            <w:shd w:val="clear" w:color="auto" w:fill="A2BDC1"/>
            <w:textDirection w:val="btLr"/>
            <w:hideMark/>
          </w:tcPr>
          <w:p w14:paraId="138082D7" w14:textId="4D57AD2F" w:rsidR="00EC7BBD" w:rsidRPr="0052598D" w:rsidRDefault="00EC7BBD" w:rsidP="00EC7BBD">
            <w:pPr>
              <w:rPr>
                <w:rFonts w:ascii="Arial" w:hAnsi="Arial" w:cs="Arial"/>
                <w:b/>
                <w:bCs/>
                <w:color w:val="000000" w:themeColor="text1"/>
                <w:sz w:val="18"/>
                <w:szCs w:val="18"/>
              </w:rPr>
            </w:pPr>
            <w:r w:rsidRPr="0052598D">
              <w:rPr>
                <w:rFonts w:ascii="Arial" w:hAnsi="Arial" w:cs="Arial"/>
                <w:color w:val="000000" w:themeColor="text1"/>
                <w:sz w:val="18"/>
                <w:szCs w:val="18"/>
              </w:rPr>
              <w:t xml:space="preserve">Number </w:t>
            </w:r>
            <w:r w:rsidR="00856DA3" w:rsidRPr="0052598D">
              <w:rPr>
                <w:rFonts w:ascii="Arial" w:hAnsi="Arial" w:cs="Arial"/>
                <w:color w:val="000000" w:themeColor="text1"/>
                <w:sz w:val="18"/>
                <w:szCs w:val="18"/>
              </w:rPr>
              <w:t>o</w:t>
            </w:r>
            <w:r w:rsidRPr="0052598D">
              <w:rPr>
                <w:rFonts w:ascii="Arial" w:hAnsi="Arial" w:cs="Arial"/>
                <w:color w:val="000000" w:themeColor="text1"/>
                <w:sz w:val="18"/>
                <w:szCs w:val="18"/>
              </w:rPr>
              <w:t>f equality issues with an impact on recommendations</w:t>
            </w:r>
          </w:p>
        </w:tc>
      </w:tr>
      <w:tr w:rsidR="00EC7BBD" w14:paraId="75BA2384" w14:textId="77777777" w:rsidTr="007845EA">
        <w:trPr>
          <w:trHeight w:val="780"/>
        </w:trPr>
        <w:tc>
          <w:tcPr>
            <w:tcW w:w="2483" w:type="dxa"/>
            <w:shd w:val="clear" w:color="auto" w:fill="A2BDC1"/>
            <w:hideMark/>
          </w:tcPr>
          <w:p w14:paraId="48689AC3" w14:textId="2832471D" w:rsidR="00EC7BBD" w:rsidRPr="00967F2E" w:rsidRDefault="00843AAA" w:rsidP="00843AAA">
            <w:pPr>
              <w:pStyle w:val="Tabletext"/>
              <w:rPr>
                <w:rFonts w:cs="Arial"/>
                <w:b/>
                <w:bCs/>
                <w:sz w:val="20"/>
              </w:rPr>
            </w:pPr>
            <w:r w:rsidRPr="00967F2E">
              <w:t>Diagnostics guidance</w:t>
            </w:r>
            <w:r w:rsidRPr="00967F2E">
              <w:rPr>
                <w:rFonts w:cs="Arial"/>
                <w:sz w:val="20"/>
              </w:rPr>
              <w:t xml:space="preserve"> </w:t>
            </w:r>
          </w:p>
        </w:tc>
        <w:tc>
          <w:tcPr>
            <w:tcW w:w="550" w:type="dxa"/>
            <w:hideMark/>
          </w:tcPr>
          <w:p w14:paraId="7005F817" w14:textId="77777777" w:rsidR="00EC7BBD" w:rsidRDefault="00EC7BBD" w:rsidP="00843AAA">
            <w:pPr>
              <w:pStyle w:val="Tabletext"/>
              <w:rPr>
                <w:rFonts w:cs="Arial"/>
                <w:b/>
                <w:bCs/>
                <w:color w:val="000000"/>
                <w:sz w:val="20"/>
              </w:rPr>
            </w:pPr>
            <w:r>
              <w:rPr>
                <w:rFonts w:cs="Arial"/>
                <w:b/>
                <w:bCs/>
                <w:color w:val="000000"/>
                <w:sz w:val="20"/>
              </w:rPr>
              <w:t>3</w:t>
            </w:r>
          </w:p>
        </w:tc>
        <w:tc>
          <w:tcPr>
            <w:tcW w:w="731" w:type="dxa"/>
            <w:hideMark/>
          </w:tcPr>
          <w:p w14:paraId="300B6E9C" w14:textId="77777777" w:rsidR="00EC7BBD" w:rsidRDefault="00EC7BBD" w:rsidP="00843AAA">
            <w:pPr>
              <w:pStyle w:val="Tabletext"/>
              <w:rPr>
                <w:rFonts w:cs="Arial"/>
                <w:b/>
                <w:bCs/>
                <w:color w:val="000000"/>
                <w:sz w:val="20"/>
              </w:rPr>
            </w:pPr>
            <w:r>
              <w:rPr>
                <w:rFonts w:cs="Arial"/>
                <w:b/>
                <w:bCs/>
                <w:color w:val="000000"/>
                <w:sz w:val="20"/>
              </w:rPr>
              <w:t>13</w:t>
            </w:r>
          </w:p>
        </w:tc>
        <w:tc>
          <w:tcPr>
            <w:tcW w:w="439" w:type="dxa"/>
            <w:hideMark/>
          </w:tcPr>
          <w:p w14:paraId="419F3202" w14:textId="77777777" w:rsidR="00EC7BBD" w:rsidRDefault="00EC7BBD" w:rsidP="00843AAA">
            <w:pPr>
              <w:pStyle w:val="Tabletext"/>
              <w:rPr>
                <w:rFonts w:cs="Arial"/>
                <w:sz w:val="20"/>
              </w:rPr>
            </w:pPr>
            <w:r>
              <w:rPr>
                <w:rFonts w:cs="Arial"/>
                <w:sz w:val="20"/>
              </w:rPr>
              <w:t>3</w:t>
            </w:r>
          </w:p>
        </w:tc>
        <w:tc>
          <w:tcPr>
            <w:tcW w:w="553" w:type="dxa"/>
            <w:hideMark/>
          </w:tcPr>
          <w:p w14:paraId="134E60AE" w14:textId="77777777" w:rsidR="00EC7BBD" w:rsidRDefault="00EC7BBD" w:rsidP="00843AAA">
            <w:pPr>
              <w:pStyle w:val="Tabletext"/>
              <w:rPr>
                <w:rFonts w:cs="Arial"/>
                <w:sz w:val="20"/>
              </w:rPr>
            </w:pPr>
            <w:r>
              <w:rPr>
                <w:rFonts w:cs="Arial"/>
                <w:sz w:val="20"/>
              </w:rPr>
              <w:t>4</w:t>
            </w:r>
          </w:p>
        </w:tc>
        <w:tc>
          <w:tcPr>
            <w:tcW w:w="435" w:type="dxa"/>
            <w:hideMark/>
          </w:tcPr>
          <w:p w14:paraId="40DFA08B" w14:textId="77777777" w:rsidR="00EC7BBD" w:rsidRDefault="00EC7BBD" w:rsidP="00843AAA">
            <w:pPr>
              <w:pStyle w:val="Tabletext"/>
              <w:rPr>
                <w:rFonts w:cs="Arial"/>
                <w:sz w:val="20"/>
              </w:rPr>
            </w:pPr>
            <w:r>
              <w:rPr>
                <w:rFonts w:cs="Arial"/>
                <w:sz w:val="20"/>
              </w:rPr>
              <w:t>1</w:t>
            </w:r>
          </w:p>
        </w:tc>
        <w:tc>
          <w:tcPr>
            <w:tcW w:w="557" w:type="dxa"/>
            <w:hideMark/>
          </w:tcPr>
          <w:p w14:paraId="5E1ECA36" w14:textId="77777777" w:rsidR="00EC7BBD" w:rsidRDefault="00EC7BBD" w:rsidP="00843AAA">
            <w:pPr>
              <w:pStyle w:val="Tabletext"/>
              <w:rPr>
                <w:rFonts w:cs="Arial"/>
                <w:sz w:val="20"/>
              </w:rPr>
            </w:pPr>
            <w:r>
              <w:rPr>
                <w:rFonts w:cs="Arial"/>
                <w:sz w:val="20"/>
              </w:rPr>
              <w:t>2</w:t>
            </w:r>
          </w:p>
        </w:tc>
        <w:tc>
          <w:tcPr>
            <w:tcW w:w="439" w:type="dxa"/>
            <w:hideMark/>
          </w:tcPr>
          <w:p w14:paraId="5E407207" w14:textId="77777777" w:rsidR="00EC7BBD" w:rsidRDefault="00EC7BBD" w:rsidP="00843AAA">
            <w:pPr>
              <w:pStyle w:val="Tabletext"/>
              <w:rPr>
                <w:rFonts w:cs="Arial"/>
                <w:sz w:val="20"/>
              </w:rPr>
            </w:pPr>
            <w:r>
              <w:rPr>
                <w:rFonts w:cs="Arial"/>
                <w:sz w:val="20"/>
              </w:rPr>
              <w:t>1</w:t>
            </w:r>
          </w:p>
        </w:tc>
        <w:tc>
          <w:tcPr>
            <w:tcW w:w="439" w:type="dxa"/>
            <w:hideMark/>
          </w:tcPr>
          <w:p w14:paraId="69634C69" w14:textId="77777777" w:rsidR="00EC7BBD" w:rsidRDefault="00EC7BBD" w:rsidP="00843AAA">
            <w:pPr>
              <w:pStyle w:val="Tabletext"/>
              <w:rPr>
                <w:rFonts w:cs="Arial"/>
                <w:sz w:val="20"/>
              </w:rPr>
            </w:pPr>
            <w:r>
              <w:rPr>
                <w:rFonts w:cs="Arial"/>
                <w:sz w:val="20"/>
              </w:rPr>
              <w:t>1</w:t>
            </w:r>
          </w:p>
        </w:tc>
        <w:tc>
          <w:tcPr>
            <w:tcW w:w="439" w:type="dxa"/>
            <w:hideMark/>
          </w:tcPr>
          <w:p w14:paraId="21773821" w14:textId="77777777" w:rsidR="00EC7BBD" w:rsidRDefault="00EC7BBD" w:rsidP="00843AAA">
            <w:pPr>
              <w:pStyle w:val="Tabletext"/>
              <w:rPr>
                <w:rFonts w:cs="Arial"/>
                <w:sz w:val="20"/>
              </w:rPr>
            </w:pPr>
            <w:r>
              <w:rPr>
                <w:rFonts w:cs="Arial"/>
                <w:sz w:val="20"/>
              </w:rPr>
              <w:t>1</w:t>
            </w:r>
          </w:p>
        </w:tc>
        <w:tc>
          <w:tcPr>
            <w:tcW w:w="526" w:type="dxa"/>
            <w:hideMark/>
          </w:tcPr>
          <w:p w14:paraId="75B1179C" w14:textId="77777777" w:rsidR="00EC7BBD" w:rsidRDefault="00EC7BBD" w:rsidP="00843AAA">
            <w:pPr>
              <w:pStyle w:val="Tabletext"/>
              <w:rPr>
                <w:rFonts w:cs="Arial"/>
                <w:sz w:val="20"/>
              </w:rPr>
            </w:pPr>
            <w:r>
              <w:rPr>
                <w:rFonts w:cs="Arial"/>
                <w:sz w:val="20"/>
              </w:rPr>
              <w:t>0</w:t>
            </w:r>
          </w:p>
        </w:tc>
        <w:tc>
          <w:tcPr>
            <w:tcW w:w="439" w:type="dxa"/>
            <w:hideMark/>
          </w:tcPr>
          <w:p w14:paraId="25E3C2C5" w14:textId="77777777" w:rsidR="00EC7BBD" w:rsidRDefault="00EC7BBD" w:rsidP="00843AAA">
            <w:pPr>
              <w:pStyle w:val="Tabletext"/>
              <w:rPr>
                <w:rFonts w:cs="Arial"/>
                <w:sz w:val="20"/>
              </w:rPr>
            </w:pPr>
            <w:r>
              <w:rPr>
                <w:rFonts w:cs="Arial"/>
                <w:sz w:val="20"/>
              </w:rPr>
              <w:t>0</w:t>
            </w:r>
          </w:p>
        </w:tc>
        <w:tc>
          <w:tcPr>
            <w:tcW w:w="439" w:type="dxa"/>
            <w:hideMark/>
          </w:tcPr>
          <w:p w14:paraId="2DB3C63A" w14:textId="77777777" w:rsidR="00EC7BBD" w:rsidRDefault="00EC7BBD" w:rsidP="00843AAA">
            <w:pPr>
              <w:pStyle w:val="Tabletext"/>
              <w:rPr>
                <w:rFonts w:cs="Arial"/>
                <w:sz w:val="20"/>
              </w:rPr>
            </w:pPr>
            <w:r>
              <w:rPr>
                <w:rFonts w:cs="Arial"/>
                <w:sz w:val="20"/>
              </w:rPr>
              <w:t>0</w:t>
            </w:r>
          </w:p>
        </w:tc>
        <w:tc>
          <w:tcPr>
            <w:tcW w:w="1248" w:type="dxa"/>
            <w:hideMark/>
          </w:tcPr>
          <w:p w14:paraId="64C85D8F" w14:textId="77777777" w:rsidR="00EC7BBD" w:rsidRDefault="00EC7BBD" w:rsidP="00843AAA">
            <w:pPr>
              <w:pStyle w:val="Tabletext"/>
              <w:rPr>
                <w:rFonts w:cs="Arial"/>
                <w:b/>
                <w:bCs/>
                <w:color w:val="000000"/>
                <w:sz w:val="20"/>
              </w:rPr>
            </w:pPr>
            <w:r>
              <w:rPr>
                <w:rFonts w:cs="Arial"/>
                <w:b/>
                <w:bCs/>
                <w:color w:val="000000"/>
                <w:sz w:val="20"/>
              </w:rPr>
              <w:t>3</w:t>
            </w:r>
          </w:p>
        </w:tc>
      </w:tr>
      <w:tr w:rsidR="00EC7BBD" w14:paraId="391266EC" w14:textId="77777777" w:rsidTr="007845EA">
        <w:trPr>
          <w:trHeight w:val="330"/>
        </w:trPr>
        <w:tc>
          <w:tcPr>
            <w:tcW w:w="2483" w:type="dxa"/>
            <w:shd w:val="clear" w:color="auto" w:fill="A2BDC1"/>
            <w:hideMark/>
          </w:tcPr>
          <w:p w14:paraId="00F186BA" w14:textId="359C1A8D" w:rsidR="00EC7BBD" w:rsidRPr="0052598D" w:rsidRDefault="00843AAA" w:rsidP="00843AAA">
            <w:pPr>
              <w:pStyle w:val="Tabletext"/>
              <w:rPr>
                <w:rFonts w:cs="Arial"/>
                <w:b/>
                <w:bCs/>
                <w:color w:val="000000" w:themeColor="text1"/>
                <w:sz w:val="20"/>
              </w:rPr>
            </w:pPr>
            <w:r w:rsidRPr="0052598D">
              <w:rPr>
                <w:color w:val="000000" w:themeColor="text1"/>
              </w:rPr>
              <w:t>Highly specialised technologies evaluation</w:t>
            </w:r>
          </w:p>
        </w:tc>
        <w:tc>
          <w:tcPr>
            <w:tcW w:w="550" w:type="dxa"/>
            <w:hideMark/>
          </w:tcPr>
          <w:p w14:paraId="4CCA4624" w14:textId="77777777" w:rsidR="00EC7BBD" w:rsidRDefault="00EC7BBD" w:rsidP="00843AAA">
            <w:pPr>
              <w:pStyle w:val="Tabletext"/>
              <w:rPr>
                <w:rFonts w:cs="Arial"/>
                <w:b/>
                <w:bCs/>
                <w:color w:val="000000"/>
                <w:sz w:val="20"/>
              </w:rPr>
            </w:pPr>
            <w:r>
              <w:rPr>
                <w:rFonts w:cs="Arial"/>
                <w:b/>
                <w:bCs/>
                <w:color w:val="000000"/>
                <w:sz w:val="20"/>
              </w:rPr>
              <w:t>1</w:t>
            </w:r>
          </w:p>
        </w:tc>
        <w:tc>
          <w:tcPr>
            <w:tcW w:w="731" w:type="dxa"/>
            <w:hideMark/>
          </w:tcPr>
          <w:p w14:paraId="06F1B23E" w14:textId="77777777" w:rsidR="00EC7BBD" w:rsidRDefault="00EC7BBD" w:rsidP="00843AAA">
            <w:pPr>
              <w:pStyle w:val="Tabletext"/>
              <w:rPr>
                <w:rFonts w:cs="Arial"/>
                <w:b/>
                <w:bCs/>
                <w:color w:val="000000"/>
                <w:sz w:val="20"/>
              </w:rPr>
            </w:pPr>
            <w:r>
              <w:rPr>
                <w:rFonts w:cs="Arial"/>
                <w:b/>
                <w:bCs/>
                <w:color w:val="000000"/>
                <w:sz w:val="20"/>
              </w:rPr>
              <w:t>1</w:t>
            </w:r>
          </w:p>
        </w:tc>
        <w:tc>
          <w:tcPr>
            <w:tcW w:w="439" w:type="dxa"/>
            <w:hideMark/>
          </w:tcPr>
          <w:p w14:paraId="014FA754" w14:textId="77777777" w:rsidR="00EC7BBD" w:rsidRDefault="00EC7BBD" w:rsidP="00843AAA">
            <w:pPr>
              <w:pStyle w:val="Tabletext"/>
              <w:rPr>
                <w:rFonts w:cs="Arial"/>
                <w:sz w:val="20"/>
              </w:rPr>
            </w:pPr>
            <w:r>
              <w:rPr>
                <w:rFonts w:cs="Arial"/>
                <w:sz w:val="20"/>
              </w:rPr>
              <w:t>1</w:t>
            </w:r>
          </w:p>
        </w:tc>
        <w:tc>
          <w:tcPr>
            <w:tcW w:w="553" w:type="dxa"/>
            <w:hideMark/>
          </w:tcPr>
          <w:p w14:paraId="67D2FAD5" w14:textId="77777777" w:rsidR="00EC7BBD" w:rsidRDefault="00EC7BBD" w:rsidP="00843AAA">
            <w:pPr>
              <w:pStyle w:val="Tabletext"/>
              <w:rPr>
                <w:rFonts w:cs="Arial"/>
                <w:sz w:val="20"/>
              </w:rPr>
            </w:pPr>
            <w:r>
              <w:rPr>
                <w:rFonts w:cs="Arial"/>
                <w:sz w:val="20"/>
              </w:rPr>
              <w:t>0</w:t>
            </w:r>
          </w:p>
        </w:tc>
        <w:tc>
          <w:tcPr>
            <w:tcW w:w="435" w:type="dxa"/>
            <w:hideMark/>
          </w:tcPr>
          <w:p w14:paraId="23EDBBDC" w14:textId="77777777" w:rsidR="00EC7BBD" w:rsidRDefault="00EC7BBD" w:rsidP="00843AAA">
            <w:pPr>
              <w:pStyle w:val="Tabletext"/>
              <w:rPr>
                <w:rFonts w:cs="Arial"/>
                <w:sz w:val="20"/>
              </w:rPr>
            </w:pPr>
            <w:r>
              <w:rPr>
                <w:rFonts w:cs="Arial"/>
                <w:sz w:val="20"/>
              </w:rPr>
              <w:t>0</w:t>
            </w:r>
          </w:p>
        </w:tc>
        <w:tc>
          <w:tcPr>
            <w:tcW w:w="557" w:type="dxa"/>
            <w:hideMark/>
          </w:tcPr>
          <w:p w14:paraId="724CBD3D" w14:textId="77777777" w:rsidR="00EC7BBD" w:rsidRDefault="00EC7BBD" w:rsidP="00843AAA">
            <w:pPr>
              <w:pStyle w:val="Tabletext"/>
              <w:rPr>
                <w:rFonts w:cs="Arial"/>
                <w:sz w:val="20"/>
              </w:rPr>
            </w:pPr>
            <w:r>
              <w:rPr>
                <w:rFonts w:cs="Arial"/>
                <w:sz w:val="20"/>
              </w:rPr>
              <w:t>0</w:t>
            </w:r>
          </w:p>
        </w:tc>
        <w:tc>
          <w:tcPr>
            <w:tcW w:w="439" w:type="dxa"/>
            <w:hideMark/>
          </w:tcPr>
          <w:p w14:paraId="0504B098" w14:textId="77777777" w:rsidR="00EC7BBD" w:rsidRDefault="00EC7BBD" w:rsidP="00843AAA">
            <w:pPr>
              <w:pStyle w:val="Tabletext"/>
              <w:rPr>
                <w:rFonts w:cs="Arial"/>
                <w:sz w:val="20"/>
              </w:rPr>
            </w:pPr>
            <w:r>
              <w:rPr>
                <w:rFonts w:cs="Arial"/>
                <w:sz w:val="20"/>
              </w:rPr>
              <w:t>0</w:t>
            </w:r>
          </w:p>
        </w:tc>
        <w:tc>
          <w:tcPr>
            <w:tcW w:w="439" w:type="dxa"/>
            <w:hideMark/>
          </w:tcPr>
          <w:p w14:paraId="1FF76C32" w14:textId="77777777" w:rsidR="00EC7BBD" w:rsidRDefault="00EC7BBD" w:rsidP="00843AAA">
            <w:pPr>
              <w:pStyle w:val="Tabletext"/>
              <w:rPr>
                <w:rFonts w:cs="Arial"/>
                <w:sz w:val="20"/>
              </w:rPr>
            </w:pPr>
            <w:r>
              <w:rPr>
                <w:rFonts w:cs="Arial"/>
                <w:sz w:val="20"/>
              </w:rPr>
              <w:t>0</w:t>
            </w:r>
          </w:p>
        </w:tc>
        <w:tc>
          <w:tcPr>
            <w:tcW w:w="439" w:type="dxa"/>
            <w:hideMark/>
          </w:tcPr>
          <w:p w14:paraId="71FE7DBF" w14:textId="77777777" w:rsidR="00EC7BBD" w:rsidRDefault="00EC7BBD" w:rsidP="00843AAA">
            <w:pPr>
              <w:pStyle w:val="Tabletext"/>
              <w:rPr>
                <w:rFonts w:cs="Arial"/>
                <w:sz w:val="20"/>
              </w:rPr>
            </w:pPr>
            <w:r>
              <w:rPr>
                <w:rFonts w:cs="Arial"/>
                <w:sz w:val="20"/>
              </w:rPr>
              <w:t>0</w:t>
            </w:r>
          </w:p>
        </w:tc>
        <w:tc>
          <w:tcPr>
            <w:tcW w:w="526" w:type="dxa"/>
            <w:hideMark/>
          </w:tcPr>
          <w:p w14:paraId="4B2B0272" w14:textId="77777777" w:rsidR="00EC7BBD" w:rsidRDefault="00EC7BBD" w:rsidP="00843AAA">
            <w:pPr>
              <w:pStyle w:val="Tabletext"/>
              <w:rPr>
                <w:rFonts w:cs="Arial"/>
                <w:sz w:val="20"/>
              </w:rPr>
            </w:pPr>
            <w:r>
              <w:rPr>
                <w:rFonts w:cs="Arial"/>
                <w:sz w:val="20"/>
              </w:rPr>
              <w:t>0</w:t>
            </w:r>
          </w:p>
        </w:tc>
        <w:tc>
          <w:tcPr>
            <w:tcW w:w="439" w:type="dxa"/>
            <w:hideMark/>
          </w:tcPr>
          <w:p w14:paraId="4C09A535" w14:textId="77777777" w:rsidR="00EC7BBD" w:rsidRDefault="00EC7BBD" w:rsidP="00843AAA">
            <w:pPr>
              <w:pStyle w:val="Tabletext"/>
              <w:rPr>
                <w:rFonts w:cs="Arial"/>
                <w:sz w:val="20"/>
              </w:rPr>
            </w:pPr>
            <w:r>
              <w:rPr>
                <w:rFonts w:cs="Arial"/>
                <w:sz w:val="20"/>
              </w:rPr>
              <w:t>0</w:t>
            </w:r>
          </w:p>
        </w:tc>
        <w:tc>
          <w:tcPr>
            <w:tcW w:w="439" w:type="dxa"/>
            <w:hideMark/>
          </w:tcPr>
          <w:p w14:paraId="2913BB45" w14:textId="77777777" w:rsidR="00EC7BBD" w:rsidRDefault="00EC7BBD" w:rsidP="00843AAA">
            <w:pPr>
              <w:pStyle w:val="Tabletext"/>
              <w:rPr>
                <w:rFonts w:cs="Arial"/>
                <w:sz w:val="20"/>
              </w:rPr>
            </w:pPr>
            <w:r>
              <w:rPr>
                <w:rFonts w:cs="Arial"/>
                <w:sz w:val="20"/>
              </w:rPr>
              <w:t>0</w:t>
            </w:r>
          </w:p>
        </w:tc>
        <w:tc>
          <w:tcPr>
            <w:tcW w:w="1248" w:type="dxa"/>
            <w:hideMark/>
          </w:tcPr>
          <w:p w14:paraId="750417CF" w14:textId="77777777" w:rsidR="00EC7BBD" w:rsidRDefault="00EC7BBD" w:rsidP="00843AAA">
            <w:pPr>
              <w:pStyle w:val="Tabletext"/>
              <w:rPr>
                <w:rFonts w:cs="Arial"/>
                <w:b/>
                <w:bCs/>
                <w:color w:val="000000"/>
                <w:sz w:val="20"/>
              </w:rPr>
            </w:pPr>
            <w:r>
              <w:rPr>
                <w:rFonts w:cs="Arial"/>
                <w:b/>
                <w:bCs/>
                <w:color w:val="000000"/>
                <w:sz w:val="20"/>
              </w:rPr>
              <w:t>0</w:t>
            </w:r>
          </w:p>
        </w:tc>
      </w:tr>
      <w:tr w:rsidR="00EC7BBD" w14:paraId="0FB4F426" w14:textId="77777777" w:rsidTr="007845EA">
        <w:trPr>
          <w:trHeight w:val="330"/>
        </w:trPr>
        <w:tc>
          <w:tcPr>
            <w:tcW w:w="2483" w:type="dxa"/>
            <w:shd w:val="clear" w:color="auto" w:fill="A2BDC1"/>
            <w:hideMark/>
          </w:tcPr>
          <w:p w14:paraId="120335FE" w14:textId="0AAB1BBD" w:rsidR="00EC7BBD" w:rsidRPr="0052598D" w:rsidRDefault="00843AAA" w:rsidP="00843AAA">
            <w:pPr>
              <w:pStyle w:val="Tabletext"/>
              <w:rPr>
                <w:rFonts w:cs="Arial"/>
                <w:b/>
                <w:bCs/>
                <w:color w:val="000000" w:themeColor="text1"/>
                <w:sz w:val="20"/>
              </w:rPr>
            </w:pPr>
            <w:r w:rsidRPr="0052598D">
              <w:rPr>
                <w:color w:val="000000" w:themeColor="text1"/>
              </w:rPr>
              <w:t>Interventional procedures guidance</w:t>
            </w:r>
            <w:r w:rsidRPr="0052598D">
              <w:rPr>
                <w:rFonts w:cs="Arial"/>
                <w:color w:val="000000" w:themeColor="text1"/>
                <w:sz w:val="20"/>
              </w:rPr>
              <w:t xml:space="preserve"> </w:t>
            </w:r>
          </w:p>
        </w:tc>
        <w:tc>
          <w:tcPr>
            <w:tcW w:w="550" w:type="dxa"/>
            <w:hideMark/>
          </w:tcPr>
          <w:p w14:paraId="203B04FA" w14:textId="77777777" w:rsidR="00EC7BBD" w:rsidRDefault="00EC7BBD" w:rsidP="00843AAA">
            <w:pPr>
              <w:pStyle w:val="Tabletext"/>
              <w:rPr>
                <w:rFonts w:cs="Arial"/>
                <w:b/>
                <w:bCs/>
                <w:color w:val="000000"/>
                <w:sz w:val="20"/>
              </w:rPr>
            </w:pPr>
            <w:r>
              <w:rPr>
                <w:rFonts w:cs="Arial"/>
                <w:b/>
                <w:bCs/>
                <w:color w:val="000000"/>
                <w:sz w:val="20"/>
              </w:rPr>
              <w:t>36</w:t>
            </w:r>
          </w:p>
        </w:tc>
        <w:tc>
          <w:tcPr>
            <w:tcW w:w="731" w:type="dxa"/>
            <w:noWrap/>
            <w:hideMark/>
          </w:tcPr>
          <w:p w14:paraId="133AAB09" w14:textId="77777777" w:rsidR="00EC7BBD" w:rsidRDefault="00EC7BBD" w:rsidP="00843AAA">
            <w:pPr>
              <w:pStyle w:val="Tabletext"/>
              <w:rPr>
                <w:rFonts w:cs="Arial"/>
                <w:b/>
                <w:bCs/>
                <w:color w:val="000000"/>
                <w:sz w:val="20"/>
              </w:rPr>
            </w:pPr>
            <w:r>
              <w:rPr>
                <w:rFonts w:cs="Arial"/>
                <w:b/>
                <w:bCs/>
                <w:color w:val="000000"/>
                <w:sz w:val="20"/>
              </w:rPr>
              <w:t>119</w:t>
            </w:r>
          </w:p>
        </w:tc>
        <w:tc>
          <w:tcPr>
            <w:tcW w:w="439" w:type="dxa"/>
            <w:noWrap/>
            <w:hideMark/>
          </w:tcPr>
          <w:p w14:paraId="4CC0454C" w14:textId="77777777" w:rsidR="00EC7BBD" w:rsidRDefault="00EC7BBD" w:rsidP="00843AAA">
            <w:pPr>
              <w:pStyle w:val="Tabletext"/>
              <w:rPr>
                <w:rFonts w:cs="Arial"/>
                <w:sz w:val="20"/>
              </w:rPr>
            </w:pPr>
            <w:r>
              <w:rPr>
                <w:rFonts w:cs="Arial"/>
                <w:sz w:val="20"/>
              </w:rPr>
              <w:t>30</w:t>
            </w:r>
          </w:p>
        </w:tc>
        <w:tc>
          <w:tcPr>
            <w:tcW w:w="553" w:type="dxa"/>
            <w:noWrap/>
            <w:hideMark/>
          </w:tcPr>
          <w:p w14:paraId="072F43F6" w14:textId="77777777" w:rsidR="00EC7BBD" w:rsidRDefault="00EC7BBD" w:rsidP="00843AAA">
            <w:pPr>
              <w:pStyle w:val="Tabletext"/>
              <w:rPr>
                <w:rFonts w:cs="Arial"/>
                <w:sz w:val="20"/>
              </w:rPr>
            </w:pPr>
            <w:r>
              <w:rPr>
                <w:rFonts w:cs="Arial"/>
                <w:sz w:val="20"/>
              </w:rPr>
              <w:t>31</w:t>
            </w:r>
          </w:p>
        </w:tc>
        <w:tc>
          <w:tcPr>
            <w:tcW w:w="435" w:type="dxa"/>
            <w:noWrap/>
            <w:hideMark/>
          </w:tcPr>
          <w:p w14:paraId="3B4EF58E" w14:textId="77777777" w:rsidR="00EC7BBD" w:rsidRDefault="00EC7BBD" w:rsidP="00843AAA">
            <w:pPr>
              <w:pStyle w:val="Tabletext"/>
              <w:rPr>
                <w:rFonts w:cs="Arial"/>
                <w:sz w:val="20"/>
              </w:rPr>
            </w:pPr>
            <w:r>
              <w:rPr>
                <w:rFonts w:cs="Arial"/>
                <w:sz w:val="20"/>
              </w:rPr>
              <w:t>1</w:t>
            </w:r>
          </w:p>
        </w:tc>
        <w:tc>
          <w:tcPr>
            <w:tcW w:w="557" w:type="dxa"/>
            <w:noWrap/>
            <w:hideMark/>
          </w:tcPr>
          <w:p w14:paraId="5F2F2379" w14:textId="77777777" w:rsidR="00EC7BBD" w:rsidRDefault="00EC7BBD" w:rsidP="00843AAA">
            <w:pPr>
              <w:pStyle w:val="Tabletext"/>
              <w:rPr>
                <w:rFonts w:cs="Arial"/>
                <w:sz w:val="20"/>
              </w:rPr>
            </w:pPr>
            <w:r>
              <w:rPr>
                <w:rFonts w:cs="Arial"/>
                <w:sz w:val="20"/>
              </w:rPr>
              <w:t>3</w:t>
            </w:r>
          </w:p>
        </w:tc>
        <w:tc>
          <w:tcPr>
            <w:tcW w:w="439" w:type="dxa"/>
            <w:noWrap/>
            <w:hideMark/>
          </w:tcPr>
          <w:p w14:paraId="2E70BF76" w14:textId="77777777" w:rsidR="00EC7BBD" w:rsidRDefault="00EC7BBD" w:rsidP="00843AAA">
            <w:pPr>
              <w:pStyle w:val="Tabletext"/>
              <w:rPr>
                <w:rFonts w:cs="Arial"/>
                <w:sz w:val="20"/>
              </w:rPr>
            </w:pPr>
            <w:r>
              <w:rPr>
                <w:rFonts w:cs="Arial"/>
                <w:sz w:val="20"/>
              </w:rPr>
              <w:t>19</w:t>
            </w:r>
          </w:p>
        </w:tc>
        <w:tc>
          <w:tcPr>
            <w:tcW w:w="439" w:type="dxa"/>
            <w:noWrap/>
            <w:hideMark/>
          </w:tcPr>
          <w:p w14:paraId="366DD7ED" w14:textId="77777777" w:rsidR="00EC7BBD" w:rsidRDefault="00EC7BBD" w:rsidP="00843AAA">
            <w:pPr>
              <w:pStyle w:val="Tabletext"/>
              <w:rPr>
                <w:rFonts w:cs="Arial"/>
                <w:sz w:val="20"/>
              </w:rPr>
            </w:pPr>
            <w:r>
              <w:rPr>
                <w:rFonts w:cs="Arial"/>
                <w:sz w:val="20"/>
              </w:rPr>
              <w:t>4</w:t>
            </w:r>
          </w:p>
        </w:tc>
        <w:tc>
          <w:tcPr>
            <w:tcW w:w="439" w:type="dxa"/>
            <w:noWrap/>
            <w:hideMark/>
          </w:tcPr>
          <w:p w14:paraId="2F017292" w14:textId="77777777" w:rsidR="00EC7BBD" w:rsidRDefault="00EC7BBD" w:rsidP="00843AAA">
            <w:pPr>
              <w:pStyle w:val="Tabletext"/>
              <w:rPr>
                <w:rFonts w:cs="Arial"/>
                <w:sz w:val="20"/>
              </w:rPr>
            </w:pPr>
            <w:r>
              <w:rPr>
                <w:rFonts w:cs="Arial"/>
                <w:sz w:val="20"/>
              </w:rPr>
              <w:t>23</w:t>
            </w:r>
          </w:p>
        </w:tc>
        <w:tc>
          <w:tcPr>
            <w:tcW w:w="526" w:type="dxa"/>
            <w:noWrap/>
            <w:hideMark/>
          </w:tcPr>
          <w:p w14:paraId="65950BDA" w14:textId="77777777" w:rsidR="00EC7BBD" w:rsidRDefault="00EC7BBD" w:rsidP="00843AAA">
            <w:pPr>
              <w:pStyle w:val="Tabletext"/>
              <w:rPr>
                <w:rFonts w:cs="Arial"/>
                <w:sz w:val="20"/>
              </w:rPr>
            </w:pPr>
            <w:r>
              <w:rPr>
                <w:rFonts w:cs="Arial"/>
                <w:sz w:val="20"/>
              </w:rPr>
              <w:t>0</w:t>
            </w:r>
          </w:p>
        </w:tc>
        <w:tc>
          <w:tcPr>
            <w:tcW w:w="439" w:type="dxa"/>
            <w:noWrap/>
            <w:hideMark/>
          </w:tcPr>
          <w:p w14:paraId="21F4889B" w14:textId="77777777" w:rsidR="00EC7BBD" w:rsidRDefault="00EC7BBD" w:rsidP="00843AAA">
            <w:pPr>
              <w:pStyle w:val="Tabletext"/>
              <w:rPr>
                <w:rFonts w:cs="Arial"/>
                <w:sz w:val="20"/>
              </w:rPr>
            </w:pPr>
            <w:r>
              <w:rPr>
                <w:rFonts w:cs="Arial"/>
                <w:sz w:val="20"/>
              </w:rPr>
              <w:t>8</w:t>
            </w:r>
          </w:p>
        </w:tc>
        <w:tc>
          <w:tcPr>
            <w:tcW w:w="439" w:type="dxa"/>
            <w:noWrap/>
            <w:hideMark/>
          </w:tcPr>
          <w:p w14:paraId="3D29770E" w14:textId="77777777" w:rsidR="00EC7BBD" w:rsidRDefault="00EC7BBD" w:rsidP="00843AAA">
            <w:pPr>
              <w:pStyle w:val="Tabletext"/>
              <w:rPr>
                <w:rFonts w:cs="Arial"/>
                <w:sz w:val="20"/>
              </w:rPr>
            </w:pPr>
            <w:r>
              <w:rPr>
                <w:rFonts w:cs="Arial"/>
                <w:sz w:val="20"/>
              </w:rPr>
              <w:t>0</w:t>
            </w:r>
          </w:p>
        </w:tc>
        <w:tc>
          <w:tcPr>
            <w:tcW w:w="1248" w:type="dxa"/>
            <w:noWrap/>
            <w:hideMark/>
          </w:tcPr>
          <w:p w14:paraId="7AC91844" w14:textId="77777777" w:rsidR="00EC7BBD" w:rsidRDefault="00EC7BBD" w:rsidP="00843AAA">
            <w:pPr>
              <w:pStyle w:val="Tabletext"/>
              <w:rPr>
                <w:rFonts w:cs="Arial"/>
                <w:b/>
                <w:bCs/>
                <w:color w:val="000000"/>
                <w:sz w:val="20"/>
              </w:rPr>
            </w:pPr>
            <w:r>
              <w:rPr>
                <w:rFonts w:cs="Arial"/>
                <w:b/>
                <w:bCs/>
                <w:color w:val="000000"/>
                <w:sz w:val="20"/>
              </w:rPr>
              <w:t>0</w:t>
            </w:r>
          </w:p>
        </w:tc>
      </w:tr>
      <w:tr w:rsidR="00EC7BBD" w14:paraId="1A80CF70" w14:textId="77777777" w:rsidTr="007845EA">
        <w:trPr>
          <w:trHeight w:val="330"/>
        </w:trPr>
        <w:tc>
          <w:tcPr>
            <w:tcW w:w="2483" w:type="dxa"/>
            <w:shd w:val="clear" w:color="auto" w:fill="A2BDC1"/>
            <w:hideMark/>
          </w:tcPr>
          <w:p w14:paraId="2C070AA1" w14:textId="4F4711AF" w:rsidR="00EC7BBD" w:rsidRPr="0052598D" w:rsidRDefault="00843AAA" w:rsidP="00843AAA">
            <w:pPr>
              <w:pStyle w:val="Tabletext"/>
              <w:rPr>
                <w:rFonts w:cs="Arial"/>
                <w:b/>
                <w:bCs/>
                <w:color w:val="000000" w:themeColor="text1"/>
                <w:sz w:val="20"/>
              </w:rPr>
            </w:pPr>
            <w:r w:rsidRPr="0052598D">
              <w:rPr>
                <w:color w:val="000000" w:themeColor="text1"/>
              </w:rPr>
              <w:t>Medical technologies guidance</w:t>
            </w:r>
            <w:r w:rsidRPr="0052598D">
              <w:rPr>
                <w:rFonts w:cs="Arial"/>
                <w:color w:val="000000" w:themeColor="text1"/>
                <w:sz w:val="20"/>
              </w:rPr>
              <w:t xml:space="preserve"> </w:t>
            </w:r>
          </w:p>
        </w:tc>
        <w:tc>
          <w:tcPr>
            <w:tcW w:w="550" w:type="dxa"/>
            <w:hideMark/>
          </w:tcPr>
          <w:p w14:paraId="252F9E81" w14:textId="77777777" w:rsidR="00EC7BBD" w:rsidRDefault="00EC7BBD" w:rsidP="00843AAA">
            <w:pPr>
              <w:pStyle w:val="Tabletext"/>
              <w:rPr>
                <w:rFonts w:cs="Arial"/>
                <w:b/>
                <w:bCs/>
                <w:color w:val="000000"/>
                <w:sz w:val="20"/>
              </w:rPr>
            </w:pPr>
            <w:r>
              <w:rPr>
                <w:rFonts w:cs="Arial"/>
                <w:b/>
                <w:bCs/>
                <w:color w:val="000000"/>
                <w:sz w:val="20"/>
              </w:rPr>
              <w:t>5</w:t>
            </w:r>
          </w:p>
        </w:tc>
        <w:tc>
          <w:tcPr>
            <w:tcW w:w="731" w:type="dxa"/>
            <w:hideMark/>
          </w:tcPr>
          <w:p w14:paraId="2EE07070" w14:textId="77777777" w:rsidR="00EC7BBD" w:rsidRDefault="00EC7BBD" w:rsidP="00843AAA">
            <w:pPr>
              <w:pStyle w:val="Tabletext"/>
              <w:rPr>
                <w:rFonts w:cs="Arial"/>
                <w:b/>
                <w:bCs/>
                <w:color w:val="000000"/>
                <w:sz w:val="20"/>
              </w:rPr>
            </w:pPr>
            <w:r>
              <w:rPr>
                <w:rFonts w:cs="Arial"/>
                <w:b/>
                <w:bCs/>
                <w:color w:val="000000"/>
                <w:sz w:val="20"/>
              </w:rPr>
              <w:t>3</w:t>
            </w:r>
          </w:p>
        </w:tc>
        <w:tc>
          <w:tcPr>
            <w:tcW w:w="439" w:type="dxa"/>
            <w:hideMark/>
          </w:tcPr>
          <w:p w14:paraId="73464DA7" w14:textId="77777777" w:rsidR="00EC7BBD" w:rsidRDefault="00EC7BBD" w:rsidP="00843AAA">
            <w:pPr>
              <w:pStyle w:val="Tabletext"/>
              <w:rPr>
                <w:rFonts w:cs="Arial"/>
                <w:sz w:val="20"/>
              </w:rPr>
            </w:pPr>
            <w:r>
              <w:rPr>
                <w:rFonts w:cs="Arial"/>
                <w:sz w:val="20"/>
              </w:rPr>
              <w:t>0</w:t>
            </w:r>
          </w:p>
        </w:tc>
        <w:tc>
          <w:tcPr>
            <w:tcW w:w="553" w:type="dxa"/>
            <w:hideMark/>
          </w:tcPr>
          <w:p w14:paraId="6B1DFF1E" w14:textId="77777777" w:rsidR="00EC7BBD" w:rsidRDefault="00EC7BBD" w:rsidP="00843AAA">
            <w:pPr>
              <w:pStyle w:val="Tabletext"/>
              <w:rPr>
                <w:rFonts w:cs="Arial"/>
                <w:sz w:val="20"/>
              </w:rPr>
            </w:pPr>
            <w:r>
              <w:rPr>
                <w:rFonts w:cs="Arial"/>
                <w:sz w:val="20"/>
              </w:rPr>
              <w:t>3</w:t>
            </w:r>
          </w:p>
        </w:tc>
        <w:tc>
          <w:tcPr>
            <w:tcW w:w="435" w:type="dxa"/>
            <w:hideMark/>
          </w:tcPr>
          <w:p w14:paraId="78D1210C" w14:textId="77777777" w:rsidR="00EC7BBD" w:rsidRDefault="00EC7BBD" w:rsidP="00843AAA">
            <w:pPr>
              <w:pStyle w:val="Tabletext"/>
              <w:rPr>
                <w:rFonts w:cs="Arial"/>
                <w:sz w:val="20"/>
              </w:rPr>
            </w:pPr>
            <w:r>
              <w:rPr>
                <w:rFonts w:cs="Arial"/>
                <w:sz w:val="20"/>
              </w:rPr>
              <w:t>0</w:t>
            </w:r>
          </w:p>
        </w:tc>
        <w:tc>
          <w:tcPr>
            <w:tcW w:w="557" w:type="dxa"/>
            <w:hideMark/>
          </w:tcPr>
          <w:p w14:paraId="09EDD302" w14:textId="77777777" w:rsidR="00EC7BBD" w:rsidRDefault="00EC7BBD" w:rsidP="00843AAA">
            <w:pPr>
              <w:pStyle w:val="Tabletext"/>
              <w:rPr>
                <w:rFonts w:cs="Arial"/>
                <w:sz w:val="20"/>
              </w:rPr>
            </w:pPr>
            <w:r>
              <w:rPr>
                <w:rFonts w:cs="Arial"/>
                <w:sz w:val="20"/>
              </w:rPr>
              <w:t>0</w:t>
            </w:r>
          </w:p>
        </w:tc>
        <w:tc>
          <w:tcPr>
            <w:tcW w:w="439" w:type="dxa"/>
            <w:hideMark/>
          </w:tcPr>
          <w:p w14:paraId="03C49AC5" w14:textId="77777777" w:rsidR="00EC7BBD" w:rsidRDefault="00EC7BBD" w:rsidP="00843AAA">
            <w:pPr>
              <w:pStyle w:val="Tabletext"/>
              <w:rPr>
                <w:rFonts w:cs="Arial"/>
                <w:sz w:val="20"/>
              </w:rPr>
            </w:pPr>
            <w:r>
              <w:rPr>
                <w:rFonts w:cs="Arial"/>
                <w:sz w:val="20"/>
              </w:rPr>
              <w:t>0</w:t>
            </w:r>
          </w:p>
        </w:tc>
        <w:tc>
          <w:tcPr>
            <w:tcW w:w="439" w:type="dxa"/>
            <w:hideMark/>
          </w:tcPr>
          <w:p w14:paraId="28721D08" w14:textId="77777777" w:rsidR="00EC7BBD" w:rsidRDefault="00EC7BBD" w:rsidP="00843AAA">
            <w:pPr>
              <w:pStyle w:val="Tabletext"/>
              <w:rPr>
                <w:rFonts w:cs="Arial"/>
                <w:sz w:val="20"/>
              </w:rPr>
            </w:pPr>
            <w:r>
              <w:rPr>
                <w:rFonts w:cs="Arial"/>
                <w:sz w:val="20"/>
              </w:rPr>
              <w:t>0</w:t>
            </w:r>
          </w:p>
        </w:tc>
        <w:tc>
          <w:tcPr>
            <w:tcW w:w="439" w:type="dxa"/>
            <w:hideMark/>
          </w:tcPr>
          <w:p w14:paraId="3CD08EDA" w14:textId="77777777" w:rsidR="00EC7BBD" w:rsidRDefault="00EC7BBD" w:rsidP="00843AAA">
            <w:pPr>
              <w:pStyle w:val="Tabletext"/>
              <w:rPr>
                <w:rFonts w:cs="Arial"/>
                <w:sz w:val="20"/>
              </w:rPr>
            </w:pPr>
            <w:r>
              <w:rPr>
                <w:rFonts w:cs="Arial"/>
                <w:sz w:val="20"/>
              </w:rPr>
              <w:t>0</w:t>
            </w:r>
          </w:p>
        </w:tc>
        <w:tc>
          <w:tcPr>
            <w:tcW w:w="526" w:type="dxa"/>
            <w:hideMark/>
          </w:tcPr>
          <w:p w14:paraId="28051DF5" w14:textId="77777777" w:rsidR="00EC7BBD" w:rsidRDefault="00EC7BBD" w:rsidP="00843AAA">
            <w:pPr>
              <w:pStyle w:val="Tabletext"/>
              <w:rPr>
                <w:rFonts w:cs="Arial"/>
                <w:sz w:val="20"/>
              </w:rPr>
            </w:pPr>
            <w:r>
              <w:rPr>
                <w:rFonts w:cs="Arial"/>
                <w:sz w:val="20"/>
              </w:rPr>
              <w:t>0</w:t>
            </w:r>
          </w:p>
        </w:tc>
        <w:tc>
          <w:tcPr>
            <w:tcW w:w="439" w:type="dxa"/>
            <w:hideMark/>
          </w:tcPr>
          <w:p w14:paraId="675B14E5" w14:textId="77777777" w:rsidR="00EC7BBD" w:rsidRDefault="00EC7BBD" w:rsidP="00843AAA">
            <w:pPr>
              <w:pStyle w:val="Tabletext"/>
              <w:rPr>
                <w:rFonts w:cs="Arial"/>
                <w:sz w:val="20"/>
              </w:rPr>
            </w:pPr>
            <w:r>
              <w:rPr>
                <w:rFonts w:cs="Arial"/>
                <w:sz w:val="20"/>
              </w:rPr>
              <w:t>0</w:t>
            </w:r>
          </w:p>
        </w:tc>
        <w:tc>
          <w:tcPr>
            <w:tcW w:w="439" w:type="dxa"/>
            <w:hideMark/>
          </w:tcPr>
          <w:p w14:paraId="2C3D8DAD" w14:textId="77777777" w:rsidR="00EC7BBD" w:rsidRDefault="00EC7BBD" w:rsidP="00843AAA">
            <w:pPr>
              <w:pStyle w:val="Tabletext"/>
              <w:rPr>
                <w:rFonts w:cs="Arial"/>
                <w:sz w:val="20"/>
              </w:rPr>
            </w:pPr>
            <w:r>
              <w:rPr>
                <w:rFonts w:cs="Arial"/>
                <w:sz w:val="20"/>
              </w:rPr>
              <w:t>0</w:t>
            </w:r>
          </w:p>
        </w:tc>
        <w:tc>
          <w:tcPr>
            <w:tcW w:w="1248" w:type="dxa"/>
            <w:hideMark/>
          </w:tcPr>
          <w:p w14:paraId="507102AF" w14:textId="77777777" w:rsidR="00EC7BBD" w:rsidRDefault="00EC7BBD" w:rsidP="00843AAA">
            <w:pPr>
              <w:pStyle w:val="Tabletext"/>
              <w:rPr>
                <w:rFonts w:cs="Arial"/>
                <w:b/>
                <w:bCs/>
                <w:color w:val="000000"/>
                <w:sz w:val="20"/>
              </w:rPr>
            </w:pPr>
            <w:r>
              <w:rPr>
                <w:rFonts w:cs="Arial"/>
                <w:b/>
                <w:bCs/>
                <w:color w:val="000000"/>
                <w:sz w:val="20"/>
              </w:rPr>
              <w:t>1</w:t>
            </w:r>
          </w:p>
        </w:tc>
      </w:tr>
      <w:tr w:rsidR="00EC7BBD" w14:paraId="68BE4AB1" w14:textId="77777777" w:rsidTr="007845EA">
        <w:trPr>
          <w:trHeight w:val="525"/>
        </w:trPr>
        <w:tc>
          <w:tcPr>
            <w:tcW w:w="2483" w:type="dxa"/>
            <w:shd w:val="clear" w:color="auto" w:fill="A2BDC1"/>
            <w:hideMark/>
          </w:tcPr>
          <w:p w14:paraId="5AA2C9B0" w14:textId="0093C1AD" w:rsidR="00EC7BBD" w:rsidRPr="0052598D" w:rsidRDefault="00843AAA" w:rsidP="00843AAA">
            <w:pPr>
              <w:pStyle w:val="Tabletext"/>
              <w:rPr>
                <w:rFonts w:cs="Arial"/>
                <w:b/>
                <w:bCs/>
                <w:color w:val="000000" w:themeColor="text1"/>
                <w:sz w:val="20"/>
              </w:rPr>
            </w:pPr>
            <w:r w:rsidRPr="0052598D">
              <w:rPr>
                <w:color w:val="000000" w:themeColor="text1"/>
              </w:rPr>
              <w:t>Technology appraisals</w:t>
            </w:r>
            <w:r w:rsidRPr="0052598D">
              <w:rPr>
                <w:rFonts w:cs="Arial"/>
                <w:color w:val="000000" w:themeColor="text1"/>
                <w:sz w:val="20"/>
              </w:rPr>
              <w:t xml:space="preserve"> </w:t>
            </w:r>
          </w:p>
        </w:tc>
        <w:tc>
          <w:tcPr>
            <w:tcW w:w="550" w:type="dxa"/>
            <w:hideMark/>
          </w:tcPr>
          <w:p w14:paraId="32204226" w14:textId="77777777" w:rsidR="00EC7BBD" w:rsidRDefault="00EC7BBD" w:rsidP="00843AAA">
            <w:pPr>
              <w:pStyle w:val="Tabletext"/>
              <w:rPr>
                <w:rFonts w:cs="Arial"/>
                <w:b/>
                <w:bCs/>
                <w:color w:val="000000"/>
                <w:sz w:val="20"/>
              </w:rPr>
            </w:pPr>
            <w:r>
              <w:rPr>
                <w:rFonts w:cs="Arial"/>
                <w:b/>
                <w:bCs/>
                <w:color w:val="000000"/>
                <w:sz w:val="20"/>
              </w:rPr>
              <w:t>57</w:t>
            </w:r>
          </w:p>
        </w:tc>
        <w:tc>
          <w:tcPr>
            <w:tcW w:w="731" w:type="dxa"/>
            <w:hideMark/>
          </w:tcPr>
          <w:p w14:paraId="1A968426" w14:textId="77777777" w:rsidR="00EC7BBD" w:rsidRDefault="00EC7BBD" w:rsidP="00843AAA">
            <w:pPr>
              <w:pStyle w:val="Tabletext"/>
              <w:rPr>
                <w:rFonts w:cs="Arial"/>
                <w:b/>
                <w:bCs/>
                <w:color w:val="000000"/>
                <w:sz w:val="20"/>
              </w:rPr>
            </w:pPr>
            <w:r>
              <w:rPr>
                <w:rFonts w:cs="Arial"/>
                <w:b/>
                <w:bCs/>
                <w:color w:val="000000"/>
                <w:sz w:val="20"/>
              </w:rPr>
              <w:t>42</w:t>
            </w:r>
          </w:p>
        </w:tc>
        <w:tc>
          <w:tcPr>
            <w:tcW w:w="439" w:type="dxa"/>
            <w:hideMark/>
          </w:tcPr>
          <w:p w14:paraId="1B585F34" w14:textId="77777777" w:rsidR="00EC7BBD" w:rsidRDefault="00EC7BBD" w:rsidP="00843AAA">
            <w:pPr>
              <w:pStyle w:val="Tabletext"/>
              <w:rPr>
                <w:rFonts w:cs="Arial"/>
                <w:sz w:val="20"/>
              </w:rPr>
            </w:pPr>
            <w:r>
              <w:rPr>
                <w:rFonts w:cs="Arial"/>
                <w:sz w:val="20"/>
              </w:rPr>
              <w:t>6</w:t>
            </w:r>
          </w:p>
        </w:tc>
        <w:tc>
          <w:tcPr>
            <w:tcW w:w="553" w:type="dxa"/>
            <w:hideMark/>
          </w:tcPr>
          <w:p w14:paraId="2849069D" w14:textId="77777777" w:rsidR="00EC7BBD" w:rsidRDefault="00EC7BBD" w:rsidP="00843AAA">
            <w:pPr>
              <w:pStyle w:val="Tabletext"/>
              <w:rPr>
                <w:rFonts w:cs="Arial"/>
                <w:sz w:val="20"/>
              </w:rPr>
            </w:pPr>
            <w:r>
              <w:rPr>
                <w:rFonts w:cs="Arial"/>
                <w:sz w:val="20"/>
              </w:rPr>
              <w:t>8</w:t>
            </w:r>
          </w:p>
        </w:tc>
        <w:tc>
          <w:tcPr>
            <w:tcW w:w="435" w:type="dxa"/>
            <w:hideMark/>
          </w:tcPr>
          <w:p w14:paraId="148F7BC5" w14:textId="77777777" w:rsidR="00EC7BBD" w:rsidRDefault="00EC7BBD" w:rsidP="00843AAA">
            <w:pPr>
              <w:pStyle w:val="Tabletext"/>
              <w:rPr>
                <w:rFonts w:cs="Arial"/>
                <w:sz w:val="20"/>
              </w:rPr>
            </w:pPr>
            <w:r>
              <w:rPr>
                <w:rFonts w:cs="Arial"/>
                <w:sz w:val="20"/>
              </w:rPr>
              <w:t>0</w:t>
            </w:r>
          </w:p>
        </w:tc>
        <w:tc>
          <w:tcPr>
            <w:tcW w:w="557" w:type="dxa"/>
            <w:hideMark/>
          </w:tcPr>
          <w:p w14:paraId="5F8BFA06" w14:textId="77777777" w:rsidR="00EC7BBD" w:rsidRDefault="00EC7BBD" w:rsidP="00843AAA">
            <w:pPr>
              <w:pStyle w:val="Tabletext"/>
              <w:rPr>
                <w:rFonts w:cs="Arial"/>
                <w:sz w:val="20"/>
              </w:rPr>
            </w:pPr>
            <w:r>
              <w:rPr>
                <w:rFonts w:cs="Arial"/>
                <w:sz w:val="20"/>
              </w:rPr>
              <w:t>2</w:t>
            </w:r>
          </w:p>
        </w:tc>
        <w:tc>
          <w:tcPr>
            <w:tcW w:w="439" w:type="dxa"/>
            <w:hideMark/>
          </w:tcPr>
          <w:p w14:paraId="1803A0A2" w14:textId="77777777" w:rsidR="00EC7BBD" w:rsidRDefault="00EC7BBD" w:rsidP="00843AAA">
            <w:pPr>
              <w:pStyle w:val="Tabletext"/>
              <w:rPr>
                <w:rFonts w:cs="Arial"/>
                <w:sz w:val="20"/>
              </w:rPr>
            </w:pPr>
            <w:r>
              <w:rPr>
                <w:rFonts w:cs="Arial"/>
                <w:sz w:val="20"/>
              </w:rPr>
              <w:t>7</w:t>
            </w:r>
          </w:p>
        </w:tc>
        <w:tc>
          <w:tcPr>
            <w:tcW w:w="439" w:type="dxa"/>
            <w:hideMark/>
          </w:tcPr>
          <w:p w14:paraId="5E362245" w14:textId="77777777" w:rsidR="00EC7BBD" w:rsidRDefault="00EC7BBD" w:rsidP="00843AAA">
            <w:pPr>
              <w:pStyle w:val="Tabletext"/>
              <w:rPr>
                <w:rFonts w:cs="Arial"/>
                <w:sz w:val="20"/>
              </w:rPr>
            </w:pPr>
            <w:r>
              <w:rPr>
                <w:rFonts w:cs="Arial"/>
                <w:sz w:val="20"/>
              </w:rPr>
              <w:t>2</w:t>
            </w:r>
          </w:p>
        </w:tc>
        <w:tc>
          <w:tcPr>
            <w:tcW w:w="439" w:type="dxa"/>
            <w:hideMark/>
          </w:tcPr>
          <w:p w14:paraId="5DCD8C7A" w14:textId="77777777" w:rsidR="00EC7BBD" w:rsidRDefault="00EC7BBD" w:rsidP="00843AAA">
            <w:pPr>
              <w:pStyle w:val="Tabletext"/>
              <w:rPr>
                <w:rFonts w:cs="Arial"/>
                <w:sz w:val="20"/>
              </w:rPr>
            </w:pPr>
            <w:r>
              <w:rPr>
                <w:rFonts w:cs="Arial"/>
                <w:sz w:val="20"/>
              </w:rPr>
              <w:t>1</w:t>
            </w:r>
          </w:p>
        </w:tc>
        <w:tc>
          <w:tcPr>
            <w:tcW w:w="526" w:type="dxa"/>
            <w:hideMark/>
          </w:tcPr>
          <w:p w14:paraId="3193153D" w14:textId="77777777" w:rsidR="00EC7BBD" w:rsidRDefault="00EC7BBD" w:rsidP="00843AAA">
            <w:pPr>
              <w:pStyle w:val="Tabletext"/>
              <w:rPr>
                <w:rFonts w:cs="Arial"/>
                <w:sz w:val="20"/>
              </w:rPr>
            </w:pPr>
            <w:r>
              <w:rPr>
                <w:rFonts w:cs="Arial"/>
                <w:sz w:val="20"/>
              </w:rPr>
              <w:t>0</w:t>
            </w:r>
          </w:p>
        </w:tc>
        <w:tc>
          <w:tcPr>
            <w:tcW w:w="439" w:type="dxa"/>
            <w:hideMark/>
          </w:tcPr>
          <w:p w14:paraId="72A294BB" w14:textId="77777777" w:rsidR="00EC7BBD" w:rsidRDefault="00EC7BBD" w:rsidP="00843AAA">
            <w:pPr>
              <w:pStyle w:val="Tabletext"/>
              <w:rPr>
                <w:rFonts w:cs="Arial"/>
                <w:sz w:val="20"/>
              </w:rPr>
            </w:pPr>
            <w:r>
              <w:rPr>
                <w:rFonts w:cs="Arial"/>
                <w:sz w:val="20"/>
              </w:rPr>
              <w:t>1</w:t>
            </w:r>
          </w:p>
        </w:tc>
        <w:tc>
          <w:tcPr>
            <w:tcW w:w="439" w:type="dxa"/>
            <w:hideMark/>
          </w:tcPr>
          <w:p w14:paraId="6230C663" w14:textId="77777777" w:rsidR="00EC7BBD" w:rsidRDefault="00EC7BBD" w:rsidP="00843AAA">
            <w:pPr>
              <w:pStyle w:val="Tabletext"/>
              <w:rPr>
                <w:rFonts w:cs="Arial"/>
                <w:sz w:val="20"/>
              </w:rPr>
            </w:pPr>
            <w:r>
              <w:rPr>
                <w:rFonts w:cs="Arial"/>
                <w:sz w:val="20"/>
              </w:rPr>
              <w:t>15</w:t>
            </w:r>
          </w:p>
        </w:tc>
        <w:tc>
          <w:tcPr>
            <w:tcW w:w="1248" w:type="dxa"/>
            <w:hideMark/>
          </w:tcPr>
          <w:p w14:paraId="0437B8EF" w14:textId="77777777" w:rsidR="00EC7BBD" w:rsidRDefault="00EC7BBD" w:rsidP="00843AAA">
            <w:pPr>
              <w:pStyle w:val="Tabletext"/>
              <w:rPr>
                <w:rFonts w:cs="Arial"/>
                <w:b/>
                <w:bCs/>
                <w:color w:val="000000"/>
                <w:sz w:val="20"/>
              </w:rPr>
            </w:pPr>
            <w:r>
              <w:rPr>
                <w:rFonts w:cs="Arial"/>
                <w:b/>
                <w:bCs/>
                <w:color w:val="000000"/>
                <w:sz w:val="20"/>
              </w:rPr>
              <w:t>12</w:t>
            </w:r>
          </w:p>
        </w:tc>
      </w:tr>
      <w:tr w:rsidR="00EC7BBD" w14:paraId="0EE01986" w14:textId="77777777" w:rsidTr="007845EA">
        <w:trPr>
          <w:trHeight w:val="525"/>
        </w:trPr>
        <w:tc>
          <w:tcPr>
            <w:tcW w:w="2483" w:type="dxa"/>
            <w:shd w:val="clear" w:color="auto" w:fill="A2BDC1"/>
            <w:hideMark/>
          </w:tcPr>
          <w:p w14:paraId="67444609" w14:textId="1ED51D62" w:rsidR="00EC7BBD" w:rsidRPr="0052598D" w:rsidRDefault="00843AAA" w:rsidP="00843AAA">
            <w:pPr>
              <w:pStyle w:val="Tabletext"/>
              <w:rPr>
                <w:rFonts w:cs="Arial"/>
                <w:b/>
                <w:bCs/>
                <w:color w:val="000000" w:themeColor="text1"/>
                <w:sz w:val="20"/>
              </w:rPr>
            </w:pPr>
            <w:r w:rsidRPr="0052598D">
              <w:rPr>
                <w:color w:val="000000" w:themeColor="text1"/>
              </w:rPr>
              <w:t>Clinical guidelines</w:t>
            </w:r>
            <w:r w:rsidRPr="0052598D">
              <w:rPr>
                <w:rFonts w:cs="Arial"/>
                <w:color w:val="000000" w:themeColor="text1"/>
                <w:sz w:val="20"/>
              </w:rPr>
              <w:t xml:space="preserve"> </w:t>
            </w:r>
          </w:p>
        </w:tc>
        <w:tc>
          <w:tcPr>
            <w:tcW w:w="550" w:type="dxa"/>
            <w:hideMark/>
          </w:tcPr>
          <w:p w14:paraId="413FAA06" w14:textId="77777777" w:rsidR="00EC7BBD" w:rsidRDefault="00EC7BBD" w:rsidP="00843AAA">
            <w:pPr>
              <w:pStyle w:val="Tabletext"/>
              <w:rPr>
                <w:rFonts w:cs="Arial"/>
                <w:b/>
                <w:bCs/>
                <w:color w:val="000000"/>
                <w:sz w:val="20"/>
              </w:rPr>
            </w:pPr>
            <w:r>
              <w:rPr>
                <w:rFonts w:cs="Arial"/>
                <w:b/>
                <w:bCs/>
                <w:color w:val="000000"/>
                <w:sz w:val="20"/>
              </w:rPr>
              <w:t>14</w:t>
            </w:r>
          </w:p>
        </w:tc>
        <w:tc>
          <w:tcPr>
            <w:tcW w:w="731" w:type="dxa"/>
            <w:hideMark/>
          </w:tcPr>
          <w:p w14:paraId="426A9174" w14:textId="77777777" w:rsidR="00EC7BBD" w:rsidRDefault="00EC7BBD" w:rsidP="00843AAA">
            <w:pPr>
              <w:pStyle w:val="Tabletext"/>
              <w:rPr>
                <w:rFonts w:cs="Arial"/>
                <w:b/>
                <w:bCs/>
                <w:color w:val="000000"/>
                <w:sz w:val="20"/>
              </w:rPr>
            </w:pPr>
            <w:r>
              <w:rPr>
                <w:rFonts w:cs="Arial"/>
                <w:b/>
                <w:bCs/>
                <w:color w:val="000000"/>
                <w:sz w:val="20"/>
              </w:rPr>
              <w:t>74</w:t>
            </w:r>
          </w:p>
        </w:tc>
        <w:tc>
          <w:tcPr>
            <w:tcW w:w="439" w:type="dxa"/>
            <w:hideMark/>
          </w:tcPr>
          <w:p w14:paraId="0D5AF0DA" w14:textId="77777777" w:rsidR="00EC7BBD" w:rsidRDefault="00EC7BBD" w:rsidP="00843AAA">
            <w:pPr>
              <w:pStyle w:val="Tabletext"/>
              <w:rPr>
                <w:rFonts w:cs="Arial"/>
                <w:sz w:val="20"/>
              </w:rPr>
            </w:pPr>
            <w:r>
              <w:rPr>
                <w:rFonts w:cs="Arial"/>
                <w:sz w:val="20"/>
              </w:rPr>
              <w:t>12</w:t>
            </w:r>
          </w:p>
        </w:tc>
        <w:tc>
          <w:tcPr>
            <w:tcW w:w="553" w:type="dxa"/>
            <w:hideMark/>
          </w:tcPr>
          <w:p w14:paraId="74D68946" w14:textId="77777777" w:rsidR="00EC7BBD" w:rsidRDefault="00EC7BBD" w:rsidP="00843AAA">
            <w:pPr>
              <w:pStyle w:val="Tabletext"/>
              <w:rPr>
                <w:rFonts w:cs="Arial"/>
                <w:sz w:val="20"/>
              </w:rPr>
            </w:pPr>
            <w:r>
              <w:rPr>
                <w:rFonts w:cs="Arial"/>
                <w:sz w:val="20"/>
              </w:rPr>
              <w:t>19</w:t>
            </w:r>
          </w:p>
        </w:tc>
        <w:tc>
          <w:tcPr>
            <w:tcW w:w="435" w:type="dxa"/>
            <w:hideMark/>
          </w:tcPr>
          <w:p w14:paraId="655D3777" w14:textId="77777777" w:rsidR="00EC7BBD" w:rsidRDefault="00EC7BBD" w:rsidP="00843AAA">
            <w:pPr>
              <w:pStyle w:val="Tabletext"/>
              <w:rPr>
                <w:rFonts w:cs="Arial"/>
                <w:sz w:val="20"/>
              </w:rPr>
            </w:pPr>
            <w:r>
              <w:rPr>
                <w:rFonts w:cs="Arial"/>
                <w:sz w:val="20"/>
              </w:rPr>
              <w:t>1</w:t>
            </w:r>
          </w:p>
        </w:tc>
        <w:tc>
          <w:tcPr>
            <w:tcW w:w="557" w:type="dxa"/>
            <w:hideMark/>
          </w:tcPr>
          <w:p w14:paraId="4425C5F1" w14:textId="77777777" w:rsidR="00EC7BBD" w:rsidRDefault="00EC7BBD" w:rsidP="00843AAA">
            <w:pPr>
              <w:pStyle w:val="Tabletext"/>
              <w:rPr>
                <w:rFonts w:cs="Arial"/>
                <w:sz w:val="20"/>
              </w:rPr>
            </w:pPr>
            <w:r>
              <w:rPr>
                <w:rFonts w:cs="Arial"/>
                <w:sz w:val="20"/>
              </w:rPr>
              <w:t>3</w:t>
            </w:r>
          </w:p>
        </w:tc>
        <w:tc>
          <w:tcPr>
            <w:tcW w:w="439" w:type="dxa"/>
            <w:hideMark/>
          </w:tcPr>
          <w:p w14:paraId="78279619" w14:textId="77777777" w:rsidR="00EC7BBD" w:rsidRDefault="00EC7BBD" w:rsidP="00843AAA">
            <w:pPr>
              <w:pStyle w:val="Tabletext"/>
              <w:rPr>
                <w:rFonts w:cs="Arial"/>
                <w:sz w:val="20"/>
              </w:rPr>
            </w:pPr>
            <w:r>
              <w:rPr>
                <w:rFonts w:cs="Arial"/>
                <w:sz w:val="20"/>
              </w:rPr>
              <w:t>10</w:t>
            </w:r>
          </w:p>
        </w:tc>
        <w:tc>
          <w:tcPr>
            <w:tcW w:w="439" w:type="dxa"/>
            <w:hideMark/>
          </w:tcPr>
          <w:p w14:paraId="21B63E56" w14:textId="77777777" w:rsidR="00EC7BBD" w:rsidRDefault="00EC7BBD" w:rsidP="00843AAA">
            <w:pPr>
              <w:pStyle w:val="Tabletext"/>
              <w:rPr>
                <w:rFonts w:cs="Arial"/>
                <w:sz w:val="20"/>
              </w:rPr>
            </w:pPr>
            <w:r>
              <w:rPr>
                <w:rFonts w:cs="Arial"/>
                <w:sz w:val="20"/>
              </w:rPr>
              <w:t>3</w:t>
            </w:r>
          </w:p>
        </w:tc>
        <w:tc>
          <w:tcPr>
            <w:tcW w:w="439" w:type="dxa"/>
            <w:hideMark/>
          </w:tcPr>
          <w:p w14:paraId="67822974" w14:textId="77777777" w:rsidR="00EC7BBD" w:rsidRDefault="00EC7BBD" w:rsidP="00843AAA">
            <w:pPr>
              <w:pStyle w:val="Tabletext"/>
              <w:rPr>
                <w:rFonts w:cs="Arial"/>
                <w:sz w:val="20"/>
              </w:rPr>
            </w:pPr>
            <w:r>
              <w:rPr>
                <w:rFonts w:cs="Arial"/>
                <w:sz w:val="20"/>
              </w:rPr>
              <w:t>3</w:t>
            </w:r>
          </w:p>
        </w:tc>
        <w:tc>
          <w:tcPr>
            <w:tcW w:w="526" w:type="dxa"/>
            <w:hideMark/>
          </w:tcPr>
          <w:p w14:paraId="077D3A89" w14:textId="77777777" w:rsidR="00EC7BBD" w:rsidRDefault="00EC7BBD" w:rsidP="00843AAA">
            <w:pPr>
              <w:pStyle w:val="Tabletext"/>
              <w:rPr>
                <w:rFonts w:cs="Arial"/>
                <w:sz w:val="20"/>
              </w:rPr>
            </w:pPr>
            <w:r>
              <w:rPr>
                <w:rFonts w:cs="Arial"/>
                <w:sz w:val="20"/>
              </w:rPr>
              <w:t>1</w:t>
            </w:r>
          </w:p>
        </w:tc>
        <w:tc>
          <w:tcPr>
            <w:tcW w:w="439" w:type="dxa"/>
            <w:hideMark/>
          </w:tcPr>
          <w:p w14:paraId="6A3B42C1" w14:textId="77777777" w:rsidR="00EC7BBD" w:rsidRDefault="00EC7BBD" w:rsidP="00843AAA">
            <w:pPr>
              <w:pStyle w:val="Tabletext"/>
              <w:rPr>
                <w:rFonts w:cs="Arial"/>
                <w:sz w:val="20"/>
              </w:rPr>
            </w:pPr>
            <w:r>
              <w:rPr>
                <w:rFonts w:cs="Arial"/>
                <w:sz w:val="20"/>
              </w:rPr>
              <w:t>3</w:t>
            </w:r>
          </w:p>
        </w:tc>
        <w:tc>
          <w:tcPr>
            <w:tcW w:w="439" w:type="dxa"/>
            <w:hideMark/>
          </w:tcPr>
          <w:p w14:paraId="7E7CCDA9" w14:textId="77777777" w:rsidR="00EC7BBD" w:rsidRDefault="00EC7BBD" w:rsidP="00843AAA">
            <w:pPr>
              <w:pStyle w:val="Tabletext"/>
              <w:rPr>
                <w:rFonts w:cs="Arial"/>
                <w:sz w:val="20"/>
              </w:rPr>
            </w:pPr>
            <w:r>
              <w:rPr>
                <w:rFonts w:cs="Arial"/>
                <w:sz w:val="20"/>
              </w:rPr>
              <w:t>19</w:t>
            </w:r>
          </w:p>
        </w:tc>
        <w:tc>
          <w:tcPr>
            <w:tcW w:w="1248" w:type="dxa"/>
            <w:hideMark/>
          </w:tcPr>
          <w:p w14:paraId="14EACDA6" w14:textId="77777777" w:rsidR="00EC7BBD" w:rsidRDefault="00EC7BBD" w:rsidP="00843AAA">
            <w:pPr>
              <w:pStyle w:val="Tabletext"/>
              <w:rPr>
                <w:rFonts w:cs="Arial"/>
                <w:b/>
                <w:bCs/>
                <w:color w:val="000000"/>
                <w:sz w:val="20"/>
              </w:rPr>
            </w:pPr>
            <w:r>
              <w:rPr>
                <w:rFonts w:cs="Arial"/>
                <w:b/>
                <w:bCs/>
                <w:color w:val="000000"/>
                <w:sz w:val="20"/>
              </w:rPr>
              <w:t>62</w:t>
            </w:r>
          </w:p>
        </w:tc>
      </w:tr>
      <w:tr w:rsidR="00EC7BBD" w14:paraId="7CABAA27" w14:textId="77777777" w:rsidTr="007845EA">
        <w:trPr>
          <w:trHeight w:val="330"/>
        </w:trPr>
        <w:tc>
          <w:tcPr>
            <w:tcW w:w="2483" w:type="dxa"/>
            <w:shd w:val="clear" w:color="auto" w:fill="A2BDC1"/>
            <w:hideMark/>
          </w:tcPr>
          <w:p w14:paraId="463FD058" w14:textId="2BD0D4B4" w:rsidR="00EC7BBD" w:rsidRPr="0052598D" w:rsidRDefault="00843AAA" w:rsidP="00843AAA">
            <w:pPr>
              <w:pStyle w:val="Tabletext"/>
              <w:rPr>
                <w:rFonts w:cs="Arial"/>
                <w:b/>
                <w:bCs/>
                <w:color w:val="000000" w:themeColor="text1"/>
                <w:sz w:val="20"/>
              </w:rPr>
            </w:pPr>
            <w:r w:rsidRPr="0052598D">
              <w:rPr>
                <w:color w:val="000000" w:themeColor="text1"/>
              </w:rPr>
              <w:t>Clinical guideline updates</w:t>
            </w:r>
          </w:p>
        </w:tc>
        <w:tc>
          <w:tcPr>
            <w:tcW w:w="550" w:type="dxa"/>
            <w:hideMark/>
          </w:tcPr>
          <w:p w14:paraId="19288F52" w14:textId="77777777" w:rsidR="00EC7BBD" w:rsidRDefault="00EC7BBD" w:rsidP="00843AAA">
            <w:pPr>
              <w:pStyle w:val="Tabletext"/>
              <w:rPr>
                <w:rFonts w:cs="Arial"/>
                <w:b/>
                <w:bCs/>
                <w:color w:val="000000"/>
                <w:sz w:val="20"/>
              </w:rPr>
            </w:pPr>
            <w:r>
              <w:rPr>
                <w:rFonts w:cs="Arial"/>
                <w:b/>
                <w:bCs/>
                <w:color w:val="000000"/>
                <w:sz w:val="20"/>
              </w:rPr>
              <w:t>4</w:t>
            </w:r>
          </w:p>
        </w:tc>
        <w:tc>
          <w:tcPr>
            <w:tcW w:w="731" w:type="dxa"/>
            <w:hideMark/>
          </w:tcPr>
          <w:p w14:paraId="440EFDFA" w14:textId="77777777" w:rsidR="00EC7BBD" w:rsidRDefault="00EC7BBD" w:rsidP="00843AAA">
            <w:pPr>
              <w:pStyle w:val="Tabletext"/>
              <w:rPr>
                <w:rFonts w:cs="Arial"/>
                <w:b/>
                <w:bCs/>
                <w:color w:val="000000"/>
                <w:sz w:val="20"/>
              </w:rPr>
            </w:pPr>
            <w:r>
              <w:rPr>
                <w:rFonts w:cs="Arial"/>
                <w:b/>
                <w:bCs/>
                <w:color w:val="000000"/>
                <w:sz w:val="20"/>
              </w:rPr>
              <w:t>23</w:t>
            </w:r>
          </w:p>
        </w:tc>
        <w:tc>
          <w:tcPr>
            <w:tcW w:w="439" w:type="dxa"/>
            <w:hideMark/>
          </w:tcPr>
          <w:p w14:paraId="0E323AB6" w14:textId="77777777" w:rsidR="00EC7BBD" w:rsidRDefault="00EC7BBD" w:rsidP="00843AAA">
            <w:pPr>
              <w:pStyle w:val="Tabletext"/>
              <w:rPr>
                <w:rFonts w:cs="Arial"/>
                <w:sz w:val="20"/>
              </w:rPr>
            </w:pPr>
            <w:r>
              <w:rPr>
                <w:rFonts w:cs="Arial"/>
                <w:sz w:val="20"/>
              </w:rPr>
              <w:t>3</w:t>
            </w:r>
          </w:p>
        </w:tc>
        <w:tc>
          <w:tcPr>
            <w:tcW w:w="553" w:type="dxa"/>
            <w:hideMark/>
          </w:tcPr>
          <w:p w14:paraId="38031842" w14:textId="77777777" w:rsidR="00EC7BBD" w:rsidRDefault="00EC7BBD" w:rsidP="00843AAA">
            <w:pPr>
              <w:pStyle w:val="Tabletext"/>
              <w:rPr>
                <w:rFonts w:cs="Arial"/>
                <w:sz w:val="20"/>
              </w:rPr>
            </w:pPr>
            <w:r>
              <w:rPr>
                <w:rFonts w:cs="Arial"/>
                <w:sz w:val="20"/>
              </w:rPr>
              <w:t>4</w:t>
            </w:r>
          </w:p>
        </w:tc>
        <w:tc>
          <w:tcPr>
            <w:tcW w:w="435" w:type="dxa"/>
            <w:hideMark/>
          </w:tcPr>
          <w:p w14:paraId="69C66208" w14:textId="77777777" w:rsidR="00EC7BBD" w:rsidRDefault="00EC7BBD" w:rsidP="00843AAA">
            <w:pPr>
              <w:pStyle w:val="Tabletext"/>
              <w:rPr>
                <w:rFonts w:cs="Arial"/>
                <w:sz w:val="20"/>
              </w:rPr>
            </w:pPr>
            <w:r>
              <w:rPr>
                <w:rFonts w:cs="Arial"/>
                <w:sz w:val="20"/>
              </w:rPr>
              <w:t>0</w:t>
            </w:r>
          </w:p>
        </w:tc>
        <w:tc>
          <w:tcPr>
            <w:tcW w:w="557" w:type="dxa"/>
            <w:hideMark/>
          </w:tcPr>
          <w:p w14:paraId="7AABC6BD" w14:textId="77777777" w:rsidR="00EC7BBD" w:rsidRDefault="00EC7BBD" w:rsidP="00843AAA">
            <w:pPr>
              <w:pStyle w:val="Tabletext"/>
              <w:rPr>
                <w:rFonts w:cs="Arial"/>
                <w:sz w:val="20"/>
              </w:rPr>
            </w:pPr>
            <w:r>
              <w:rPr>
                <w:rFonts w:cs="Arial"/>
                <w:sz w:val="20"/>
              </w:rPr>
              <w:t>0</w:t>
            </w:r>
          </w:p>
        </w:tc>
        <w:tc>
          <w:tcPr>
            <w:tcW w:w="439" w:type="dxa"/>
            <w:hideMark/>
          </w:tcPr>
          <w:p w14:paraId="2AF427D7" w14:textId="77777777" w:rsidR="00EC7BBD" w:rsidRDefault="00EC7BBD" w:rsidP="00843AAA">
            <w:pPr>
              <w:pStyle w:val="Tabletext"/>
              <w:rPr>
                <w:rFonts w:cs="Arial"/>
                <w:sz w:val="20"/>
              </w:rPr>
            </w:pPr>
            <w:r>
              <w:rPr>
                <w:rFonts w:cs="Arial"/>
                <w:sz w:val="20"/>
              </w:rPr>
              <w:t>3</w:t>
            </w:r>
          </w:p>
        </w:tc>
        <w:tc>
          <w:tcPr>
            <w:tcW w:w="439" w:type="dxa"/>
            <w:hideMark/>
          </w:tcPr>
          <w:p w14:paraId="73A91B39" w14:textId="77777777" w:rsidR="00EC7BBD" w:rsidRDefault="00EC7BBD" w:rsidP="00843AAA">
            <w:pPr>
              <w:pStyle w:val="Tabletext"/>
              <w:rPr>
                <w:rFonts w:cs="Arial"/>
                <w:sz w:val="20"/>
              </w:rPr>
            </w:pPr>
            <w:r>
              <w:rPr>
                <w:rFonts w:cs="Arial"/>
                <w:sz w:val="20"/>
              </w:rPr>
              <w:t>1</w:t>
            </w:r>
          </w:p>
        </w:tc>
        <w:tc>
          <w:tcPr>
            <w:tcW w:w="439" w:type="dxa"/>
            <w:hideMark/>
          </w:tcPr>
          <w:p w14:paraId="39865BC9" w14:textId="77777777" w:rsidR="00EC7BBD" w:rsidRDefault="00EC7BBD" w:rsidP="00843AAA">
            <w:pPr>
              <w:pStyle w:val="Tabletext"/>
              <w:rPr>
                <w:rFonts w:cs="Arial"/>
                <w:sz w:val="20"/>
              </w:rPr>
            </w:pPr>
            <w:r>
              <w:rPr>
                <w:rFonts w:cs="Arial"/>
                <w:sz w:val="20"/>
              </w:rPr>
              <w:t>2</w:t>
            </w:r>
          </w:p>
        </w:tc>
        <w:tc>
          <w:tcPr>
            <w:tcW w:w="526" w:type="dxa"/>
            <w:hideMark/>
          </w:tcPr>
          <w:p w14:paraId="727BEE15" w14:textId="77777777" w:rsidR="00EC7BBD" w:rsidRDefault="00EC7BBD" w:rsidP="00843AAA">
            <w:pPr>
              <w:pStyle w:val="Tabletext"/>
              <w:rPr>
                <w:rFonts w:cs="Arial"/>
                <w:sz w:val="20"/>
              </w:rPr>
            </w:pPr>
            <w:r>
              <w:rPr>
                <w:rFonts w:cs="Arial"/>
                <w:sz w:val="20"/>
              </w:rPr>
              <w:t>1</w:t>
            </w:r>
          </w:p>
        </w:tc>
        <w:tc>
          <w:tcPr>
            <w:tcW w:w="439" w:type="dxa"/>
            <w:hideMark/>
          </w:tcPr>
          <w:p w14:paraId="17698116" w14:textId="77777777" w:rsidR="00EC7BBD" w:rsidRDefault="00EC7BBD" w:rsidP="00843AAA">
            <w:pPr>
              <w:pStyle w:val="Tabletext"/>
              <w:rPr>
                <w:rFonts w:cs="Arial"/>
                <w:sz w:val="20"/>
              </w:rPr>
            </w:pPr>
            <w:r>
              <w:rPr>
                <w:rFonts w:cs="Arial"/>
                <w:sz w:val="20"/>
              </w:rPr>
              <w:t>4</w:t>
            </w:r>
          </w:p>
        </w:tc>
        <w:tc>
          <w:tcPr>
            <w:tcW w:w="439" w:type="dxa"/>
            <w:hideMark/>
          </w:tcPr>
          <w:p w14:paraId="4589DA5F" w14:textId="77777777" w:rsidR="00EC7BBD" w:rsidRDefault="00EC7BBD" w:rsidP="00843AAA">
            <w:pPr>
              <w:pStyle w:val="Tabletext"/>
              <w:rPr>
                <w:rFonts w:cs="Arial"/>
                <w:sz w:val="20"/>
              </w:rPr>
            </w:pPr>
            <w:r>
              <w:rPr>
                <w:rFonts w:cs="Arial"/>
                <w:sz w:val="20"/>
              </w:rPr>
              <w:t>5</w:t>
            </w:r>
          </w:p>
        </w:tc>
        <w:tc>
          <w:tcPr>
            <w:tcW w:w="1248" w:type="dxa"/>
            <w:hideMark/>
          </w:tcPr>
          <w:p w14:paraId="548B3CE3" w14:textId="77777777" w:rsidR="00EC7BBD" w:rsidRDefault="00EC7BBD" w:rsidP="00843AAA">
            <w:pPr>
              <w:pStyle w:val="Tabletext"/>
              <w:rPr>
                <w:rFonts w:cs="Arial"/>
                <w:b/>
                <w:bCs/>
                <w:color w:val="000000"/>
                <w:sz w:val="20"/>
              </w:rPr>
            </w:pPr>
            <w:r>
              <w:rPr>
                <w:rFonts w:cs="Arial"/>
                <w:b/>
                <w:bCs/>
                <w:color w:val="000000"/>
                <w:sz w:val="20"/>
              </w:rPr>
              <w:t>11</w:t>
            </w:r>
          </w:p>
        </w:tc>
      </w:tr>
      <w:tr w:rsidR="00EC7BBD" w14:paraId="415D91BE" w14:textId="77777777" w:rsidTr="007845EA">
        <w:trPr>
          <w:trHeight w:val="525"/>
        </w:trPr>
        <w:tc>
          <w:tcPr>
            <w:tcW w:w="2483" w:type="dxa"/>
            <w:shd w:val="clear" w:color="auto" w:fill="A2BDC1"/>
            <w:hideMark/>
          </w:tcPr>
          <w:p w14:paraId="60AB8444" w14:textId="6BE9C6BE" w:rsidR="00EC7BBD" w:rsidRPr="0052598D" w:rsidRDefault="00843AAA" w:rsidP="00843AAA">
            <w:pPr>
              <w:pStyle w:val="Tabletext"/>
              <w:rPr>
                <w:rFonts w:cs="Arial"/>
                <w:b/>
                <w:bCs/>
                <w:color w:val="000000" w:themeColor="text1"/>
                <w:sz w:val="20"/>
              </w:rPr>
            </w:pPr>
            <w:r w:rsidRPr="0052598D">
              <w:rPr>
                <w:color w:val="000000" w:themeColor="text1"/>
              </w:rPr>
              <w:t>Public health guidelines</w:t>
            </w:r>
            <w:r w:rsidRPr="0052598D">
              <w:rPr>
                <w:rFonts w:cs="Arial"/>
                <w:color w:val="000000" w:themeColor="text1"/>
                <w:sz w:val="20"/>
              </w:rPr>
              <w:t xml:space="preserve"> </w:t>
            </w:r>
          </w:p>
        </w:tc>
        <w:tc>
          <w:tcPr>
            <w:tcW w:w="550" w:type="dxa"/>
            <w:hideMark/>
          </w:tcPr>
          <w:p w14:paraId="2EFE0656" w14:textId="77777777" w:rsidR="00EC7BBD" w:rsidRDefault="00EC7BBD" w:rsidP="00843AAA">
            <w:pPr>
              <w:pStyle w:val="Tabletext"/>
              <w:rPr>
                <w:rFonts w:cs="Arial"/>
                <w:b/>
                <w:bCs/>
                <w:color w:val="000000"/>
                <w:sz w:val="20"/>
              </w:rPr>
            </w:pPr>
            <w:r>
              <w:rPr>
                <w:rFonts w:cs="Arial"/>
                <w:b/>
                <w:bCs/>
                <w:color w:val="000000"/>
                <w:sz w:val="20"/>
              </w:rPr>
              <w:t>3</w:t>
            </w:r>
          </w:p>
        </w:tc>
        <w:tc>
          <w:tcPr>
            <w:tcW w:w="731" w:type="dxa"/>
            <w:hideMark/>
          </w:tcPr>
          <w:p w14:paraId="6245DEB7" w14:textId="77777777" w:rsidR="00EC7BBD" w:rsidRDefault="00EC7BBD" w:rsidP="00843AAA">
            <w:pPr>
              <w:pStyle w:val="Tabletext"/>
              <w:rPr>
                <w:rFonts w:cs="Arial"/>
                <w:b/>
                <w:bCs/>
                <w:color w:val="000000"/>
                <w:sz w:val="20"/>
              </w:rPr>
            </w:pPr>
            <w:r>
              <w:rPr>
                <w:rFonts w:cs="Arial"/>
                <w:b/>
                <w:bCs/>
                <w:color w:val="000000"/>
                <w:sz w:val="20"/>
              </w:rPr>
              <w:t>48</w:t>
            </w:r>
          </w:p>
        </w:tc>
        <w:tc>
          <w:tcPr>
            <w:tcW w:w="439" w:type="dxa"/>
            <w:hideMark/>
          </w:tcPr>
          <w:p w14:paraId="2D7E0BA4" w14:textId="77777777" w:rsidR="00EC7BBD" w:rsidRDefault="00EC7BBD" w:rsidP="00843AAA">
            <w:pPr>
              <w:pStyle w:val="Tabletext"/>
              <w:rPr>
                <w:rFonts w:cs="Arial"/>
                <w:sz w:val="20"/>
              </w:rPr>
            </w:pPr>
            <w:r>
              <w:rPr>
                <w:rFonts w:cs="Arial"/>
                <w:sz w:val="20"/>
              </w:rPr>
              <w:t>0</w:t>
            </w:r>
          </w:p>
        </w:tc>
        <w:tc>
          <w:tcPr>
            <w:tcW w:w="553" w:type="dxa"/>
            <w:hideMark/>
          </w:tcPr>
          <w:p w14:paraId="57916167" w14:textId="77777777" w:rsidR="00EC7BBD" w:rsidRDefault="00EC7BBD" w:rsidP="00843AAA">
            <w:pPr>
              <w:pStyle w:val="Tabletext"/>
              <w:rPr>
                <w:rFonts w:cs="Arial"/>
                <w:sz w:val="20"/>
              </w:rPr>
            </w:pPr>
            <w:r>
              <w:rPr>
                <w:rFonts w:cs="Arial"/>
                <w:sz w:val="20"/>
              </w:rPr>
              <w:t>3</w:t>
            </w:r>
          </w:p>
        </w:tc>
        <w:tc>
          <w:tcPr>
            <w:tcW w:w="435" w:type="dxa"/>
            <w:hideMark/>
          </w:tcPr>
          <w:p w14:paraId="7F52898D" w14:textId="77777777" w:rsidR="00EC7BBD" w:rsidRDefault="00EC7BBD" w:rsidP="00843AAA">
            <w:pPr>
              <w:pStyle w:val="Tabletext"/>
              <w:rPr>
                <w:rFonts w:cs="Arial"/>
                <w:sz w:val="20"/>
              </w:rPr>
            </w:pPr>
            <w:r>
              <w:rPr>
                <w:rFonts w:cs="Arial"/>
                <w:sz w:val="20"/>
              </w:rPr>
              <w:t>0</w:t>
            </w:r>
          </w:p>
        </w:tc>
        <w:tc>
          <w:tcPr>
            <w:tcW w:w="557" w:type="dxa"/>
            <w:hideMark/>
          </w:tcPr>
          <w:p w14:paraId="1C73DDF6" w14:textId="77777777" w:rsidR="00EC7BBD" w:rsidRDefault="00EC7BBD" w:rsidP="00843AAA">
            <w:pPr>
              <w:pStyle w:val="Tabletext"/>
              <w:rPr>
                <w:rFonts w:cs="Arial"/>
                <w:sz w:val="20"/>
              </w:rPr>
            </w:pPr>
            <w:r>
              <w:rPr>
                <w:rFonts w:cs="Arial"/>
                <w:sz w:val="20"/>
              </w:rPr>
              <w:t>1</w:t>
            </w:r>
          </w:p>
        </w:tc>
        <w:tc>
          <w:tcPr>
            <w:tcW w:w="439" w:type="dxa"/>
            <w:hideMark/>
          </w:tcPr>
          <w:p w14:paraId="2416E409" w14:textId="77777777" w:rsidR="00EC7BBD" w:rsidRDefault="00EC7BBD" w:rsidP="00843AAA">
            <w:pPr>
              <w:pStyle w:val="Tabletext"/>
              <w:rPr>
                <w:rFonts w:cs="Arial"/>
                <w:sz w:val="20"/>
              </w:rPr>
            </w:pPr>
            <w:r>
              <w:rPr>
                <w:rFonts w:cs="Arial"/>
                <w:sz w:val="20"/>
              </w:rPr>
              <w:t>2</w:t>
            </w:r>
          </w:p>
        </w:tc>
        <w:tc>
          <w:tcPr>
            <w:tcW w:w="439" w:type="dxa"/>
            <w:hideMark/>
          </w:tcPr>
          <w:p w14:paraId="1D36F38E" w14:textId="77777777" w:rsidR="00EC7BBD" w:rsidRDefault="00EC7BBD" w:rsidP="00843AAA">
            <w:pPr>
              <w:pStyle w:val="Tabletext"/>
              <w:rPr>
                <w:rFonts w:cs="Arial"/>
                <w:sz w:val="20"/>
              </w:rPr>
            </w:pPr>
            <w:r>
              <w:rPr>
                <w:rFonts w:cs="Arial"/>
                <w:sz w:val="20"/>
              </w:rPr>
              <w:t>1</w:t>
            </w:r>
          </w:p>
        </w:tc>
        <w:tc>
          <w:tcPr>
            <w:tcW w:w="439" w:type="dxa"/>
            <w:hideMark/>
          </w:tcPr>
          <w:p w14:paraId="602A5099" w14:textId="77777777" w:rsidR="00EC7BBD" w:rsidRDefault="00EC7BBD" w:rsidP="00843AAA">
            <w:pPr>
              <w:pStyle w:val="Tabletext"/>
              <w:rPr>
                <w:rFonts w:cs="Arial"/>
                <w:sz w:val="20"/>
              </w:rPr>
            </w:pPr>
            <w:r>
              <w:rPr>
                <w:rFonts w:cs="Arial"/>
                <w:sz w:val="20"/>
              </w:rPr>
              <w:t>2</w:t>
            </w:r>
          </w:p>
        </w:tc>
        <w:tc>
          <w:tcPr>
            <w:tcW w:w="526" w:type="dxa"/>
            <w:hideMark/>
          </w:tcPr>
          <w:p w14:paraId="5262D865" w14:textId="77777777" w:rsidR="00EC7BBD" w:rsidRDefault="00EC7BBD" w:rsidP="00843AAA">
            <w:pPr>
              <w:pStyle w:val="Tabletext"/>
              <w:rPr>
                <w:rFonts w:cs="Arial"/>
                <w:sz w:val="20"/>
              </w:rPr>
            </w:pPr>
            <w:r>
              <w:rPr>
                <w:rFonts w:cs="Arial"/>
                <w:sz w:val="20"/>
              </w:rPr>
              <w:t>2</w:t>
            </w:r>
          </w:p>
        </w:tc>
        <w:tc>
          <w:tcPr>
            <w:tcW w:w="439" w:type="dxa"/>
            <w:hideMark/>
          </w:tcPr>
          <w:p w14:paraId="35147A3A" w14:textId="77777777" w:rsidR="00EC7BBD" w:rsidRDefault="00EC7BBD" w:rsidP="00843AAA">
            <w:pPr>
              <w:pStyle w:val="Tabletext"/>
              <w:rPr>
                <w:rFonts w:cs="Arial"/>
                <w:sz w:val="20"/>
              </w:rPr>
            </w:pPr>
            <w:r>
              <w:rPr>
                <w:rFonts w:cs="Arial"/>
                <w:sz w:val="20"/>
              </w:rPr>
              <w:t>2</w:t>
            </w:r>
          </w:p>
        </w:tc>
        <w:tc>
          <w:tcPr>
            <w:tcW w:w="439" w:type="dxa"/>
            <w:hideMark/>
          </w:tcPr>
          <w:p w14:paraId="6DA1CD3F" w14:textId="77777777" w:rsidR="00EC7BBD" w:rsidRDefault="00EC7BBD" w:rsidP="00843AAA">
            <w:pPr>
              <w:pStyle w:val="Tabletext"/>
              <w:rPr>
                <w:rFonts w:cs="Arial"/>
                <w:sz w:val="20"/>
              </w:rPr>
            </w:pPr>
            <w:r>
              <w:rPr>
                <w:rFonts w:cs="Arial"/>
                <w:sz w:val="20"/>
              </w:rPr>
              <w:t>35</w:t>
            </w:r>
          </w:p>
        </w:tc>
        <w:tc>
          <w:tcPr>
            <w:tcW w:w="1248" w:type="dxa"/>
            <w:hideMark/>
          </w:tcPr>
          <w:p w14:paraId="734BE358" w14:textId="77777777" w:rsidR="00EC7BBD" w:rsidRDefault="00EC7BBD" w:rsidP="00843AAA">
            <w:pPr>
              <w:pStyle w:val="Tabletext"/>
              <w:rPr>
                <w:rFonts w:cs="Arial"/>
                <w:b/>
                <w:bCs/>
                <w:color w:val="000000"/>
                <w:sz w:val="20"/>
              </w:rPr>
            </w:pPr>
            <w:r>
              <w:rPr>
                <w:rFonts w:cs="Arial"/>
                <w:b/>
                <w:bCs/>
                <w:color w:val="000000"/>
                <w:sz w:val="20"/>
              </w:rPr>
              <w:t>3</w:t>
            </w:r>
          </w:p>
        </w:tc>
      </w:tr>
      <w:tr w:rsidR="00EC7BBD" w14:paraId="7FA45E37" w14:textId="77777777" w:rsidTr="007845EA">
        <w:trPr>
          <w:trHeight w:val="330"/>
        </w:trPr>
        <w:tc>
          <w:tcPr>
            <w:tcW w:w="2483" w:type="dxa"/>
            <w:shd w:val="clear" w:color="auto" w:fill="A2BDC1"/>
            <w:hideMark/>
          </w:tcPr>
          <w:p w14:paraId="3DACF9B8" w14:textId="6BBD3D84" w:rsidR="00EC7BBD" w:rsidRPr="0052598D" w:rsidRDefault="00843AAA" w:rsidP="00843AAA">
            <w:pPr>
              <w:pStyle w:val="Tabletext"/>
              <w:rPr>
                <w:rFonts w:cs="Arial"/>
                <w:b/>
                <w:bCs/>
                <w:color w:val="000000" w:themeColor="text1"/>
                <w:sz w:val="20"/>
              </w:rPr>
            </w:pPr>
            <w:r w:rsidRPr="0052598D">
              <w:rPr>
                <w:color w:val="000000" w:themeColor="text1"/>
              </w:rPr>
              <w:t>Antimicrobial prescribing guidelines</w:t>
            </w:r>
            <w:r w:rsidRPr="0052598D">
              <w:rPr>
                <w:rFonts w:cs="Arial"/>
                <w:color w:val="000000" w:themeColor="text1"/>
                <w:sz w:val="20"/>
              </w:rPr>
              <w:t xml:space="preserve"> </w:t>
            </w:r>
          </w:p>
        </w:tc>
        <w:tc>
          <w:tcPr>
            <w:tcW w:w="550" w:type="dxa"/>
            <w:hideMark/>
          </w:tcPr>
          <w:p w14:paraId="2FF4DD90" w14:textId="77777777" w:rsidR="00EC7BBD" w:rsidRDefault="00EC7BBD" w:rsidP="00843AAA">
            <w:pPr>
              <w:pStyle w:val="Tabletext"/>
              <w:rPr>
                <w:rFonts w:cs="Arial"/>
                <w:b/>
                <w:bCs/>
                <w:color w:val="000000"/>
                <w:sz w:val="20"/>
              </w:rPr>
            </w:pPr>
            <w:r>
              <w:rPr>
                <w:rFonts w:cs="Arial"/>
                <w:b/>
                <w:bCs/>
                <w:color w:val="000000"/>
                <w:sz w:val="20"/>
              </w:rPr>
              <w:t>8</w:t>
            </w:r>
          </w:p>
        </w:tc>
        <w:tc>
          <w:tcPr>
            <w:tcW w:w="731" w:type="dxa"/>
            <w:hideMark/>
          </w:tcPr>
          <w:p w14:paraId="5FE4AF5B" w14:textId="77777777" w:rsidR="00EC7BBD" w:rsidRDefault="00EC7BBD" w:rsidP="00843AAA">
            <w:pPr>
              <w:pStyle w:val="Tabletext"/>
              <w:rPr>
                <w:rFonts w:cs="Arial"/>
                <w:b/>
                <w:bCs/>
                <w:color w:val="000000"/>
                <w:sz w:val="20"/>
              </w:rPr>
            </w:pPr>
            <w:r>
              <w:rPr>
                <w:rFonts w:cs="Arial"/>
                <w:b/>
                <w:bCs/>
                <w:color w:val="000000"/>
                <w:sz w:val="20"/>
              </w:rPr>
              <w:t>24</w:t>
            </w:r>
          </w:p>
        </w:tc>
        <w:tc>
          <w:tcPr>
            <w:tcW w:w="439" w:type="dxa"/>
            <w:hideMark/>
          </w:tcPr>
          <w:p w14:paraId="6328324A" w14:textId="77777777" w:rsidR="00EC7BBD" w:rsidRDefault="00EC7BBD" w:rsidP="00843AAA">
            <w:pPr>
              <w:pStyle w:val="Tabletext"/>
              <w:rPr>
                <w:rFonts w:cs="Arial"/>
                <w:sz w:val="20"/>
              </w:rPr>
            </w:pPr>
            <w:r>
              <w:rPr>
                <w:rFonts w:cs="Arial"/>
                <w:sz w:val="20"/>
              </w:rPr>
              <w:t>8</w:t>
            </w:r>
          </w:p>
        </w:tc>
        <w:tc>
          <w:tcPr>
            <w:tcW w:w="553" w:type="dxa"/>
            <w:hideMark/>
          </w:tcPr>
          <w:p w14:paraId="181E20DE" w14:textId="77777777" w:rsidR="00EC7BBD" w:rsidRDefault="00EC7BBD" w:rsidP="00843AAA">
            <w:pPr>
              <w:pStyle w:val="Tabletext"/>
              <w:rPr>
                <w:rFonts w:cs="Arial"/>
                <w:sz w:val="20"/>
              </w:rPr>
            </w:pPr>
            <w:r>
              <w:rPr>
                <w:rFonts w:cs="Arial"/>
                <w:sz w:val="20"/>
              </w:rPr>
              <w:t>8</w:t>
            </w:r>
          </w:p>
        </w:tc>
        <w:tc>
          <w:tcPr>
            <w:tcW w:w="435" w:type="dxa"/>
            <w:hideMark/>
          </w:tcPr>
          <w:p w14:paraId="56DFB246" w14:textId="77777777" w:rsidR="00EC7BBD" w:rsidRDefault="00EC7BBD" w:rsidP="00843AAA">
            <w:pPr>
              <w:pStyle w:val="Tabletext"/>
              <w:rPr>
                <w:rFonts w:cs="Arial"/>
                <w:sz w:val="20"/>
              </w:rPr>
            </w:pPr>
            <w:r>
              <w:rPr>
                <w:rFonts w:cs="Arial"/>
                <w:sz w:val="20"/>
              </w:rPr>
              <w:t>0</w:t>
            </w:r>
          </w:p>
        </w:tc>
        <w:tc>
          <w:tcPr>
            <w:tcW w:w="557" w:type="dxa"/>
            <w:hideMark/>
          </w:tcPr>
          <w:p w14:paraId="5EC70829" w14:textId="77777777" w:rsidR="00EC7BBD" w:rsidRDefault="00EC7BBD" w:rsidP="00843AAA">
            <w:pPr>
              <w:pStyle w:val="Tabletext"/>
              <w:rPr>
                <w:rFonts w:cs="Arial"/>
                <w:sz w:val="20"/>
              </w:rPr>
            </w:pPr>
            <w:r>
              <w:rPr>
                <w:rFonts w:cs="Arial"/>
                <w:sz w:val="20"/>
              </w:rPr>
              <w:t>8</w:t>
            </w:r>
          </w:p>
        </w:tc>
        <w:tc>
          <w:tcPr>
            <w:tcW w:w="439" w:type="dxa"/>
            <w:hideMark/>
          </w:tcPr>
          <w:p w14:paraId="1490F9D8" w14:textId="77777777" w:rsidR="00EC7BBD" w:rsidRDefault="00EC7BBD" w:rsidP="00843AAA">
            <w:pPr>
              <w:pStyle w:val="Tabletext"/>
              <w:rPr>
                <w:rFonts w:cs="Arial"/>
                <w:sz w:val="20"/>
              </w:rPr>
            </w:pPr>
            <w:r>
              <w:rPr>
                <w:rFonts w:cs="Arial"/>
                <w:sz w:val="20"/>
              </w:rPr>
              <w:t>0</w:t>
            </w:r>
          </w:p>
        </w:tc>
        <w:tc>
          <w:tcPr>
            <w:tcW w:w="439" w:type="dxa"/>
            <w:hideMark/>
          </w:tcPr>
          <w:p w14:paraId="18CD8AFE" w14:textId="77777777" w:rsidR="00EC7BBD" w:rsidRDefault="00EC7BBD" w:rsidP="00843AAA">
            <w:pPr>
              <w:pStyle w:val="Tabletext"/>
              <w:rPr>
                <w:rFonts w:cs="Arial"/>
                <w:sz w:val="20"/>
              </w:rPr>
            </w:pPr>
            <w:r>
              <w:rPr>
                <w:rFonts w:cs="Arial"/>
                <w:sz w:val="20"/>
              </w:rPr>
              <w:t>0</w:t>
            </w:r>
          </w:p>
        </w:tc>
        <w:tc>
          <w:tcPr>
            <w:tcW w:w="439" w:type="dxa"/>
            <w:hideMark/>
          </w:tcPr>
          <w:p w14:paraId="2059FC9B" w14:textId="77777777" w:rsidR="00EC7BBD" w:rsidRDefault="00EC7BBD" w:rsidP="00843AAA">
            <w:pPr>
              <w:pStyle w:val="Tabletext"/>
              <w:rPr>
                <w:rFonts w:cs="Arial"/>
                <w:sz w:val="20"/>
              </w:rPr>
            </w:pPr>
            <w:r>
              <w:rPr>
                <w:rFonts w:cs="Arial"/>
                <w:sz w:val="20"/>
              </w:rPr>
              <w:t>0</w:t>
            </w:r>
          </w:p>
        </w:tc>
        <w:tc>
          <w:tcPr>
            <w:tcW w:w="526" w:type="dxa"/>
            <w:hideMark/>
          </w:tcPr>
          <w:p w14:paraId="373C80FA" w14:textId="77777777" w:rsidR="00EC7BBD" w:rsidRDefault="00EC7BBD" w:rsidP="00843AAA">
            <w:pPr>
              <w:pStyle w:val="Tabletext"/>
              <w:rPr>
                <w:rFonts w:cs="Arial"/>
                <w:sz w:val="20"/>
              </w:rPr>
            </w:pPr>
            <w:r>
              <w:rPr>
                <w:rFonts w:cs="Arial"/>
                <w:sz w:val="20"/>
              </w:rPr>
              <w:t>0</w:t>
            </w:r>
          </w:p>
        </w:tc>
        <w:tc>
          <w:tcPr>
            <w:tcW w:w="439" w:type="dxa"/>
            <w:hideMark/>
          </w:tcPr>
          <w:p w14:paraId="272CD947" w14:textId="77777777" w:rsidR="00EC7BBD" w:rsidRDefault="00EC7BBD" w:rsidP="00843AAA">
            <w:pPr>
              <w:pStyle w:val="Tabletext"/>
              <w:rPr>
                <w:rFonts w:cs="Arial"/>
                <w:sz w:val="20"/>
              </w:rPr>
            </w:pPr>
            <w:r>
              <w:rPr>
                <w:rFonts w:cs="Arial"/>
                <w:sz w:val="20"/>
              </w:rPr>
              <w:t>0</w:t>
            </w:r>
          </w:p>
        </w:tc>
        <w:tc>
          <w:tcPr>
            <w:tcW w:w="439" w:type="dxa"/>
            <w:hideMark/>
          </w:tcPr>
          <w:p w14:paraId="7E984631" w14:textId="77777777" w:rsidR="00EC7BBD" w:rsidRDefault="00EC7BBD" w:rsidP="00843AAA">
            <w:pPr>
              <w:pStyle w:val="Tabletext"/>
              <w:rPr>
                <w:rFonts w:cs="Arial"/>
                <w:sz w:val="20"/>
              </w:rPr>
            </w:pPr>
            <w:r>
              <w:rPr>
                <w:rFonts w:cs="Arial"/>
                <w:sz w:val="20"/>
              </w:rPr>
              <w:t>0</w:t>
            </w:r>
          </w:p>
        </w:tc>
        <w:tc>
          <w:tcPr>
            <w:tcW w:w="1248" w:type="dxa"/>
            <w:hideMark/>
          </w:tcPr>
          <w:p w14:paraId="32C9B7FE" w14:textId="77777777" w:rsidR="00EC7BBD" w:rsidRDefault="00EC7BBD" w:rsidP="00843AAA">
            <w:pPr>
              <w:pStyle w:val="Tabletext"/>
              <w:rPr>
                <w:rFonts w:cs="Arial"/>
                <w:b/>
                <w:bCs/>
                <w:color w:val="000000"/>
                <w:sz w:val="20"/>
              </w:rPr>
            </w:pPr>
            <w:r>
              <w:rPr>
                <w:rFonts w:cs="Arial"/>
                <w:b/>
                <w:bCs/>
                <w:color w:val="000000"/>
                <w:sz w:val="20"/>
              </w:rPr>
              <w:t>8</w:t>
            </w:r>
          </w:p>
        </w:tc>
      </w:tr>
      <w:tr w:rsidR="00EC7BBD" w14:paraId="55B93825" w14:textId="77777777" w:rsidTr="007845EA">
        <w:trPr>
          <w:trHeight w:val="525"/>
        </w:trPr>
        <w:tc>
          <w:tcPr>
            <w:tcW w:w="2483" w:type="dxa"/>
            <w:shd w:val="clear" w:color="auto" w:fill="A2BDC1"/>
            <w:hideMark/>
          </w:tcPr>
          <w:p w14:paraId="5FBF671A" w14:textId="14293339" w:rsidR="00EC7BBD" w:rsidRPr="0052598D" w:rsidRDefault="00843AAA" w:rsidP="00843AAA">
            <w:pPr>
              <w:pStyle w:val="Tabletext"/>
              <w:rPr>
                <w:rFonts w:cs="Arial"/>
                <w:b/>
                <w:bCs/>
                <w:color w:val="000000" w:themeColor="text1"/>
                <w:sz w:val="20"/>
              </w:rPr>
            </w:pPr>
            <w:r w:rsidRPr="0052598D">
              <w:rPr>
                <w:color w:val="000000" w:themeColor="text1"/>
              </w:rPr>
              <w:t>Quality standards</w:t>
            </w:r>
            <w:r w:rsidRPr="0052598D">
              <w:rPr>
                <w:rFonts w:cs="Arial"/>
                <w:color w:val="000000" w:themeColor="text1"/>
                <w:sz w:val="20"/>
              </w:rPr>
              <w:t xml:space="preserve"> </w:t>
            </w:r>
          </w:p>
        </w:tc>
        <w:tc>
          <w:tcPr>
            <w:tcW w:w="550" w:type="dxa"/>
            <w:hideMark/>
          </w:tcPr>
          <w:p w14:paraId="4CE34BDA" w14:textId="77777777" w:rsidR="00EC7BBD" w:rsidRDefault="00EC7BBD" w:rsidP="00843AAA">
            <w:pPr>
              <w:pStyle w:val="Tabletext"/>
              <w:rPr>
                <w:rFonts w:cs="Arial"/>
                <w:b/>
                <w:bCs/>
                <w:color w:val="000000"/>
                <w:sz w:val="20"/>
              </w:rPr>
            </w:pPr>
            <w:r>
              <w:rPr>
                <w:rFonts w:cs="Arial"/>
                <w:b/>
                <w:bCs/>
                <w:color w:val="000000"/>
                <w:sz w:val="20"/>
              </w:rPr>
              <w:t>17</w:t>
            </w:r>
          </w:p>
        </w:tc>
        <w:tc>
          <w:tcPr>
            <w:tcW w:w="731" w:type="dxa"/>
            <w:hideMark/>
          </w:tcPr>
          <w:p w14:paraId="46E1CA41" w14:textId="77777777" w:rsidR="00EC7BBD" w:rsidRDefault="00EC7BBD" w:rsidP="00843AAA">
            <w:pPr>
              <w:pStyle w:val="Tabletext"/>
              <w:rPr>
                <w:rFonts w:cs="Arial"/>
                <w:b/>
                <w:bCs/>
                <w:color w:val="000000"/>
                <w:sz w:val="20"/>
              </w:rPr>
            </w:pPr>
            <w:r>
              <w:rPr>
                <w:rFonts w:cs="Arial"/>
                <w:b/>
                <w:bCs/>
                <w:color w:val="000000"/>
                <w:sz w:val="20"/>
              </w:rPr>
              <w:t>73</w:t>
            </w:r>
          </w:p>
        </w:tc>
        <w:tc>
          <w:tcPr>
            <w:tcW w:w="439" w:type="dxa"/>
            <w:hideMark/>
          </w:tcPr>
          <w:p w14:paraId="5F18F435" w14:textId="77777777" w:rsidR="00EC7BBD" w:rsidRDefault="00EC7BBD" w:rsidP="00843AAA">
            <w:pPr>
              <w:pStyle w:val="Tabletext"/>
              <w:rPr>
                <w:rFonts w:cs="Arial"/>
                <w:sz w:val="20"/>
              </w:rPr>
            </w:pPr>
            <w:r>
              <w:rPr>
                <w:rFonts w:cs="Arial"/>
                <w:sz w:val="20"/>
              </w:rPr>
              <w:t>21</w:t>
            </w:r>
          </w:p>
        </w:tc>
        <w:tc>
          <w:tcPr>
            <w:tcW w:w="553" w:type="dxa"/>
            <w:hideMark/>
          </w:tcPr>
          <w:p w14:paraId="5B5D71DD" w14:textId="77777777" w:rsidR="00EC7BBD" w:rsidRDefault="00EC7BBD" w:rsidP="00843AAA">
            <w:pPr>
              <w:pStyle w:val="Tabletext"/>
              <w:rPr>
                <w:rFonts w:cs="Arial"/>
                <w:sz w:val="20"/>
              </w:rPr>
            </w:pPr>
            <w:r>
              <w:rPr>
                <w:rFonts w:cs="Arial"/>
                <w:sz w:val="20"/>
              </w:rPr>
              <w:t>14</w:t>
            </w:r>
          </w:p>
        </w:tc>
        <w:tc>
          <w:tcPr>
            <w:tcW w:w="435" w:type="dxa"/>
            <w:hideMark/>
          </w:tcPr>
          <w:p w14:paraId="2AE6189B" w14:textId="77777777" w:rsidR="00EC7BBD" w:rsidRDefault="00EC7BBD" w:rsidP="00843AAA">
            <w:pPr>
              <w:pStyle w:val="Tabletext"/>
              <w:rPr>
                <w:rFonts w:cs="Arial"/>
                <w:sz w:val="20"/>
              </w:rPr>
            </w:pPr>
            <w:r>
              <w:rPr>
                <w:rFonts w:cs="Arial"/>
                <w:sz w:val="20"/>
              </w:rPr>
              <w:t>2</w:t>
            </w:r>
          </w:p>
        </w:tc>
        <w:tc>
          <w:tcPr>
            <w:tcW w:w="557" w:type="dxa"/>
            <w:hideMark/>
          </w:tcPr>
          <w:p w14:paraId="584ACCAC" w14:textId="77777777" w:rsidR="00EC7BBD" w:rsidRDefault="00EC7BBD" w:rsidP="00843AAA">
            <w:pPr>
              <w:pStyle w:val="Tabletext"/>
              <w:rPr>
                <w:rFonts w:cs="Arial"/>
                <w:sz w:val="20"/>
              </w:rPr>
            </w:pPr>
            <w:r>
              <w:rPr>
                <w:rFonts w:cs="Arial"/>
                <w:sz w:val="20"/>
              </w:rPr>
              <w:t>2</w:t>
            </w:r>
          </w:p>
        </w:tc>
        <w:tc>
          <w:tcPr>
            <w:tcW w:w="439" w:type="dxa"/>
            <w:hideMark/>
          </w:tcPr>
          <w:p w14:paraId="489ABE92" w14:textId="77777777" w:rsidR="00EC7BBD" w:rsidRDefault="00EC7BBD" w:rsidP="00843AAA">
            <w:pPr>
              <w:pStyle w:val="Tabletext"/>
              <w:rPr>
                <w:rFonts w:cs="Arial"/>
                <w:sz w:val="20"/>
              </w:rPr>
            </w:pPr>
            <w:r>
              <w:rPr>
                <w:rFonts w:cs="Arial"/>
                <w:sz w:val="20"/>
              </w:rPr>
              <w:t>7</w:t>
            </w:r>
          </w:p>
        </w:tc>
        <w:tc>
          <w:tcPr>
            <w:tcW w:w="439" w:type="dxa"/>
            <w:hideMark/>
          </w:tcPr>
          <w:p w14:paraId="738DC9F1" w14:textId="77777777" w:rsidR="00EC7BBD" w:rsidRDefault="00EC7BBD" w:rsidP="00843AAA">
            <w:pPr>
              <w:pStyle w:val="Tabletext"/>
              <w:rPr>
                <w:rFonts w:cs="Arial"/>
                <w:sz w:val="20"/>
              </w:rPr>
            </w:pPr>
            <w:r>
              <w:rPr>
                <w:rFonts w:cs="Arial"/>
                <w:sz w:val="20"/>
              </w:rPr>
              <w:t>4</w:t>
            </w:r>
          </w:p>
        </w:tc>
        <w:tc>
          <w:tcPr>
            <w:tcW w:w="439" w:type="dxa"/>
            <w:hideMark/>
          </w:tcPr>
          <w:p w14:paraId="218919C4" w14:textId="77777777" w:rsidR="00EC7BBD" w:rsidRDefault="00EC7BBD" w:rsidP="00843AAA">
            <w:pPr>
              <w:pStyle w:val="Tabletext"/>
              <w:rPr>
                <w:rFonts w:cs="Arial"/>
                <w:sz w:val="20"/>
              </w:rPr>
            </w:pPr>
            <w:r>
              <w:rPr>
                <w:rFonts w:cs="Arial"/>
                <w:sz w:val="20"/>
              </w:rPr>
              <w:t>3</w:t>
            </w:r>
          </w:p>
        </w:tc>
        <w:tc>
          <w:tcPr>
            <w:tcW w:w="526" w:type="dxa"/>
            <w:hideMark/>
          </w:tcPr>
          <w:p w14:paraId="23AE2762" w14:textId="77777777" w:rsidR="00EC7BBD" w:rsidRDefault="00EC7BBD" w:rsidP="00843AAA">
            <w:pPr>
              <w:pStyle w:val="Tabletext"/>
              <w:rPr>
                <w:rFonts w:cs="Arial"/>
                <w:sz w:val="20"/>
              </w:rPr>
            </w:pPr>
            <w:r>
              <w:rPr>
                <w:rFonts w:cs="Arial"/>
                <w:sz w:val="20"/>
              </w:rPr>
              <w:t>2</w:t>
            </w:r>
          </w:p>
        </w:tc>
        <w:tc>
          <w:tcPr>
            <w:tcW w:w="439" w:type="dxa"/>
            <w:hideMark/>
          </w:tcPr>
          <w:p w14:paraId="6B299066" w14:textId="77777777" w:rsidR="00EC7BBD" w:rsidRDefault="00EC7BBD" w:rsidP="00843AAA">
            <w:pPr>
              <w:pStyle w:val="Tabletext"/>
              <w:rPr>
                <w:rFonts w:cs="Arial"/>
                <w:sz w:val="20"/>
              </w:rPr>
            </w:pPr>
            <w:r>
              <w:rPr>
                <w:rFonts w:cs="Arial"/>
                <w:sz w:val="20"/>
              </w:rPr>
              <w:t>3</w:t>
            </w:r>
          </w:p>
        </w:tc>
        <w:tc>
          <w:tcPr>
            <w:tcW w:w="439" w:type="dxa"/>
            <w:hideMark/>
          </w:tcPr>
          <w:p w14:paraId="349582EE" w14:textId="77777777" w:rsidR="00EC7BBD" w:rsidRDefault="00EC7BBD" w:rsidP="00843AAA">
            <w:pPr>
              <w:pStyle w:val="Tabletext"/>
              <w:rPr>
                <w:rFonts w:cs="Arial"/>
                <w:sz w:val="20"/>
              </w:rPr>
            </w:pPr>
            <w:r>
              <w:rPr>
                <w:rFonts w:cs="Arial"/>
                <w:sz w:val="20"/>
              </w:rPr>
              <w:t>15</w:t>
            </w:r>
          </w:p>
        </w:tc>
        <w:tc>
          <w:tcPr>
            <w:tcW w:w="1248" w:type="dxa"/>
            <w:hideMark/>
          </w:tcPr>
          <w:p w14:paraId="66CCB143" w14:textId="77777777" w:rsidR="00EC7BBD" w:rsidRDefault="00EC7BBD" w:rsidP="00843AAA">
            <w:pPr>
              <w:pStyle w:val="Tabletext"/>
              <w:rPr>
                <w:rFonts w:cs="Arial"/>
                <w:b/>
                <w:bCs/>
                <w:color w:val="000000"/>
                <w:sz w:val="20"/>
              </w:rPr>
            </w:pPr>
            <w:r>
              <w:rPr>
                <w:rFonts w:cs="Arial"/>
                <w:b/>
                <w:bCs/>
                <w:color w:val="000000"/>
                <w:sz w:val="20"/>
              </w:rPr>
              <w:t>55</w:t>
            </w:r>
          </w:p>
        </w:tc>
      </w:tr>
      <w:tr w:rsidR="00EC7BBD" w14:paraId="228A1410" w14:textId="77777777" w:rsidTr="007845EA">
        <w:trPr>
          <w:trHeight w:val="525"/>
        </w:trPr>
        <w:tc>
          <w:tcPr>
            <w:tcW w:w="2483" w:type="dxa"/>
            <w:shd w:val="clear" w:color="auto" w:fill="A2BDC1"/>
            <w:hideMark/>
          </w:tcPr>
          <w:p w14:paraId="3DABD75B" w14:textId="3FE9E9A6" w:rsidR="00EC7BBD" w:rsidRPr="0052598D" w:rsidRDefault="00843AAA" w:rsidP="00843AAA">
            <w:pPr>
              <w:pStyle w:val="Tabletext"/>
              <w:rPr>
                <w:rFonts w:cs="Arial"/>
                <w:b/>
                <w:bCs/>
                <w:color w:val="000000" w:themeColor="text1"/>
                <w:sz w:val="20"/>
              </w:rPr>
            </w:pPr>
            <w:r w:rsidRPr="0052598D">
              <w:rPr>
                <w:color w:val="000000" w:themeColor="text1"/>
              </w:rPr>
              <w:t>Indicator set</w:t>
            </w:r>
            <w:r w:rsidRPr="0052598D">
              <w:rPr>
                <w:rFonts w:cs="Arial"/>
                <w:color w:val="000000" w:themeColor="text1"/>
                <w:sz w:val="20"/>
              </w:rPr>
              <w:t xml:space="preserve"> </w:t>
            </w:r>
          </w:p>
        </w:tc>
        <w:tc>
          <w:tcPr>
            <w:tcW w:w="550" w:type="dxa"/>
            <w:hideMark/>
          </w:tcPr>
          <w:p w14:paraId="047197D4" w14:textId="77777777" w:rsidR="00EC7BBD" w:rsidRDefault="00EC7BBD" w:rsidP="00843AAA">
            <w:pPr>
              <w:pStyle w:val="Tabletext"/>
              <w:rPr>
                <w:rFonts w:cs="Arial"/>
                <w:b/>
                <w:bCs/>
                <w:color w:val="000000"/>
                <w:sz w:val="20"/>
              </w:rPr>
            </w:pPr>
            <w:r>
              <w:rPr>
                <w:rFonts w:cs="Arial"/>
                <w:b/>
                <w:bCs/>
                <w:color w:val="000000"/>
                <w:sz w:val="20"/>
              </w:rPr>
              <w:t>9</w:t>
            </w:r>
          </w:p>
        </w:tc>
        <w:tc>
          <w:tcPr>
            <w:tcW w:w="731" w:type="dxa"/>
            <w:hideMark/>
          </w:tcPr>
          <w:p w14:paraId="14DA445C" w14:textId="77777777" w:rsidR="00EC7BBD" w:rsidRDefault="00EC7BBD" w:rsidP="00843AAA">
            <w:pPr>
              <w:pStyle w:val="Tabletext"/>
              <w:rPr>
                <w:rFonts w:cs="Arial"/>
                <w:b/>
                <w:bCs/>
                <w:color w:val="000000"/>
                <w:sz w:val="20"/>
              </w:rPr>
            </w:pPr>
            <w:r>
              <w:rPr>
                <w:rFonts w:cs="Arial"/>
                <w:b/>
                <w:bCs/>
                <w:color w:val="000000"/>
                <w:sz w:val="20"/>
              </w:rPr>
              <w:t>10</w:t>
            </w:r>
          </w:p>
        </w:tc>
        <w:tc>
          <w:tcPr>
            <w:tcW w:w="439" w:type="dxa"/>
            <w:hideMark/>
          </w:tcPr>
          <w:p w14:paraId="147D3492" w14:textId="77777777" w:rsidR="00EC7BBD" w:rsidRDefault="00EC7BBD" w:rsidP="00843AAA">
            <w:pPr>
              <w:pStyle w:val="Tabletext"/>
              <w:rPr>
                <w:rFonts w:cs="Arial"/>
                <w:sz w:val="20"/>
              </w:rPr>
            </w:pPr>
            <w:r>
              <w:rPr>
                <w:rFonts w:cs="Arial"/>
                <w:sz w:val="20"/>
              </w:rPr>
              <w:t>3</w:t>
            </w:r>
          </w:p>
        </w:tc>
        <w:tc>
          <w:tcPr>
            <w:tcW w:w="553" w:type="dxa"/>
            <w:hideMark/>
          </w:tcPr>
          <w:p w14:paraId="225692E4" w14:textId="77777777" w:rsidR="00EC7BBD" w:rsidRDefault="00EC7BBD" w:rsidP="00843AAA">
            <w:pPr>
              <w:pStyle w:val="Tabletext"/>
              <w:rPr>
                <w:rFonts w:cs="Arial"/>
                <w:sz w:val="20"/>
              </w:rPr>
            </w:pPr>
            <w:r>
              <w:rPr>
                <w:rFonts w:cs="Arial"/>
                <w:sz w:val="20"/>
              </w:rPr>
              <w:t>3</w:t>
            </w:r>
          </w:p>
        </w:tc>
        <w:tc>
          <w:tcPr>
            <w:tcW w:w="435" w:type="dxa"/>
            <w:hideMark/>
          </w:tcPr>
          <w:p w14:paraId="6E4E041A" w14:textId="77777777" w:rsidR="00EC7BBD" w:rsidRDefault="00EC7BBD" w:rsidP="00843AAA">
            <w:pPr>
              <w:pStyle w:val="Tabletext"/>
              <w:rPr>
                <w:rFonts w:cs="Arial"/>
                <w:sz w:val="20"/>
              </w:rPr>
            </w:pPr>
            <w:r>
              <w:rPr>
                <w:rFonts w:cs="Arial"/>
                <w:sz w:val="20"/>
              </w:rPr>
              <w:t>0</w:t>
            </w:r>
          </w:p>
        </w:tc>
        <w:tc>
          <w:tcPr>
            <w:tcW w:w="557" w:type="dxa"/>
            <w:hideMark/>
          </w:tcPr>
          <w:p w14:paraId="42003A07" w14:textId="77777777" w:rsidR="00EC7BBD" w:rsidRDefault="00EC7BBD" w:rsidP="00843AAA">
            <w:pPr>
              <w:pStyle w:val="Tabletext"/>
              <w:rPr>
                <w:rFonts w:cs="Arial"/>
                <w:sz w:val="20"/>
              </w:rPr>
            </w:pPr>
            <w:r>
              <w:rPr>
                <w:rFonts w:cs="Arial"/>
                <w:sz w:val="20"/>
              </w:rPr>
              <w:t>0</w:t>
            </w:r>
          </w:p>
        </w:tc>
        <w:tc>
          <w:tcPr>
            <w:tcW w:w="439" w:type="dxa"/>
            <w:hideMark/>
          </w:tcPr>
          <w:p w14:paraId="1DBEFDA1" w14:textId="77777777" w:rsidR="00EC7BBD" w:rsidRDefault="00EC7BBD" w:rsidP="00843AAA">
            <w:pPr>
              <w:pStyle w:val="Tabletext"/>
              <w:rPr>
                <w:rFonts w:cs="Arial"/>
                <w:sz w:val="20"/>
              </w:rPr>
            </w:pPr>
            <w:r>
              <w:rPr>
                <w:rFonts w:cs="Arial"/>
                <w:sz w:val="20"/>
              </w:rPr>
              <w:t>3</w:t>
            </w:r>
          </w:p>
        </w:tc>
        <w:tc>
          <w:tcPr>
            <w:tcW w:w="439" w:type="dxa"/>
            <w:hideMark/>
          </w:tcPr>
          <w:p w14:paraId="4314D039" w14:textId="77777777" w:rsidR="00EC7BBD" w:rsidRDefault="00EC7BBD" w:rsidP="00843AAA">
            <w:pPr>
              <w:pStyle w:val="Tabletext"/>
              <w:rPr>
                <w:rFonts w:cs="Arial"/>
                <w:sz w:val="20"/>
              </w:rPr>
            </w:pPr>
            <w:r>
              <w:rPr>
                <w:rFonts w:cs="Arial"/>
                <w:sz w:val="20"/>
              </w:rPr>
              <w:t>0</w:t>
            </w:r>
          </w:p>
        </w:tc>
        <w:tc>
          <w:tcPr>
            <w:tcW w:w="439" w:type="dxa"/>
            <w:hideMark/>
          </w:tcPr>
          <w:p w14:paraId="1084E02B" w14:textId="77777777" w:rsidR="00EC7BBD" w:rsidRDefault="00EC7BBD" w:rsidP="00843AAA">
            <w:pPr>
              <w:pStyle w:val="Tabletext"/>
              <w:rPr>
                <w:rFonts w:cs="Arial"/>
                <w:sz w:val="20"/>
              </w:rPr>
            </w:pPr>
            <w:r>
              <w:rPr>
                <w:rFonts w:cs="Arial"/>
                <w:sz w:val="20"/>
              </w:rPr>
              <w:t>0</w:t>
            </w:r>
          </w:p>
        </w:tc>
        <w:tc>
          <w:tcPr>
            <w:tcW w:w="526" w:type="dxa"/>
            <w:hideMark/>
          </w:tcPr>
          <w:p w14:paraId="549893B5" w14:textId="77777777" w:rsidR="00EC7BBD" w:rsidRDefault="00EC7BBD" w:rsidP="00843AAA">
            <w:pPr>
              <w:pStyle w:val="Tabletext"/>
              <w:rPr>
                <w:rFonts w:cs="Arial"/>
                <w:sz w:val="20"/>
              </w:rPr>
            </w:pPr>
            <w:r>
              <w:rPr>
                <w:rFonts w:cs="Arial"/>
                <w:sz w:val="20"/>
              </w:rPr>
              <w:t>0</w:t>
            </w:r>
          </w:p>
        </w:tc>
        <w:tc>
          <w:tcPr>
            <w:tcW w:w="439" w:type="dxa"/>
            <w:hideMark/>
          </w:tcPr>
          <w:p w14:paraId="7C676888" w14:textId="77777777" w:rsidR="00EC7BBD" w:rsidRDefault="00EC7BBD" w:rsidP="00843AAA">
            <w:pPr>
              <w:pStyle w:val="Tabletext"/>
              <w:rPr>
                <w:rFonts w:cs="Arial"/>
                <w:sz w:val="20"/>
              </w:rPr>
            </w:pPr>
            <w:r>
              <w:rPr>
                <w:rFonts w:cs="Arial"/>
                <w:sz w:val="20"/>
              </w:rPr>
              <w:t>1</w:t>
            </w:r>
          </w:p>
        </w:tc>
        <w:tc>
          <w:tcPr>
            <w:tcW w:w="439" w:type="dxa"/>
            <w:hideMark/>
          </w:tcPr>
          <w:p w14:paraId="26222B2F" w14:textId="77777777" w:rsidR="00EC7BBD" w:rsidRDefault="00EC7BBD" w:rsidP="00843AAA">
            <w:pPr>
              <w:pStyle w:val="Tabletext"/>
              <w:rPr>
                <w:rFonts w:cs="Arial"/>
                <w:sz w:val="20"/>
              </w:rPr>
            </w:pPr>
            <w:r>
              <w:rPr>
                <w:rFonts w:cs="Arial"/>
                <w:sz w:val="20"/>
              </w:rPr>
              <w:t>0</w:t>
            </w:r>
          </w:p>
        </w:tc>
        <w:tc>
          <w:tcPr>
            <w:tcW w:w="1248" w:type="dxa"/>
            <w:hideMark/>
          </w:tcPr>
          <w:p w14:paraId="07DF74A2" w14:textId="77777777" w:rsidR="00EC7BBD" w:rsidRDefault="00EC7BBD" w:rsidP="00843AAA">
            <w:pPr>
              <w:pStyle w:val="Tabletext"/>
              <w:rPr>
                <w:rFonts w:cs="Arial"/>
                <w:b/>
                <w:bCs/>
                <w:color w:val="000000"/>
                <w:sz w:val="20"/>
              </w:rPr>
            </w:pPr>
            <w:r>
              <w:rPr>
                <w:rFonts w:cs="Arial"/>
                <w:b/>
                <w:bCs/>
                <w:color w:val="000000"/>
                <w:sz w:val="20"/>
              </w:rPr>
              <w:t>0</w:t>
            </w:r>
          </w:p>
        </w:tc>
      </w:tr>
      <w:tr w:rsidR="00EC7BBD" w14:paraId="40C0DC64" w14:textId="77777777" w:rsidTr="007845EA">
        <w:trPr>
          <w:trHeight w:val="525"/>
        </w:trPr>
        <w:tc>
          <w:tcPr>
            <w:tcW w:w="2483" w:type="dxa"/>
            <w:shd w:val="clear" w:color="auto" w:fill="A2BDC1"/>
            <w:hideMark/>
          </w:tcPr>
          <w:p w14:paraId="26307FE8" w14:textId="77777777" w:rsidR="00EC7BBD" w:rsidRPr="0052598D" w:rsidRDefault="00EC7BBD" w:rsidP="00843AAA">
            <w:pPr>
              <w:pStyle w:val="Tabletext"/>
              <w:rPr>
                <w:rFonts w:cs="Arial"/>
                <w:b/>
                <w:bCs/>
                <w:color w:val="000000" w:themeColor="text1"/>
                <w:sz w:val="20"/>
              </w:rPr>
            </w:pPr>
            <w:r w:rsidRPr="0052598D">
              <w:rPr>
                <w:rFonts w:cs="Arial"/>
                <w:color w:val="000000" w:themeColor="text1"/>
                <w:sz w:val="20"/>
              </w:rPr>
              <w:t>Total</w:t>
            </w:r>
          </w:p>
        </w:tc>
        <w:tc>
          <w:tcPr>
            <w:tcW w:w="550" w:type="dxa"/>
            <w:hideMark/>
          </w:tcPr>
          <w:p w14:paraId="2DA7B5CF" w14:textId="77777777" w:rsidR="00EC7BBD" w:rsidRDefault="00EC7BBD" w:rsidP="00843AAA">
            <w:pPr>
              <w:pStyle w:val="Tabletext"/>
              <w:rPr>
                <w:rFonts w:cs="Arial"/>
                <w:b/>
                <w:bCs/>
                <w:color w:val="000000"/>
                <w:sz w:val="20"/>
              </w:rPr>
            </w:pPr>
            <w:r>
              <w:rPr>
                <w:rFonts w:cs="Arial"/>
                <w:b/>
                <w:bCs/>
                <w:color w:val="000000"/>
                <w:sz w:val="20"/>
              </w:rPr>
              <w:t>157</w:t>
            </w:r>
          </w:p>
        </w:tc>
        <w:tc>
          <w:tcPr>
            <w:tcW w:w="731" w:type="dxa"/>
            <w:hideMark/>
          </w:tcPr>
          <w:p w14:paraId="15F68777" w14:textId="77777777" w:rsidR="00EC7BBD" w:rsidRDefault="00EC7BBD" w:rsidP="00843AAA">
            <w:pPr>
              <w:pStyle w:val="Tabletext"/>
              <w:rPr>
                <w:rFonts w:cs="Arial"/>
                <w:b/>
                <w:bCs/>
                <w:color w:val="000000"/>
                <w:sz w:val="20"/>
              </w:rPr>
            </w:pPr>
            <w:r>
              <w:rPr>
                <w:rFonts w:cs="Arial"/>
                <w:b/>
                <w:bCs/>
                <w:color w:val="000000"/>
                <w:sz w:val="20"/>
              </w:rPr>
              <w:t>430</w:t>
            </w:r>
          </w:p>
        </w:tc>
        <w:tc>
          <w:tcPr>
            <w:tcW w:w="439" w:type="dxa"/>
            <w:hideMark/>
          </w:tcPr>
          <w:p w14:paraId="2DB79BBA" w14:textId="77777777" w:rsidR="00EC7BBD" w:rsidRDefault="00EC7BBD" w:rsidP="00843AAA">
            <w:pPr>
              <w:pStyle w:val="Tabletext"/>
              <w:rPr>
                <w:rFonts w:cs="Arial"/>
                <w:b/>
                <w:bCs/>
                <w:color w:val="000000"/>
                <w:sz w:val="20"/>
              </w:rPr>
            </w:pPr>
            <w:r>
              <w:rPr>
                <w:rFonts w:cs="Arial"/>
                <w:b/>
                <w:bCs/>
                <w:color w:val="000000"/>
                <w:sz w:val="20"/>
              </w:rPr>
              <w:t>87</w:t>
            </w:r>
          </w:p>
        </w:tc>
        <w:tc>
          <w:tcPr>
            <w:tcW w:w="553" w:type="dxa"/>
            <w:hideMark/>
          </w:tcPr>
          <w:p w14:paraId="77DDEA96" w14:textId="77777777" w:rsidR="00EC7BBD" w:rsidRDefault="00EC7BBD" w:rsidP="00843AAA">
            <w:pPr>
              <w:pStyle w:val="Tabletext"/>
              <w:rPr>
                <w:rFonts w:cs="Arial"/>
                <w:b/>
                <w:bCs/>
                <w:color w:val="000000"/>
                <w:sz w:val="20"/>
              </w:rPr>
            </w:pPr>
            <w:r>
              <w:rPr>
                <w:rFonts w:cs="Arial"/>
                <w:b/>
                <w:bCs/>
                <w:color w:val="000000"/>
                <w:sz w:val="20"/>
              </w:rPr>
              <w:t>97</w:t>
            </w:r>
          </w:p>
        </w:tc>
        <w:tc>
          <w:tcPr>
            <w:tcW w:w="435" w:type="dxa"/>
            <w:hideMark/>
          </w:tcPr>
          <w:p w14:paraId="177D694A" w14:textId="77777777" w:rsidR="00EC7BBD" w:rsidRDefault="00EC7BBD" w:rsidP="00843AAA">
            <w:pPr>
              <w:pStyle w:val="Tabletext"/>
              <w:rPr>
                <w:rFonts w:cs="Arial"/>
                <w:b/>
                <w:bCs/>
                <w:color w:val="000000"/>
                <w:sz w:val="20"/>
              </w:rPr>
            </w:pPr>
            <w:r>
              <w:rPr>
                <w:rFonts w:cs="Arial"/>
                <w:b/>
                <w:bCs/>
                <w:color w:val="000000"/>
                <w:sz w:val="20"/>
              </w:rPr>
              <w:t>5</w:t>
            </w:r>
          </w:p>
        </w:tc>
        <w:tc>
          <w:tcPr>
            <w:tcW w:w="557" w:type="dxa"/>
            <w:hideMark/>
          </w:tcPr>
          <w:p w14:paraId="413D0BD5" w14:textId="77777777" w:rsidR="00EC7BBD" w:rsidRDefault="00EC7BBD" w:rsidP="00843AAA">
            <w:pPr>
              <w:pStyle w:val="Tabletext"/>
              <w:rPr>
                <w:rFonts w:cs="Arial"/>
                <w:b/>
                <w:bCs/>
                <w:color w:val="000000"/>
                <w:sz w:val="20"/>
              </w:rPr>
            </w:pPr>
            <w:r>
              <w:rPr>
                <w:rFonts w:cs="Arial"/>
                <w:b/>
                <w:bCs/>
                <w:color w:val="000000"/>
                <w:sz w:val="20"/>
              </w:rPr>
              <w:t>21</w:t>
            </w:r>
          </w:p>
        </w:tc>
        <w:tc>
          <w:tcPr>
            <w:tcW w:w="439" w:type="dxa"/>
            <w:hideMark/>
          </w:tcPr>
          <w:p w14:paraId="5DFBBCF3" w14:textId="77777777" w:rsidR="00EC7BBD" w:rsidRDefault="00EC7BBD" w:rsidP="00843AAA">
            <w:pPr>
              <w:pStyle w:val="Tabletext"/>
              <w:rPr>
                <w:rFonts w:cs="Arial"/>
                <w:b/>
                <w:bCs/>
                <w:color w:val="000000"/>
                <w:sz w:val="20"/>
              </w:rPr>
            </w:pPr>
            <w:r>
              <w:rPr>
                <w:rFonts w:cs="Arial"/>
                <w:b/>
                <w:bCs/>
                <w:color w:val="000000"/>
                <w:sz w:val="20"/>
              </w:rPr>
              <w:t>52</w:t>
            </w:r>
          </w:p>
        </w:tc>
        <w:tc>
          <w:tcPr>
            <w:tcW w:w="439" w:type="dxa"/>
            <w:hideMark/>
          </w:tcPr>
          <w:p w14:paraId="1D8C9690" w14:textId="77777777" w:rsidR="00EC7BBD" w:rsidRDefault="00EC7BBD" w:rsidP="00843AAA">
            <w:pPr>
              <w:pStyle w:val="Tabletext"/>
              <w:rPr>
                <w:rFonts w:cs="Arial"/>
                <w:b/>
                <w:bCs/>
                <w:color w:val="000000"/>
                <w:sz w:val="20"/>
              </w:rPr>
            </w:pPr>
            <w:r>
              <w:rPr>
                <w:rFonts w:cs="Arial"/>
                <w:b/>
                <w:bCs/>
                <w:color w:val="000000"/>
                <w:sz w:val="20"/>
              </w:rPr>
              <w:t>16</w:t>
            </w:r>
          </w:p>
        </w:tc>
        <w:tc>
          <w:tcPr>
            <w:tcW w:w="439" w:type="dxa"/>
            <w:hideMark/>
          </w:tcPr>
          <w:p w14:paraId="3578D573" w14:textId="77777777" w:rsidR="00EC7BBD" w:rsidRDefault="00EC7BBD" w:rsidP="00843AAA">
            <w:pPr>
              <w:pStyle w:val="Tabletext"/>
              <w:rPr>
                <w:rFonts w:cs="Arial"/>
                <w:b/>
                <w:bCs/>
                <w:color w:val="000000"/>
                <w:sz w:val="20"/>
              </w:rPr>
            </w:pPr>
            <w:r>
              <w:rPr>
                <w:rFonts w:cs="Arial"/>
                <w:b/>
                <w:bCs/>
                <w:color w:val="000000"/>
                <w:sz w:val="20"/>
              </w:rPr>
              <w:t>35</w:t>
            </w:r>
          </w:p>
        </w:tc>
        <w:tc>
          <w:tcPr>
            <w:tcW w:w="526" w:type="dxa"/>
            <w:hideMark/>
          </w:tcPr>
          <w:p w14:paraId="77A16D06" w14:textId="77777777" w:rsidR="00EC7BBD" w:rsidRDefault="00EC7BBD" w:rsidP="00843AAA">
            <w:pPr>
              <w:pStyle w:val="Tabletext"/>
              <w:rPr>
                <w:rFonts w:cs="Arial"/>
                <w:b/>
                <w:bCs/>
                <w:color w:val="000000"/>
                <w:sz w:val="20"/>
              </w:rPr>
            </w:pPr>
            <w:r>
              <w:rPr>
                <w:rFonts w:cs="Arial"/>
                <w:b/>
                <w:bCs/>
                <w:color w:val="000000"/>
                <w:sz w:val="20"/>
              </w:rPr>
              <w:t>6</w:t>
            </w:r>
          </w:p>
        </w:tc>
        <w:tc>
          <w:tcPr>
            <w:tcW w:w="439" w:type="dxa"/>
            <w:hideMark/>
          </w:tcPr>
          <w:p w14:paraId="06E06DA1" w14:textId="77777777" w:rsidR="00EC7BBD" w:rsidRDefault="00EC7BBD" w:rsidP="00843AAA">
            <w:pPr>
              <w:pStyle w:val="Tabletext"/>
              <w:rPr>
                <w:rFonts w:cs="Arial"/>
                <w:b/>
                <w:bCs/>
                <w:color w:val="000000"/>
                <w:sz w:val="20"/>
              </w:rPr>
            </w:pPr>
            <w:r>
              <w:rPr>
                <w:rFonts w:cs="Arial"/>
                <w:b/>
                <w:bCs/>
                <w:color w:val="000000"/>
                <w:sz w:val="20"/>
              </w:rPr>
              <w:t>22</w:t>
            </w:r>
          </w:p>
        </w:tc>
        <w:tc>
          <w:tcPr>
            <w:tcW w:w="439" w:type="dxa"/>
            <w:hideMark/>
          </w:tcPr>
          <w:p w14:paraId="6ADA6312" w14:textId="77777777" w:rsidR="00EC7BBD" w:rsidRDefault="00EC7BBD" w:rsidP="00843AAA">
            <w:pPr>
              <w:pStyle w:val="Tabletext"/>
              <w:rPr>
                <w:rFonts w:cs="Arial"/>
                <w:b/>
                <w:bCs/>
                <w:color w:val="000000"/>
                <w:sz w:val="20"/>
              </w:rPr>
            </w:pPr>
            <w:r>
              <w:rPr>
                <w:rFonts w:cs="Arial"/>
                <w:b/>
                <w:bCs/>
                <w:color w:val="000000"/>
                <w:sz w:val="20"/>
              </w:rPr>
              <w:t>89</w:t>
            </w:r>
          </w:p>
        </w:tc>
        <w:tc>
          <w:tcPr>
            <w:tcW w:w="1248" w:type="dxa"/>
            <w:hideMark/>
          </w:tcPr>
          <w:p w14:paraId="5717A279" w14:textId="77777777" w:rsidR="00EC7BBD" w:rsidRDefault="00EC7BBD" w:rsidP="00843AAA">
            <w:pPr>
              <w:pStyle w:val="Tabletext"/>
              <w:rPr>
                <w:rFonts w:cs="Arial"/>
                <w:b/>
                <w:bCs/>
                <w:color w:val="000000"/>
                <w:sz w:val="20"/>
              </w:rPr>
            </w:pPr>
            <w:r>
              <w:rPr>
                <w:rFonts w:cs="Arial"/>
                <w:b/>
                <w:bCs/>
                <w:color w:val="000000"/>
                <w:sz w:val="20"/>
              </w:rPr>
              <w:t>155</w:t>
            </w:r>
          </w:p>
        </w:tc>
      </w:tr>
    </w:tbl>
    <w:p w14:paraId="0445B8B1" w14:textId="02D86D42" w:rsidR="008B11C5" w:rsidRDefault="008B11C5" w:rsidP="00BB3D11"/>
    <w:p w14:paraId="736F1D45" w14:textId="70413701" w:rsidR="00F946F8" w:rsidRDefault="00AB06E8" w:rsidP="00C51B05">
      <w:pPr>
        <w:pStyle w:val="Paragraph"/>
        <w:rPr>
          <w:color w:val="000000" w:themeColor="text1"/>
        </w:rPr>
      </w:pPr>
      <w:r w:rsidRPr="00CB6EF0">
        <w:rPr>
          <w:color w:val="000000" w:themeColor="text1"/>
        </w:rPr>
        <w:t xml:space="preserve">Table </w:t>
      </w:r>
      <w:r w:rsidR="00BF5A98" w:rsidRPr="00CB6EF0">
        <w:rPr>
          <w:color w:val="000000" w:themeColor="text1"/>
        </w:rPr>
        <w:t>7</w:t>
      </w:r>
      <w:r w:rsidRPr="00CB6EF0">
        <w:rPr>
          <w:color w:val="000000" w:themeColor="text1"/>
        </w:rPr>
        <w:t xml:space="preserve"> summarises </w:t>
      </w:r>
      <w:r w:rsidR="00020D42" w:rsidRPr="00CB6EF0">
        <w:rPr>
          <w:color w:val="000000" w:themeColor="text1"/>
        </w:rPr>
        <w:t xml:space="preserve">the potential </w:t>
      </w:r>
      <w:r w:rsidRPr="00CB6EF0">
        <w:rPr>
          <w:color w:val="000000" w:themeColor="text1"/>
        </w:rPr>
        <w:t xml:space="preserve">equality issues identified and their impact on recommendations by protected and other </w:t>
      </w:r>
      <w:proofErr w:type="gramStart"/>
      <w:r w:rsidRPr="00CB6EF0">
        <w:rPr>
          <w:color w:val="000000" w:themeColor="text1"/>
        </w:rPr>
        <w:t>characteristics, and</w:t>
      </w:r>
      <w:proofErr w:type="gramEnd"/>
      <w:r w:rsidRPr="00CB6EF0">
        <w:rPr>
          <w:color w:val="000000" w:themeColor="text1"/>
        </w:rPr>
        <w:t xml:space="preserve"> compares this year with previous years. </w:t>
      </w:r>
    </w:p>
    <w:p w14:paraId="10E80D30" w14:textId="77777777" w:rsidR="00F946F8" w:rsidRDefault="00F946F8">
      <w:pPr>
        <w:rPr>
          <w:rFonts w:ascii="Arial" w:hAnsi="Arial"/>
          <w:color w:val="000000" w:themeColor="text1"/>
          <w14:scene3d>
            <w14:camera w14:prst="orthographicFront"/>
            <w14:lightRig w14:rig="threePt" w14:dir="t">
              <w14:rot w14:lat="0" w14:lon="0" w14:rev="0"/>
            </w14:lightRig>
          </w14:scene3d>
        </w:rPr>
      </w:pPr>
      <w:r>
        <w:rPr>
          <w:color w:val="000000" w:themeColor="text1"/>
        </w:rPr>
        <w:br w:type="page"/>
      </w:r>
    </w:p>
    <w:p w14:paraId="35E37718" w14:textId="78F24520" w:rsidR="00EA7EE0" w:rsidRPr="007F28F6" w:rsidRDefault="00AB06E8" w:rsidP="00654786">
      <w:pPr>
        <w:pStyle w:val="Tableandgraphheading"/>
      </w:pPr>
      <w:r w:rsidRPr="00E23AB3">
        <w:lastRenderedPageBreak/>
        <w:t xml:space="preserve">Table </w:t>
      </w:r>
      <w:r w:rsidR="00BF5A98" w:rsidRPr="00E23AB3">
        <w:t>7</w:t>
      </w:r>
      <w:r w:rsidR="005965D1" w:rsidRPr="00E23AB3">
        <w:t>:</w:t>
      </w:r>
      <w:r w:rsidRPr="00E23AB3">
        <w:t xml:space="preserve"> Impact on </w:t>
      </w:r>
      <w:r w:rsidRPr="00CB6EF0">
        <w:t>recommendations</w:t>
      </w:r>
      <w:r w:rsidRPr="00E23AB3">
        <w:t xml:space="preserve"> by protected and </w:t>
      </w:r>
      <w:proofErr w:type="gramStart"/>
      <w:r w:rsidRPr="00E23AB3">
        <w:t>other</w:t>
      </w:r>
      <w:proofErr w:type="gramEnd"/>
      <w:r w:rsidRPr="00E23AB3">
        <w:t xml:space="preserve"> characteristic</w:t>
      </w:r>
    </w:p>
    <w:tbl>
      <w:tblPr>
        <w:tblStyle w:val="TableGrid"/>
        <w:tblW w:w="9493" w:type="dxa"/>
        <w:tblLayout w:type="fixed"/>
        <w:tblLook w:val="04A0" w:firstRow="1" w:lastRow="0" w:firstColumn="1" w:lastColumn="0" w:noHBand="0" w:noVBand="1"/>
      </w:tblPr>
      <w:tblGrid>
        <w:gridCol w:w="1555"/>
        <w:gridCol w:w="992"/>
        <w:gridCol w:w="992"/>
        <w:gridCol w:w="989"/>
        <w:gridCol w:w="996"/>
        <w:gridCol w:w="992"/>
        <w:gridCol w:w="992"/>
        <w:gridCol w:w="992"/>
        <w:gridCol w:w="993"/>
      </w:tblGrid>
      <w:tr w:rsidR="00532C6E" w14:paraId="5FFB5764" w14:textId="77777777" w:rsidTr="0021091F">
        <w:trPr>
          <w:trHeight w:val="780"/>
        </w:trPr>
        <w:tc>
          <w:tcPr>
            <w:tcW w:w="1555" w:type="dxa"/>
            <w:shd w:val="clear" w:color="auto" w:fill="A2BDC1"/>
            <w:hideMark/>
          </w:tcPr>
          <w:p w14:paraId="0FF27490" w14:textId="77777777" w:rsidR="00482451" w:rsidRPr="007845EA" w:rsidRDefault="00482451">
            <w:pPr>
              <w:jc w:val="center"/>
              <w:rPr>
                <w:rFonts w:ascii="Arial" w:hAnsi="Arial" w:cs="Arial"/>
                <w:b/>
                <w:bCs/>
                <w:color w:val="000000" w:themeColor="text1"/>
                <w:sz w:val="20"/>
                <w:szCs w:val="20"/>
              </w:rPr>
            </w:pPr>
            <w:bookmarkStart w:id="3" w:name="_Hlk17279628"/>
            <w:r w:rsidRPr="007845EA">
              <w:rPr>
                <w:rFonts w:ascii="Arial" w:hAnsi="Arial" w:cs="Arial"/>
                <w:b/>
                <w:bCs/>
                <w:color w:val="000000" w:themeColor="text1"/>
                <w:sz w:val="20"/>
                <w:szCs w:val="20"/>
              </w:rPr>
              <w:t>Protected characteristic</w:t>
            </w:r>
          </w:p>
        </w:tc>
        <w:tc>
          <w:tcPr>
            <w:tcW w:w="992" w:type="dxa"/>
            <w:shd w:val="clear" w:color="auto" w:fill="A2BDC1"/>
            <w:hideMark/>
          </w:tcPr>
          <w:p w14:paraId="1BA7801A" w14:textId="77777777" w:rsidR="00482451"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Number &amp; % of equality issues found</w:t>
            </w:r>
          </w:p>
          <w:p w14:paraId="35B17BAB" w14:textId="11FF9E81" w:rsidR="007B03CB" w:rsidRPr="007845EA" w:rsidRDefault="007B03CB">
            <w:pPr>
              <w:jc w:val="center"/>
              <w:rPr>
                <w:rFonts w:ascii="Arial" w:hAnsi="Arial" w:cs="Arial"/>
                <w:b/>
                <w:bCs/>
                <w:color w:val="000000" w:themeColor="text1"/>
                <w:sz w:val="20"/>
                <w:szCs w:val="20"/>
              </w:rPr>
            </w:pPr>
            <w:r>
              <w:rPr>
                <w:rFonts w:ascii="Arial" w:hAnsi="Arial" w:cs="Arial"/>
                <w:b/>
                <w:bCs/>
                <w:color w:val="000000" w:themeColor="text1"/>
                <w:sz w:val="20"/>
                <w:szCs w:val="20"/>
              </w:rPr>
              <w:t>2015/16</w:t>
            </w:r>
          </w:p>
        </w:tc>
        <w:tc>
          <w:tcPr>
            <w:tcW w:w="992" w:type="dxa"/>
            <w:shd w:val="clear" w:color="auto" w:fill="A2BDC1"/>
          </w:tcPr>
          <w:p w14:paraId="7608C5F3" w14:textId="77777777" w:rsidR="00482451"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Number &amp; % of equality issues found</w:t>
            </w:r>
          </w:p>
          <w:p w14:paraId="60B0BF93" w14:textId="238851DC" w:rsidR="007B03CB" w:rsidRPr="007845EA" w:rsidRDefault="007B03CB">
            <w:pPr>
              <w:jc w:val="center"/>
              <w:rPr>
                <w:rFonts w:ascii="Arial" w:hAnsi="Arial" w:cs="Arial"/>
                <w:b/>
                <w:bCs/>
                <w:color w:val="000000" w:themeColor="text1"/>
                <w:sz w:val="20"/>
                <w:szCs w:val="20"/>
              </w:rPr>
            </w:pPr>
            <w:r>
              <w:rPr>
                <w:rFonts w:ascii="Arial" w:hAnsi="Arial" w:cs="Arial"/>
                <w:b/>
                <w:bCs/>
                <w:color w:val="000000" w:themeColor="text1"/>
                <w:sz w:val="20"/>
                <w:szCs w:val="20"/>
              </w:rPr>
              <w:t>2016/17</w:t>
            </w:r>
          </w:p>
        </w:tc>
        <w:tc>
          <w:tcPr>
            <w:tcW w:w="989" w:type="dxa"/>
            <w:tcBorders>
              <w:right w:val="single" w:sz="4" w:space="0" w:color="000000" w:themeColor="text1"/>
            </w:tcBorders>
            <w:shd w:val="clear" w:color="auto" w:fill="A2BDC1"/>
          </w:tcPr>
          <w:p w14:paraId="3E50CB8B" w14:textId="77777777" w:rsidR="00482451"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Number &amp; % of equality issues found</w:t>
            </w:r>
          </w:p>
          <w:p w14:paraId="77B25E2A" w14:textId="60118989" w:rsidR="007B03CB" w:rsidRPr="007845EA" w:rsidRDefault="007B03CB">
            <w:pPr>
              <w:jc w:val="center"/>
              <w:rPr>
                <w:rFonts w:ascii="Arial" w:hAnsi="Arial" w:cs="Arial"/>
                <w:b/>
                <w:bCs/>
                <w:color w:val="000000" w:themeColor="text1"/>
                <w:sz w:val="20"/>
                <w:szCs w:val="20"/>
              </w:rPr>
            </w:pPr>
            <w:r>
              <w:rPr>
                <w:rFonts w:ascii="Arial" w:hAnsi="Arial" w:cs="Arial"/>
                <w:b/>
                <w:bCs/>
                <w:color w:val="000000" w:themeColor="text1"/>
                <w:sz w:val="20"/>
                <w:szCs w:val="20"/>
              </w:rPr>
              <w:t>2017/18</w:t>
            </w:r>
          </w:p>
        </w:tc>
        <w:tc>
          <w:tcPr>
            <w:tcW w:w="99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2BDC1"/>
          </w:tcPr>
          <w:p w14:paraId="03BBE784" w14:textId="77777777" w:rsidR="00482451"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Number &amp; % of equality issues found</w:t>
            </w:r>
          </w:p>
          <w:p w14:paraId="10D36EEA" w14:textId="363505B8" w:rsidR="007B03CB" w:rsidRPr="007845EA" w:rsidRDefault="007B03CB">
            <w:pPr>
              <w:jc w:val="center"/>
              <w:rPr>
                <w:rFonts w:ascii="Arial" w:hAnsi="Arial" w:cs="Arial"/>
                <w:b/>
                <w:bCs/>
                <w:color w:val="000000" w:themeColor="text1"/>
                <w:sz w:val="20"/>
                <w:szCs w:val="20"/>
              </w:rPr>
            </w:pPr>
            <w:r>
              <w:rPr>
                <w:rFonts w:ascii="Arial" w:hAnsi="Arial" w:cs="Arial"/>
                <w:b/>
                <w:bCs/>
                <w:color w:val="000000" w:themeColor="text1"/>
                <w:sz w:val="20"/>
                <w:szCs w:val="20"/>
              </w:rPr>
              <w:t>2018/19</w:t>
            </w:r>
          </w:p>
        </w:tc>
        <w:tc>
          <w:tcPr>
            <w:tcW w:w="992" w:type="dxa"/>
            <w:tcBorders>
              <w:left w:val="single" w:sz="18" w:space="0" w:color="000000" w:themeColor="text1"/>
            </w:tcBorders>
            <w:shd w:val="clear" w:color="auto" w:fill="A2BDC1"/>
          </w:tcPr>
          <w:p w14:paraId="5E6E00F6" w14:textId="77777777" w:rsidR="00482451" w:rsidRPr="007845EA"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Number</w:t>
            </w:r>
          </w:p>
          <w:p w14:paraId="770B017A" w14:textId="77777777" w:rsidR="00482451" w:rsidRPr="007845EA"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&amp; % of</w:t>
            </w:r>
          </w:p>
          <w:p w14:paraId="440E1E51" w14:textId="148F1DFC" w:rsidR="00482451" w:rsidRPr="007845EA"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issues</w:t>
            </w:r>
          </w:p>
          <w:p w14:paraId="6BEA5FCB" w14:textId="77777777" w:rsidR="00482451" w:rsidRPr="007845EA"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with</w:t>
            </w:r>
          </w:p>
          <w:p w14:paraId="6541F600" w14:textId="77777777" w:rsidR="00482451" w:rsidRDefault="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impact on recs</w:t>
            </w:r>
          </w:p>
          <w:p w14:paraId="1A52D203" w14:textId="2B26EE40" w:rsidR="007B03CB" w:rsidRPr="007845EA" w:rsidRDefault="007B03CB">
            <w:pPr>
              <w:jc w:val="center"/>
              <w:rPr>
                <w:rFonts w:ascii="Arial" w:hAnsi="Arial" w:cs="Arial"/>
                <w:b/>
                <w:bCs/>
                <w:color w:val="000000" w:themeColor="text1"/>
                <w:sz w:val="20"/>
                <w:szCs w:val="20"/>
              </w:rPr>
            </w:pPr>
            <w:r>
              <w:rPr>
                <w:rFonts w:ascii="Arial" w:hAnsi="Arial" w:cs="Arial"/>
                <w:b/>
                <w:bCs/>
                <w:color w:val="000000" w:themeColor="text1"/>
                <w:sz w:val="20"/>
                <w:szCs w:val="20"/>
              </w:rPr>
              <w:t>2015/16</w:t>
            </w:r>
          </w:p>
        </w:tc>
        <w:tc>
          <w:tcPr>
            <w:tcW w:w="992" w:type="dxa"/>
            <w:shd w:val="clear" w:color="auto" w:fill="A2BDC1"/>
          </w:tcPr>
          <w:p w14:paraId="193B1606"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Number</w:t>
            </w:r>
          </w:p>
          <w:p w14:paraId="0AC8B28F"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&amp; % of</w:t>
            </w:r>
          </w:p>
          <w:p w14:paraId="5076CB46"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issues</w:t>
            </w:r>
          </w:p>
          <w:p w14:paraId="78612686"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with</w:t>
            </w:r>
          </w:p>
          <w:p w14:paraId="587F9C0D" w14:textId="77777777" w:rsidR="00482451"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impact on recs</w:t>
            </w:r>
          </w:p>
          <w:p w14:paraId="764F901B" w14:textId="110D420E" w:rsidR="007F28F6" w:rsidRPr="007845EA" w:rsidRDefault="007F28F6" w:rsidP="00482451">
            <w:pPr>
              <w:jc w:val="center"/>
              <w:rPr>
                <w:rFonts w:ascii="Arial" w:hAnsi="Arial" w:cs="Arial"/>
                <w:b/>
                <w:bCs/>
                <w:color w:val="000000" w:themeColor="text1"/>
                <w:sz w:val="20"/>
                <w:szCs w:val="20"/>
              </w:rPr>
            </w:pPr>
            <w:r>
              <w:rPr>
                <w:rFonts w:ascii="Arial" w:hAnsi="Arial" w:cs="Arial"/>
                <w:b/>
                <w:bCs/>
                <w:color w:val="000000" w:themeColor="text1"/>
                <w:sz w:val="20"/>
                <w:szCs w:val="20"/>
              </w:rPr>
              <w:t>2016/17</w:t>
            </w:r>
          </w:p>
        </w:tc>
        <w:tc>
          <w:tcPr>
            <w:tcW w:w="992" w:type="dxa"/>
            <w:shd w:val="clear" w:color="auto" w:fill="A2BDC1"/>
          </w:tcPr>
          <w:p w14:paraId="65931E89"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Number</w:t>
            </w:r>
          </w:p>
          <w:p w14:paraId="58076295"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&amp; % of</w:t>
            </w:r>
          </w:p>
          <w:p w14:paraId="2E5DCECA"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issues</w:t>
            </w:r>
          </w:p>
          <w:p w14:paraId="5FD2DAFF"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with</w:t>
            </w:r>
          </w:p>
          <w:p w14:paraId="0D82CD43" w14:textId="77777777" w:rsidR="00482451"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impact on recs</w:t>
            </w:r>
          </w:p>
          <w:p w14:paraId="655865E6" w14:textId="7BD722AC" w:rsidR="007F28F6" w:rsidRPr="007845EA" w:rsidRDefault="007F28F6" w:rsidP="00482451">
            <w:pPr>
              <w:jc w:val="center"/>
              <w:rPr>
                <w:rFonts w:ascii="Arial" w:hAnsi="Arial" w:cs="Arial"/>
                <w:b/>
                <w:bCs/>
                <w:color w:val="000000" w:themeColor="text1"/>
                <w:sz w:val="20"/>
                <w:szCs w:val="20"/>
              </w:rPr>
            </w:pPr>
            <w:r>
              <w:rPr>
                <w:rFonts w:ascii="Arial" w:hAnsi="Arial" w:cs="Arial"/>
                <w:b/>
                <w:bCs/>
                <w:color w:val="000000" w:themeColor="text1"/>
                <w:sz w:val="20"/>
                <w:szCs w:val="20"/>
              </w:rPr>
              <w:t>2017/18</w:t>
            </w:r>
          </w:p>
        </w:tc>
        <w:tc>
          <w:tcPr>
            <w:tcW w:w="993" w:type="dxa"/>
            <w:shd w:val="clear" w:color="auto" w:fill="A2BDC1"/>
          </w:tcPr>
          <w:p w14:paraId="096DE82F"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Number</w:t>
            </w:r>
          </w:p>
          <w:p w14:paraId="58711AEE"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&amp; % of</w:t>
            </w:r>
          </w:p>
          <w:p w14:paraId="0622FDB9"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issues</w:t>
            </w:r>
          </w:p>
          <w:p w14:paraId="076C4CD8" w14:textId="77777777" w:rsidR="00482451" w:rsidRPr="007845EA"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with</w:t>
            </w:r>
          </w:p>
          <w:p w14:paraId="28E6C334" w14:textId="77777777" w:rsidR="00482451" w:rsidRDefault="00482451" w:rsidP="00482451">
            <w:pPr>
              <w:jc w:val="center"/>
              <w:rPr>
                <w:rFonts w:ascii="Arial" w:hAnsi="Arial" w:cs="Arial"/>
                <w:b/>
                <w:bCs/>
                <w:color w:val="000000" w:themeColor="text1"/>
                <w:sz w:val="20"/>
                <w:szCs w:val="20"/>
              </w:rPr>
            </w:pPr>
            <w:r w:rsidRPr="007845EA">
              <w:rPr>
                <w:rFonts w:ascii="Arial" w:hAnsi="Arial" w:cs="Arial"/>
                <w:b/>
                <w:bCs/>
                <w:color w:val="000000" w:themeColor="text1"/>
                <w:sz w:val="20"/>
                <w:szCs w:val="20"/>
              </w:rPr>
              <w:t>impact on recs</w:t>
            </w:r>
          </w:p>
          <w:p w14:paraId="212693A8" w14:textId="3A37C935" w:rsidR="007F28F6" w:rsidRPr="007845EA" w:rsidRDefault="007F28F6" w:rsidP="00482451">
            <w:pPr>
              <w:jc w:val="center"/>
              <w:rPr>
                <w:rFonts w:ascii="Arial" w:hAnsi="Arial" w:cs="Arial"/>
                <w:b/>
                <w:bCs/>
                <w:color w:val="000000" w:themeColor="text1"/>
                <w:sz w:val="20"/>
                <w:szCs w:val="20"/>
              </w:rPr>
            </w:pPr>
            <w:r>
              <w:rPr>
                <w:rFonts w:ascii="Arial" w:hAnsi="Arial" w:cs="Arial"/>
                <w:b/>
                <w:bCs/>
                <w:color w:val="000000" w:themeColor="text1"/>
                <w:sz w:val="20"/>
                <w:szCs w:val="20"/>
              </w:rPr>
              <w:t>2018/19</w:t>
            </w:r>
          </w:p>
        </w:tc>
      </w:tr>
      <w:bookmarkEnd w:id="3"/>
      <w:tr w:rsidR="00EC2253" w14:paraId="33CD526B" w14:textId="77777777" w:rsidTr="0021091F">
        <w:trPr>
          <w:trHeight w:val="330"/>
        </w:trPr>
        <w:tc>
          <w:tcPr>
            <w:tcW w:w="1555" w:type="dxa"/>
            <w:shd w:val="clear" w:color="auto" w:fill="A2BDC1"/>
            <w:hideMark/>
          </w:tcPr>
          <w:p w14:paraId="4F0A384C"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Age</w:t>
            </w:r>
          </w:p>
        </w:tc>
        <w:tc>
          <w:tcPr>
            <w:tcW w:w="992" w:type="dxa"/>
            <w:hideMark/>
          </w:tcPr>
          <w:p w14:paraId="377CAAD6"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87</w:t>
            </w:r>
          </w:p>
          <w:p w14:paraId="561E99F1" w14:textId="72B22685" w:rsidR="00CB6EF0" w:rsidRDefault="00CB6EF0" w:rsidP="00B624D3">
            <w:pPr>
              <w:jc w:val="right"/>
              <w:rPr>
                <w:rFonts w:ascii="Arial" w:hAnsi="Arial" w:cs="Arial"/>
                <w:color w:val="000000"/>
                <w:sz w:val="20"/>
                <w:szCs w:val="20"/>
              </w:rPr>
            </w:pPr>
            <w:r>
              <w:rPr>
                <w:rFonts w:ascii="Arial" w:hAnsi="Arial" w:cs="Arial"/>
                <w:color w:val="000000"/>
                <w:sz w:val="20"/>
                <w:szCs w:val="20"/>
              </w:rPr>
              <w:t>(19%)</w:t>
            </w:r>
          </w:p>
        </w:tc>
        <w:tc>
          <w:tcPr>
            <w:tcW w:w="992" w:type="dxa"/>
            <w:hideMark/>
          </w:tcPr>
          <w:p w14:paraId="6F04A6B0"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64 (18%)</w:t>
            </w:r>
          </w:p>
        </w:tc>
        <w:tc>
          <w:tcPr>
            <w:tcW w:w="989" w:type="dxa"/>
            <w:hideMark/>
          </w:tcPr>
          <w:p w14:paraId="207B9C9C"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68 (14%)</w:t>
            </w:r>
          </w:p>
        </w:tc>
        <w:tc>
          <w:tcPr>
            <w:tcW w:w="996" w:type="dxa"/>
            <w:tcBorders>
              <w:right w:val="single" w:sz="18" w:space="0" w:color="000000" w:themeColor="text1"/>
            </w:tcBorders>
            <w:hideMark/>
          </w:tcPr>
          <w:p w14:paraId="4133CB16"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87 (20%)</w:t>
            </w:r>
          </w:p>
        </w:tc>
        <w:tc>
          <w:tcPr>
            <w:tcW w:w="992" w:type="dxa"/>
            <w:tcBorders>
              <w:left w:val="single" w:sz="18" w:space="0" w:color="000000" w:themeColor="text1"/>
            </w:tcBorders>
            <w:hideMark/>
          </w:tcPr>
          <w:p w14:paraId="7B02F097"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30 (15%)</w:t>
            </w:r>
          </w:p>
        </w:tc>
        <w:tc>
          <w:tcPr>
            <w:tcW w:w="992" w:type="dxa"/>
            <w:hideMark/>
          </w:tcPr>
          <w:p w14:paraId="3AD4DCBF"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15 (13%)</w:t>
            </w:r>
          </w:p>
        </w:tc>
        <w:tc>
          <w:tcPr>
            <w:tcW w:w="992" w:type="dxa"/>
            <w:hideMark/>
          </w:tcPr>
          <w:p w14:paraId="13256A06"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18 (10%)</w:t>
            </w:r>
          </w:p>
        </w:tc>
        <w:tc>
          <w:tcPr>
            <w:tcW w:w="993" w:type="dxa"/>
            <w:hideMark/>
          </w:tcPr>
          <w:p w14:paraId="1D612B78"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26 (17%)</w:t>
            </w:r>
          </w:p>
        </w:tc>
      </w:tr>
      <w:tr w:rsidR="00B624D3" w14:paraId="1A6472C2" w14:textId="77777777" w:rsidTr="0021091F">
        <w:trPr>
          <w:trHeight w:val="330"/>
        </w:trPr>
        <w:tc>
          <w:tcPr>
            <w:tcW w:w="1555" w:type="dxa"/>
            <w:shd w:val="clear" w:color="auto" w:fill="A2BDC1"/>
            <w:hideMark/>
          </w:tcPr>
          <w:p w14:paraId="66DF92B5"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Disability</w:t>
            </w:r>
          </w:p>
        </w:tc>
        <w:tc>
          <w:tcPr>
            <w:tcW w:w="992" w:type="dxa"/>
            <w:hideMark/>
          </w:tcPr>
          <w:p w14:paraId="154703FA"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85</w:t>
            </w:r>
          </w:p>
          <w:p w14:paraId="2A0C20AB" w14:textId="60704C3C" w:rsidR="00CB6EF0" w:rsidRDefault="00CB6EF0" w:rsidP="00B624D3">
            <w:pPr>
              <w:jc w:val="right"/>
              <w:rPr>
                <w:rFonts w:ascii="Arial" w:hAnsi="Arial" w:cs="Arial"/>
                <w:color w:val="000000"/>
                <w:sz w:val="20"/>
                <w:szCs w:val="20"/>
              </w:rPr>
            </w:pPr>
            <w:r>
              <w:rPr>
                <w:rFonts w:ascii="Arial" w:hAnsi="Arial" w:cs="Arial"/>
                <w:color w:val="000000"/>
                <w:sz w:val="20"/>
                <w:szCs w:val="20"/>
              </w:rPr>
              <w:t>(19%)</w:t>
            </w:r>
          </w:p>
        </w:tc>
        <w:tc>
          <w:tcPr>
            <w:tcW w:w="992" w:type="dxa"/>
            <w:hideMark/>
          </w:tcPr>
          <w:p w14:paraId="2E4DFDB7"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56 (16%)</w:t>
            </w:r>
          </w:p>
        </w:tc>
        <w:tc>
          <w:tcPr>
            <w:tcW w:w="989" w:type="dxa"/>
            <w:hideMark/>
          </w:tcPr>
          <w:p w14:paraId="010B14CD"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90 (19%)</w:t>
            </w:r>
          </w:p>
        </w:tc>
        <w:tc>
          <w:tcPr>
            <w:tcW w:w="996" w:type="dxa"/>
            <w:tcBorders>
              <w:right w:val="single" w:sz="18" w:space="0" w:color="000000" w:themeColor="text1"/>
            </w:tcBorders>
            <w:hideMark/>
          </w:tcPr>
          <w:p w14:paraId="21299C3F"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97 (23%)</w:t>
            </w:r>
          </w:p>
        </w:tc>
        <w:tc>
          <w:tcPr>
            <w:tcW w:w="992" w:type="dxa"/>
            <w:tcBorders>
              <w:left w:val="single" w:sz="18" w:space="0" w:color="000000" w:themeColor="text1"/>
            </w:tcBorders>
            <w:hideMark/>
          </w:tcPr>
          <w:p w14:paraId="545BD0F6"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41 (21%)</w:t>
            </w:r>
          </w:p>
        </w:tc>
        <w:tc>
          <w:tcPr>
            <w:tcW w:w="992" w:type="dxa"/>
            <w:hideMark/>
          </w:tcPr>
          <w:p w14:paraId="616C5BEC"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37 (33%)</w:t>
            </w:r>
          </w:p>
        </w:tc>
        <w:tc>
          <w:tcPr>
            <w:tcW w:w="992" w:type="dxa"/>
            <w:hideMark/>
          </w:tcPr>
          <w:p w14:paraId="150F5A22"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33 (18%)</w:t>
            </w:r>
          </w:p>
        </w:tc>
        <w:tc>
          <w:tcPr>
            <w:tcW w:w="993" w:type="dxa"/>
            <w:hideMark/>
          </w:tcPr>
          <w:p w14:paraId="09018553"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39 (25%)</w:t>
            </w:r>
          </w:p>
        </w:tc>
      </w:tr>
      <w:tr w:rsidR="00B624D3" w14:paraId="13C11A17" w14:textId="77777777" w:rsidTr="0021091F">
        <w:trPr>
          <w:trHeight w:val="525"/>
        </w:trPr>
        <w:tc>
          <w:tcPr>
            <w:tcW w:w="1555" w:type="dxa"/>
            <w:shd w:val="clear" w:color="auto" w:fill="A2BDC1"/>
            <w:hideMark/>
          </w:tcPr>
          <w:p w14:paraId="1A933965"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Gender reassignment</w:t>
            </w:r>
          </w:p>
        </w:tc>
        <w:tc>
          <w:tcPr>
            <w:tcW w:w="992" w:type="dxa"/>
            <w:hideMark/>
          </w:tcPr>
          <w:p w14:paraId="06095196"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10</w:t>
            </w:r>
          </w:p>
          <w:p w14:paraId="1D0DA505" w14:textId="4F297F66" w:rsidR="00CB6EF0" w:rsidRDefault="00CB6EF0" w:rsidP="00B624D3">
            <w:pPr>
              <w:jc w:val="right"/>
              <w:rPr>
                <w:rFonts w:ascii="Arial" w:hAnsi="Arial" w:cs="Arial"/>
                <w:color w:val="000000"/>
                <w:sz w:val="20"/>
                <w:szCs w:val="20"/>
              </w:rPr>
            </w:pPr>
            <w:r>
              <w:rPr>
                <w:rFonts w:ascii="Arial" w:hAnsi="Arial" w:cs="Arial"/>
                <w:color w:val="000000"/>
                <w:sz w:val="20"/>
                <w:szCs w:val="20"/>
              </w:rPr>
              <w:t>(2%)</w:t>
            </w:r>
          </w:p>
        </w:tc>
        <w:tc>
          <w:tcPr>
            <w:tcW w:w="992" w:type="dxa"/>
            <w:hideMark/>
          </w:tcPr>
          <w:p w14:paraId="552EC298"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11 </w:t>
            </w:r>
          </w:p>
          <w:p w14:paraId="2F8075AD" w14:textId="01592D62" w:rsidR="00CB6EF0" w:rsidRDefault="00CB6EF0" w:rsidP="00B624D3">
            <w:pPr>
              <w:jc w:val="right"/>
              <w:rPr>
                <w:rFonts w:ascii="Arial" w:hAnsi="Arial" w:cs="Arial"/>
                <w:color w:val="000000"/>
                <w:sz w:val="20"/>
                <w:szCs w:val="20"/>
              </w:rPr>
            </w:pPr>
            <w:r>
              <w:rPr>
                <w:rFonts w:ascii="Arial" w:hAnsi="Arial" w:cs="Arial"/>
                <w:color w:val="000000"/>
                <w:sz w:val="20"/>
                <w:szCs w:val="20"/>
              </w:rPr>
              <w:t>(3%)</w:t>
            </w:r>
          </w:p>
        </w:tc>
        <w:tc>
          <w:tcPr>
            <w:tcW w:w="989" w:type="dxa"/>
            <w:hideMark/>
          </w:tcPr>
          <w:p w14:paraId="54D64EF8"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4 </w:t>
            </w:r>
          </w:p>
          <w:p w14:paraId="6E2F44E9" w14:textId="012A74FA" w:rsidR="00CB6EF0" w:rsidRDefault="00CB6EF0" w:rsidP="00B624D3">
            <w:pPr>
              <w:jc w:val="right"/>
              <w:rPr>
                <w:rFonts w:ascii="Arial" w:hAnsi="Arial" w:cs="Arial"/>
                <w:color w:val="000000"/>
                <w:sz w:val="20"/>
                <w:szCs w:val="20"/>
              </w:rPr>
            </w:pPr>
            <w:r>
              <w:rPr>
                <w:rFonts w:ascii="Arial" w:hAnsi="Arial" w:cs="Arial"/>
                <w:color w:val="000000"/>
                <w:sz w:val="20"/>
                <w:szCs w:val="20"/>
              </w:rPr>
              <w:t>(1%)</w:t>
            </w:r>
          </w:p>
        </w:tc>
        <w:tc>
          <w:tcPr>
            <w:tcW w:w="996" w:type="dxa"/>
            <w:tcBorders>
              <w:right w:val="single" w:sz="18" w:space="0" w:color="000000" w:themeColor="text1"/>
            </w:tcBorders>
            <w:hideMark/>
          </w:tcPr>
          <w:p w14:paraId="6C207DD0" w14:textId="77777777" w:rsidR="00CE4865" w:rsidRDefault="00CB6EF0" w:rsidP="00B624D3">
            <w:pPr>
              <w:jc w:val="right"/>
              <w:rPr>
                <w:rFonts w:ascii="Arial" w:hAnsi="Arial" w:cs="Arial"/>
                <w:color w:val="000000"/>
                <w:sz w:val="20"/>
                <w:szCs w:val="20"/>
              </w:rPr>
            </w:pPr>
            <w:r>
              <w:rPr>
                <w:rFonts w:ascii="Arial" w:hAnsi="Arial" w:cs="Arial"/>
                <w:color w:val="000000"/>
                <w:sz w:val="20"/>
                <w:szCs w:val="20"/>
              </w:rPr>
              <w:t xml:space="preserve">5 </w:t>
            </w:r>
          </w:p>
          <w:p w14:paraId="2673A165" w14:textId="55605818" w:rsidR="00CB6EF0" w:rsidRDefault="00CB6EF0" w:rsidP="00B624D3">
            <w:pPr>
              <w:jc w:val="right"/>
              <w:rPr>
                <w:rFonts w:ascii="Arial" w:hAnsi="Arial" w:cs="Arial"/>
                <w:color w:val="000000"/>
                <w:sz w:val="20"/>
                <w:szCs w:val="20"/>
              </w:rPr>
            </w:pPr>
            <w:r>
              <w:rPr>
                <w:rFonts w:ascii="Arial" w:hAnsi="Arial" w:cs="Arial"/>
                <w:color w:val="000000"/>
                <w:sz w:val="20"/>
                <w:szCs w:val="20"/>
              </w:rPr>
              <w:t>(1%)</w:t>
            </w:r>
          </w:p>
        </w:tc>
        <w:tc>
          <w:tcPr>
            <w:tcW w:w="992" w:type="dxa"/>
            <w:tcBorders>
              <w:left w:val="single" w:sz="18" w:space="0" w:color="000000" w:themeColor="text1"/>
            </w:tcBorders>
            <w:hideMark/>
          </w:tcPr>
          <w:p w14:paraId="6BAEEFB3"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4 </w:t>
            </w:r>
          </w:p>
          <w:p w14:paraId="3D03782F" w14:textId="6F174B41" w:rsidR="00CB6EF0" w:rsidRDefault="00CB6EF0" w:rsidP="00B624D3">
            <w:pPr>
              <w:jc w:val="right"/>
              <w:rPr>
                <w:rFonts w:ascii="Arial" w:hAnsi="Arial" w:cs="Arial"/>
                <w:color w:val="000000"/>
                <w:sz w:val="20"/>
                <w:szCs w:val="20"/>
              </w:rPr>
            </w:pPr>
            <w:r>
              <w:rPr>
                <w:rFonts w:ascii="Arial" w:hAnsi="Arial" w:cs="Arial"/>
                <w:color w:val="000000"/>
                <w:sz w:val="20"/>
                <w:szCs w:val="20"/>
              </w:rPr>
              <w:t>(2%)</w:t>
            </w:r>
          </w:p>
        </w:tc>
        <w:tc>
          <w:tcPr>
            <w:tcW w:w="992" w:type="dxa"/>
            <w:hideMark/>
          </w:tcPr>
          <w:p w14:paraId="2DCB26DE"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3 </w:t>
            </w:r>
          </w:p>
          <w:p w14:paraId="49266A68" w14:textId="5B141DE1" w:rsidR="00CB6EF0" w:rsidRDefault="00CB6EF0" w:rsidP="00B624D3">
            <w:pPr>
              <w:jc w:val="right"/>
              <w:rPr>
                <w:rFonts w:ascii="Arial" w:hAnsi="Arial" w:cs="Arial"/>
                <w:color w:val="000000"/>
                <w:sz w:val="20"/>
                <w:szCs w:val="20"/>
              </w:rPr>
            </w:pPr>
            <w:r>
              <w:rPr>
                <w:rFonts w:ascii="Arial" w:hAnsi="Arial" w:cs="Arial"/>
                <w:color w:val="000000"/>
                <w:sz w:val="20"/>
                <w:szCs w:val="20"/>
              </w:rPr>
              <w:t>(3%)</w:t>
            </w:r>
          </w:p>
        </w:tc>
        <w:tc>
          <w:tcPr>
            <w:tcW w:w="992" w:type="dxa"/>
            <w:hideMark/>
          </w:tcPr>
          <w:p w14:paraId="29C055D2"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3 </w:t>
            </w:r>
          </w:p>
          <w:p w14:paraId="61CCEE9F" w14:textId="2E37B24F" w:rsidR="00CB6EF0" w:rsidRDefault="00CB6EF0" w:rsidP="00B624D3">
            <w:pPr>
              <w:jc w:val="right"/>
              <w:rPr>
                <w:rFonts w:ascii="Arial" w:hAnsi="Arial" w:cs="Arial"/>
                <w:color w:val="000000"/>
                <w:sz w:val="20"/>
                <w:szCs w:val="20"/>
              </w:rPr>
            </w:pPr>
            <w:r>
              <w:rPr>
                <w:rFonts w:ascii="Arial" w:hAnsi="Arial" w:cs="Arial"/>
                <w:color w:val="000000"/>
                <w:sz w:val="20"/>
                <w:szCs w:val="20"/>
              </w:rPr>
              <w:t>(2%)</w:t>
            </w:r>
          </w:p>
        </w:tc>
        <w:tc>
          <w:tcPr>
            <w:tcW w:w="993" w:type="dxa"/>
            <w:hideMark/>
          </w:tcPr>
          <w:p w14:paraId="38C37F8B"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3</w:t>
            </w:r>
          </w:p>
          <w:p w14:paraId="0DEB379C" w14:textId="272B074B" w:rsidR="00CB6EF0" w:rsidRDefault="00CB6EF0" w:rsidP="00B624D3">
            <w:pPr>
              <w:jc w:val="right"/>
              <w:rPr>
                <w:rFonts w:ascii="Arial" w:hAnsi="Arial" w:cs="Arial"/>
                <w:color w:val="000000"/>
                <w:sz w:val="20"/>
                <w:szCs w:val="20"/>
              </w:rPr>
            </w:pPr>
            <w:r>
              <w:rPr>
                <w:rFonts w:ascii="Arial" w:hAnsi="Arial" w:cs="Arial"/>
                <w:color w:val="000000"/>
                <w:sz w:val="20"/>
                <w:szCs w:val="20"/>
              </w:rPr>
              <w:t xml:space="preserve"> (2%)</w:t>
            </w:r>
          </w:p>
        </w:tc>
      </w:tr>
      <w:tr w:rsidR="00B624D3" w14:paraId="071C033F" w14:textId="77777777" w:rsidTr="0021091F">
        <w:trPr>
          <w:trHeight w:val="525"/>
        </w:trPr>
        <w:tc>
          <w:tcPr>
            <w:tcW w:w="1555" w:type="dxa"/>
            <w:shd w:val="clear" w:color="auto" w:fill="A2BDC1"/>
            <w:hideMark/>
          </w:tcPr>
          <w:p w14:paraId="7212A398"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Pregnancy &amp; maternity</w:t>
            </w:r>
          </w:p>
        </w:tc>
        <w:tc>
          <w:tcPr>
            <w:tcW w:w="992" w:type="dxa"/>
            <w:hideMark/>
          </w:tcPr>
          <w:p w14:paraId="3D7A059E"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18 </w:t>
            </w:r>
          </w:p>
          <w:p w14:paraId="501AE3BF" w14:textId="2E8B9FB1" w:rsidR="00CB6EF0" w:rsidRDefault="00CB6EF0" w:rsidP="00B624D3">
            <w:pPr>
              <w:jc w:val="right"/>
              <w:rPr>
                <w:rFonts w:ascii="Arial" w:hAnsi="Arial" w:cs="Arial"/>
                <w:color w:val="000000"/>
                <w:sz w:val="20"/>
                <w:szCs w:val="20"/>
              </w:rPr>
            </w:pPr>
            <w:r>
              <w:rPr>
                <w:rFonts w:ascii="Arial" w:hAnsi="Arial" w:cs="Arial"/>
                <w:color w:val="000000"/>
                <w:sz w:val="20"/>
                <w:szCs w:val="20"/>
              </w:rPr>
              <w:t>(4%)</w:t>
            </w:r>
          </w:p>
        </w:tc>
        <w:tc>
          <w:tcPr>
            <w:tcW w:w="992" w:type="dxa"/>
            <w:hideMark/>
          </w:tcPr>
          <w:p w14:paraId="693B0487"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7 </w:t>
            </w:r>
          </w:p>
          <w:p w14:paraId="329FF506" w14:textId="7DEC31AF" w:rsidR="00CB6EF0" w:rsidRDefault="00CB6EF0" w:rsidP="00B624D3">
            <w:pPr>
              <w:jc w:val="right"/>
              <w:rPr>
                <w:rFonts w:ascii="Arial" w:hAnsi="Arial" w:cs="Arial"/>
                <w:color w:val="000000"/>
                <w:sz w:val="20"/>
                <w:szCs w:val="20"/>
              </w:rPr>
            </w:pPr>
            <w:r>
              <w:rPr>
                <w:rFonts w:ascii="Arial" w:hAnsi="Arial" w:cs="Arial"/>
                <w:color w:val="000000"/>
                <w:sz w:val="20"/>
                <w:szCs w:val="20"/>
              </w:rPr>
              <w:t>(2%)</w:t>
            </w:r>
          </w:p>
        </w:tc>
        <w:tc>
          <w:tcPr>
            <w:tcW w:w="989" w:type="dxa"/>
            <w:hideMark/>
          </w:tcPr>
          <w:p w14:paraId="7113E706"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16 </w:t>
            </w:r>
          </w:p>
          <w:p w14:paraId="3D87AA77" w14:textId="3CA06A1E" w:rsidR="00CB6EF0" w:rsidRDefault="00CB6EF0" w:rsidP="00B624D3">
            <w:pPr>
              <w:jc w:val="right"/>
              <w:rPr>
                <w:rFonts w:ascii="Arial" w:hAnsi="Arial" w:cs="Arial"/>
                <w:color w:val="000000"/>
                <w:sz w:val="20"/>
                <w:szCs w:val="20"/>
              </w:rPr>
            </w:pPr>
            <w:r>
              <w:rPr>
                <w:rFonts w:ascii="Arial" w:hAnsi="Arial" w:cs="Arial"/>
                <w:color w:val="000000"/>
                <w:sz w:val="20"/>
                <w:szCs w:val="20"/>
              </w:rPr>
              <w:t>(3%)</w:t>
            </w:r>
          </w:p>
        </w:tc>
        <w:tc>
          <w:tcPr>
            <w:tcW w:w="996" w:type="dxa"/>
            <w:tcBorders>
              <w:right w:val="single" w:sz="18" w:space="0" w:color="000000" w:themeColor="text1"/>
            </w:tcBorders>
            <w:hideMark/>
          </w:tcPr>
          <w:p w14:paraId="2A551821" w14:textId="77777777" w:rsidR="00CE4865" w:rsidRDefault="00CB6EF0" w:rsidP="00B624D3">
            <w:pPr>
              <w:jc w:val="right"/>
              <w:rPr>
                <w:rFonts w:ascii="Arial" w:hAnsi="Arial" w:cs="Arial"/>
                <w:color w:val="000000"/>
                <w:sz w:val="20"/>
                <w:szCs w:val="20"/>
              </w:rPr>
            </w:pPr>
            <w:r>
              <w:rPr>
                <w:rFonts w:ascii="Arial" w:hAnsi="Arial" w:cs="Arial"/>
                <w:color w:val="000000"/>
                <w:sz w:val="20"/>
                <w:szCs w:val="20"/>
              </w:rPr>
              <w:t xml:space="preserve">21 </w:t>
            </w:r>
          </w:p>
          <w:p w14:paraId="18A3756B" w14:textId="35878063" w:rsidR="00CB6EF0" w:rsidRDefault="00CB6EF0" w:rsidP="00B624D3">
            <w:pPr>
              <w:jc w:val="right"/>
              <w:rPr>
                <w:rFonts w:ascii="Arial" w:hAnsi="Arial" w:cs="Arial"/>
                <w:color w:val="000000"/>
                <w:sz w:val="20"/>
                <w:szCs w:val="20"/>
              </w:rPr>
            </w:pPr>
            <w:r>
              <w:rPr>
                <w:rFonts w:ascii="Arial" w:hAnsi="Arial" w:cs="Arial"/>
                <w:color w:val="000000"/>
                <w:sz w:val="20"/>
                <w:szCs w:val="20"/>
              </w:rPr>
              <w:t>(5%)</w:t>
            </w:r>
          </w:p>
        </w:tc>
        <w:tc>
          <w:tcPr>
            <w:tcW w:w="992" w:type="dxa"/>
            <w:tcBorders>
              <w:left w:val="single" w:sz="18" w:space="0" w:color="000000" w:themeColor="text1"/>
            </w:tcBorders>
            <w:hideMark/>
          </w:tcPr>
          <w:p w14:paraId="65ABF72E"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2 </w:t>
            </w:r>
          </w:p>
          <w:p w14:paraId="51DC49B6" w14:textId="312EA63B" w:rsidR="00CB6EF0" w:rsidRDefault="00CB6EF0" w:rsidP="00B624D3">
            <w:pPr>
              <w:jc w:val="right"/>
              <w:rPr>
                <w:rFonts w:ascii="Arial" w:hAnsi="Arial" w:cs="Arial"/>
                <w:color w:val="000000"/>
                <w:sz w:val="20"/>
                <w:szCs w:val="20"/>
              </w:rPr>
            </w:pPr>
            <w:r>
              <w:rPr>
                <w:rFonts w:ascii="Arial" w:hAnsi="Arial" w:cs="Arial"/>
                <w:color w:val="000000"/>
                <w:sz w:val="20"/>
                <w:szCs w:val="20"/>
              </w:rPr>
              <w:t>(1%)</w:t>
            </w:r>
          </w:p>
        </w:tc>
        <w:tc>
          <w:tcPr>
            <w:tcW w:w="992" w:type="dxa"/>
            <w:hideMark/>
          </w:tcPr>
          <w:p w14:paraId="1A738526"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2 </w:t>
            </w:r>
          </w:p>
          <w:p w14:paraId="0B049BAB" w14:textId="659EDC3A" w:rsidR="00CB6EF0" w:rsidRDefault="00CB6EF0" w:rsidP="00B624D3">
            <w:pPr>
              <w:jc w:val="right"/>
              <w:rPr>
                <w:rFonts w:ascii="Arial" w:hAnsi="Arial" w:cs="Arial"/>
                <w:color w:val="000000"/>
                <w:sz w:val="20"/>
                <w:szCs w:val="20"/>
              </w:rPr>
            </w:pPr>
            <w:r>
              <w:rPr>
                <w:rFonts w:ascii="Arial" w:hAnsi="Arial" w:cs="Arial"/>
                <w:color w:val="000000"/>
                <w:sz w:val="20"/>
                <w:szCs w:val="20"/>
              </w:rPr>
              <w:t>(2%)</w:t>
            </w:r>
          </w:p>
        </w:tc>
        <w:tc>
          <w:tcPr>
            <w:tcW w:w="992" w:type="dxa"/>
            <w:hideMark/>
          </w:tcPr>
          <w:p w14:paraId="3C55761D"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7 </w:t>
            </w:r>
          </w:p>
          <w:p w14:paraId="4AD4ACB6" w14:textId="52A919F4" w:rsidR="00CB6EF0" w:rsidRDefault="00CB6EF0" w:rsidP="00B624D3">
            <w:pPr>
              <w:jc w:val="right"/>
              <w:rPr>
                <w:rFonts w:ascii="Arial" w:hAnsi="Arial" w:cs="Arial"/>
                <w:color w:val="000000"/>
                <w:sz w:val="20"/>
                <w:szCs w:val="20"/>
              </w:rPr>
            </w:pPr>
            <w:r>
              <w:rPr>
                <w:rFonts w:ascii="Arial" w:hAnsi="Arial" w:cs="Arial"/>
                <w:color w:val="000000"/>
                <w:sz w:val="20"/>
                <w:szCs w:val="20"/>
              </w:rPr>
              <w:t>(4%)</w:t>
            </w:r>
          </w:p>
        </w:tc>
        <w:tc>
          <w:tcPr>
            <w:tcW w:w="993" w:type="dxa"/>
            <w:hideMark/>
          </w:tcPr>
          <w:p w14:paraId="1DB65E8E"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9</w:t>
            </w:r>
          </w:p>
          <w:p w14:paraId="5BF2A7CB" w14:textId="3F00D349" w:rsidR="00CB6EF0" w:rsidRDefault="00CB6EF0" w:rsidP="00B624D3">
            <w:pPr>
              <w:jc w:val="right"/>
              <w:rPr>
                <w:rFonts w:ascii="Arial" w:hAnsi="Arial" w:cs="Arial"/>
                <w:color w:val="000000"/>
                <w:sz w:val="20"/>
                <w:szCs w:val="20"/>
              </w:rPr>
            </w:pPr>
            <w:r>
              <w:rPr>
                <w:rFonts w:ascii="Arial" w:hAnsi="Arial" w:cs="Arial"/>
                <w:color w:val="000000"/>
                <w:sz w:val="20"/>
                <w:szCs w:val="20"/>
              </w:rPr>
              <w:t xml:space="preserve"> (6%)</w:t>
            </w:r>
          </w:p>
        </w:tc>
      </w:tr>
      <w:tr w:rsidR="00B624D3" w14:paraId="07118D60" w14:textId="77777777" w:rsidTr="0021091F">
        <w:trPr>
          <w:trHeight w:val="330"/>
        </w:trPr>
        <w:tc>
          <w:tcPr>
            <w:tcW w:w="1555" w:type="dxa"/>
            <w:shd w:val="clear" w:color="auto" w:fill="A2BDC1"/>
            <w:hideMark/>
          </w:tcPr>
          <w:p w14:paraId="58B53BF6"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Race</w:t>
            </w:r>
          </w:p>
        </w:tc>
        <w:tc>
          <w:tcPr>
            <w:tcW w:w="992" w:type="dxa"/>
            <w:hideMark/>
          </w:tcPr>
          <w:p w14:paraId="7A28BF37"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54 </w:t>
            </w:r>
          </w:p>
          <w:p w14:paraId="3BCA2F6C" w14:textId="0D3660B5" w:rsidR="00CB6EF0" w:rsidRDefault="00CB6EF0" w:rsidP="00B624D3">
            <w:pPr>
              <w:jc w:val="right"/>
              <w:rPr>
                <w:rFonts w:ascii="Arial" w:hAnsi="Arial" w:cs="Arial"/>
                <w:color w:val="000000"/>
                <w:sz w:val="20"/>
                <w:szCs w:val="20"/>
              </w:rPr>
            </w:pPr>
            <w:r>
              <w:rPr>
                <w:rFonts w:ascii="Arial" w:hAnsi="Arial" w:cs="Arial"/>
                <w:color w:val="000000"/>
                <w:sz w:val="20"/>
                <w:szCs w:val="20"/>
              </w:rPr>
              <w:t>(12%)</w:t>
            </w:r>
          </w:p>
        </w:tc>
        <w:tc>
          <w:tcPr>
            <w:tcW w:w="992" w:type="dxa"/>
            <w:hideMark/>
          </w:tcPr>
          <w:p w14:paraId="568A2105"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46 (13%)</w:t>
            </w:r>
          </w:p>
        </w:tc>
        <w:tc>
          <w:tcPr>
            <w:tcW w:w="989" w:type="dxa"/>
            <w:hideMark/>
          </w:tcPr>
          <w:p w14:paraId="0C218E0B"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71 (15%)</w:t>
            </w:r>
          </w:p>
        </w:tc>
        <w:tc>
          <w:tcPr>
            <w:tcW w:w="996" w:type="dxa"/>
            <w:tcBorders>
              <w:right w:val="single" w:sz="18" w:space="0" w:color="000000" w:themeColor="text1"/>
            </w:tcBorders>
            <w:hideMark/>
          </w:tcPr>
          <w:p w14:paraId="7E52EB92"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52 (12%)</w:t>
            </w:r>
          </w:p>
        </w:tc>
        <w:tc>
          <w:tcPr>
            <w:tcW w:w="992" w:type="dxa"/>
            <w:tcBorders>
              <w:left w:val="single" w:sz="18" w:space="0" w:color="000000" w:themeColor="text1"/>
            </w:tcBorders>
            <w:hideMark/>
          </w:tcPr>
          <w:p w14:paraId="4E244D5A"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26 (13%)</w:t>
            </w:r>
          </w:p>
        </w:tc>
        <w:tc>
          <w:tcPr>
            <w:tcW w:w="992" w:type="dxa"/>
            <w:hideMark/>
          </w:tcPr>
          <w:p w14:paraId="7660860A"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10 </w:t>
            </w:r>
          </w:p>
          <w:p w14:paraId="61B865B6" w14:textId="5CC7C1BE" w:rsidR="00CB6EF0" w:rsidRDefault="00CB6EF0" w:rsidP="00B624D3">
            <w:pPr>
              <w:jc w:val="right"/>
              <w:rPr>
                <w:rFonts w:ascii="Arial" w:hAnsi="Arial" w:cs="Arial"/>
                <w:color w:val="000000"/>
                <w:sz w:val="20"/>
                <w:szCs w:val="20"/>
              </w:rPr>
            </w:pPr>
            <w:r>
              <w:rPr>
                <w:rFonts w:ascii="Arial" w:hAnsi="Arial" w:cs="Arial"/>
                <w:color w:val="000000"/>
                <w:sz w:val="20"/>
                <w:szCs w:val="20"/>
              </w:rPr>
              <w:t>(9%)</w:t>
            </w:r>
          </w:p>
        </w:tc>
        <w:tc>
          <w:tcPr>
            <w:tcW w:w="992" w:type="dxa"/>
            <w:hideMark/>
          </w:tcPr>
          <w:p w14:paraId="7A22E628"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21 (11%)</w:t>
            </w:r>
          </w:p>
        </w:tc>
        <w:tc>
          <w:tcPr>
            <w:tcW w:w="993" w:type="dxa"/>
            <w:hideMark/>
          </w:tcPr>
          <w:p w14:paraId="27E49414"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19 (12%)</w:t>
            </w:r>
          </w:p>
        </w:tc>
      </w:tr>
      <w:tr w:rsidR="00B624D3" w14:paraId="67E6589E" w14:textId="77777777" w:rsidTr="0021091F">
        <w:trPr>
          <w:trHeight w:val="525"/>
        </w:trPr>
        <w:tc>
          <w:tcPr>
            <w:tcW w:w="1555" w:type="dxa"/>
            <w:shd w:val="clear" w:color="auto" w:fill="A2BDC1"/>
            <w:hideMark/>
          </w:tcPr>
          <w:p w14:paraId="476941A4"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Religion or belief</w:t>
            </w:r>
          </w:p>
        </w:tc>
        <w:tc>
          <w:tcPr>
            <w:tcW w:w="992" w:type="dxa"/>
            <w:hideMark/>
          </w:tcPr>
          <w:p w14:paraId="182303DB"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21</w:t>
            </w:r>
          </w:p>
          <w:p w14:paraId="2C07F909" w14:textId="1257B3F1" w:rsidR="00CB6EF0" w:rsidRDefault="00CB6EF0" w:rsidP="00B624D3">
            <w:pPr>
              <w:jc w:val="right"/>
              <w:rPr>
                <w:rFonts w:ascii="Arial" w:hAnsi="Arial" w:cs="Arial"/>
                <w:color w:val="000000"/>
                <w:sz w:val="20"/>
                <w:szCs w:val="20"/>
              </w:rPr>
            </w:pPr>
            <w:r>
              <w:rPr>
                <w:rFonts w:ascii="Arial" w:hAnsi="Arial" w:cs="Arial"/>
                <w:color w:val="000000"/>
                <w:sz w:val="20"/>
                <w:szCs w:val="20"/>
              </w:rPr>
              <w:t>(5%)</w:t>
            </w:r>
          </w:p>
        </w:tc>
        <w:tc>
          <w:tcPr>
            <w:tcW w:w="992" w:type="dxa"/>
            <w:hideMark/>
          </w:tcPr>
          <w:p w14:paraId="0E694146"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15 </w:t>
            </w:r>
          </w:p>
          <w:p w14:paraId="48E99A8C" w14:textId="182995EC" w:rsidR="00CB6EF0" w:rsidRDefault="00CB6EF0" w:rsidP="00B624D3">
            <w:pPr>
              <w:jc w:val="right"/>
              <w:rPr>
                <w:rFonts w:ascii="Arial" w:hAnsi="Arial" w:cs="Arial"/>
                <w:color w:val="000000"/>
                <w:sz w:val="20"/>
                <w:szCs w:val="20"/>
              </w:rPr>
            </w:pPr>
            <w:r>
              <w:rPr>
                <w:rFonts w:ascii="Arial" w:hAnsi="Arial" w:cs="Arial"/>
                <w:color w:val="000000"/>
                <w:sz w:val="20"/>
                <w:szCs w:val="20"/>
              </w:rPr>
              <w:t>(4%)</w:t>
            </w:r>
          </w:p>
        </w:tc>
        <w:tc>
          <w:tcPr>
            <w:tcW w:w="989" w:type="dxa"/>
            <w:hideMark/>
          </w:tcPr>
          <w:p w14:paraId="5007AA7C"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26 </w:t>
            </w:r>
          </w:p>
          <w:p w14:paraId="44DAC340" w14:textId="2392C120" w:rsidR="00CB6EF0" w:rsidRDefault="00CB6EF0" w:rsidP="00B624D3">
            <w:pPr>
              <w:jc w:val="right"/>
              <w:rPr>
                <w:rFonts w:ascii="Arial" w:hAnsi="Arial" w:cs="Arial"/>
                <w:color w:val="000000"/>
                <w:sz w:val="20"/>
                <w:szCs w:val="20"/>
              </w:rPr>
            </w:pPr>
            <w:r>
              <w:rPr>
                <w:rFonts w:ascii="Arial" w:hAnsi="Arial" w:cs="Arial"/>
                <w:color w:val="000000"/>
                <w:sz w:val="20"/>
                <w:szCs w:val="20"/>
              </w:rPr>
              <w:t>(5%)</w:t>
            </w:r>
          </w:p>
        </w:tc>
        <w:tc>
          <w:tcPr>
            <w:tcW w:w="996" w:type="dxa"/>
            <w:tcBorders>
              <w:right w:val="single" w:sz="18" w:space="0" w:color="000000" w:themeColor="text1"/>
            </w:tcBorders>
            <w:hideMark/>
          </w:tcPr>
          <w:p w14:paraId="5047E4FC" w14:textId="77777777" w:rsidR="00CE4865" w:rsidRDefault="00CB6EF0" w:rsidP="00B624D3">
            <w:pPr>
              <w:jc w:val="right"/>
              <w:rPr>
                <w:rFonts w:ascii="Arial" w:hAnsi="Arial" w:cs="Arial"/>
                <w:color w:val="000000"/>
                <w:sz w:val="20"/>
                <w:szCs w:val="20"/>
              </w:rPr>
            </w:pPr>
            <w:r>
              <w:rPr>
                <w:rFonts w:ascii="Arial" w:hAnsi="Arial" w:cs="Arial"/>
                <w:color w:val="000000"/>
                <w:sz w:val="20"/>
                <w:szCs w:val="20"/>
              </w:rPr>
              <w:t xml:space="preserve">16 </w:t>
            </w:r>
          </w:p>
          <w:p w14:paraId="178158A7" w14:textId="4F677D8A" w:rsidR="00CB6EF0" w:rsidRDefault="00CB6EF0" w:rsidP="00B624D3">
            <w:pPr>
              <w:jc w:val="right"/>
              <w:rPr>
                <w:rFonts w:ascii="Arial" w:hAnsi="Arial" w:cs="Arial"/>
                <w:color w:val="000000"/>
                <w:sz w:val="20"/>
                <w:szCs w:val="20"/>
              </w:rPr>
            </w:pPr>
            <w:r>
              <w:rPr>
                <w:rFonts w:ascii="Arial" w:hAnsi="Arial" w:cs="Arial"/>
                <w:color w:val="000000"/>
                <w:sz w:val="20"/>
                <w:szCs w:val="20"/>
              </w:rPr>
              <w:t>(4%)</w:t>
            </w:r>
          </w:p>
        </w:tc>
        <w:tc>
          <w:tcPr>
            <w:tcW w:w="992" w:type="dxa"/>
            <w:tcBorders>
              <w:left w:val="single" w:sz="18" w:space="0" w:color="000000" w:themeColor="text1"/>
            </w:tcBorders>
            <w:hideMark/>
          </w:tcPr>
          <w:p w14:paraId="72DBFCA4"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13 </w:t>
            </w:r>
          </w:p>
          <w:p w14:paraId="5832AF72" w14:textId="11368012" w:rsidR="00CB6EF0" w:rsidRDefault="00CB6EF0" w:rsidP="00B624D3">
            <w:pPr>
              <w:jc w:val="right"/>
              <w:rPr>
                <w:rFonts w:ascii="Arial" w:hAnsi="Arial" w:cs="Arial"/>
                <w:color w:val="000000"/>
                <w:sz w:val="20"/>
                <w:szCs w:val="20"/>
              </w:rPr>
            </w:pPr>
            <w:r>
              <w:rPr>
                <w:rFonts w:ascii="Arial" w:hAnsi="Arial" w:cs="Arial"/>
                <w:color w:val="000000"/>
                <w:sz w:val="20"/>
                <w:szCs w:val="20"/>
              </w:rPr>
              <w:t>(7%)</w:t>
            </w:r>
          </w:p>
        </w:tc>
        <w:tc>
          <w:tcPr>
            <w:tcW w:w="992" w:type="dxa"/>
            <w:hideMark/>
          </w:tcPr>
          <w:p w14:paraId="426FFA2E"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8 </w:t>
            </w:r>
          </w:p>
          <w:p w14:paraId="2B818BC5" w14:textId="70031CAD" w:rsidR="00CB6EF0" w:rsidRDefault="00CB6EF0" w:rsidP="00B624D3">
            <w:pPr>
              <w:jc w:val="right"/>
              <w:rPr>
                <w:rFonts w:ascii="Arial" w:hAnsi="Arial" w:cs="Arial"/>
                <w:color w:val="000000"/>
                <w:sz w:val="20"/>
                <w:szCs w:val="20"/>
              </w:rPr>
            </w:pPr>
            <w:r>
              <w:rPr>
                <w:rFonts w:ascii="Arial" w:hAnsi="Arial" w:cs="Arial"/>
                <w:color w:val="000000"/>
                <w:sz w:val="20"/>
                <w:szCs w:val="20"/>
              </w:rPr>
              <w:t>(7%)</w:t>
            </w:r>
          </w:p>
        </w:tc>
        <w:tc>
          <w:tcPr>
            <w:tcW w:w="992" w:type="dxa"/>
            <w:hideMark/>
          </w:tcPr>
          <w:p w14:paraId="7F76BF1D"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11 </w:t>
            </w:r>
          </w:p>
          <w:p w14:paraId="23DBD8DD" w14:textId="35A11386" w:rsidR="00CB6EF0" w:rsidRDefault="00CB6EF0" w:rsidP="00B624D3">
            <w:pPr>
              <w:jc w:val="right"/>
              <w:rPr>
                <w:rFonts w:ascii="Arial" w:hAnsi="Arial" w:cs="Arial"/>
                <w:color w:val="000000"/>
                <w:sz w:val="20"/>
                <w:szCs w:val="20"/>
              </w:rPr>
            </w:pPr>
            <w:r>
              <w:rPr>
                <w:rFonts w:ascii="Arial" w:hAnsi="Arial" w:cs="Arial"/>
                <w:color w:val="000000"/>
                <w:sz w:val="20"/>
                <w:szCs w:val="20"/>
              </w:rPr>
              <w:t>(6%)</w:t>
            </w:r>
          </w:p>
        </w:tc>
        <w:tc>
          <w:tcPr>
            <w:tcW w:w="993" w:type="dxa"/>
            <w:hideMark/>
          </w:tcPr>
          <w:p w14:paraId="1C5EA78E"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8</w:t>
            </w:r>
          </w:p>
          <w:p w14:paraId="441B5706" w14:textId="7856288D" w:rsidR="00CB6EF0" w:rsidRDefault="00CB6EF0" w:rsidP="00B624D3">
            <w:pPr>
              <w:jc w:val="right"/>
              <w:rPr>
                <w:rFonts w:ascii="Arial" w:hAnsi="Arial" w:cs="Arial"/>
                <w:color w:val="000000"/>
                <w:sz w:val="20"/>
                <w:szCs w:val="20"/>
              </w:rPr>
            </w:pPr>
            <w:r>
              <w:rPr>
                <w:rFonts w:ascii="Arial" w:hAnsi="Arial" w:cs="Arial"/>
                <w:color w:val="000000"/>
                <w:sz w:val="20"/>
                <w:szCs w:val="20"/>
              </w:rPr>
              <w:t xml:space="preserve"> (5%)</w:t>
            </w:r>
          </w:p>
        </w:tc>
      </w:tr>
      <w:tr w:rsidR="00B624D3" w14:paraId="5A113EB1" w14:textId="77777777" w:rsidTr="0021091F">
        <w:trPr>
          <w:trHeight w:val="330"/>
        </w:trPr>
        <w:tc>
          <w:tcPr>
            <w:tcW w:w="1555" w:type="dxa"/>
            <w:shd w:val="clear" w:color="auto" w:fill="A2BDC1"/>
            <w:hideMark/>
          </w:tcPr>
          <w:p w14:paraId="0AE2A4A1"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Sex</w:t>
            </w:r>
          </w:p>
        </w:tc>
        <w:tc>
          <w:tcPr>
            <w:tcW w:w="992" w:type="dxa"/>
            <w:hideMark/>
          </w:tcPr>
          <w:p w14:paraId="6C45A80F"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46 </w:t>
            </w:r>
          </w:p>
          <w:p w14:paraId="33D2784D" w14:textId="499ECDB0" w:rsidR="00CB6EF0" w:rsidRDefault="00CB6EF0" w:rsidP="00B624D3">
            <w:pPr>
              <w:jc w:val="right"/>
              <w:rPr>
                <w:rFonts w:ascii="Arial" w:hAnsi="Arial" w:cs="Arial"/>
                <w:color w:val="000000"/>
                <w:sz w:val="20"/>
                <w:szCs w:val="20"/>
              </w:rPr>
            </w:pPr>
            <w:r>
              <w:rPr>
                <w:rFonts w:ascii="Arial" w:hAnsi="Arial" w:cs="Arial"/>
                <w:color w:val="000000"/>
                <w:sz w:val="20"/>
                <w:szCs w:val="20"/>
              </w:rPr>
              <w:t>(10%)</w:t>
            </w:r>
          </w:p>
        </w:tc>
        <w:tc>
          <w:tcPr>
            <w:tcW w:w="992" w:type="dxa"/>
            <w:hideMark/>
          </w:tcPr>
          <w:p w14:paraId="2C5DE436"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34 (10%)</w:t>
            </w:r>
          </w:p>
        </w:tc>
        <w:tc>
          <w:tcPr>
            <w:tcW w:w="989" w:type="dxa"/>
            <w:hideMark/>
          </w:tcPr>
          <w:p w14:paraId="7842BA4B"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38 </w:t>
            </w:r>
          </w:p>
          <w:p w14:paraId="2908B4F9" w14:textId="51244A49" w:rsidR="00CB6EF0" w:rsidRDefault="00CB6EF0" w:rsidP="00B624D3">
            <w:pPr>
              <w:jc w:val="right"/>
              <w:rPr>
                <w:rFonts w:ascii="Arial" w:hAnsi="Arial" w:cs="Arial"/>
                <w:color w:val="000000"/>
                <w:sz w:val="20"/>
                <w:szCs w:val="20"/>
              </w:rPr>
            </w:pPr>
            <w:r>
              <w:rPr>
                <w:rFonts w:ascii="Arial" w:hAnsi="Arial" w:cs="Arial"/>
                <w:color w:val="000000"/>
                <w:sz w:val="20"/>
                <w:szCs w:val="20"/>
              </w:rPr>
              <w:t>(8%)</w:t>
            </w:r>
          </w:p>
        </w:tc>
        <w:tc>
          <w:tcPr>
            <w:tcW w:w="996" w:type="dxa"/>
            <w:tcBorders>
              <w:right w:val="single" w:sz="18" w:space="0" w:color="000000" w:themeColor="text1"/>
            </w:tcBorders>
            <w:hideMark/>
          </w:tcPr>
          <w:p w14:paraId="35FD66DF" w14:textId="77777777" w:rsidR="00CE4865" w:rsidRDefault="00CB6EF0" w:rsidP="00B624D3">
            <w:pPr>
              <w:jc w:val="right"/>
              <w:rPr>
                <w:rFonts w:ascii="Arial" w:hAnsi="Arial" w:cs="Arial"/>
                <w:color w:val="000000"/>
                <w:sz w:val="20"/>
                <w:szCs w:val="20"/>
              </w:rPr>
            </w:pPr>
            <w:r>
              <w:rPr>
                <w:rFonts w:ascii="Arial" w:hAnsi="Arial" w:cs="Arial"/>
                <w:color w:val="000000"/>
                <w:sz w:val="20"/>
                <w:szCs w:val="20"/>
              </w:rPr>
              <w:t xml:space="preserve">35 </w:t>
            </w:r>
          </w:p>
          <w:p w14:paraId="4E1387A0" w14:textId="712866D1" w:rsidR="00CB6EF0" w:rsidRDefault="00CB6EF0" w:rsidP="00B624D3">
            <w:pPr>
              <w:jc w:val="right"/>
              <w:rPr>
                <w:rFonts w:ascii="Arial" w:hAnsi="Arial" w:cs="Arial"/>
                <w:color w:val="000000"/>
                <w:sz w:val="20"/>
                <w:szCs w:val="20"/>
              </w:rPr>
            </w:pPr>
            <w:r>
              <w:rPr>
                <w:rFonts w:ascii="Arial" w:hAnsi="Arial" w:cs="Arial"/>
                <w:color w:val="000000"/>
                <w:sz w:val="20"/>
                <w:szCs w:val="20"/>
              </w:rPr>
              <w:t>(8%)</w:t>
            </w:r>
          </w:p>
        </w:tc>
        <w:tc>
          <w:tcPr>
            <w:tcW w:w="992" w:type="dxa"/>
            <w:tcBorders>
              <w:left w:val="single" w:sz="18" w:space="0" w:color="000000" w:themeColor="text1"/>
            </w:tcBorders>
            <w:hideMark/>
          </w:tcPr>
          <w:p w14:paraId="255A04FF"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11 </w:t>
            </w:r>
          </w:p>
          <w:p w14:paraId="5E46F6CA" w14:textId="7C781211" w:rsidR="00CB6EF0" w:rsidRDefault="00CB6EF0" w:rsidP="00B624D3">
            <w:pPr>
              <w:jc w:val="right"/>
              <w:rPr>
                <w:rFonts w:ascii="Arial" w:hAnsi="Arial" w:cs="Arial"/>
                <w:color w:val="000000"/>
                <w:sz w:val="20"/>
                <w:szCs w:val="20"/>
              </w:rPr>
            </w:pPr>
            <w:r>
              <w:rPr>
                <w:rFonts w:ascii="Arial" w:hAnsi="Arial" w:cs="Arial"/>
                <w:color w:val="000000"/>
                <w:sz w:val="20"/>
                <w:szCs w:val="20"/>
              </w:rPr>
              <w:t>(6%)</w:t>
            </w:r>
          </w:p>
        </w:tc>
        <w:tc>
          <w:tcPr>
            <w:tcW w:w="992" w:type="dxa"/>
            <w:hideMark/>
          </w:tcPr>
          <w:p w14:paraId="3ABA4600"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3 </w:t>
            </w:r>
          </w:p>
          <w:p w14:paraId="63769246" w14:textId="5CDD8EC0" w:rsidR="00CB6EF0" w:rsidRDefault="00CB6EF0" w:rsidP="00B624D3">
            <w:pPr>
              <w:jc w:val="right"/>
              <w:rPr>
                <w:rFonts w:ascii="Arial" w:hAnsi="Arial" w:cs="Arial"/>
                <w:color w:val="000000"/>
                <w:sz w:val="20"/>
                <w:szCs w:val="20"/>
              </w:rPr>
            </w:pPr>
            <w:r>
              <w:rPr>
                <w:rFonts w:ascii="Arial" w:hAnsi="Arial" w:cs="Arial"/>
                <w:color w:val="000000"/>
                <w:sz w:val="20"/>
                <w:szCs w:val="20"/>
              </w:rPr>
              <w:t>(3%)</w:t>
            </w:r>
          </w:p>
        </w:tc>
        <w:tc>
          <w:tcPr>
            <w:tcW w:w="992" w:type="dxa"/>
            <w:hideMark/>
          </w:tcPr>
          <w:p w14:paraId="40C2B611"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8 </w:t>
            </w:r>
          </w:p>
          <w:p w14:paraId="56D6810A" w14:textId="098EA7A9" w:rsidR="00CB6EF0" w:rsidRDefault="00CB6EF0" w:rsidP="00B624D3">
            <w:pPr>
              <w:jc w:val="right"/>
              <w:rPr>
                <w:rFonts w:ascii="Arial" w:hAnsi="Arial" w:cs="Arial"/>
                <w:color w:val="000000"/>
                <w:sz w:val="20"/>
                <w:szCs w:val="20"/>
              </w:rPr>
            </w:pPr>
            <w:r>
              <w:rPr>
                <w:rFonts w:ascii="Arial" w:hAnsi="Arial" w:cs="Arial"/>
                <w:color w:val="000000"/>
                <w:sz w:val="20"/>
                <w:szCs w:val="20"/>
              </w:rPr>
              <w:t>(4%)</w:t>
            </w:r>
          </w:p>
        </w:tc>
        <w:tc>
          <w:tcPr>
            <w:tcW w:w="993" w:type="dxa"/>
            <w:hideMark/>
          </w:tcPr>
          <w:p w14:paraId="43B574EE"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7</w:t>
            </w:r>
          </w:p>
          <w:p w14:paraId="7E212EE7" w14:textId="764EAFA6" w:rsidR="00CB6EF0" w:rsidRDefault="00CB6EF0" w:rsidP="00B624D3">
            <w:pPr>
              <w:jc w:val="right"/>
              <w:rPr>
                <w:rFonts w:ascii="Arial" w:hAnsi="Arial" w:cs="Arial"/>
                <w:color w:val="000000"/>
                <w:sz w:val="20"/>
                <w:szCs w:val="20"/>
              </w:rPr>
            </w:pPr>
            <w:r>
              <w:rPr>
                <w:rFonts w:ascii="Arial" w:hAnsi="Arial" w:cs="Arial"/>
                <w:color w:val="000000"/>
                <w:sz w:val="20"/>
                <w:szCs w:val="20"/>
              </w:rPr>
              <w:t xml:space="preserve"> (5%)</w:t>
            </w:r>
          </w:p>
        </w:tc>
      </w:tr>
      <w:tr w:rsidR="00B624D3" w14:paraId="347E9545" w14:textId="77777777" w:rsidTr="0021091F">
        <w:trPr>
          <w:trHeight w:val="525"/>
        </w:trPr>
        <w:tc>
          <w:tcPr>
            <w:tcW w:w="1555" w:type="dxa"/>
            <w:shd w:val="clear" w:color="auto" w:fill="A2BDC1"/>
            <w:hideMark/>
          </w:tcPr>
          <w:p w14:paraId="629EDFFE"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Sexual orientation</w:t>
            </w:r>
          </w:p>
        </w:tc>
        <w:tc>
          <w:tcPr>
            <w:tcW w:w="992" w:type="dxa"/>
            <w:hideMark/>
          </w:tcPr>
          <w:p w14:paraId="79AEAFD4"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9</w:t>
            </w:r>
          </w:p>
          <w:p w14:paraId="04040F5C" w14:textId="3D9C445D" w:rsidR="00CB6EF0" w:rsidRDefault="00CB6EF0" w:rsidP="00B624D3">
            <w:pPr>
              <w:jc w:val="right"/>
              <w:rPr>
                <w:rFonts w:ascii="Arial" w:hAnsi="Arial" w:cs="Arial"/>
                <w:color w:val="000000"/>
                <w:sz w:val="20"/>
                <w:szCs w:val="20"/>
              </w:rPr>
            </w:pPr>
            <w:r>
              <w:rPr>
                <w:rFonts w:ascii="Arial" w:hAnsi="Arial" w:cs="Arial"/>
                <w:color w:val="000000"/>
                <w:sz w:val="20"/>
                <w:szCs w:val="20"/>
              </w:rPr>
              <w:t>(2%)</w:t>
            </w:r>
          </w:p>
        </w:tc>
        <w:tc>
          <w:tcPr>
            <w:tcW w:w="992" w:type="dxa"/>
            <w:hideMark/>
          </w:tcPr>
          <w:p w14:paraId="6A11FB4B"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9 </w:t>
            </w:r>
          </w:p>
          <w:p w14:paraId="2ACDE81B" w14:textId="76F9D94B" w:rsidR="00CB6EF0" w:rsidRDefault="00CB6EF0" w:rsidP="00B624D3">
            <w:pPr>
              <w:jc w:val="right"/>
              <w:rPr>
                <w:rFonts w:ascii="Arial" w:hAnsi="Arial" w:cs="Arial"/>
                <w:color w:val="000000"/>
                <w:sz w:val="20"/>
                <w:szCs w:val="20"/>
              </w:rPr>
            </w:pPr>
            <w:r>
              <w:rPr>
                <w:rFonts w:ascii="Arial" w:hAnsi="Arial" w:cs="Arial"/>
                <w:color w:val="000000"/>
                <w:sz w:val="20"/>
                <w:szCs w:val="20"/>
              </w:rPr>
              <w:t>(3%)</w:t>
            </w:r>
          </w:p>
        </w:tc>
        <w:tc>
          <w:tcPr>
            <w:tcW w:w="989" w:type="dxa"/>
            <w:hideMark/>
          </w:tcPr>
          <w:p w14:paraId="7F3ABCC5"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13 </w:t>
            </w:r>
          </w:p>
          <w:p w14:paraId="384E29AD" w14:textId="32F1BF0A" w:rsidR="00CB6EF0" w:rsidRDefault="00CB6EF0" w:rsidP="00B624D3">
            <w:pPr>
              <w:jc w:val="right"/>
              <w:rPr>
                <w:rFonts w:ascii="Arial" w:hAnsi="Arial" w:cs="Arial"/>
                <w:color w:val="000000"/>
                <w:sz w:val="20"/>
                <w:szCs w:val="20"/>
              </w:rPr>
            </w:pPr>
            <w:r>
              <w:rPr>
                <w:rFonts w:ascii="Arial" w:hAnsi="Arial" w:cs="Arial"/>
                <w:color w:val="000000"/>
                <w:sz w:val="20"/>
                <w:szCs w:val="20"/>
              </w:rPr>
              <w:t>(3%)</w:t>
            </w:r>
          </w:p>
        </w:tc>
        <w:tc>
          <w:tcPr>
            <w:tcW w:w="996" w:type="dxa"/>
            <w:tcBorders>
              <w:right w:val="single" w:sz="18" w:space="0" w:color="000000" w:themeColor="text1"/>
            </w:tcBorders>
            <w:hideMark/>
          </w:tcPr>
          <w:p w14:paraId="08C9762C" w14:textId="77777777" w:rsidR="00CE4865" w:rsidRDefault="00CB6EF0" w:rsidP="00B624D3">
            <w:pPr>
              <w:jc w:val="right"/>
              <w:rPr>
                <w:rFonts w:ascii="Arial" w:hAnsi="Arial" w:cs="Arial"/>
                <w:color w:val="000000"/>
                <w:sz w:val="20"/>
                <w:szCs w:val="20"/>
              </w:rPr>
            </w:pPr>
            <w:r>
              <w:rPr>
                <w:rFonts w:ascii="Arial" w:hAnsi="Arial" w:cs="Arial"/>
                <w:color w:val="000000"/>
                <w:sz w:val="20"/>
                <w:szCs w:val="20"/>
              </w:rPr>
              <w:t xml:space="preserve">6 </w:t>
            </w:r>
          </w:p>
          <w:p w14:paraId="29A1B1D5" w14:textId="1D8B6C61" w:rsidR="00CB6EF0" w:rsidRDefault="00CB6EF0" w:rsidP="00B624D3">
            <w:pPr>
              <w:jc w:val="right"/>
              <w:rPr>
                <w:rFonts w:ascii="Arial" w:hAnsi="Arial" w:cs="Arial"/>
                <w:color w:val="000000"/>
                <w:sz w:val="20"/>
                <w:szCs w:val="20"/>
              </w:rPr>
            </w:pPr>
            <w:r>
              <w:rPr>
                <w:rFonts w:ascii="Arial" w:hAnsi="Arial" w:cs="Arial"/>
                <w:color w:val="000000"/>
                <w:sz w:val="20"/>
                <w:szCs w:val="20"/>
              </w:rPr>
              <w:t>(1%)</w:t>
            </w:r>
          </w:p>
        </w:tc>
        <w:tc>
          <w:tcPr>
            <w:tcW w:w="992" w:type="dxa"/>
            <w:tcBorders>
              <w:left w:val="single" w:sz="18" w:space="0" w:color="000000" w:themeColor="text1"/>
            </w:tcBorders>
            <w:hideMark/>
          </w:tcPr>
          <w:p w14:paraId="53A7A545"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4 </w:t>
            </w:r>
          </w:p>
          <w:p w14:paraId="3B300601" w14:textId="097E76FE" w:rsidR="00CB6EF0" w:rsidRDefault="00CB6EF0" w:rsidP="00B624D3">
            <w:pPr>
              <w:jc w:val="right"/>
              <w:rPr>
                <w:rFonts w:ascii="Arial" w:hAnsi="Arial" w:cs="Arial"/>
                <w:color w:val="000000"/>
                <w:sz w:val="20"/>
                <w:szCs w:val="20"/>
              </w:rPr>
            </w:pPr>
            <w:r>
              <w:rPr>
                <w:rFonts w:ascii="Arial" w:hAnsi="Arial" w:cs="Arial"/>
                <w:color w:val="000000"/>
                <w:sz w:val="20"/>
                <w:szCs w:val="20"/>
              </w:rPr>
              <w:t>(2%)</w:t>
            </w:r>
          </w:p>
        </w:tc>
        <w:tc>
          <w:tcPr>
            <w:tcW w:w="992" w:type="dxa"/>
            <w:hideMark/>
          </w:tcPr>
          <w:p w14:paraId="307EB17D"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3 </w:t>
            </w:r>
          </w:p>
          <w:p w14:paraId="3C633519" w14:textId="171C3735" w:rsidR="00CB6EF0" w:rsidRDefault="00CB6EF0" w:rsidP="00B624D3">
            <w:pPr>
              <w:jc w:val="right"/>
              <w:rPr>
                <w:rFonts w:ascii="Arial" w:hAnsi="Arial" w:cs="Arial"/>
                <w:color w:val="000000"/>
                <w:sz w:val="20"/>
                <w:szCs w:val="20"/>
              </w:rPr>
            </w:pPr>
            <w:r>
              <w:rPr>
                <w:rFonts w:ascii="Arial" w:hAnsi="Arial" w:cs="Arial"/>
                <w:color w:val="000000"/>
                <w:sz w:val="20"/>
                <w:szCs w:val="20"/>
              </w:rPr>
              <w:t>(3%)</w:t>
            </w:r>
          </w:p>
        </w:tc>
        <w:tc>
          <w:tcPr>
            <w:tcW w:w="992" w:type="dxa"/>
            <w:hideMark/>
          </w:tcPr>
          <w:p w14:paraId="1BCC01D8"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5 </w:t>
            </w:r>
          </w:p>
          <w:p w14:paraId="44F8C6AA" w14:textId="08CF8272" w:rsidR="00CB6EF0" w:rsidRDefault="00CB6EF0" w:rsidP="00B624D3">
            <w:pPr>
              <w:jc w:val="right"/>
              <w:rPr>
                <w:rFonts w:ascii="Arial" w:hAnsi="Arial" w:cs="Arial"/>
                <w:color w:val="000000"/>
                <w:sz w:val="20"/>
                <w:szCs w:val="20"/>
              </w:rPr>
            </w:pPr>
            <w:r>
              <w:rPr>
                <w:rFonts w:ascii="Arial" w:hAnsi="Arial" w:cs="Arial"/>
                <w:color w:val="000000"/>
                <w:sz w:val="20"/>
                <w:szCs w:val="20"/>
              </w:rPr>
              <w:t>(3%)</w:t>
            </w:r>
          </w:p>
        </w:tc>
        <w:tc>
          <w:tcPr>
            <w:tcW w:w="993" w:type="dxa"/>
            <w:hideMark/>
          </w:tcPr>
          <w:p w14:paraId="5CD0D39B"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4</w:t>
            </w:r>
          </w:p>
          <w:p w14:paraId="16EA45A5" w14:textId="2353B198" w:rsidR="00CB6EF0" w:rsidRDefault="00CB6EF0" w:rsidP="00B624D3">
            <w:pPr>
              <w:jc w:val="right"/>
              <w:rPr>
                <w:rFonts w:ascii="Arial" w:hAnsi="Arial" w:cs="Arial"/>
                <w:color w:val="000000"/>
                <w:sz w:val="20"/>
                <w:szCs w:val="20"/>
              </w:rPr>
            </w:pPr>
            <w:r>
              <w:rPr>
                <w:rFonts w:ascii="Arial" w:hAnsi="Arial" w:cs="Arial"/>
                <w:color w:val="000000"/>
                <w:sz w:val="20"/>
                <w:szCs w:val="20"/>
              </w:rPr>
              <w:t xml:space="preserve"> (3%)</w:t>
            </w:r>
          </w:p>
        </w:tc>
      </w:tr>
      <w:tr w:rsidR="00B624D3" w14:paraId="4D591A71" w14:textId="77777777" w:rsidTr="0021091F">
        <w:trPr>
          <w:trHeight w:val="525"/>
        </w:trPr>
        <w:tc>
          <w:tcPr>
            <w:tcW w:w="1555" w:type="dxa"/>
            <w:shd w:val="clear" w:color="auto" w:fill="A2BDC1"/>
            <w:hideMark/>
          </w:tcPr>
          <w:p w14:paraId="77315918"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Socio-economic</w:t>
            </w:r>
          </w:p>
        </w:tc>
        <w:tc>
          <w:tcPr>
            <w:tcW w:w="992" w:type="dxa"/>
            <w:hideMark/>
          </w:tcPr>
          <w:p w14:paraId="65A14B8E"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37 </w:t>
            </w:r>
          </w:p>
          <w:p w14:paraId="3B33F68A" w14:textId="2EF77070" w:rsidR="00CB6EF0" w:rsidRDefault="00CB6EF0" w:rsidP="00B624D3">
            <w:pPr>
              <w:jc w:val="right"/>
              <w:rPr>
                <w:rFonts w:ascii="Arial" w:hAnsi="Arial" w:cs="Arial"/>
                <w:color w:val="000000"/>
                <w:sz w:val="20"/>
                <w:szCs w:val="20"/>
              </w:rPr>
            </w:pPr>
            <w:r>
              <w:rPr>
                <w:rFonts w:ascii="Arial" w:hAnsi="Arial" w:cs="Arial"/>
                <w:color w:val="000000"/>
                <w:sz w:val="20"/>
                <w:szCs w:val="20"/>
              </w:rPr>
              <w:t>(8%)</w:t>
            </w:r>
          </w:p>
        </w:tc>
        <w:tc>
          <w:tcPr>
            <w:tcW w:w="992" w:type="dxa"/>
            <w:hideMark/>
          </w:tcPr>
          <w:p w14:paraId="5D78DFB1"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21 </w:t>
            </w:r>
          </w:p>
          <w:p w14:paraId="5385D9AF" w14:textId="4EE25F8F" w:rsidR="00CB6EF0" w:rsidRDefault="00CB6EF0" w:rsidP="00B624D3">
            <w:pPr>
              <w:jc w:val="right"/>
              <w:rPr>
                <w:rFonts w:ascii="Arial" w:hAnsi="Arial" w:cs="Arial"/>
                <w:color w:val="000000"/>
                <w:sz w:val="20"/>
                <w:szCs w:val="20"/>
              </w:rPr>
            </w:pPr>
            <w:r>
              <w:rPr>
                <w:rFonts w:ascii="Arial" w:hAnsi="Arial" w:cs="Arial"/>
                <w:color w:val="000000"/>
                <w:sz w:val="20"/>
                <w:szCs w:val="20"/>
              </w:rPr>
              <w:t>(6%)</w:t>
            </w:r>
          </w:p>
        </w:tc>
        <w:tc>
          <w:tcPr>
            <w:tcW w:w="989" w:type="dxa"/>
            <w:hideMark/>
          </w:tcPr>
          <w:p w14:paraId="4C788497"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38 </w:t>
            </w:r>
          </w:p>
          <w:p w14:paraId="50FCE856" w14:textId="0B68BF1D" w:rsidR="00CB6EF0" w:rsidRDefault="00CB6EF0" w:rsidP="00B624D3">
            <w:pPr>
              <w:jc w:val="right"/>
              <w:rPr>
                <w:rFonts w:ascii="Arial" w:hAnsi="Arial" w:cs="Arial"/>
                <w:color w:val="000000"/>
                <w:sz w:val="20"/>
                <w:szCs w:val="20"/>
              </w:rPr>
            </w:pPr>
            <w:r>
              <w:rPr>
                <w:rFonts w:ascii="Arial" w:hAnsi="Arial" w:cs="Arial"/>
                <w:color w:val="000000"/>
                <w:sz w:val="20"/>
                <w:szCs w:val="20"/>
              </w:rPr>
              <w:t>(8%)</w:t>
            </w:r>
          </w:p>
        </w:tc>
        <w:tc>
          <w:tcPr>
            <w:tcW w:w="996" w:type="dxa"/>
            <w:tcBorders>
              <w:right w:val="single" w:sz="18" w:space="0" w:color="000000" w:themeColor="text1"/>
            </w:tcBorders>
            <w:hideMark/>
          </w:tcPr>
          <w:p w14:paraId="78525F46" w14:textId="77777777" w:rsidR="00CE4865" w:rsidRDefault="00CB6EF0" w:rsidP="00B624D3">
            <w:pPr>
              <w:jc w:val="right"/>
              <w:rPr>
                <w:rFonts w:ascii="Arial" w:hAnsi="Arial" w:cs="Arial"/>
                <w:color w:val="000000"/>
                <w:sz w:val="20"/>
                <w:szCs w:val="20"/>
              </w:rPr>
            </w:pPr>
            <w:r>
              <w:rPr>
                <w:rFonts w:ascii="Arial" w:hAnsi="Arial" w:cs="Arial"/>
                <w:color w:val="000000"/>
                <w:sz w:val="20"/>
                <w:szCs w:val="20"/>
              </w:rPr>
              <w:t xml:space="preserve">22 </w:t>
            </w:r>
          </w:p>
          <w:p w14:paraId="116A1C50" w14:textId="33C71A8D" w:rsidR="00CB6EF0" w:rsidRDefault="00CB6EF0" w:rsidP="00B624D3">
            <w:pPr>
              <w:jc w:val="right"/>
              <w:rPr>
                <w:rFonts w:ascii="Arial" w:hAnsi="Arial" w:cs="Arial"/>
                <w:color w:val="000000"/>
                <w:sz w:val="20"/>
                <w:szCs w:val="20"/>
              </w:rPr>
            </w:pPr>
            <w:r>
              <w:rPr>
                <w:rFonts w:ascii="Arial" w:hAnsi="Arial" w:cs="Arial"/>
                <w:color w:val="000000"/>
                <w:sz w:val="20"/>
                <w:szCs w:val="20"/>
              </w:rPr>
              <w:t>(5%)</w:t>
            </w:r>
          </w:p>
        </w:tc>
        <w:tc>
          <w:tcPr>
            <w:tcW w:w="992" w:type="dxa"/>
            <w:tcBorders>
              <w:left w:val="single" w:sz="18" w:space="0" w:color="000000" w:themeColor="text1"/>
            </w:tcBorders>
            <w:hideMark/>
          </w:tcPr>
          <w:p w14:paraId="740ABD7B"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18 </w:t>
            </w:r>
          </w:p>
          <w:p w14:paraId="2ECCE036" w14:textId="617C2E58" w:rsidR="00CB6EF0" w:rsidRDefault="00CB6EF0" w:rsidP="00B624D3">
            <w:pPr>
              <w:jc w:val="right"/>
              <w:rPr>
                <w:rFonts w:ascii="Arial" w:hAnsi="Arial" w:cs="Arial"/>
                <w:color w:val="000000"/>
                <w:sz w:val="20"/>
                <w:szCs w:val="20"/>
              </w:rPr>
            </w:pPr>
            <w:r>
              <w:rPr>
                <w:rFonts w:ascii="Arial" w:hAnsi="Arial" w:cs="Arial"/>
                <w:color w:val="000000"/>
                <w:sz w:val="20"/>
                <w:szCs w:val="20"/>
              </w:rPr>
              <w:t>(9%)</w:t>
            </w:r>
          </w:p>
        </w:tc>
        <w:tc>
          <w:tcPr>
            <w:tcW w:w="992" w:type="dxa"/>
            <w:hideMark/>
          </w:tcPr>
          <w:p w14:paraId="4FE20DC9"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8 </w:t>
            </w:r>
          </w:p>
          <w:p w14:paraId="04C24579" w14:textId="076BDBF5" w:rsidR="00CB6EF0" w:rsidRDefault="00CB6EF0" w:rsidP="00B624D3">
            <w:pPr>
              <w:jc w:val="right"/>
              <w:rPr>
                <w:rFonts w:ascii="Arial" w:hAnsi="Arial" w:cs="Arial"/>
                <w:color w:val="000000"/>
                <w:sz w:val="20"/>
                <w:szCs w:val="20"/>
              </w:rPr>
            </w:pPr>
            <w:r>
              <w:rPr>
                <w:rFonts w:ascii="Arial" w:hAnsi="Arial" w:cs="Arial"/>
                <w:color w:val="000000"/>
                <w:sz w:val="20"/>
                <w:szCs w:val="20"/>
              </w:rPr>
              <w:t>(7%)</w:t>
            </w:r>
          </w:p>
        </w:tc>
        <w:tc>
          <w:tcPr>
            <w:tcW w:w="992" w:type="dxa"/>
            <w:hideMark/>
          </w:tcPr>
          <w:p w14:paraId="5B675B6B"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 xml:space="preserve">10 </w:t>
            </w:r>
          </w:p>
          <w:p w14:paraId="2BEFDBDF" w14:textId="7C6F784F" w:rsidR="00CB6EF0" w:rsidRDefault="00CB6EF0" w:rsidP="00B624D3">
            <w:pPr>
              <w:jc w:val="right"/>
              <w:rPr>
                <w:rFonts w:ascii="Arial" w:hAnsi="Arial" w:cs="Arial"/>
                <w:color w:val="000000"/>
                <w:sz w:val="20"/>
                <w:szCs w:val="20"/>
              </w:rPr>
            </w:pPr>
            <w:r>
              <w:rPr>
                <w:rFonts w:ascii="Arial" w:hAnsi="Arial" w:cs="Arial"/>
                <w:color w:val="000000"/>
                <w:sz w:val="20"/>
                <w:szCs w:val="20"/>
              </w:rPr>
              <w:t>(5%)</w:t>
            </w:r>
          </w:p>
        </w:tc>
        <w:tc>
          <w:tcPr>
            <w:tcW w:w="993" w:type="dxa"/>
            <w:hideMark/>
          </w:tcPr>
          <w:p w14:paraId="4EB9863F" w14:textId="77777777" w:rsidR="00BB3D11" w:rsidRDefault="00CB6EF0" w:rsidP="00B624D3">
            <w:pPr>
              <w:jc w:val="right"/>
              <w:rPr>
                <w:rFonts w:ascii="Arial" w:hAnsi="Arial" w:cs="Arial"/>
                <w:color w:val="000000"/>
                <w:sz w:val="20"/>
                <w:szCs w:val="20"/>
              </w:rPr>
            </w:pPr>
            <w:r>
              <w:rPr>
                <w:rFonts w:ascii="Arial" w:hAnsi="Arial" w:cs="Arial"/>
                <w:color w:val="000000"/>
                <w:sz w:val="20"/>
                <w:szCs w:val="20"/>
              </w:rPr>
              <w:t>7</w:t>
            </w:r>
          </w:p>
          <w:p w14:paraId="2BD2B43C" w14:textId="5252D4C6" w:rsidR="00CB6EF0" w:rsidRDefault="00CB6EF0" w:rsidP="00B624D3">
            <w:pPr>
              <w:jc w:val="right"/>
              <w:rPr>
                <w:rFonts w:ascii="Arial" w:hAnsi="Arial" w:cs="Arial"/>
                <w:color w:val="000000"/>
                <w:sz w:val="20"/>
                <w:szCs w:val="20"/>
              </w:rPr>
            </w:pPr>
            <w:r>
              <w:rPr>
                <w:rFonts w:ascii="Arial" w:hAnsi="Arial" w:cs="Arial"/>
                <w:color w:val="000000"/>
                <w:sz w:val="20"/>
                <w:szCs w:val="20"/>
              </w:rPr>
              <w:t xml:space="preserve"> (5%)</w:t>
            </w:r>
          </w:p>
        </w:tc>
      </w:tr>
      <w:tr w:rsidR="00B624D3" w14:paraId="2CB438D4" w14:textId="77777777" w:rsidTr="0021091F">
        <w:trPr>
          <w:trHeight w:val="525"/>
        </w:trPr>
        <w:tc>
          <w:tcPr>
            <w:tcW w:w="1555" w:type="dxa"/>
            <w:shd w:val="clear" w:color="auto" w:fill="A2BDC1"/>
            <w:hideMark/>
          </w:tcPr>
          <w:p w14:paraId="6E58472D"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Other</w:t>
            </w:r>
          </w:p>
        </w:tc>
        <w:tc>
          <w:tcPr>
            <w:tcW w:w="992" w:type="dxa"/>
            <w:hideMark/>
          </w:tcPr>
          <w:p w14:paraId="61908C09" w14:textId="77777777" w:rsidR="004A0FA9" w:rsidRDefault="00CB6EF0" w:rsidP="00B624D3">
            <w:pPr>
              <w:jc w:val="right"/>
              <w:rPr>
                <w:rFonts w:ascii="Arial" w:hAnsi="Arial" w:cs="Arial"/>
                <w:color w:val="000000"/>
                <w:sz w:val="20"/>
                <w:szCs w:val="20"/>
              </w:rPr>
            </w:pPr>
            <w:r>
              <w:rPr>
                <w:rFonts w:ascii="Arial" w:hAnsi="Arial" w:cs="Arial"/>
                <w:color w:val="000000"/>
                <w:sz w:val="20"/>
                <w:szCs w:val="20"/>
              </w:rPr>
              <w:t xml:space="preserve">80 </w:t>
            </w:r>
          </w:p>
          <w:p w14:paraId="4BAF794A" w14:textId="77DC82BD" w:rsidR="00CB6EF0" w:rsidRDefault="00CB6EF0" w:rsidP="00B624D3">
            <w:pPr>
              <w:jc w:val="right"/>
              <w:rPr>
                <w:rFonts w:ascii="Arial" w:hAnsi="Arial" w:cs="Arial"/>
                <w:color w:val="000000"/>
                <w:sz w:val="20"/>
                <w:szCs w:val="20"/>
              </w:rPr>
            </w:pPr>
            <w:r>
              <w:rPr>
                <w:rFonts w:ascii="Arial" w:hAnsi="Arial" w:cs="Arial"/>
                <w:color w:val="000000"/>
                <w:sz w:val="20"/>
                <w:szCs w:val="20"/>
              </w:rPr>
              <w:t>(18%)</w:t>
            </w:r>
          </w:p>
        </w:tc>
        <w:tc>
          <w:tcPr>
            <w:tcW w:w="992" w:type="dxa"/>
            <w:hideMark/>
          </w:tcPr>
          <w:p w14:paraId="25CCF41C"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85 (24%)</w:t>
            </w:r>
          </w:p>
        </w:tc>
        <w:tc>
          <w:tcPr>
            <w:tcW w:w="989" w:type="dxa"/>
            <w:hideMark/>
          </w:tcPr>
          <w:p w14:paraId="42BDA30C"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110 (23%)</w:t>
            </w:r>
          </w:p>
        </w:tc>
        <w:tc>
          <w:tcPr>
            <w:tcW w:w="996" w:type="dxa"/>
            <w:tcBorders>
              <w:right w:val="single" w:sz="18" w:space="0" w:color="000000" w:themeColor="text1"/>
            </w:tcBorders>
            <w:hideMark/>
          </w:tcPr>
          <w:p w14:paraId="0024EB24"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89 (21%)</w:t>
            </w:r>
          </w:p>
        </w:tc>
        <w:tc>
          <w:tcPr>
            <w:tcW w:w="992" w:type="dxa"/>
            <w:tcBorders>
              <w:left w:val="single" w:sz="18" w:space="0" w:color="000000" w:themeColor="text1"/>
            </w:tcBorders>
            <w:hideMark/>
          </w:tcPr>
          <w:p w14:paraId="235D6726"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45 (23%)</w:t>
            </w:r>
          </w:p>
        </w:tc>
        <w:tc>
          <w:tcPr>
            <w:tcW w:w="992" w:type="dxa"/>
            <w:hideMark/>
          </w:tcPr>
          <w:p w14:paraId="514AD095"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24 (21%)</w:t>
            </w:r>
          </w:p>
        </w:tc>
        <w:tc>
          <w:tcPr>
            <w:tcW w:w="992" w:type="dxa"/>
            <w:hideMark/>
          </w:tcPr>
          <w:p w14:paraId="3E30B9B3"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67 (37%)</w:t>
            </w:r>
          </w:p>
        </w:tc>
        <w:tc>
          <w:tcPr>
            <w:tcW w:w="993" w:type="dxa"/>
            <w:hideMark/>
          </w:tcPr>
          <w:p w14:paraId="6E50CC22" w14:textId="77777777" w:rsidR="00CB6EF0" w:rsidRDefault="00CB6EF0" w:rsidP="00B624D3">
            <w:pPr>
              <w:jc w:val="right"/>
              <w:rPr>
                <w:rFonts w:ascii="Arial" w:hAnsi="Arial" w:cs="Arial"/>
                <w:color w:val="000000"/>
                <w:sz w:val="20"/>
                <w:szCs w:val="20"/>
              </w:rPr>
            </w:pPr>
            <w:r>
              <w:rPr>
                <w:rFonts w:ascii="Arial" w:hAnsi="Arial" w:cs="Arial"/>
                <w:color w:val="000000"/>
                <w:sz w:val="20"/>
                <w:szCs w:val="20"/>
              </w:rPr>
              <w:t>33 (21%)</w:t>
            </w:r>
          </w:p>
        </w:tc>
      </w:tr>
      <w:tr w:rsidR="00B624D3" w14:paraId="37C714E9" w14:textId="77777777" w:rsidTr="0021091F">
        <w:trPr>
          <w:trHeight w:val="525"/>
        </w:trPr>
        <w:tc>
          <w:tcPr>
            <w:tcW w:w="1555" w:type="dxa"/>
            <w:shd w:val="clear" w:color="auto" w:fill="A2BDC1"/>
            <w:hideMark/>
          </w:tcPr>
          <w:p w14:paraId="18F4D5E4"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Total number of issues</w:t>
            </w:r>
          </w:p>
        </w:tc>
        <w:tc>
          <w:tcPr>
            <w:tcW w:w="992" w:type="dxa"/>
            <w:hideMark/>
          </w:tcPr>
          <w:p w14:paraId="03BE3A23"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447</w:t>
            </w:r>
          </w:p>
        </w:tc>
        <w:tc>
          <w:tcPr>
            <w:tcW w:w="992" w:type="dxa"/>
            <w:hideMark/>
          </w:tcPr>
          <w:p w14:paraId="33C90DEF"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348</w:t>
            </w:r>
          </w:p>
        </w:tc>
        <w:tc>
          <w:tcPr>
            <w:tcW w:w="989" w:type="dxa"/>
            <w:hideMark/>
          </w:tcPr>
          <w:p w14:paraId="43284CA9"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474</w:t>
            </w:r>
          </w:p>
        </w:tc>
        <w:tc>
          <w:tcPr>
            <w:tcW w:w="996" w:type="dxa"/>
            <w:tcBorders>
              <w:right w:val="single" w:sz="18" w:space="0" w:color="000000" w:themeColor="text1"/>
            </w:tcBorders>
            <w:hideMark/>
          </w:tcPr>
          <w:p w14:paraId="7C11CA21"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430</w:t>
            </w:r>
          </w:p>
        </w:tc>
        <w:tc>
          <w:tcPr>
            <w:tcW w:w="992" w:type="dxa"/>
            <w:tcBorders>
              <w:left w:val="single" w:sz="18" w:space="0" w:color="000000" w:themeColor="text1"/>
            </w:tcBorders>
            <w:hideMark/>
          </w:tcPr>
          <w:p w14:paraId="518452EB"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194</w:t>
            </w:r>
          </w:p>
        </w:tc>
        <w:tc>
          <w:tcPr>
            <w:tcW w:w="992" w:type="dxa"/>
            <w:hideMark/>
          </w:tcPr>
          <w:p w14:paraId="5C6DCFD2"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113</w:t>
            </w:r>
          </w:p>
        </w:tc>
        <w:tc>
          <w:tcPr>
            <w:tcW w:w="992" w:type="dxa"/>
            <w:hideMark/>
          </w:tcPr>
          <w:p w14:paraId="7BCA8BF1"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183</w:t>
            </w:r>
          </w:p>
        </w:tc>
        <w:tc>
          <w:tcPr>
            <w:tcW w:w="993" w:type="dxa"/>
            <w:hideMark/>
          </w:tcPr>
          <w:p w14:paraId="2467A8E5"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155</w:t>
            </w:r>
          </w:p>
        </w:tc>
      </w:tr>
      <w:tr w:rsidR="00B624D3" w14:paraId="13F5B993" w14:textId="77777777" w:rsidTr="0021091F">
        <w:trPr>
          <w:trHeight w:val="780"/>
        </w:trPr>
        <w:tc>
          <w:tcPr>
            <w:tcW w:w="1555" w:type="dxa"/>
            <w:shd w:val="clear" w:color="auto" w:fill="A2BDC1"/>
            <w:hideMark/>
          </w:tcPr>
          <w:p w14:paraId="6B79FF91" w14:textId="77777777" w:rsidR="00CB6EF0" w:rsidRPr="007845EA" w:rsidRDefault="00CB6EF0">
            <w:pPr>
              <w:rPr>
                <w:rFonts w:ascii="Arial" w:hAnsi="Arial" w:cs="Arial"/>
                <w:b/>
                <w:bCs/>
                <w:color w:val="000000" w:themeColor="text1"/>
                <w:sz w:val="20"/>
                <w:szCs w:val="20"/>
              </w:rPr>
            </w:pPr>
            <w:r w:rsidRPr="007845EA">
              <w:rPr>
                <w:rFonts w:ascii="Arial" w:hAnsi="Arial" w:cs="Arial"/>
                <w:b/>
                <w:bCs/>
                <w:color w:val="000000" w:themeColor="text1"/>
                <w:sz w:val="20"/>
                <w:szCs w:val="20"/>
              </w:rPr>
              <w:t>Total guidance produced</w:t>
            </w:r>
          </w:p>
        </w:tc>
        <w:tc>
          <w:tcPr>
            <w:tcW w:w="992" w:type="dxa"/>
            <w:shd w:val="clear" w:color="auto" w:fill="A2BDC1"/>
            <w:hideMark/>
          </w:tcPr>
          <w:p w14:paraId="424E3E1C"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191</w:t>
            </w:r>
          </w:p>
        </w:tc>
        <w:tc>
          <w:tcPr>
            <w:tcW w:w="992" w:type="dxa"/>
            <w:shd w:val="clear" w:color="auto" w:fill="A2BDC1"/>
            <w:hideMark/>
          </w:tcPr>
          <w:p w14:paraId="4EB18952"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163</w:t>
            </w:r>
          </w:p>
        </w:tc>
        <w:tc>
          <w:tcPr>
            <w:tcW w:w="989" w:type="dxa"/>
            <w:shd w:val="clear" w:color="auto" w:fill="A2BDC1"/>
            <w:hideMark/>
          </w:tcPr>
          <w:p w14:paraId="0BEDDDC4"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193</w:t>
            </w:r>
          </w:p>
        </w:tc>
        <w:tc>
          <w:tcPr>
            <w:tcW w:w="996" w:type="dxa"/>
            <w:tcBorders>
              <w:right w:val="single" w:sz="18" w:space="0" w:color="000000" w:themeColor="text1"/>
            </w:tcBorders>
            <w:shd w:val="clear" w:color="auto" w:fill="A2BDC1"/>
            <w:hideMark/>
          </w:tcPr>
          <w:p w14:paraId="3F616CEA"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157</w:t>
            </w:r>
          </w:p>
        </w:tc>
        <w:tc>
          <w:tcPr>
            <w:tcW w:w="992" w:type="dxa"/>
            <w:tcBorders>
              <w:left w:val="single" w:sz="18" w:space="0" w:color="000000" w:themeColor="text1"/>
            </w:tcBorders>
            <w:shd w:val="clear" w:color="auto" w:fill="A2BDC1"/>
            <w:hideMark/>
          </w:tcPr>
          <w:p w14:paraId="179C1624"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191</w:t>
            </w:r>
          </w:p>
        </w:tc>
        <w:tc>
          <w:tcPr>
            <w:tcW w:w="992" w:type="dxa"/>
            <w:shd w:val="clear" w:color="auto" w:fill="A2BDC1"/>
            <w:hideMark/>
          </w:tcPr>
          <w:p w14:paraId="5A0A2158"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163</w:t>
            </w:r>
          </w:p>
        </w:tc>
        <w:tc>
          <w:tcPr>
            <w:tcW w:w="992" w:type="dxa"/>
            <w:shd w:val="clear" w:color="auto" w:fill="A2BDC1"/>
            <w:hideMark/>
          </w:tcPr>
          <w:p w14:paraId="51AE04A2"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193</w:t>
            </w:r>
          </w:p>
        </w:tc>
        <w:tc>
          <w:tcPr>
            <w:tcW w:w="993" w:type="dxa"/>
            <w:shd w:val="clear" w:color="auto" w:fill="A2BDC1"/>
            <w:hideMark/>
          </w:tcPr>
          <w:p w14:paraId="1BF4A8A0" w14:textId="77777777" w:rsidR="00CB6EF0" w:rsidRDefault="00CB6EF0">
            <w:pPr>
              <w:jc w:val="right"/>
              <w:rPr>
                <w:rFonts w:ascii="Arial" w:hAnsi="Arial" w:cs="Arial"/>
                <w:b/>
                <w:bCs/>
                <w:color w:val="000000"/>
                <w:sz w:val="20"/>
                <w:szCs w:val="20"/>
              </w:rPr>
            </w:pPr>
            <w:r>
              <w:rPr>
                <w:rFonts w:ascii="Arial" w:hAnsi="Arial" w:cs="Arial"/>
                <w:b/>
                <w:bCs/>
                <w:color w:val="000000"/>
                <w:sz w:val="20"/>
                <w:szCs w:val="20"/>
              </w:rPr>
              <w:t>157</w:t>
            </w:r>
          </w:p>
        </w:tc>
      </w:tr>
    </w:tbl>
    <w:p w14:paraId="6CB20F0C" w14:textId="59F01106" w:rsidR="00556187" w:rsidRPr="00A30580" w:rsidRDefault="00654786" w:rsidP="007F28F6">
      <w:pPr>
        <w:pStyle w:val="Paragraph"/>
        <w:spacing w:before="240"/>
      </w:pPr>
      <w:r w:rsidRPr="00DE711D">
        <w:rPr>
          <w:color w:val="000000" w:themeColor="text1"/>
        </w:rPr>
        <w:t xml:space="preserve">In </w:t>
      </w:r>
      <w:r w:rsidR="00BB3D11" w:rsidRPr="00DE711D">
        <w:rPr>
          <w:color w:val="000000" w:themeColor="text1"/>
        </w:rPr>
        <w:t>2018/19</w:t>
      </w:r>
      <w:r w:rsidRPr="00DE711D">
        <w:rPr>
          <w:color w:val="000000" w:themeColor="text1"/>
        </w:rPr>
        <w:t xml:space="preserve">, </w:t>
      </w:r>
      <w:r w:rsidR="00BB3D11" w:rsidRPr="00DE711D">
        <w:rPr>
          <w:color w:val="000000" w:themeColor="text1"/>
        </w:rPr>
        <w:t>430</w:t>
      </w:r>
      <w:r w:rsidRPr="00DE711D">
        <w:rPr>
          <w:color w:val="000000" w:themeColor="text1"/>
        </w:rPr>
        <w:t xml:space="preserve"> potential equality issues were identified during the development of </w:t>
      </w:r>
      <w:r w:rsidR="00BB3D11" w:rsidRPr="00DE711D">
        <w:rPr>
          <w:color w:val="000000" w:themeColor="text1"/>
        </w:rPr>
        <w:t>157</w:t>
      </w:r>
      <w:r w:rsidRPr="00DE711D">
        <w:rPr>
          <w:color w:val="000000" w:themeColor="text1"/>
        </w:rPr>
        <w:t xml:space="preserve"> pieces of published guidance. The outcome of advisory bodies’ equality analysis was that consideration of </w:t>
      </w:r>
      <w:r w:rsidR="00DE711D" w:rsidRPr="00DE711D">
        <w:rPr>
          <w:color w:val="000000" w:themeColor="text1"/>
        </w:rPr>
        <w:t>155</w:t>
      </w:r>
      <w:r w:rsidRPr="00DE711D">
        <w:rPr>
          <w:color w:val="000000" w:themeColor="text1"/>
        </w:rPr>
        <w:t xml:space="preserve"> (3</w:t>
      </w:r>
      <w:r w:rsidR="00DE711D" w:rsidRPr="00DE711D">
        <w:rPr>
          <w:color w:val="000000" w:themeColor="text1"/>
        </w:rPr>
        <w:t>6</w:t>
      </w:r>
      <w:r w:rsidRPr="00DE711D">
        <w:rPr>
          <w:color w:val="000000" w:themeColor="text1"/>
        </w:rPr>
        <w:t xml:space="preserve">%) of the issues identified had an impact on recommendations, whereas consideration of </w:t>
      </w:r>
      <w:r w:rsidR="00DE711D">
        <w:rPr>
          <w:color w:val="000000" w:themeColor="text1"/>
        </w:rPr>
        <w:t>275</w:t>
      </w:r>
      <w:r w:rsidRPr="00DE711D">
        <w:rPr>
          <w:color w:val="000000" w:themeColor="text1"/>
        </w:rPr>
        <w:t xml:space="preserve"> (6</w:t>
      </w:r>
      <w:r w:rsidR="00DE711D" w:rsidRPr="00DE711D">
        <w:rPr>
          <w:color w:val="000000" w:themeColor="text1"/>
        </w:rPr>
        <w:t>4</w:t>
      </w:r>
      <w:r w:rsidRPr="00DE711D">
        <w:rPr>
          <w:color w:val="000000" w:themeColor="text1"/>
        </w:rPr>
        <w:t xml:space="preserve">%) issues did not. </w:t>
      </w:r>
      <w:r w:rsidR="00246B04">
        <w:rPr>
          <w:color w:val="000000" w:themeColor="text1"/>
        </w:rPr>
        <w:t xml:space="preserve">Since 2016/17 there has been a year on year increase </w:t>
      </w:r>
      <w:r w:rsidR="00556187" w:rsidRPr="00A30580">
        <w:t>in</w:t>
      </w:r>
      <w:r w:rsidR="002C2859">
        <w:rPr>
          <w:color w:val="FF0000"/>
        </w:rPr>
        <w:t xml:space="preserve"> </w:t>
      </w:r>
      <w:r w:rsidR="002C2859" w:rsidRPr="00A30580">
        <w:t>both</w:t>
      </w:r>
      <w:r w:rsidR="00556187" w:rsidRPr="00A30580">
        <w:t>:</w:t>
      </w:r>
    </w:p>
    <w:p w14:paraId="05F83A65" w14:textId="5E699119" w:rsidR="00556187" w:rsidRPr="00A30580" w:rsidRDefault="00556187" w:rsidP="00556187">
      <w:pPr>
        <w:pStyle w:val="Bullets"/>
      </w:pPr>
      <w:r w:rsidRPr="00A30580">
        <w:t>t</w:t>
      </w:r>
      <w:r w:rsidR="00654786" w:rsidRPr="00A30580">
        <w:t xml:space="preserve">he </w:t>
      </w:r>
      <w:r w:rsidR="00B4127D" w:rsidRPr="00A30580">
        <w:t xml:space="preserve">ratio of the </w:t>
      </w:r>
      <w:r w:rsidR="00654786" w:rsidRPr="00A30580">
        <w:t xml:space="preserve">number of </w:t>
      </w:r>
      <w:r w:rsidRPr="00A30580">
        <w:t xml:space="preserve">potential </w:t>
      </w:r>
      <w:r w:rsidR="00654786" w:rsidRPr="00A30580">
        <w:t xml:space="preserve">equality issues </w:t>
      </w:r>
      <w:r w:rsidR="00B4127D" w:rsidRPr="00A30580">
        <w:t xml:space="preserve">identified to the total amount of </w:t>
      </w:r>
      <w:r w:rsidR="00654786" w:rsidRPr="00A30580">
        <w:t>guidance produced</w:t>
      </w:r>
      <w:r w:rsidR="00B4127D" w:rsidRPr="00A30580">
        <w:t xml:space="preserve"> </w:t>
      </w:r>
      <w:r w:rsidR="002C2859" w:rsidRPr="00A30580">
        <w:t>and</w:t>
      </w:r>
    </w:p>
    <w:p w14:paraId="1EE4F20F" w14:textId="12F054B0" w:rsidR="00556187" w:rsidRPr="00A30580" w:rsidRDefault="00556187" w:rsidP="00A30580">
      <w:pPr>
        <w:pStyle w:val="Bulletslast"/>
      </w:pPr>
      <w:r w:rsidRPr="00A30580">
        <w:t>t</w:t>
      </w:r>
      <w:r w:rsidR="00654786" w:rsidRPr="00A30580">
        <w:t xml:space="preserve">he </w:t>
      </w:r>
      <w:r w:rsidR="00B4127D" w:rsidRPr="00A30580">
        <w:t xml:space="preserve">ratio of the </w:t>
      </w:r>
      <w:r w:rsidR="00654786" w:rsidRPr="00A30580">
        <w:t>number of issues that impacted on recom</w:t>
      </w:r>
      <w:r w:rsidR="00B4127D" w:rsidRPr="00A30580">
        <w:t>mendations</w:t>
      </w:r>
      <w:r w:rsidR="00654786" w:rsidRPr="00A30580">
        <w:t xml:space="preserve"> </w:t>
      </w:r>
      <w:r w:rsidR="00B4127D" w:rsidRPr="00A30580">
        <w:t xml:space="preserve">to </w:t>
      </w:r>
      <w:r w:rsidR="00654786" w:rsidRPr="00A30580">
        <w:t>total amount of guidance produced</w:t>
      </w:r>
      <w:r w:rsidR="002C2859" w:rsidRPr="00A30580">
        <w:t>.</w:t>
      </w:r>
    </w:p>
    <w:p w14:paraId="5026FA39" w14:textId="01B73FCF" w:rsidR="00654786" w:rsidRPr="00E23AB3" w:rsidRDefault="00DF0E0C" w:rsidP="00A30580">
      <w:pPr>
        <w:pStyle w:val="Paragraph"/>
      </w:pPr>
      <w:r>
        <w:t>In 2018/19 t</w:t>
      </w:r>
      <w:r w:rsidR="00556187" w:rsidRPr="00E23AB3">
        <w:t xml:space="preserve">he percentage of the identified potential equality issues that </w:t>
      </w:r>
      <w:r w:rsidR="00761E6C">
        <w:t xml:space="preserve">subsequently </w:t>
      </w:r>
      <w:r w:rsidR="00556187" w:rsidRPr="00E23AB3">
        <w:t>impacted on recommendations</w:t>
      </w:r>
      <w:r>
        <w:t xml:space="preserve"> </w:t>
      </w:r>
      <w:r w:rsidR="00D84727">
        <w:t xml:space="preserve">(36%) </w:t>
      </w:r>
      <w:r>
        <w:t xml:space="preserve">was slightly lower than </w:t>
      </w:r>
      <w:r w:rsidR="00761E6C">
        <w:t xml:space="preserve">in </w:t>
      </w:r>
      <w:r w:rsidR="00D84727">
        <w:t xml:space="preserve">2017/18 (39%) but higher than </w:t>
      </w:r>
      <w:r w:rsidR="00761E6C">
        <w:t xml:space="preserve">in </w:t>
      </w:r>
      <w:r w:rsidR="00D84727">
        <w:t>2016/17 (32%)</w:t>
      </w:r>
      <w:r w:rsidR="00654786" w:rsidRPr="00E23AB3">
        <w:t xml:space="preserve">. </w:t>
      </w:r>
    </w:p>
    <w:p w14:paraId="025A2F35" w14:textId="77777777" w:rsidR="00654786" w:rsidRPr="00D84727" w:rsidRDefault="00654786" w:rsidP="00C51B05">
      <w:pPr>
        <w:pStyle w:val="Paragraph"/>
      </w:pPr>
      <w:r w:rsidRPr="00D84727">
        <w:lastRenderedPageBreak/>
        <w:t xml:space="preserve">Age, </w:t>
      </w:r>
      <w:proofErr w:type="gramStart"/>
      <w:r w:rsidRPr="00D84727">
        <w:t>disability</w:t>
      </w:r>
      <w:proofErr w:type="gramEnd"/>
      <w:r w:rsidRPr="00D84727">
        <w:t xml:space="preserve"> and race continue to account for the greatest number of equality issues both in terms of initial identification and those which impacted on recommendations.</w:t>
      </w:r>
    </w:p>
    <w:p w14:paraId="58D1B734" w14:textId="1C2A5AE7" w:rsidR="00A24455" w:rsidRPr="00E23AB3" w:rsidRDefault="00A24455" w:rsidP="00A24455">
      <w:pPr>
        <w:pStyle w:val="Paragraph"/>
        <w:rPr>
          <w:color w:val="FF0000"/>
        </w:rPr>
      </w:pPr>
      <w:r w:rsidRPr="00CC6E5E">
        <w:t xml:space="preserve">There is variation in the number of potential equality issues identified between guidance programmes. The number of potential equality issues identified per guidance topic was highest for the </w:t>
      </w:r>
      <w:proofErr w:type="gramStart"/>
      <w:r w:rsidRPr="00CC6E5E">
        <w:t>guidelines</w:t>
      </w:r>
      <w:proofErr w:type="gramEnd"/>
      <w:r w:rsidRPr="00CC6E5E">
        <w:t xml:space="preserve"> programmes, and lowest </w:t>
      </w:r>
      <w:r w:rsidR="00805743">
        <w:t xml:space="preserve">for </w:t>
      </w:r>
      <w:r w:rsidRPr="00CC6E5E">
        <w:t xml:space="preserve">the </w:t>
      </w:r>
      <w:r w:rsidR="00CC6E5E" w:rsidRPr="00CC6E5E">
        <w:t xml:space="preserve">medical technologies, </w:t>
      </w:r>
      <w:r w:rsidRPr="00CC6E5E">
        <w:t xml:space="preserve">technology appraisals, </w:t>
      </w:r>
      <w:r w:rsidR="00CC6E5E" w:rsidRPr="00CC6E5E">
        <w:t xml:space="preserve">highly specialised technologies, and indicators </w:t>
      </w:r>
      <w:r w:rsidRPr="00CC6E5E">
        <w:t xml:space="preserve">programmes. </w:t>
      </w:r>
      <w:r w:rsidRPr="00216A5D">
        <w:t xml:space="preserve">The extent the identified issues impacted on recommendations also varies between programmes. </w:t>
      </w:r>
      <w:r w:rsidR="00631656" w:rsidRPr="00216A5D">
        <w:t>62</w:t>
      </w:r>
      <w:r w:rsidRPr="00216A5D">
        <w:t xml:space="preserve"> of the </w:t>
      </w:r>
      <w:r w:rsidR="00631656" w:rsidRPr="00216A5D">
        <w:t>7</w:t>
      </w:r>
      <w:r w:rsidRPr="00216A5D">
        <w:t>4 identified potential equality issues (</w:t>
      </w:r>
      <w:r w:rsidR="00631656" w:rsidRPr="00216A5D">
        <w:t>84</w:t>
      </w:r>
      <w:r w:rsidRPr="00216A5D">
        <w:t xml:space="preserve">%) impacted on recommendations in the </w:t>
      </w:r>
      <w:r w:rsidR="000E685C">
        <w:t>clinical</w:t>
      </w:r>
      <w:r w:rsidRPr="00216A5D">
        <w:t xml:space="preserve"> guidelines. 1</w:t>
      </w:r>
      <w:r w:rsidR="00631656" w:rsidRPr="00216A5D">
        <w:t>19</w:t>
      </w:r>
      <w:r w:rsidRPr="00216A5D">
        <w:t xml:space="preserve"> potential equality issues were identified in the </w:t>
      </w:r>
      <w:r w:rsidR="000E685C">
        <w:t>i</w:t>
      </w:r>
      <w:r w:rsidRPr="00216A5D">
        <w:t xml:space="preserve">nterventional </w:t>
      </w:r>
      <w:r w:rsidR="000E685C">
        <w:t>p</w:t>
      </w:r>
      <w:r w:rsidRPr="00216A5D">
        <w:t>rocedures programme, but none subsequently impacted on guidance recommendations</w:t>
      </w:r>
      <w:r w:rsidR="00631656" w:rsidRPr="00216A5D">
        <w:t xml:space="preserve">; this was </w:t>
      </w:r>
      <w:proofErr w:type="gramStart"/>
      <w:r w:rsidR="00631656" w:rsidRPr="00216A5D">
        <w:t>similar to</w:t>
      </w:r>
      <w:proofErr w:type="gramEnd"/>
      <w:r w:rsidR="00631656" w:rsidRPr="00216A5D">
        <w:t xml:space="preserve"> 2017/18 when </w:t>
      </w:r>
      <w:r w:rsidR="00216A5D" w:rsidRPr="00216A5D">
        <w:t xml:space="preserve">none of the 112 identified potential equality issues </w:t>
      </w:r>
      <w:r w:rsidR="000E685C">
        <w:t xml:space="preserve">in the interventional procedures programme </w:t>
      </w:r>
      <w:r w:rsidR="00216A5D" w:rsidRPr="00216A5D">
        <w:t>impacted on guidance recommendations.</w:t>
      </w:r>
    </w:p>
    <w:p w14:paraId="006E3384" w14:textId="77845162" w:rsidR="00A24455" w:rsidRPr="002A6EF4" w:rsidRDefault="00A24455" w:rsidP="002A6EF4">
      <w:pPr>
        <w:pStyle w:val="Paragraph"/>
      </w:pPr>
      <w:r w:rsidRPr="00C846DA">
        <w:t>As noted earlier in the report, the cross-Institute equality and diversity group have looked at this variation, and believe it largely reflects the different nature of the guidance programmes and the guidance topics</w:t>
      </w:r>
      <w:r w:rsidR="00C846DA" w:rsidRPr="00C846DA">
        <w:t xml:space="preserve">. </w:t>
      </w:r>
      <w:bookmarkStart w:id="4" w:name="_Hlk14877140"/>
      <w:r w:rsidR="0099475A">
        <w:t>For example, the public health and social care guidelines have greater scope to address inequalities</w:t>
      </w:r>
      <w:r w:rsidR="009C2EFA">
        <w:t xml:space="preserve"> and promote the equality duty than programmes focused on evaluating a specific health technology</w:t>
      </w:r>
      <w:r w:rsidR="0099475A">
        <w:t xml:space="preserve">. </w:t>
      </w:r>
      <w:bookmarkEnd w:id="4"/>
      <w:r w:rsidR="00C846DA">
        <w:t>S</w:t>
      </w:r>
      <w:r w:rsidR="00C846DA" w:rsidRPr="00C846DA">
        <w:t xml:space="preserve">ome inconsistency in the process between teams </w:t>
      </w:r>
      <w:r w:rsidR="00C846DA">
        <w:t xml:space="preserve">was however noted </w:t>
      </w:r>
      <w:r w:rsidR="00C846DA" w:rsidRPr="00C846DA">
        <w:t xml:space="preserve">and this will be explored further, </w:t>
      </w:r>
      <w:r w:rsidR="00C846DA">
        <w:t xml:space="preserve">following which further </w:t>
      </w:r>
      <w:r w:rsidR="00C846DA" w:rsidRPr="00C846DA">
        <w:t>training</w:t>
      </w:r>
      <w:r w:rsidR="00C846DA">
        <w:t xml:space="preserve"> may be offered</w:t>
      </w:r>
      <w:r w:rsidR="00C846DA" w:rsidRPr="00C846DA">
        <w:t xml:space="preserve">. </w:t>
      </w:r>
      <w:proofErr w:type="gramStart"/>
      <w:r w:rsidR="002A6EF4">
        <w:t>In particular, it</w:t>
      </w:r>
      <w:proofErr w:type="gramEnd"/>
      <w:r w:rsidR="002A6EF4">
        <w:t xml:space="preserve"> has been identified that a NICE-wide definition of what </w:t>
      </w:r>
      <w:r w:rsidR="004B77EC">
        <w:t xml:space="preserve">constitutes </w:t>
      </w:r>
      <w:r w:rsidR="002A6EF4">
        <w:t xml:space="preserve">a potential equality issue and </w:t>
      </w:r>
      <w:r w:rsidR="002A6EF4" w:rsidRPr="00927149">
        <w:t xml:space="preserve">the consistency in reporting of identified equality issues </w:t>
      </w:r>
      <w:r w:rsidR="004B77EC" w:rsidRPr="00927149">
        <w:t xml:space="preserve">needs to be </w:t>
      </w:r>
      <w:r w:rsidR="002A6EF4" w:rsidRPr="00927149">
        <w:t>reviewed.</w:t>
      </w:r>
      <w:r w:rsidR="002A6EF4">
        <w:t xml:space="preserve"> This is likely to occur in the CHTE methods review which includes a task and finish group on equality considerations in guidance development and will include members of the NEDG to ensure it is applicable across NICE. </w:t>
      </w:r>
      <w:r w:rsidR="002A6EF4" w:rsidRPr="002A6EF4" w:rsidDel="002A6EF4">
        <w:t xml:space="preserve"> </w:t>
      </w:r>
    </w:p>
    <w:p w14:paraId="1EBB0F78" w14:textId="136F63FF" w:rsidR="00AB06E8" w:rsidRDefault="00AB06E8" w:rsidP="00805743">
      <w:pPr>
        <w:pStyle w:val="Heading2boardreport"/>
      </w:pPr>
      <w:r w:rsidRPr="002A6EF4">
        <w:t xml:space="preserve">Examples of how equalities considerations </w:t>
      </w:r>
      <w:r w:rsidR="00805743">
        <w:t xml:space="preserve">have </w:t>
      </w:r>
      <w:r w:rsidRPr="002A6EF4">
        <w:t xml:space="preserve">impacted recommendations </w:t>
      </w:r>
      <w:r w:rsidR="00BF5A98" w:rsidRPr="002A6EF4">
        <w:t xml:space="preserve">in guidance published in </w:t>
      </w:r>
      <w:r w:rsidR="00D015D2" w:rsidRPr="002A6EF4">
        <w:t>2018/19</w:t>
      </w:r>
      <w:r w:rsidR="00BF5A98" w:rsidRPr="002A6EF4">
        <w:t xml:space="preserve"> </w:t>
      </w:r>
    </w:p>
    <w:p w14:paraId="2E183D49" w14:textId="77777777" w:rsidR="006976A8" w:rsidRPr="002A6EF4" w:rsidRDefault="006976A8" w:rsidP="0041052D">
      <w:pPr>
        <w:pStyle w:val="Heading3boardreport"/>
      </w:pPr>
      <w:r w:rsidRPr="00B56E1D">
        <w:t>Guideline</w:t>
      </w:r>
      <w:r w:rsidRPr="002A6EF4">
        <w:t xml:space="preserve"> NG101: Early and locally advanced breast cancer: diagnosis and cancer</w:t>
      </w:r>
    </w:p>
    <w:p w14:paraId="72F3DB01" w14:textId="0367CDE8" w:rsidR="006976A8" w:rsidRDefault="006976A8" w:rsidP="0041052D">
      <w:pPr>
        <w:pStyle w:val="Paragraph"/>
      </w:pPr>
      <w:r w:rsidRPr="002A6EF4">
        <w:t>The guideline committee noted that there are elevated rates of triple-negative breast cancer among some ethnic groups, for example Afro-Caribbean people, and they are therefore more likely to be affected by delays</w:t>
      </w:r>
      <w:r>
        <w:t xml:space="preserve"> to optimal treatment if progesterone receptor status is not known. </w:t>
      </w:r>
    </w:p>
    <w:p w14:paraId="1025AC21" w14:textId="019BEEA6" w:rsidR="006976A8" w:rsidRDefault="006976A8" w:rsidP="0041052D">
      <w:pPr>
        <w:pStyle w:val="Paragraph"/>
      </w:pPr>
      <w:r>
        <w:lastRenderedPageBreak/>
        <w:t>The recommendations made by the committee will reduce this inequality as progesterone receptor testing will be performed upfront in all people allowing for earlier determination of triple-negative status.</w:t>
      </w:r>
    </w:p>
    <w:p w14:paraId="10491DB9" w14:textId="77777777" w:rsidR="006976A8" w:rsidRDefault="006976A8" w:rsidP="0041052D">
      <w:pPr>
        <w:pStyle w:val="Heading3boardreport"/>
      </w:pPr>
      <w:r>
        <w:t xml:space="preserve">NG106 – </w:t>
      </w:r>
      <w:r w:rsidRPr="00B56E1D">
        <w:t>Chronic</w:t>
      </w:r>
      <w:r>
        <w:t xml:space="preserve"> heart failure in adults: diagnosis and management</w:t>
      </w:r>
    </w:p>
    <w:p w14:paraId="6005EA5E" w14:textId="6FAD3693" w:rsidR="006976A8" w:rsidRDefault="006976A8" w:rsidP="0041052D">
      <w:pPr>
        <w:pStyle w:val="Paragraph"/>
      </w:pPr>
      <w:r>
        <w:t>The committee noted that older people may face barriers to accessing cardiac rehabilitation as they may be frail and not able to travel distances to access these services.  They also noted that older people are more likely to have co-morbidities and be on multiple medication for different conditions, but that limited mobility can prevent them from being reviewed by their GP or heart failure clinic until they become acutely unwell.</w:t>
      </w:r>
    </w:p>
    <w:p w14:paraId="0821564F" w14:textId="52C64431" w:rsidR="006976A8" w:rsidRDefault="006976A8" w:rsidP="0041052D">
      <w:pPr>
        <w:pStyle w:val="Paragraph"/>
      </w:pPr>
      <w:r>
        <w:t xml:space="preserve">The guideline contains a recommendation on providing rehabilitation services within the home and community to facilitate access among older people.  The guideline also recommends that primary care services recall patients every 6 months as a minimum to review their condition and update their care </w:t>
      </w:r>
      <w:proofErr w:type="gramStart"/>
      <w:r>
        <w:t>plan</w:t>
      </w:r>
      <w:proofErr w:type="gramEnd"/>
      <w:r>
        <w:t xml:space="preserve"> as necessary.</w:t>
      </w:r>
    </w:p>
    <w:p w14:paraId="4D224BB4" w14:textId="53F8BAC1" w:rsidR="00D015D2" w:rsidRPr="00D015D2" w:rsidRDefault="00D015D2" w:rsidP="0041052D">
      <w:pPr>
        <w:pStyle w:val="Heading3boardreport"/>
      </w:pPr>
      <w:r w:rsidRPr="00D015D2">
        <w:t xml:space="preserve">Quality standard 170: </w:t>
      </w:r>
      <w:proofErr w:type="spellStart"/>
      <w:r w:rsidRPr="00D015D2">
        <w:t>Spondyloarthritis</w:t>
      </w:r>
      <w:proofErr w:type="spellEnd"/>
    </w:p>
    <w:p w14:paraId="37BF2650" w14:textId="59B9017B" w:rsidR="00D015D2" w:rsidRPr="00D015D2" w:rsidRDefault="00D015D2" w:rsidP="00D015D2">
      <w:pPr>
        <w:pStyle w:val="Paragraph"/>
      </w:pPr>
      <w:r w:rsidRPr="00D015D2">
        <w:t xml:space="preserve">The committee highlighted a common misconception that the condition mainly affects men. The quality standard </w:t>
      </w:r>
      <w:r w:rsidR="000E3CE4">
        <w:t xml:space="preserve">therefore </w:t>
      </w:r>
      <w:r w:rsidRPr="00D015D2">
        <w:t xml:space="preserve">notes that healthcare professionals should be aware that axial </w:t>
      </w:r>
      <w:proofErr w:type="spellStart"/>
      <w:r w:rsidRPr="00D015D2">
        <w:t>spondyloarthritis</w:t>
      </w:r>
      <w:proofErr w:type="spellEnd"/>
      <w:r w:rsidRPr="00D015D2">
        <w:t xml:space="preserve"> affects a similar number of women as men. Women are less likely to show sacroiliitis on X ray than men, but they should still be offered X ray for first-line imaging of suspected axial </w:t>
      </w:r>
      <w:proofErr w:type="spellStart"/>
      <w:r w:rsidRPr="00D015D2">
        <w:t>spondyloarthritis</w:t>
      </w:r>
      <w:proofErr w:type="spellEnd"/>
      <w:r w:rsidRPr="00D015D2">
        <w:t>.</w:t>
      </w:r>
    </w:p>
    <w:p w14:paraId="71ABA517" w14:textId="77777777" w:rsidR="00D015D2" w:rsidRPr="00D015D2" w:rsidRDefault="00D015D2" w:rsidP="0041052D">
      <w:pPr>
        <w:pStyle w:val="Heading3boardreport"/>
      </w:pPr>
      <w:r w:rsidRPr="00D015D2">
        <w:t xml:space="preserve">Quality standard 177: Pancreatic cancer </w:t>
      </w:r>
    </w:p>
    <w:p w14:paraId="60E964C1" w14:textId="77777777" w:rsidR="00D015D2" w:rsidRPr="00D015D2" w:rsidRDefault="00D015D2" w:rsidP="00D015D2">
      <w:pPr>
        <w:pStyle w:val="Paragraph"/>
      </w:pPr>
      <w:r w:rsidRPr="00D015D2">
        <w:t>Quality statement 2 states: “Adults with unresectable pancreatic cancer are prescribed enteric-coated pancreatin.”</w:t>
      </w:r>
    </w:p>
    <w:p w14:paraId="330B6F53" w14:textId="3275AD91" w:rsidR="00C51B05" w:rsidRDefault="00D015D2" w:rsidP="00D015D2">
      <w:pPr>
        <w:pStyle w:val="Paragraph"/>
      </w:pPr>
      <w:r w:rsidRPr="00D015D2">
        <w:t xml:space="preserve">The committee highlighted that pancreatic enzyme supplements are made from pork products, which may be unacceptable to some people because of their religion or beliefs. The quality standards </w:t>
      </w:r>
      <w:r w:rsidR="000E3CE4">
        <w:t xml:space="preserve">therefore </w:t>
      </w:r>
      <w:proofErr w:type="gramStart"/>
      <w:r w:rsidRPr="00D015D2">
        <w:t>advises</w:t>
      </w:r>
      <w:proofErr w:type="gramEnd"/>
      <w:r w:rsidRPr="00D015D2">
        <w:t xml:space="preserve"> that people with pancreatic cancer need to be made aware of the ingredients </w:t>
      </w:r>
      <w:r w:rsidR="00316325">
        <w:t>so they can</w:t>
      </w:r>
      <w:r w:rsidRPr="00D015D2">
        <w:t xml:space="preserve"> make an informed decision.</w:t>
      </w:r>
    </w:p>
    <w:p w14:paraId="268D6341" w14:textId="77777777" w:rsidR="00B56E1D" w:rsidRDefault="00B56E1D" w:rsidP="0041052D">
      <w:pPr>
        <w:pStyle w:val="Heading3boardreport"/>
      </w:pPr>
      <w:r w:rsidRPr="00C000F0">
        <w:t>Technology appraisal 574: Certolizumab pegol for treating moderate to severe plaque psoriasis</w:t>
      </w:r>
    </w:p>
    <w:p w14:paraId="192576A1" w14:textId="6E85792B" w:rsidR="00B56E1D" w:rsidRDefault="00B56E1D" w:rsidP="00B56E1D">
      <w:pPr>
        <w:pStyle w:val="Paragraph"/>
      </w:pPr>
      <w:r>
        <w:t>The committee highlighted in recommendations that h</w:t>
      </w:r>
      <w:r w:rsidRPr="00082D64">
        <w:t xml:space="preserve">ealthcare professionals should </w:t>
      </w:r>
      <w:proofErr w:type="gramStart"/>
      <w:r w:rsidRPr="00082D64">
        <w:t>take into account</w:t>
      </w:r>
      <w:proofErr w:type="gramEnd"/>
      <w:r w:rsidRPr="00082D64">
        <w:t xml:space="preserve"> how skin colour can affect the </w:t>
      </w:r>
      <w:r w:rsidR="00773820" w:rsidRPr="00773820">
        <w:t>Psoriasis Area and Severity Index</w:t>
      </w:r>
      <w:r w:rsidR="00773820">
        <w:t xml:space="preserve"> (</w:t>
      </w:r>
      <w:r w:rsidRPr="00082D64">
        <w:t>PASI</w:t>
      </w:r>
      <w:r w:rsidR="00773820">
        <w:t>)</w:t>
      </w:r>
      <w:r w:rsidRPr="00082D64">
        <w:t xml:space="preserve"> tool and make reasonable adjustments. Also when using the Dermatology Life Quality Index (DLQI), healthcare professionals should take into account any physical, psychological, sensory or learning disabilities, or communication difficulties, which could affect a person’s </w:t>
      </w:r>
      <w:r w:rsidRPr="00082D64">
        <w:lastRenderedPageBreak/>
        <w:t>responses to the DLQI, and make any adjustments they consider appropriate.</w:t>
      </w:r>
    </w:p>
    <w:p w14:paraId="4D44B2F0" w14:textId="3D5C1798" w:rsidR="00B56E1D" w:rsidRDefault="00B56E1D" w:rsidP="0041052D">
      <w:pPr>
        <w:pStyle w:val="Heading3boardreport"/>
      </w:pPr>
      <w:r w:rsidRPr="00C000F0">
        <w:t xml:space="preserve">Medical Technologies guidance 41: Senza spinal cord stimulation </w:t>
      </w:r>
      <w:r w:rsidR="00773820">
        <w:t xml:space="preserve">(SCS) </w:t>
      </w:r>
      <w:r w:rsidRPr="00C000F0">
        <w:t>system for delivering HF10 therapy to treat chronic neuropathic pain</w:t>
      </w:r>
    </w:p>
    <w:p w14:paraId="5F9180B8" w14:textId="77777777" w:rsidR="00B56E1D" w:rsidRDefault="00B56E1D" w:rsidP="00B56E1D">
      <w:pPr>
        <w:pStyle w:val="Paragraph"/>
      </w:pPr>
      <w:r>
        <w:t>The committee highlighted in recommendations that w</w:t>
      </w:r>
      <w:r w:rsidRPr="008F0C44">
        <w:t xml:space="preserve">hen assessing the severity of pain and the trial of stimulation, the multidisciplinary team should be aware of the need to ensure equality of access to treatment with SCS. Tests to assess pain and response to SCS should </w:t>
      </w:r>
      <w:proofErr w:type="gramStart"/>
      <w:r w:rsidRPr="008F0C44">
        <w:t>take into account</w:t>
      </w:r>
      <w:proofErr w:type="gramEnd"/>
      <w:r w:rsidRPr="008F0C44">
        <w:t xml:space="preserve"> a person's disabilities (such as physical or sensory disabilities), or linguistic or other communication difficulties, and may need to be adapted.</w:t>
      </w:r>
    </w:p>
    <w:p w14:paraId="6C040362" w14:textId="77777777" w:rsidR="00B56E1D" w:rsidRPr="00C000F0" w:rsidRDefault="00B56E1D" w:rsidP="0041052D">
      <w:pPr>
        <w:pStyle w:val="Heading3boardreport"/>
      </w:pPr>
      <w:r w:rsidRPr="00C000F0">
        <w:t>Diagnostics guidance 34: Tumour profiling tests to guide adjuvant chemotherapy decisions in early breast cancer</w:t>
      </w:r>
    </w:p>
    <w:p w14:paraId="7102C00F" w14:textId="3DC738A4" w:rsidR="00B56E1D" w:rsidRDefault="00B56E1D" w:rsidP="00B56E1D">
      <w:pPr>
        <w:pStyle w:val="Paragraph"/>
      </w:pPr>
      <w:r w:rsidRPr="008F0C44">
        <w:t xml:space="preserve">The committee </w:t>
      </w:r>
      <w:r>
        <w:t>noted</w:t>
      </w:r>
      <w:r w:rsidRPr="008F0C44">
        <w:t xml:space="preserve"> that </w:t>
      </w:r>
      <w:r>
        <w:t xml:space="preserve">one of the three recommended tests was only indicated for use in postmenopausal people but that the two other recommended tests were </w:t>
      </w:r>
      <w:r w:rsidRPr="008F0C44">
        <w:t xml:space="preserve">indicated for use in both pre-and </w:t>
      </w:r>
      <w:proofErr w:type="spellStart"/>
      <w:r w:rsidRPr="008F0C44">
        <w:t>post menopausal</w:t>
      </w:r>
      <w:proofErr w:type="spellEnd"/>
      <w:r w:rsidRPr="008F0C44">
        <w:t xml:space="preserve"> people.</w:t>
      </w:r>
      <w:r>
        <w:t xml:space="preserve"> The </w:t>
      </w:r>
      <w:r w:rsidR="00FC66DB">
        <w:t>c</w:t>
      </w:r>
      <w:r>
        <w:t>ommittee considered that the positive recommendations for all three tests allowed both pre- and post-menopausal access to testing.</w:t>
      </w:r>
    </w:p>
    <w:p w14:paraId="58BAA156" w14:textId="77777777" w:rsidR="00AB06E8" w:rsidRPr="00E23AB3" w:rsidRDefault="00AB06E8" w:rsidP="00E91AC1">
      <w:pPr>
        <w:pStyle w:val="Heading1boardreport"/>
      </w:pPr>
      <w:r w:rsidRPr="00E91AC1">
        <w:t>Workforce</w:t>
      </w:r>
    </w:p>
    <w:p w14:paraId="0ACC4673" w14:textId="78EE3979" w:rsidR="00AB06E8" w:rsidRPr="00E91AC1" w:rsidRDefault="00AB06E8" w:rsidP="00E91AC1">
      <w:pPr>
        <w:pStyle w:val="Paragraph"/>
      </w:pPr>
      <w:r w:rsidRPr="00E91AC1">
        <w:t xml:space="preserve">This section provides a summary of the workforce profile by equality category, as </w:t>
      </w:r>
      <w:proofErr w:type="gramStart"/>
      <w:r w:rsidRPr="00E91AC1">
        <w:t>at</w:t>
      </w:r>
      <w:proofErr w:type="gramEnd"/>
      <w:r w:rsidRPr="00E91AC1">
        <w:t xml:space="preserve"> 31 March 201</w:t>
      </w:r>
      <w:r w:rsidR="00E91AC1" w:rsidRPr="00E91AC1">
        <w:t>9</w:t>
      </w:r>
      <w:r w:rsidRPr="00E91AC1">
        <w:t xml:space="preserve">. Further information is available in the annual workforce report presented to the Board in </w:t>
      </w:r>
      <w:r w:rsidR="006F233C" w:rsidRPr="00E91AC1">
        <w:t>July</w:t>
      </w:r>
      <w:r w:rsidR="0056723E" w:rsidRPr="00E91AC1">
        <w:t xml:space="preserve"> 201</w:t>
      </w:r>
      <w:r w:rsidR="00E91AC1" w:rsidRPr="00E91AC1">
        <w:t>9</w:t>
      </w:r>
      <w:r w:rsidRPr="00E91AC1">
        <w:t xml:space="preserve">. </w:t>
      </w:r>
    </w:p>
    <w:p w14:paraId="59B753F6" w14:textId="77777777" w:rsidR="00AB06E8" w:rsidRPr="00E23AB3" w:rsidRDefault="00AB06E8" w:rsidP="00E91AC1">
      <w:pPr>
        <w:pStyle w:val="Heading2boardreport"/>
      </w:pPr>
      <w:r w:rsidRPr="00E91AC1">
        <w:t>Gender</w:t>
      </w:r>
    </w:p>
    <w:p w14:paraId="15097778" w14:textId="49999343" w:rsidR="006F233C" w:rsidRPr="007F28F6" w:rsidRDefault="006F233C" w:rsidP="007F28F6">
      <w:pPr>
        <w:pStyle w:val="Tableandgraphheading"/>
      </w:pPr>
      <w:r w:rsidRPr="00E23AB3">
        <w:t xml:space="preserve">Chart 7: </w:t>
      </w:r>
      <w:r w:rsidR="001A1FB2" w:rsidRPr="00190FCB">
        <w:t>G</w:t>
      </w:r>
      <w:r w:rsidRPr="00190FCB">
        <w:t>ender</w:t>
      </w:r>
      <w:r w:rsidRPr="00E23AB3">
        <w:t xml:space="preserve"> mix </w:t>
      </w:r>
      <w:r w:rsidR="009503FF" w:rsidRPr="00E23AB3">
        <w:t xml:space="preserve">of staff </w:t>
      </w:r>
      <w:r w:rsidRPr="00E23AB3">
        <w:t>by grade</w:t>
      </w:r>
      <w:r w:rsidR="00E55978" w:rsidRPr="0059176D">
        <w:rPr>
          <w:noProof/>
        </w:rPr>
        <w:drawing>
          <wp:inline distT="0" distB="0" distL="0" distR="0" wp14:anchorId="23E2C759" wp14:editId="184AF991">
            <wp:extent cx="5731510" cy="2812415"/>
            <wp:effectExtent l="0" t="0" r="2540" b="6985"/>
            <wp:docPr id="3" name="Chart 3" descr="Chart 7, which shows the gender mix by grade as at 31 March 2019.&#10;">
              <a:extLst xmlns:a="http://schemas.openxmlformats.org/drawingml/2006/main">
                <a:ext uri="{FF2B5EF4-FFF2-40B4-BE49-F238E27FC236}">
                  <a16:creationId xmlns:a16="http://schemas.microsoft.com/office/drawing/2014/main" id="{D3B92A06-586B-4D4A-B2DD-EBDE8ADAC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51CC4C" w14:textId="761EE912" w:rsidR="00393E63" w:rsidRPr="00E23AB3" w:rsidRDefault="007B03CB" w:rsidP="00393E63">
      <w:pPr>
        <w:pStyle w:val="Paragraphnonumbers"/>
        <w:ind w:firstLine="426"/>
        <w:rPr>
          <w:color w:val="FF0000"/>
        </w:rPr>
      </w:pPr>
      <w:hyperlink r:id="rId29" w:history="1">
        <w:r w:rsidR="00393E63">
          <w:rPr>
            <w:rStyle w:val="Hyperlink"/>
          </w:rPr>
          <w:t>D</w:t>
        </w:r>
        <w:r w:rsidR="00393E63" w:rsidRPr="004D16C3">
          <w:rPr>
            <w:rStyle w:val="Hyperlink"/>
          </w:rPr>
          <w:t>ownload the data set for this chart</w:t>
        </w:r>
      </w:hyperlink>
    </w:p>
    <w:p w14:paraId="2738FCBA" w14:textId="5DE55609" w:rsidR="006F233C" w:rsidRPr="00E23AB3" w:rsidRDefault="006F233C" w:rsidP="00C51B05">
      <w:pPr>
        <w:pStyle w:val="Paragraph"/>
        <w:rPr>
          <w:color w:val="FF0000"/>
        </w:rPr>
      </w:pPr>
      <w:r w:rsidRPr="00E355D5">
        <w:lastRenderedPageBreak/>
        <w:t xml:space="preserve">Compared </w:t>
      </w:r>
      <w:r w:rsidR="005071AA">
        <w:t xml:space="preserve">with </w:t>
      </w:r>
      <w:r w:rsidRPr="00E355D5">
        <w:t>the overall gender split of the workforce, men are over</w:t>
      </w:r>
      <w:r w:rsidR="00C4323F" w:rsidRPr="00E355D5">
        <w:t>-</w:t>
      </w:r>
      <w:r w:rsidRPr="00E355D5">
        <w:t xml:space="preserve">represented in the </w:t>
      </w:r>
      <w:r w:rsidR="00E55978">
        <w:t>most s</w:t>
      </w:r>
      <w:r w:rsidRPr="00E355D5">
        <w:t xml:space="preserve">enior grades and </w:t>
      </w:r>
      <w:r w:rsidR="00190FCB" w:rsidRPr="00E355D5">
        <w:t xml:space="preserve">some of the lower grades (bands </w:t>
      </w:r>
      <w:r w:rsidR="00E355D5" w:rsidRPr="00E355D5">
        <w:t>3 and 4)</w:t>
      </w:r>
      <w:r w:rsidR="00556187" w:rsidRPr="00E355D5">
        <w:t>.</w:t>
      </w:r>
      <w:r w:rsidR="00556187" w:rsidRPr="00E23AB3">
        <w:rPr>
          <w:color w:val="FF0000"/>
        </w:rPr>
        <w:t xml:space="preserve"> </w:t>
      </w:r>
      <w:r w:rsidRPr="00E355D5">
        <w:t>The overall gender split of the workforce has not changed significantly over time.</w:t>
      </w:r>
      <w:r w:rsidR="00EB6022" w:rsidRPr="00E355D5">
        <w:t xml:space="preserve"> </w:t>
      </w:r>
      <w:r w:rsidR="00EB6022" w:rsidRPr="00E355D5">
        <w:rPr>
          <w:rFonts w:eastAsia="Arial" w:cs="Arial"/>
          <w:bCs/>
        </w:rPr>
        <w:t xml:space="preserve">NICE’s gender pay gap report is available on </w:t>
      </w:r>
      <w:hyperlink r:id="rId30" w:history="1">
        <w:r w:rsidR="00EB6022" w:rsidRPr="00E355D5">
          <w:rPr>
            <w:rStyle w:val="Hyperlink"/>
            <w:rFonts w:eastAsia="Arial" w:cs="Arial"/>
            <w:bCs/>
          </w:rPr>
          <w:t>our website</w:t>
        </w:r>
      </w:hyperlink>
      <w:r w:rsidR="00EB6022" w:rsidRPr="00E355D5">
        <w:rPr>
          <w:rFonts w:eastAsia="Arial" w:cs="Arial"/>
          <w:bCs/>
        </w:rPr>
        <w:t>.</w:t>
      </w:r>
      <w:r w:rsidR="00E55978" w:rsidRPr="00E55978">
        <w:t xml:space="preserve"> </w:t>
      </w:r>
      <w:r w:rsidR="00E55978" w:rsidRPr="00E55978">
        <w:rPr>
          <w:rFonts w:eastAsia="Arial" w:cs="Arial"/>
          <w:bCs/>
        </w:rPr>
        <w:t xml:space="preserve">The current </w:t>
      </w:r>
      <w:r w:rsidR="00E55978">
        <w:rPr>
          <w:rFonts w:eastAsia="Arial" w:cs="Arial"/>
          <w:bCs/>
        </w:rPr>
        <w:t xml:space="preserve">electronic staff record (ESR), which is nationally used software, does not currently provide an </w:t>
      </w:r>
      <w:r w:rsidR="00E55978" w:rsidRPr="00E55978">
        <w:rPr>
          <w:rFonts w:eastAsia="Arial" w:cs="Arial"/>
          <w:bCs/>
        </w:rPr>
        <w:t>option for employees who prefer to self-describe.</w:t>
      </w:r>
    </w:p>
    <w:p w14:paraId="50444602" w14:textId="77777777" w:rsidR="00AB06E8" w:rsidRPr="00E23AB3" w:rsidRDefault="00AB06E8" w:rsidP="00E355D5">
      <w:pPr>
        <w:pStyle w:val="Heading2boardreport"/>
      </w:pPr>
      <w:r w:rsidRPr="00E355D5">
        <w:t>Disability</w:t>
      </w:r>
    </w:p>
    <w:p w14:paraId="663E9DC8" w14:textId="08093AC2" w:rsidR="00EB6022" w:rsidRPr="001018B9" w:rsidRDefault="001018B9" w:rsidP="00EB6022">
      <w:pPr>
        <w:pStyle w:val="Paragraph"/>
      </w:pPr>
      <w:r>
        <w:rPr>
          <w:rFonts w:cs="Arial"/>
        </w:rPr>
        <w:t xml:space="preserve">Staff are encouraged to declare any disabilities, which may include </w:t>
      </w:r>
      <w:r w:rsidRPr="00FC7E62">
        <w:rPr>
          <w:rFonts w:cs="Arial"/>
        </w:rPr>
        <w:t>learning disability or difficulty, long-standing illness, mental health condition</w:t>
      </w:r>
      <w:r>
        <w:rPr>
          <w:rFonts w:cs="Arial"/>
        </w:rPr>
        <w:t>s</w:t>
      </w:r>
      <w:r w:rsidRPr="00FC7E62">
        <w:rPr>
          <w:rFonts w:cs="Arial"/>
        </w:rPr>
        <w:t xml:space="preserve">, physical </w:t>
      </w:r>
      <w:proofErr w:type="gramStart"/>
      <w:r w:rsidRPr="00FC7E62">
        <w:rPr>
          <w:rFonts w:cs="Arial"/>
        </w:rPr>
        <w:t>impairment</w:t>
      </w:r>
      <w:proofErr w:type="gramEnd"/>
      <w:r w:rsidRPr="00FC7E62">
        <w:rPr>
          <w:rFonts w:cs="Arial"/>
        </w:rPr>
        <w:t xml:space="preserve"> and sensory impairment. </w:t>
      </w:r>
      <w:r w:rsidR="00EB6022" w:rsidRPr="001018B9">
        <w:t>There were 2</w:t>
      </w:r>
      <w:r w:rsidRPr="001018B9">
        <w:t>6</w:t>
      </w:r>
      <w:r w:rsidR="00EB6022" w:rsidRPr="001018B9">
        <w:t xml:space="preserve"> staff declaring a disability which is 3.</w:t>
      </w:r>
      <w:r w:rsidRPr="001018B9">
        <w:t>9</w:t>
      </w:r>
      <w:r w:rsidR="00EB6022" w:rsidRPr="001018B9">
        <w:t xml:space="preserve">% of the workforce. </w:t>
      </w:r>
    </w:p>
    <w:p w14:paraId="0B37E072" w14:textId="77777777" w:rsidR="00AB06E8" w:rsidRPr="00E23AB3" w:rsidRDefault="00AB06E8" w:rsidP="001018B9">
      <w:pPr>
        <w:pStyle w:val="Heading2boardreport"/>
      </w:pPr>
      <w:r w:rsidRPr="001018B9">
        <w:t>Ethnicity</w:t>
      </w:r>
    </w:p>
    <w:p w14:paraId="0EA4F360" w14:textId="23B35A64" w:rsidR="006F233C" w:rsidRPr="007F28F6" w:rsidRDefault="006F233C" w:rsidP="007F28F6">
      <w:pPr>
        <w:pStyle w:val="Tableandgraphheading"/>
      </w:pPr>
      <w:r w:rsidRPr="00E23AB3">
        <w:t xml:space="preserve">Chart 8: </w:t>
      </w:r>
      <w:r w:rsidR="001A1FB2" w:rsidRPr="00E23AB3">
        <w:t>E</w:t>
      </w:r>
      <w:r w:rsidRPr="00E23AB3">
        <w:t>thnicity</w:t>
      </w:r>
      <w:r w:rsidR="009503FF" w:rsidRPr="00E23AB3">
        <w:t>: NICE staff</w:t>
      </w:r>
      <w:r w:rsidR="00010A77" w:rsidRPr="00656966">
        <w:rPr>
          <w:noProof/>
        </w:rPr>
        <w:drawing>
          <wp:inline distT="0" distB="0" distL="0" distR="0" wp14:anchorId="3D7FA7C8" wp14:editId="4AEAEF2E">
            <wp:extent cx="5731510" cy="2772410"/>
            <wp:effectExtent l="0" t="0" r="2540" b="8890"/>
            <wp:docPr id="4" name="Chart 4" descr="Chart 8, which shows ethnicity profile as a percentage of workforce as at 31 March 2019.&#10;">
              <a:extLst xmlns:a="http://schemas.openxmlformats.org/drawingml/2006/main">
                <a:ext uri="{FF2B5EF4-FFF2-40B4-BE49-F238E27FC236}">
                  <a16:creationId xmlns:a16="http://schemas.microsoft.com/office/drawing/2014/main" id="{B2B6D338-E525-425E-9844-853BE3A1F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BE93643" w14:textId="5B1CD3D7" w:rsidR="00393E63" w:rsidRPr="00E23AB3" w:rsidRDefault="007B03CB" w:rsidP="00393E63">
      <w:pPr>
        <w:pStyle w:val="Paragraphnonumbers"/>
        <w:ind w:firstLine="426"/>
        <w:rPr>
          <w:color w:val="FF0000"/>
        </w:rPr>
      </w:pPr>
      <w:hyperlink r:id="rId32" w:history="1">
        <w:r w:rsidR="00393E63">
          <w:rPr>
            <w:rStyle w:val="Hyperlink"/>
          </w:rPr>
          <w:t>D</w:t>
        </w:r>
        <w:r w:rsidR="00393E63" w:rsidRPr="004D16C3">
          <w:rPr>
            <w:rStyle w:val="Hyperlink"/>
          </w:rPr>
          <w:t>ownload the data set for this chart</w:t>
        </w:r>
      </w:hyperlink>
    </w:p>
    <w:p w14:paraId="0F19009C" w14:textId="3B077BB9" w:rsidR="006F233C" w:rsidRPr="00AF4DDF" w:rsidRDefault="00EB6022" w:rsidP="00EB6022">
      <w:pPr>
        <w:pStyle w:val="Paragraph"/>
      </w:pPr>
      <w:r w:rsidRPr="00AF4DDF">
        <w:t xml:space="preserve">The proportion of staff of white ethnicity </w:t>
      </w:r>
      <w:r w:rsidR="001018B9" w:rsidRPr="00AF4DDF">
        <w:t>increased slightly from 77% in 2017/18 to 79% in 2018/19</w:t>
      </w:r>
      <w:r w:rsidR="00AF4DDF" w:rsidRPr="00AF4DDF">
        <w:t xml:space="preserve"> (the same as 2016/17). </w:t>
      </w:r>
      <w:r w:rsidR="00DE33B1" w:rsidRPr="00AF4DDF">
        <w:t xml:space="preserve">In the 2011 census, the figure for England and Wales overall was </w:t>
      </w:r>
      <w:r w:rsidRPr="00AF4DDF">
        <w:t xml:space="preserve">86%. </w:t>
      </w:r>
    </w:p>
    <w:p w14:paraId="4D39174B" w14:textId="77777777" w:rsidR="00AB06E8" w:rsidRPr="00E23AB3" w:rsidRDefault="00AB06E8" w:rsidP="00AF4DDF">
      <w:pPr>
        <w:pStyle w:val="Heading2boardreport"/>
      </w:pPr>
      <w:r w:rsidRPr="00AF4DDF">
        <w:lastRenderedPageBreak/>
        <w:t>Age</w:t>
      </w:r>
    </w:p>
    <w:p w14:paraId="796CCC1D" w14:textId="329F7B21" w:rsidR="00DE33B1" w:rsidRPr="007F28F6" w:rsidRDefault="00DE33B1" w:rsidP="007F28F6">
      <w:pPr>
        <w:pStyle w:val="Tableandgraphheading"/>
      </w:pPr>
      <w:r w:rsidRPr="00E23AB3">
        <w:t xml:space="preserve">Chart 9: </w:t>
      </w:r>
      <w:r w:rsidR="001A1FB2" w:rsidRPr="00E23AB3">
        <w:t>A</w:t>
      </w:r>
      <w:r w:rsidRPr="00E23AB3">
        <w:t>ge profile</w:t>
      </w:r>
      <w:r w:rsidR="009503FF" w:rsidRPr="00E23AB3">
        <w:t>: NICE staff</w:t>
      </w:r>
      <w:r w:rsidR="00545237" w:rsidRPr="000D18D5">
        <w:rPr>
          <w:noProof/>
        </w:rPr>
        <w:drawing>
          <wp:inline distT="0" distB="0" distL="0" distR="0" wp14:anchorId="5B26316A" wp14:editId="73E97139">
            <wp:extent cx="5731510" cy="2319655"/>
            <wp:effectExtent l="0" t="0" r="2540" b="4445"/>
            <wp:docPr id="6" name="Chart 6" descr="Chart 9, which shows the age profile as a percentage of workforce in year.&#10;">
              <a:extLst xmlns:a="http://schemas.openxmlformats.org/drawingml/2006/main">
                <a:ext uri="{FF2B5EF4-FFF2-40B4-BE49-F238E27FC236}">
                  <a16:creationId xmlns:a16="http://schemas.microsoft.com/office/drawing/2014/main" id="{9A8BF5E3-27E6-4F13-B9BB-171631D08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4BD9E47" w14:textId="39C2567D" w:rsidR="00393E63" w:rsidRPr="00E23AB3" w:rsidRDefault="007B03CB" w:rsidP="00393E63">
      <w:pPr>
        <w:pStyle w:val="Paragraphnonumbers"/>
        <w:ind w:firstLine="426"/>
        <w:rPr>
          <w:color w:val="FF0000"/>
        </w:rPr>
      </w:pPr>
      <w:hyperlink r:id="rId34" w:history="1">
        <w:r w:rsidR="00393E63">
          <w:rPr>
            <w:rStyle w:val="Hyperlink"/>
          </w:rPr>
          <w:t>D</w:t>
        </w:r>
        <w:r w:rsidR="00393E63" w:rsidRPr="004D16C3">
          <w:rPr>
            <w:rStyle w:val="Hyperlink"/>
          </w:rPr>
          <w:t>ownload the data set for this chart</w:t>
        </w:r>
      </w:hyperlink>
    </w:p>
    <w:p w14:paraId="5DDF78DB" w14:textId="14B00E89" w:rsidR="00AB06E8" w:rsidRPr="00E23AB3" w:rsidRDefault="00DE33B1" w:rsidP="00DB2539">
      <w:pPr>
        <w:pStyle w:val="Paragraph"/>
      </w:pPr>
      <w:r w:rsidRPr="00E23AB3">
        <w:t>Just over half (5</w:t>
      </w:r>
      <w:r w:rsidR="00AF4DDF">
        <w:t>6</w:t>
      </w:r>
      <w:r w:rsidRPr="00E23AB3">
        <w:t xml:space="preserve">%) of NICE’s workforce are 40 years old or less. </w:t>
      </w:r>
      <w:r w:rsidR="00B61E0E" w:rsidRPr="00E23AB3">
        <w:rPr>
          <w:rFonts w:cs="Arial"/>
        </w:rPr>
        <w:t xml:space="preserve">This is </w:t>
      </w:r>
      <w:proofErr w:type="gramStart"/>
      <w:r w:rsidR="00B61E0E" w:rsidRPr="00E23AB3">
        <w:rPr>
          <w:rFonts w:cs="Arial"/>
        </w:rPr>
        <w:t xml:space="preserve">similar </w:t>
      </w:r>
      <w:r w:rsidR="00760488" w:rsidRPr="00E23AB3">
        <w:rPr>
          <w:rFonts w:cs="Arial"/>
        </w:rPr>
        <w:t>to</w:t>
      </w:r>
      <w:proofErr w:type="gramEnd"/>
      <w:r w:rsidR="00760488" w:rsidRPr="00E23AB3">
        <w:rPr>
          <w:rFonts w:cs="Arial"/>
        </w:rPr>
        <w:t xml:space="preserve"> </w:t>
      </w:r>
      <w:r w:rsidR="00B61E0E" w:rsidRPr="00E23AB3">
        <w:rPr>
          <w:rFonts w:cs="Arial"/>
        </w:rPr>
        <w:t>last year (5</w:t>
      </w:r>
      <w:r w:rsidR="00DB2539">
        <w:rPr>
          <w:rFonts w:cs="Arial"/>
        </w:rPr>
        <w:t>5</w:t>
      </w:r>
      <w:r w:rsidR="00B61E0E" w:rsidRPr="00E23AB3">
        <w:rPr>
          <w:rFonts w:cs="Arial"/>
        </w:rPr>
        <w:t>%).</w:t>
      </w:r>
    </w:p>
    <w:p w14:paraId="612C615E" w14:textId="77777777" w:rsidR="00AB06E8" w:rsidRPr="00E23AB3" w:rsidRDefault="00AB06E8" w:rsidP="00DB2539">
      <w:pPr>
        <w:pStyle w:val="Heading2boardreport"/>
      </w:pPr>
      <w:r w:rsidRPr="00E23AB3">
        <w:t xml:space="preserve">Sexual </w:t>
      </w:r>
      <w:r w:rsidRPr="00DB2539">
        <w:t>orientation</w:t>
      </w:r>
    </w:p>
    <w:p w14:paraId="7EA03DFE" w14:textId="77777777" w:rsidR="00DE33B1" w:rsidRPr="00E23AB3" w:rsidRDefault="001A1FB2" w:rsidP="00DB2539">
      <w:pPr>
        <w:pStyle w:val="Tableandgraphheading"/>
      </w:pPr>
      <w:r w:rsidRPr="00E23AB3">
        <w:t>Chart 10: S</w:t>
      </w:r>
      <w:r w:rsidR="00DE33B1" w:rsidRPr="00E23AB3">
        <w:t>exual orientation</w:t>
      </w:r>
      <w:r w:rsidR="009503FF" w:rsidRPr="00E23AB3">
        <w:t>: NICE staff</w:t>
      </w:r>
    </w:p>
    <w:p w14:paraId="64773A39" w14:textId="379FC75B" w:rsidR="00DE33B1" w:rsidRDefault="00545237" w:rsidP="00C51B05">
      <w:pPr>
        <w:pStyle w:val="Paragraph"/>
        <w:numPr>
          <w:ilvl w:val="0"/>
          <w:numId w:val="0"/>
        </w:numPr>
        <w:ind w:left="426"/>
        <w:rPr>
          <w:color w:val="FF0000"/>
        </w:rPr>
      </w:pPr>
      <w:r w:rsidRPr="0059176D">
        <w:rPr>
          <w:noProof/>
        </w:rPr>
        <w:drawing>
          <wp:inline distT="0" distB="0" distL="0" distR="0" wp14:anchorId="5DC9D752" wp14:editId="4AA94042">
            <wp:extent cx="5731510" cy="2812415"/>
            <wp:effectExtent l="0" t="0" r="2540" b="6985"/>
            <wp:docPr id="7" name="Chart 7" descr="Chart 10, which shows sexual orientation as a percentage of workforce as at 31 March 2019.&#10;">
              <a:extLst xmlns:a="http://schemas.openxmlformats.org/drawingml/2006/main">
                <a:ext uri="{FF2B5EF4-FFF2-40B4-BE49-F238E27FC236}">
                  <a16:creationId xmlns:a16="http://schemas.microsoft.com/office/drawing/2014/main" id="{A7EF9D99-36C0-41A5-AE6B-D99ECB51B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CF39684" w14:textId="787D9349" w:rsidR="00393E63" w:rsidRPr="00E23AB3" w:rsidRDefault="007B03CB" w:rsidP="00393E63">
      <w:pPr>
        <w:pStyle w:val="Paragraphnonumbers"/>
        <w:ind w:firstLine="426"/>
        <w:rPr>
          <w:color w:val="FF0000"/>
        </w:rPr>
      </w:pPr>
      <w:hyperlink r:id="rId36" w:history="1">
        <w:r w:rsidR="00393E63">
          <w:rPr>
            <w:rStyle w:val="Hyperlink"/>
          </w:rPr>
          <w:t>D</w:t>
        </w:r>
        <w:r w:rsidR="00393E63" w:rsidRPr="004D16C3">
          <w:rPr>
            <w:rStyle w:val="Hyperlink"/>
          </w:rPr>
          <w:t>ownload the data set for this chart</w:t>
        </w:r>
      </w:hyperlink>
    </w:p>
    <w:p w14:paraId="11CF72EB" w14:textId="5C5D43FC" w:rsidR="00F53F66" w:rsidRPr="00FC7E62" w:rsidRDefault="00150EDF" w:rsidP="00F53F66">
      <w:pPr>
        <w:pStyle w:val="Paragraph"/>
        <w:rPr>
          <w:rFonts w:cs="Arial"/>
        </w:rPr>
      </w:pPr>
      <w:r w:rsidRPr="00E23AB3">
        <w:t xml:space="preserve">The profile is little changed from </w:t>
      </w:r>
      <w:r w:rsidR="00FF09AA">
        <w:t>2017/18</w:t>
      </w:r>
      <w:r w:rsidR="00B43E9E" w:rsidRPr="00E23AB3">
        <w:t>, with a</w:t>
      </w:r>
      <w:r w:rsidR="00DE33B1" w:rsidRPr="00E23AB3">
        <w:t xml:space="preserve"> combined non-disclosure and non-specified rate </w:t>
      </w:r>
      <w:r w:rsidR="00B43E9E" w:rsidRPr="00E23AB3">
        <w:t>of</w:t>
      </w:r>
      <w:r w:rsidR="00DE33B1" w:rsidRPr="00E23AB3">
        <w:t xml:space="preserve"> 1</w:t>
      </w:r>
      <w:r w:rsidR="00B43E9E" w:rsidRPr="00E23AB3">
        <w:t>6</w:t>
      </w:r>
      <w:r w:rsidR="00DE33B1" w:rsidRPr="00E23AB3">
        <w:t xml:space="preserve">%. </w:t>
      </w:r>
      <w:r w:rsidR="00A338C5" w:rsidRPr="00E23AB3">
        <w:t xml:space="preserve">5% of staff </w:t>
      </w:r>
      <w:r w:rsidR="00FC66DB">
        <w:t xml:space="preserve">have recorded their sexual orientation as </w:t>
      </w:r>
      <w:r w:rsidR="00A338C5" w:rsidRPr="00E23AB3">
        <w:t xml:space="preserve">lesbian, gay or bisexual. </w:t>
      </w:r>
      <w:r w:rsidR="00F53F66" w:rsidRPr="00FC7E62">
        <w:rPr>
          <w:rFonts w:cs="Arial"/>
        </w:rPr>
        <w:t xml:space="preserve">NICE continue to be Stonewall Diversity Champions, which is a framework designed to help employers to </w:t>
      </w:r>
      <w:r w:rsidR="00F53F66" w:rsidRPr="00FC7E62">
        <w:rPr>
          <w:rFonts w:cs="Arial"/>
        </w:rPr>
        <w:lastRenderedPageBreak/>
        <w:t xml:space="preserve">support lesbian, gay, </w:t>
      </w:r>
      <w:proofErr w:type="gramStart"/>
      <w:r w:rsidR="00F53F66" w:rsidRPr="00FC7E62">
        <w:rPr>
          <w:rFonts w:cs="Arial"/>
        </w:rPr>
        <w:t>bisexual</w:t>
      </w:r>
      <w:proofErr w:type="gramEnd"/>
      <w:r w:rsidR="00F53F66" w:rsidRPr="00FC7E62">
        <w:rPr>
          <w:rFonts w:cs="Arial"/>
        </w:rPr>
        <w:t xml:space="preserve"> and transgender employees to reach their full potential in the workplace.</w:t>
      </w:r>
    </w:p>
    <w:p w14:paraId="4FA8C271" w14:textId="77777777" w:rsidR="00AB06E8" w:rsidRPr="00E23AB3" w:rsidRDefault="00AB06E8" w:rsidP="00F53F66">
      <w:pPr>
        <w:pStyle w:val="Heading2"/>
      </w:pPr>
      <w:r w:rsidRPr="00E23AB3">
        <w:t>Religion and belief</w:t>
      </w:r>
    </w:p>
    <w:p w14:paraId="3F9F0B31" w14:textId="5CD5053C" w:rsidR="000D3D67" w:rsidRPr="007F28F6" w:rsidRDefault="001A1FB2" w:rsidP="007F28F6">
      <w:pPr>
        <w:pStyle w:val="Tableandgraphheading"/>
      </w:pPr>
      <w:r w:rsidRPr="00E23AB3">
        <w:t>Chart 11: R</w:t>
      </w:r>
      <w:r w:rsidR="00DE33B1" w:rsidRPr="00E23AB3">
        <w:t xml:space="preserve">eligion and </w:t>
      </w:r>
      <w:r w:rsidR="00DE33B1" w:rsidRPr="00F53F66">
        <w:t>belief</w:t>
      </w:r>
      <w:r w:rsidR="009503FF" w:rsidRPr="00E23AB3">
        <w:t>: NICE staff</w:t>
      </w:r>
      <w:r w:rsidR="00BF44A6" w:rsidRPr="0059176D">
        <w:rPr>
          <w:noProof/>
        </w:rPr>
        <w:drawing>
          <wp:inline distT="0" distB="0" distL="0" distR="0" wp14:anchorId="74A5B4DD" wp14:editId="2649A4F8">
            <wp:extent cx="5731510" cy="2502535"/>
            <wp:effectExtent l="0" t="0" r="2540" b="12065"/>
            <wp:docPr id="8" name="Chart 8" descr="Chart 11, which shows religion and belief as a percentage of workforce as at 31 March 2019.&#10;">
              <a:extLst xmlns:a="http://schemas.openxmlformats.org/drawingml/2006/main">
                <a:ext uri="{FF2B5EF4-FFF2-40B4-BE49-F238E27FC236}">
                  <a16:creationId xmlns:a16="http://schemas.microsoft.com/office/drawing/2014/main" id="{42B3B4A3-5D28-4F24-958A-AA62C126EE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399406C" w14:textId="08F7F966" w:rsidR="00393E63" w:rsidRPr="00E23AB3" w:rsidRDefault="007B03CB" w:rsidP="00393E63">
      <w:pPr>
        <w:pStyle w:val="Paragraphnonumbers"/>
        <w:ind w:firstLine="426"/>
        <w:rPr>
          <w:color w:val="FF0000"/>
        </w:rPr>
      </w:pPr>
      <w:hyperlink r:id="rId38" w:history="1">
        <w:r w:rsidR="00393E63">
          <w:rPr>
            <w:rStyle w:val="Hyperlink"/>
          </w:rPr>
          <w:t>D</w:t>
        </w:r>
        <w:r w:rsidR="00393E63" w:rsidRPr="004D16C3">
          <w:rPr>
            <w:rStyle w:val="Hyperlink"/>
          </w:rPr>
          <w:t>ownload the data set for this chart</w:t>
        </w:r>
      </w:hyperlink>
    </w:p>
    <w:p w14:paraId="537D3762" w14:textId="71B88F4A" w:rsidR="00906DD5" w:rsidRPr="00E23AB3" w:rsidRDefault="00FC66DB" w:rsidP="00F53F66">
      <w:pPr>
        <w:pStyle w:val="Paragraph"/>
      </w:pPr>
      <w:r>
        <w:t xml:space="preserve">The largest proportion were staff </w:t>
      </w:r>
      <w:r w:rsidR="00110BA1">
        <w:t xml:space="preserve">who identified themselves as Christian </w:t>
      </w:r>
      <w:r w:rsidR="00D358EE" w:rsidRPr="00E23AB3">
        <w:t>(</w:t>
      </w:r>
      <w:r w:rsidR="00906DD5" w:rsidRPr="00E23AB3">
        <w:t>3</w:t>
      </w:r>
      <w:r w:rsidR="00F53F66">
        <w:t>5</w:t>
      </w:r>
      <w:r w:rsidR="00906DD5" w:rsidRPr="00E23AB3">
        <w:t>%</w:t>
      </w:r>
      <w:r w:rsidR="00D358EE" w:rsidRPr="00E23AB3">
        <w:t>)</w:t>
      </w:r>
      <w:r w:rsidR="00906DD5" w:rsidRPr="00E23AB3">
        <w:t xml:space="preserve"> </w:t>
      </w:r>
      <w:r w:rsidR="00110BA1">
        <w:t xml:space="preserve">followed by </w:t>
      </w:r>
      <w:r w:rsidR="00906DD5" w:rsidRPr="00E23AB3">
        <w:t>no religion (2</w:t>
      </w:r>
      <w:r w:rsidR="00F53F66">
        <w:t>6</w:t>
      </w:r>
      <w:r w:rsidR="00906DD5" w:rsidRPr="00E23AB3">
        <w:t xml:space="preserve">%), which is </w:t>
      </w:r>
      <w:proofErr w:type="gramStart"/>
      <w:r w:rsidR="00906DD5" w:rsidRPr="00E23AB3">
        <w:t>similar to</w:t>
      </w:r>
      <w:proofErr w:type="gramEnd"/>
      <w:r w:rsidR="00906DD5" w:rsidRPr="00E23AB3">
        <w:t xml:space="preserve"> </w:t>
      </w:r>
      <w:r w:rsidR="00B43E9E" w:rsidRPr="00F53F66">
        <w:t>last</w:t>
      </w:r>
      <w:r w:rsidR="00B43E9E" w:rsidRPr="00E23AB3">
        <w:t xml:space="preserve"> year</w:t>
      </w:r>
      <w:r w:rsidR="00906DD5" w:rsidRPr="00E23AB3">
        <w:t xml:space="preserve">. </w:t>
      </w:r>
    </w:p>
    <w:p w14:paraId="05C2899D" w14:textId="77777777" w:rsidR="00AB06E8" w:rsidRPr="00E23AB3" w:rsidRDefault="00AB06E8" w:rsidP="00A57AFC">
      <w:pPr>
        <w:pStyle w:val="Heading2"/>
      </w:pPr>
      <w:r w:rsidRPr="00E23AB3">
        <w:t>Employment applicants and appointees</w:t>
      </w:r>
    </w:p>
    <w:p w14:paraId="13260BCD" w14:textId="3D1A9621" w:rsidR="00DF5C76" w:rsidRPr="00E23AB3" w:rsidRDefault="00DF5C76" w:rsidP="00A57AFC">
      <w:pPr>
        <w:pStyle w:val="Paragraph"/>
      </w:pPr>
      <w:r w:rsidRPr="00E23AB3">
        <w:t xml:space="preserve">Data on employment applicants and appointees is gathered via the equality profile of individuals when they complete their application on the TRAC recruitment system. This data </w:t>
      </w:r>
      <w:r w:rsidR="00A57AFC">
        <w:t>then</w:t>
      </w:r>
      <w:r w:rsidRPr="00E23AB3">
        <w:t xml:space="preserve"> automatically transfer</w:t>
      </w:r>
      <w:r w:rsidR="00927149">
        <w:t xml:space="preserve">s </w:t>
      </w:r>
      <w:r w:rsidRPr="00E23AB3">
        <w:t xml:space="preserve">to the Electronic Staff Record (ESR) system. There was a total of </w:t>
      </w:r>
      <w:r w:rsidR="00A57AFC">
        <w:t>6,643</w:t>
      </w:r>
      <w:r w:rsidRPr="00E23AB3">
        <w:t xml:space="preserve"> applications for </w:t>
      </w:r>
      <w:r w:rsidR="006D3AFE">
        <w:t xml:space="preserve">the </w:t>
      </w:r>
      <w:r w:rsidRPr="00E23AB3">
        <w:t>15</w:t>
      </w:r>
      <w:r w:rsidR="00A57AFC">
        <w:t>2</w:t>
      </w:r>
      <w:r w:rsidRPr="00E23AB3">
        <w:t xml:space="preserve"> posts advertised in 201</w:t>
      </w:r>
      <w:r w:rsidR="00A57AFC">
        <w:t>8/19.</w:t>
      </w:r>
      <w:r w:rsidRPr="00E23AB3">
        <w:t xml:space="preserve"> </w:t>
      </w:r>
    </w:p>
    <w:p w14:paraId="359F810E" w14:textId="77777777" w:rsidR="00906DD5" w:rsidRPr="00E23AB3" w:rsidRDefault="00F52998" w:rsidP="00A57AFC">
      <w:pPr>
        <w:pStyle w:val="Paragraph"/>
      </w:pPr>
      <w:r w:rsidRPr="00E23AB3">
        <w:t>D</w:t>
      </w:r>
      <w:r w:rsidR="00906DD5" w:rsidRPr="00E23AB3">
        <w:t>iscrepanc</w:t>
      </w:r>
      <w:r w:rsidR="00B90BE2" w:rsidRPr="00E23AB3">
        <w:t xml:space="preserve">ies </w:t>
      </w:r>
      <w:r w:rsidR="00906DD5" w:rsidRPr="00E23AB3">
        <w:t xml:space="preserve">between the </w:t>
      </w:r>
      <w:r w:rsidR="00906DD5" w:rsidRPr="00A57AFC">
        <w:t>profile</w:t>
      </w:r>
      <w:r w:rsidR="00906DD5" w:rsidRPr="00E23AB3">
        <w:t xml:space="preserve"> of applica</w:t>
      </w:r>
      <w:r w:rsidRPr="00E23AB3">
        <w:t>nt</w:t>
      </w:r>
      <w:r w:rsidR="00906DD5" w:rsidRPr="00E23AB3">
        <w:t>s</w:t>
      </w:r>
      <w:r w:rsidR="00EB2258" w:rsidRPr="00E23AB3">
        <w:t xml:space="preserve"> and</w:t>
      </w:r>
      <w:r w:rsidR="00906DD5" w:rsidRPr="00E23AB3">
        <w:t xml:space="preserve"> appointees </w:t>
      </w:r>
      <w:r w:rsidRPr="00E23AB3">
        <w:t xml:space="preserve">include: </w:t>
      </w:r>
    </w:p>
    <w:p w14:paraId="4326B7CC" w14:textId="79C2F628" w:rsidR="00906DD5" w:rsidRPr="00E23AB3" w:rsidRDefault="00F52998" w:rsidP="00213991">
      <w:pPr>
        <w:pStyle w:val="Bullets"/>
      </w:pPr>
      <w:r w:rsidRPr="00E23AB3">
        <w:t xml:space="preserve">Ethnicity: </w:t>
      </w:r>
      <w:r w:rsidR="00A168AA" w:rsidRPr="00E23AB3">
        <w:t>5</w:t>
      </w:r>
      <w:r w:rsidR="00A57AFC">
        <w:t>3</w:t>
      </w:r>
      <w:r w:rsidR="00A168AA" w:rsidRPr="00E23AB3">
        <w:t xml:space="preserve">% of applicants </w:t>
      </w:r>
      <w:r w:rsidR="00A168AA" w:rsidRPr="00213991">
        <w:t>identified</w:t>
      </w:r>
      <w:r w:rsidR="00A168AA" w:rsidRPr="00E23AB3">
        <w:t xml:space="preserve"> themselves of white ethnicity</w:t>
      </w:r>
      <w:r w:rsidRPr="00E23AB3">
        <w:t xml:space="preserve">, compared </w:t>
      </w:r>
      <w:r w:rsidR="005071AA">
        <w:t xml:space="preserve">with </w:t>
      </w:r>
      <w:r w:rsidRPr="00E23AB3">
        <w:t>7</w:t>
      </w:r>
      <w:r w:rsidR="00A57AFC">
        <w:t>7</w:t>
      </w:r>
      <w:r w:rsidRPr="00E23AB3">
        <w:t xml:space="preserve">% of </w:t>
      </w:r>
      <w:r w:rsidR="00A357E7">
        <w:t>appointees</w:t>
      </w:r>
      <w:r w:rsidRPr="00E23AB3">
        <w:t xml:space="preserve">. </w:t>
      </w:r>
    </w:p>
    <w:p w14:paraId="3F65F26A" w14:textId="476A59A9" w:rsidR="00F52998" w:rsidRDefault="00F52998" w:rsidP="00393E63">
      <w:pPr>
        <w:pStyle w:val="Bullets"/>
      </w:pPr>
      <w:r w:rsidRPr="00E23AB3">
        <w:t>Age:</w:t>
      </w:r>
      <w:r w:rsidR="00A338C5" w:rsidRPr="00E23AB3">
        <w:t xml:space="preserve"> Those aged between 25 and 34 years old accounted for 4</w:t>
      </w:r>
      <w:r w:rsidR="00A357E7">
        <w:t>0</w:t>
      </w:r>
      <w:r w:rsidR="00A338C5" w:rsidRPr="00E23AB3">
        <w:t xml:space="preserve">% of applicants and </w:t>
      </w:r>
      <w:r w:rsidR="00A357E7">
        <w:t>46</w:t>
      </w:r>
      <w:r w:rsidR="00A338C5" w:rsidRPr="00E23AB3">
        <w:t>% of appointees. 1</w:t>
      </w:r>
      <w:r w:rsidR="00393E63">
        <w:t>2</w:t>
      </w:r>
      <w:r w:rsidR="00A338C5" w:rsidRPr="00E23AB3">
        <w:t xml:space="preserve">% of applicants were under 25 years old, compared </w:t>
      </w:r>
      <w:r w:rsidR="005071AA">
        <w:t>with</w:t>
      </w:r>
      <w:r w:rsidR="00A338C5" w:rsidRPr="00E23AB3">
        <w:t xml:space="preserve"> </w:t>
      </w:r>
      <w:r w:rsidR="00393E63">
        <w:t>7</w:t>
      </w:r>
      <w:r w:rsidR="00A338C5" w:rsidRPr="00E23AB3">
        <w:t>% of appointees.</w:t>
      </w:r>
    </w:p>
    <w:p w14:paraId="7CA68D9D" w14:textId="55FE8F6B" w:rsidR="00213991" w:rsidRPr="00E23AB3" w:rsidRDefault="00213991" w:rsidP="00393E63">
      <w:pPr>
        <w:pStyle w:val="Bulletslast"/>
      </w:pPr>
      <w:r>
        <w:t xml:space="preserve">Gender: 41% of applicants were men, </w:t>
      </w:r>
      <w:r w:rsidRPr="00393E63">
        <w:t>compared</w:t>
      </w:r>
      <w:r>
        <w:t xml:space="preserve"> </w:t>
      </w:r>
      <w:r w:rsidR="005071AA">
        <w:t xml:space="preserve">with </w:t>
      </w:r>
      <w:r>
        <w:t>24% of appoin</w:t>
      </w:r>
      <w:r w:rsidR="00A357E7">
        <w:t>tees.</w:t>
      </w:r>
    </w:p>
    <w:p w14:paraId="4511962A" w14:textId="5A217A16" w:rsidR="00895B82" w:rsidRPr="00E23AB3" w:rsidRDefault="0020633E" w:rsidP="00393E63">
      <w:pPr>
        <w:pStyle w:val="Paragraph"/>
      </w:pPr>
      <w:r w:rsidRPr="00E23AB3">
        <w:t>Further information is contained in the annual workforce report to the July Board.</w:t>
      </w:r>
      <w:r w:rsidR="00760488" w:rsidRPr="00E23AB3">
        <w:t xml:space="preserve"> </w:t>
      </w:r>
      <w:r w:rsidR="00110BA1">
        <w:t>As noted at that meeting</w:t>
      </w:r>
      <w:r w:rsidR="006D3AFE">
        <w:t xml:space="preserve">, </w:t>
      </w:r>
      <w:r w:rsidR="00110BA1">
        <w:t>r</w:t>
      </w:r>
      <w:r w:rsidR="00760488" w:rsidRPr="00393E63">
        <w:t>ecruiting</w:t>
      </w:r>
      <w:r w:rsidR="00760488" w:rsidRPr="00E23AB3">
        <w:t xml:space="preserve"> managers do not see the personal details of applicants at the short-listing stage.</w:t>
      </w:r>
    </w:p>
    <w:p w14:paraId="7645573B" w14:textId="754B5164" w:rsidR="00051DE2" w:rsidRPr="00070124" w:rsidRDefault="00051DE2" w:rsidP="00051DE2">
      <w:pPr>
        <w:pStyle w:val="Paragraph"/>
        <w:numPr>
          <w:ilvl w:val="0"/>
          <w:numId w:val="0"/>
        </w:numPr>
      </w:pPr>
      <w:r w:rsidRPr="00070124">
        <w:lastRenderedPageBreak/>
        <w:t xml:space="preserve">© NICE </w:t>
      </w:r>
      <w:r>
        <w:t>2019</w:t>
      </w:r>
      <w:r w:rsidRPr="00070124">
        <w:t xml:space="preserve">. All rights reserved. </w:t>
      </w:r>
      <w:hyperlink r:id="rId39" w:anchor="notice-of-rights" w:history="1">
        <w:r w:rsidRPr="00070124">
          <w:rPr>
            <w:rStyle w:val="Hyperlink"/>
          </w:rPr>
          <w:t>Subject to Notice of rights</w:t>
        </w:r>
      </w:hyperlink>
      <w:r w:rsidRPr="00070124">
        <w:t>.</w:t>
      </w:r>
    </w:p>
    <w:p w14:paraId="5D30781B" w14:textId="07F56663" w:rsidR="00051DE2" w:rsidRPr="00245256" w:rsidRDefault="00051DE2" w:rsidP="00051DE2">
      <w:pPr>
        <w:pStyle w:val="Paragraph"/>
        <w:numPr>
          <w:ilvl w:val="0"/>
          <w:numId w:val="0"/>
        </w:numPr>
        <w:ind w:left="567" w:hanging="567"/>
      </w:pPr>
      <w:r>
        <w:t>September 2019</w:t>
      </w:r>
    </w:p>
    <w:sectPr w:rsidR="00051DE2" w:rsidRPr="00245256" w:rsidSect="007F28F6">
      <w:headerReference w:type="default" r:id="rId40"/>
      <w:footerReference w:type="default" r:id="rId41"/>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4B55C" w14:textId="77777777" w:rsidR="00270554" w:rsidRDefault="00270554" w:rsidP="00446BEE">
      <w:r>
        <w:separator/>
      </w:r>
    </w:p>
  </w:endnote>
  <w:endnote w:type="continuationSeparator" w:id="0">
    <w:p w14:paraId="247C1609" w14:textId="77777777" w:rsidR="00270554" w:rsidRDefault="0027055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EA6BE" w14:textId="77777777" w:rsidR="007B03CB" w:rsidRPr="002A231B" w:rsidRDefault="007B03CB" w:rsidP="004C5B36">
    <w:pPr>
      <w:pStyle w:val="Footer"/>
      <w:tabs>
        <w:tab w:val="clear" w:pos="4513"/>
        <w:tab w:val="clear" w:pos="9026"/>
        <w:tab w:val="right" w:pos="8931"/>
        <w:tab w:val="right" w:pos="13892"/>
      </w:tabs>
      <w:rPr>
        <w:szCs w:val="16"/>
      </w:rPr>
    </w:pPr>
    <w:r w:rsidRPr="002A231B">
      <w:rPr>
        <w:szCs w:val="16"/>
      </w:rPr>
      <w:t>National Institute for Health and Care Excellence</w:t>
    </w:r>
    <w:r w:rsidRPr="002A231B">
      <w:rPr>
        <w:szCs w:val="16"/>
      </w:rPr>
      <w:tab/>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21</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33</w:t>
    </w:r>
    <w:r w:rsidRPr="002A231B">
      <w:rPr>
        <w:szCs w:val="16"/>
      </w:rPr>
      <w:fldChar w:fldCharType="end"/>
    </w:r>
  </w:p>
  <w:p w14:paraId="58DFB398" w14:textId="4031DCB5" w:rsidR="007B03CB" w:rsidRPr="00AE2379" w:rsidRDefault="007B03CB" w:rsidP="00D10686">
    <w:pPr>
      <w:pStyle w:val="Footer"/>
      <w:tabs>
        <w:tab w:val="clear" w:pos="4513"/>
        <w:tab w:val="clear" w:pos="9026"/>
      </w:tabs>
      <w:rPr>
        <w:szCs w:val="16"/>
      </w:rPr>
    </w:pPr>
    <w:r>
      <w:t xml:space="preserve">Annual equality report 2018/19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F5D1A" w14:textId="77777777" w:rsidR="00270554" w:rsidRDefault="00270554" w:rsidP="00446BEE">
      <w:r>
        <w:separator/>
      </w:r>
    </w:p>
  </w:footnote>
  <w:footnote w:type="continuationSeparator" w:id="0">
    <w:p w14:paraId="381FA369" w14:textId="77777777" w:rsidR="00270554" w:rsidRDefault="00270554" w:rsidP="00446BEE">
      <w:r>
        <w:continuationSeparator/>
      </w:r>
    </w:p>
  </w:footnote>
  <w:footnote w:id="1">
    <w:p w14:paraId="52D942D0" w14:textId="77777777" w:rsidR="007B03CB" w:rsidRPr="00144F39" w:rsidRDefault="007B03CB" w:rsidP="00945E59">
      <w:pPr>
        <w:pStyle w:val="FootnoteText"/>
        <w:rPr>
          <w:lang w:val="en-US"/>
        </w:rPr>
      </w:pPr>
      <w:r>
        <w:rPr>
          <w:rStyle w:val="FootnoteReference"/>
        </w:rPr>
        <w:footnoteRef/>
      </w:r>
      <w:r>
        <w:t xml:space="preserve"> </w:t>
      </w:r>
      <w:r w:rsidRPr="002B5E23">
        <w:rPr>
          <w:rFonts w:ascii="Arial" w:hAnsi="Arial" w:cs="Arial"/>
          <w:sz w:val="18"/>
        </w:rPr>
        <w:t>England and Wales, 2011 census</w:t>
      </w:r>
    </w:p>
  </w:footnote>
  <w:footnote w:id="2">
    <w:p w14:paraId="73E5040B" w14:textId="77777777" w:rsidR="007B03CB" w:rsidRPr="002B5E23" w:rsidRDefault="007B03CB" w:rsidP="00945E59">
      <w:pPr>
        <w:pStyle w:val="FootnoteText"/>
        <w:rPr>
          <w:rFonts w:ascii="Arial" w:hAnsi="Arial" w:cs="Arial"/>
        </w:rPr>
      </w:pPr>
      <w:r w:rsidRPr="002B5E23">
        <w:rPr>
          <w:rStyle w:val="FootnoteReference"/>
          <w:rFonts w:ascii="Arial" w:hAnsi="Arial" w:cs="Arial"/>
          <w:sz w:val="18"/>
        </w:rPr>
        <w:footnoteRef/>
      </w:r>
      <w:r w:rsidRPr="002B5E23">
        <w:rPr>
          <w:rFonts w:ascii="Arial" w:hAnsi="Arial" w:cs="Arial"/>
          <w:sz w:val="18"/>
        </w:rPr>
        <w:t xml:space="preserve"> England and Wales, 2011 census </w:t>
      </w:r>
    </w:p>
  </w:footnote>
  <w:footnote w:id="3">
    <w:p w14:paraId="33D91C13" w14:textId="77777777" w:rsidR="007B03CB" w:rsidRDefault="007B03CB" w:rsidP="00945E59">
      <w:pPr>
        <w:pStyle w:val="FootnoteText"/>
      </w:pPr>
      <w:r>
        <w:rPr>
          <w:rStyle w:val="FootnoteReference"/>
        </w:rPr>
        <w:footnoteRef/>
      </w:r>
      <w:r>
        <w:t xml:space="preserve"> </w:t>
      </w:r>
      <w:r w:rsidRPr="008F7220">
        <w:rPr>
          <w:rFonts w:ascii="Arial" w:hAnsi="Arial" w:cs="Arial"/>
          <w:sz w:val="18"/>
        </w:rPr>
        <w:t>201</w:t>
      </w:r>
      <w:r>
        <w:rPr>
          <w:rFonts w:ascii="Arial" w:hAnsi="Arial" w:cs="Arial"/>
          <w:sz w:val="18"/>
        </w:rPr>
        <w:t>7</w:t>
      </w:r>
      <w:r w:rsidRPr="008F7220">
        <w:rPr>
          <w:rFonts w:ascii="Arial" w:hAnsi="Arial" w:cs="Arial"/>
          <w:sz w:val="18"/>
        </w:rPr>
        <w:t xml:space="preserve"> Annual Population Survey published by the Office for National Statistics</w:t>
      </w:r>
    </w:p>
  </w:footnote>
  <w:footnote w:id="4">
    <w:p w14:paraId="2B16C4F8" w14:textId="77777777" w:rsidR="007B03CB" w:rsidRPr="00745C75" w:rsidRDefault="007B03CB" w:rsidP="00945E59">
      <w:pPr>
        <w:pStyle w:val="FootnoteText"/>
        <w:rPr>
          <w:lang w:val="en-US"/>
        </w:rPr>
      </w:pPr>
      <w:r>
        <w:rPr>
          <w:rStyle w:val="FootnoteReference"/>
        </w:rPr>
        <w:footnoteRef/>
      </w:r>
      <w:r>
        <w:t xml:space="preserve"> </w:t>
      </w:r>
      <w:r w:rsidRPr="002B5E23">
        <w:rPr>
          <w:rFonts w:ascii="Arial" w:hAnsi="Arial" w:cs="Arial"/>
          <w:sz w:val="18"/>
        </w:rPr>
        <w:t>England and Wales, 2011 census</w:t>
      </w:r>
    </w:p>
  </w:footnote>
  <w:footnote w:id="5">
    <w:p w14:paraId="42D03177" w14:textId="77777777" w:rsidR="007B03CB" w:rsidRDefault="007B03CB">
      <w:pPr>
        <w:pStyle w:val="FootnoteText"/>
        <w:rPr>
          <w:rFonts w:ascii="Arial" w:hAnsi="Arial" w:cs="Arial"/>
          <w:sz w:val="18"/>
        </w:rPr>
      </w:pPr>
      <w:r w:rsidRPr="0009209B">
        <w:rPr>
          <w:rStyle w:val="FootnoteReference"/>
          <w:rFonts w:ascii="Arial" w:hAnsi="Arial" w:cs="Arial"/>
          <w:sz w:val="18"/>
        </w:rPr>
        <w:footnoteRef/>
      </w:r>
      <w:r w:rsidRPr="0009209B">
        <w:rPr>
          <w:rFonts w:ascii="Arial" w:hAnsi="Arial" w:cs="Arial"/>
          <w:sz w:val="18"/>
        </w:rPr>
        <w:t xml:space="preserve"> Due to the format for the availability of data from the Office of National Statistics, the England and Wales data uses the following categories: 20-34 years old, 35-49 years old, 50-64 years old, over 65 years old</w:t>
      </w:r>
    </w:p>
    <w:p w14:paraId="48067DCB" w14:textId="77777777" w:rsidR="007B03CB" w:rsidRPr="0009209B" w:rsidRDefault="007B03CB">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62086" w14:textId="3CC36C1B" w:rsidR="007B03CB" w:rsidRDefault="007B03CB" w:rsidP="004C5B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222EDF2"/>
    <w:lvl w:ilvl="0">
      <w:numFmt w:val="bullet"/>
      <w:lvlText w:val="*"/>
      <w:lvlJc w:val="left"/>
      <w:pPr>
        <w:ind w:left="0" w:firstLine="0"/>
      </w:pPr>
    </w:lvl>
  </w:abstractNum>
  <w:abstractNum w:abstractNumId="11" w15:restartNumberingAfterBreak="0">
    <w:nsid w:val="01D57033"/>
    <w:multiLevelType w:val="hybridMultilevel"/>
    <w:tmpl w:val="40F2124A"/>
    <w:lvl w:ilvl="0" w:tplc="0809000F">
      <w:start w:val="1"/>
      <w:numFmt w:val="decimal"/>
      <w:lvlText w:val="%1."/>
      <w:lvlJc w:val="left"/>
      <w:pPr>
        <w:ind w:left="360" w:hanging="360"/>
      </w:p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B15797"/>
    <w:multiLevelType w:val="hybridMultilevel"/>
    <w:tmpl w:val="6BAE7BEA"/>
    <w:lvl w:ilvl="0" w:tplc="45A89676">
      <w:start w:val="1"/>
      <w:numFmt w:val="decimal"/>
      <w:pStyle w:val="Paragraph"/>
      <w:lvlText w:val="%1."/>
      <w:lvlJc w:val="left"/>
      <w:pPr>
        <w:ind w:left="502"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156" w:hanging="360"/>
      </w:pPr>
      <w:rPr>
        <w:rFonts w:ascii="Symbol" w:hAnsi="Symbol" w:hint="default"/>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1C2444DE"/>
    <w:multiLevelType w:val="hybridMultilevel"/>
    <w:tmpl w:val="7258226E"/>
    <w:lvl w:ilvl="0" w:tplc="1C3474B8">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395247A4"/>
    <w:multiLevelType w:val="hybridMultilevel"/>
    <w:tmpl w:val="674C6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9D61E5"/>
    <w:multiLevelType w:val="hybridMultilevel"/>
    <w:tmpl w:val="9D6226E6"/>
    <w:lvl w:ilvl="0" w:tplc="888840E2">
      <w:start w:val="27"/>
      <w:numFmt w:val="decimal"/>
      <w:lvlText w:val="%1."/>
      <w:lvlJc w:val="left"/>
      <w:pPr>
        <w:ind w:left="720"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742139"/>
    <w:multiLevelType w:val="hybridMultilevel"/>
    <w:tmpl w:val="BBB6D7C0"/>
    <w:lvl w:ilvl="0" w:tplc="D598C0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303550"/>
    <w:multiLevelType w:val="hybridMultilevel"/>
    <w:tmpl w:val="0ABAC442"/>
    <w:lvl w:ilvl="0" w:tplc="257C5606">
      <w:start w:val="4"/>
      <w:numFmt w:val="decimal"/>
      <w:lvlText w:val="%1."/>
      <w:lvlJc w:val="left"/>
      <w:pPr>
        <w:ind w:left="644" w:hanging="360"/>
      </w:pPr>
      <w:rPr>
        <w:rFonts w:ascii="Arial" w:eastAsia="Arial" w:hAnsi="Arial" w:cs="Arial" w:hint="default"/>
        <w:b w:val="0"/>
        <w:i w:val="0"/>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55463F"/>
    <w:multiLevelType w:val="hybridMultilevel"/>
    <w:tmpl w:val="3380220C"/>
    <w:lvl w:ilvl="0" w:tplc="1A1ADC80">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91BB6"/>
    <w:multiLevelType w:val="hybridMultilevel"/>
    <w:tmpl w:val="7D74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2"/>
    <w:lvlOverride w:ilvl="0">
      <w:startOverride w:val="1"/>
    </w:lvlOverride>
  </w:num>
  <w:num w:numId="4">
    <w:abstractNumId w:val="22"/>
    <w:lvlOverride w:ilvl="0">
      <w:startOverride w:val="1"/>
    </w:lvlOverride>
  </w:num>
  <w:num w:numId="5">
    <w:abstractNumId w:val="22"/>
    <w:lvlOverride w:ilvl="0">
      <w:startOverride w:val="1"/>
    </w:lvlOverride>
  </w:num>
  <w:num w:numId="6">
    <w:abstractNumId w:val="22"/>
    <w:lvlOverride w:ilvl="0">
      <w:startOverride w:val="1"/>
    </w:lvlOverride>
  </w:num>
  <w:num w:numId="7">
    <w:abstractNumId w:val="22"/>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12"/>
    <w:lvlOverride w:ilvl="0">
      <w:startOverride w:val="1"/>
    </w:lvlOverride>
  </w:num>
  <w:num w:numId="25">
    <w:abstractNumId w:val="13"/>
  </w:num>
  <w:num w:numId="26">
    <w:abstractNumId w:val="15"/>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23"/>
  </w:num>
  <w:num w:numId="32">
    <w:abstractNumId w:val="12"/>
    <w:lvlOverride w:ilvl="0">
      <w:startOverride w:val="1"/>
    </w:lvlOverride>
  </w:num>
  <w:num w:numId="33">
    <w:abstractNumId w:val="17"/>
  </w:num>
  <w:num w:numId="34">
    <w:abstractNumId w:val="11"/>
  </w:num>
  <w:num w:numId="35">
    <w:abstractNumId w:val="21"/>
  </w:num>
  <w:num w:numId="36">
    <w:abstractNumId w:val="18"/>
  </w:num>
  <w:num w:numId="37">
    <w:abstractNumId w:val="10"/>
    <w:lvlOverride w:ilvl="0">
      <w:lvl w:ilvl="0">
        <w:numFmt w:val="bullet"/>
        <w:lvlText w:val=""/>
        <w:legacy w:legacy="1" w:legacySpace="0" w:legacyIndent="360"/>
        <w:lvlJc w:val="left"/>
        <w:pPr>
          <w:ind w:left="0" w:hanging="360"/>
        </w:pPr>
        <w:rPr>
          <w:rFonts w:ascii="Symbol" w:hAnsi="Symbol" w:hint="default"/>
        </w:rPr>
      </w:lvl>
    </w:lvlOverride>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30"/>
    <w:rsid w:val="00003410"/>
    <w:rsid w:val="000037EA"/>
    <w:rsid w:val="00004192"/>
    <w:rsid w:val="000053F8"/>
    <w:rsid w:val="0000747D"/>
    <w:rsid w:val="00007540"/>
    <w:rsid w:val="00007934"/>
    <w:rsid w:val="00010185"/>
    <w:rsid w:val="0001098F"/>
    <w:rsid w:val="00010A77"/>
    <w:rsid w:val="00020D42"/>
    <w:rsid w:val="00023F2E"/>
    <w:rsid w:val="00024552"/>
    <w:rsid w:val="00024D0A"/>
    <w:rsid w:val="00025C52"/>
    <w:rsid w:val="00026AF7"/>
    <w:rsid w:val="00030C53"/>
    <w:rsid w:val="000358E9"/>
    <w:rsid w:val="00036942"/>
    <w:rsid w:val="000370DD"/>
    <w:rsid w:val="00037A24"/>
    <w:rsid w:val="00041D69"/>
    <w:rsid w:val="00043C3B"/>
    <w:rsid w:val="00044208"/>
    <w:rsid w:val="000472DC"/>
    <w:rsid w:val="00047F22"/>
    <w:rsid w:val="0005057A"/>
    <w:rsid w:val="00050F62"/>
    <w:rsid w:val="00051BBC"/>
    <w:rsid w:val="00051DE2"/>
    <w:rsid w:val="00061B20"/>
    <w:rsid w:val="00070065"/>
    <w:rsid w:val="000711F6"/>
    <w:rsid w:val="00073A09"/>
    <w:rsid w:val="000740CB"/>
    <w:rsid w:val="000743A1"/>
    <w:rsid w:val="00074558"/>
    <w:rsid w:val="000761C0"/>
    <w:rsid w:val="0009209B"/>
    <w:rsid w:val="000940EB"/>
    <w:rsid w:val="00094BE4"/>
    <w:rsid w:val="00095CAF"/>
    <w:rsid w:val="000A17A4"/>
    <w:rsid w:val="000A3B30"/>
    <w:rsid w:val="000A4453"/>
    <w:rsid w:val="000A4FEE"/>
    <w:rsid w:val="000B5939"/>
    <w:rsid w:val="000C0B4E"/>
    <w:rsid w:val="000C330A"/>
    <w:rsid w:val="000C5316"/>
    <w:rsid w:val="000C5696"/>
    <w:rsid w:val="000C6FB1"/>
    <w:rsid w:val="000C7469"/>
    <w:rsid w:val="000D3D67"/>
    <w:rsid w:val="000D41B5"/>
    <w:rsid w:val="000E3CE4"/>
    <w:rsid w:val="000E468F"/>
    <w:rsid w:val="000E685C"/>
    <w:rsid w:val="000E6EA2"/>
    <w:rsid w:val="000F0954"/>
    <w:rsid w:val="000F0E2F"/>
    <w:rsid w:val="000F2AE0"/>
    <w:rsid w:val="001018B9"/>
    <w:rsid w:val="001041D4"/>
    <w:rsid w:val="001043AE"/>
    <w:rsid w:val="001045B8"/>
    <w:rsid w:val="00105258"/>
    <w:rsid w:val="00110BA1"/>
    <w:rsid w:val="00111CCE"/>
    <w:rsid w:val="001128D0"/>
    <w:rsid w:val="001134E7"/>
    <w:rsid w:val="001176C1"/>
    <w:rsid w:val="00127466"/>
    <w:rsid w:val="0013210A"/>
    <w:rsid w:val="00136F21"/>
    <w:rsid w:val="00150603"/>
    <w:rsid w:val="00150EDF"/>
    <w:rsid w:val="0015263A"/>
    <w:rsid w:val="0015302F"/>
    <w:rsid w:val="00153F88"/>
    <w:rsid w:val="0016066D"/>
    <w:rsid w:val="00163509"/>
    <w:rsid w:val="001661B6"/>
    <w:rsid w:val="0017149E"/>
    <w:rsid w:val="0017169E"/>
    <w:rsid w:val="00171FB5"/>
    <w:rsid w:val="001758AB"/>
    <w:rsid w:val="00180BE2"/>
    <w:rsid w:val="00181A4A"/>
    <w:rsid w:val="0018388D"/>
    <w:rsid w:val="00190032"/>
    <w:rsid w:val="00190B1D"/>
    <w:rsid w:val="00190FCB"/>
    <w:rsid w:val="00192549"/>
    <w:rsid w:val="001972A1"/>
    <w:rsid w:val="001A1142"/>
    <w:rsid w:val="001A1FB2"/>
    <w:rsid w:val="001A429D"/>
    <w:rsid w:val="001A7762"/>
    <w:rsid w:val="001B0EE9"/>
    <w:rsid w:val="001B1123"/>
    <w:rsid w:val="001B65B3"/>
    <w:rsid w:val="001B74A2"/>
    <w:rsid w:val="001C2661"/>
    <w:rsid w:val="001C607D"/>
    <w:rsid w:val="001D04C1"/>
    <w:rsid w:val="001D4C7D"/>
    <w:rsid w:val="001E4A8D"/>
    <w:rsid w:val="001E4E38"/>
    <w:rsid w:val="001F0CBC"/>
    <w:rsid w:val="002029A6"/>
    <w:rsid w:val="002058B2"/>
    <w:rsid w:val="0020633E"/>
    <w:rsid w:val="00206601"/>
    <w:rsid w:val="0021091F"/>
    <w:rsid w:val="00211F4C"/>
    <w:rsid w:val="00213991"/>
    <w:rsid w:val="0021465A"/>
    <w:rsid w:val="00216A5D"/>
    <w:rsid w:val="002234A8"/>
    <w:rsid w:val="002239B5"/>
    <w:rsid w:val="002243AE"/>
    <w:rsid w:val="00232377"/>
    <w:rsid w:val="002408EA"/>
    <w:rsid w:val="00241CA1"/>
    <w:rsid w:val="00245256"/>
    <w:rsid w:val="00246B04"/>
    <w:rsid w:val="00250EA1"/>
    <w:rsid w:val="00253571"/>
    <w:rsid w:val="0025388E"/>
    <w:rsid w:val="00261814"/>
    <w:rsid w:val="00270554"/>
    <w:rsid w:val="002723F7"/>
    <w:rsid w:val="002727E7"/>
    <w:rsid w:val="002737DF"/>
    <w:rsid w:val="002774A4"/>
    <w:rsid w:val="002819D7"/>
    <w:rsid w:val="002845C9"/>
    <w:rsid w:val="00286CFF"/>
    <w:rsid w:val="00287631"/>
    <w:rsid w:val="00290967"/>
    <w:rsid w:val="00290F89"/>
    <w:rsid w:val="0029182F"/>
    <w:rsid w:val="00292A28"/>
    <w:rsid w:val="00293A3C"/>
    <w:rsid w:val="00294BA1"/>
    <w:rsid w:val="002A104C"/>
    <w:rsid w:val="002A231B"/>
    <w:rsid w:val="002A3FC0"/>
    <w:rsid w:val="002A4CD5"/>
    <w:rsid w:val="002A6EF4"/>
    <w:rsid w:val="002B2D9F"/>
    <w:rsid w:val="002B5E23"/>
    <w:rsid w:val="002B676C"/>
    <w:rsid w:val="002C1A7E"/>
    <w:rsid w:val="002C2859"/>
    <w:rsid w:val="002D07BF"/>
    <w:rsid w:val="002D3376"/>
    <w:rsid w:val="002D61BE"/>
    <w:rsid w:val="002D7AC4"/>
    <w:rsid w:val="002E0088"/>
    <w:rsid w:val="002E45C0"/>
    <w:rsid w:val="002F076C"/>
    <w:rsid w:val="002F3270"/>
    <w:rsid w:val="002F5047"/>
    <w:rsid w:val="00305B4F"/>
    <w:rsid w:val="00307DC3"/>
    <w:rsid w:val="00310FF0"/>
    <w:rsid w:val="00311ED0"/>
    <w:rsid w:val="00313630"/>
    <w:rsid w:val="00313CBA"/>
    <w:rsid w:val="00314427"/>
    <w:rsid w:val="00314E74"/>
    <w:rsid w:val="00315C2E"/>
    <w:rsid w:val="00316325"/>
    <w:rsid w:val="003172C7"/>
    <w:rsid w:val="00321645"/>
    <w:rsid w:val="003246EF"/>
    <w:rsid w:val="0032473D"/>
    <w:rsid w:val="003256DF"/>
    <w:rsid w:val="003269E0"/>
    <w:rsid w:val="00342313"/>
    <w:rsid w:val="00345EB4"/>
    <w:rsid w:val="003465EA"/>
    <w:rsid w:val="00346F87"/>
    <w:rsid w:val="00354817"/>
    <w:rsid w:val="003603A3"/>
    <w:rsid w:val="00362876"/>
    <w:rsid w:val="00362FBF"/>
    <w:rsid w:val="0036314B"/>
    <w:rsid w:val="00363637"/>
    <w:rsid w:val="003648C5"/>
    <w:rsid w:val="003712B0"/>
    <w:rsid w:val="003722FA"/>
    <w:rsid w:val="00373F11"/>
    <w:rsid w:val="003765CA"/>
    <w:rsid w:val="00377047"/>
    <w:rsid w:val="00380E40"/>
    <w:rsid w:val="00382B40"/>
    <w:rsid w:val="00383093"/>
    <w:rsid w:val="00393E63"/>
    <w:rsid w:val="00394AD1"/>
    <w:rsid w:val="003A6BD3"/>
    <w:rsid w:val="003A711E"/>
    <w:rsid w:val="003A77FF"/>
    <w:rsid w:val="003B01D2"/>
    <w:rsid w:val="003B4A78"/>
    <w:rsid w:val="003B4F12"/>
    <w:rsid w:val="003B7354"/>
    <w:rsid w:val="003C1D0A"/>
    <w:rsid w:val="003C1ED1"/>
    <w:rsid w:val="003C2B55"/>
    <w:rsid w:val="003C5587"/>
    <w:rsid w:val="003C7AAF"/>
    <w:rsid w:val="003D0243"/>
    <w:rsid w:val="003D2589"/>
    <w:rsid w:val="003D42EF"/>
    <w:rsid w:val="003D7120"/>
    <w:rsid w:val="003D75D4"/>
    <w:rsid w:val="003E0AB8"/>
    <w:rsid w:val="003E3D48"/>
    <w:rsid w:val="003E6FBF"/>
    <w:rsid w:val="003F2299"/>
    <w:rsid w:val="003F77B6"/>
    <w:rsid w:val="00402276"/>
    <w:rsid w:val="00402964"/>
    <w:rsid w:val="004075B6"/>
    <w:rsid w:val="0041052D"/>
    <w:rsid w:val="00411104"/>
    <w:rsid w:val="00414D77"/>
    <w:rsid w:val="00415815"/>
    <w:rsid w:val="00415B22"/>
    <w:rsid w:val="00416EFD"/>
    <w:rsid w:val="00420952"/>
    <w:rsid w:val="00421567"/>
    <w:rsid w:val="0042496A"/>
    <w:rsid w:val="00424F21"/>
    <w:rsid w:val="00425B1D"/>
    <w:rsid w:val="00427B04"/>
    <w:rsid w:val="00433EFF"/>
    <w:rsid w:val="00437271"/>
    <w:rsid w:val="0044251D"/>
    <w:rsid w:val="00443081"/>
    <w:rsid w:val="0044527D"/>
    <w:rsid w:val="00446BEE"/>
    <w:rsid w:val="0044700B"/>
    <w:rsid w:val="0044781D"/>
    <w:rsid w:val="00450BF7"/>
    <w:rsid w:val="004554E3"/>
    <w:rsid w:val="00461608"/>
    <w:rsid w:val="00461647"/>
    <w:rsid w:val="00471086"/>
    <w:rsid w:val="004713BE"/>
    <w:rsid w:val="0047189C"/>
    <w:rsid w:val="00472BC5"/>
    <w:rsid w:val="0048127D"/>
    <w:rsid w:val="004816F5"/>
    <w:rsid w:val="00482451"/>
    <w:rsid w:val="004863BF"/>
    <w:rsid w:val="00486E80"/>
    <w:rsid w:val="00495CE7"/>
    <w:rsid w:val="00497547"/>
    <w:rsid w:val="004A0109"/>
    <w:rsid w:val="004A0FA9"/>
    <w:rsid w:val="004A118D"/>
    <w:rsid w:val="004A1FA3"/>
    <w:rsid w:val="004A3A90"/>
    <w:rsid w:val="004A42B6"/>
    <w:rsid w:val="004A4789"/>
    <w:rsid w:val="004A488A"/>
    <w:rsid w:val="004B0CC8"/>
    <w:rsid w:val="004B18A0"/>
    <w:rsid w:val="004B2B15"/>
    <w:rsid w:val="004B3B28"/>
    <w:rsid w:val="004B4236"/>
    <w:rsid w:val="004B4783"/>
    <w:rsid w:val="004B4986"/>
    <w:rsid w:val="004B77EC"/>
    <w:rsid w:val="004C5B36"/>
    <w:rsid w:val="004C5E54"/>
    <w:rsid w:val="004D16C3"/>
    <w:rsid w:val="004D296B"/>
    <w:rsid w:val="004D6082"/>
    <w:rsid w:val="004E0E69"/>
    <w:rsid w:val="004E2FA1"/>
    <w:rsid w:val="004E394F"/>
    <w:rsid w:val="004E678D"/>
    <w:rsid w:val="00500B87"/>
    <w:rsid w:val="005025A1"/>
    <w:rsid w:val="00502A23"/>
    <w:rsid w:val="00504D98"/>
    <w:rsid w:val="005071AA"/>
    <w:rsid w:val="00510FD4"/>
    <w:rsid w:val="0052598D"/>
    <w:rsid w:val="005317C5"/>
    <w:rsid w:val="005318A8"/>
    <w:rsid w:val="005329BB"/>
    <w:rsid w:val="00532C6E"/>
    <w:rsid w:val="005414DD"/>
    <w:rsid w:val="0054169D"/>
    <w:rsid w:val="00542C5B"/>
    <w:rsid w:val="0054340D"/>
    <w:rsid w:val="00544905"/>
    <w:rsid w:val="00545237"/>
    <w:rsid w:val="005463D2"/>
    <w:rsid w:val="0054792F"/>
    <w:rsid w:val="00551216"/>
    <w:rsid w:val="00551354"/>
    <w:rsid w:val="005525E2"/>
    <w:rsid w:val="005553E1"/>
    <w:rsid w:val="00556187"/>
    <w:rsid w:val="0056723E"/>
    <w:rsid w:val="005672FB"/>
    <w:rsid w:val="005674E9"/>
    <w:rsid w:val="00567A3E"/>
    <w:rsid w:val="005727A1"/>
    <w:rsid w:val="00580DC0"/>
    <w:rsid w:val="005836BE"/>
    <w:rsid w:val="005914A2"/>
    <w:rsid w:val="00593CA1"/>
    <w:rsid w:val="005965D1"/>
    <w:rsid w:val="00597D38"/>
    <w:rsid w:val="005A3F2F"/>
    <w:rsid w:val="005A7B10"/>
    <w:rsid w:val="005B5533"/>
    <w:rsid w:val="005C2C83"/>
    <w:rsid w:val="005C52F8"/>
    <w:rsid w:val="005C57C1"/>
    <w:rsid w:val="005C6FAE"/>
    <w:rsid w:val="005D2680"/>
    <w:rsid w:val="005D39B9"/>
    <w:rsid w:val="005D5AA7"/>
    <w:rsid w:val="005E3431"/>
    <w:rsid w:val="005E4DF0"/>
    <w:rsid w:val="005E5CC9"/>
    <w:rsid w:val="005E766B"/>
    <w:rsid w:val="005F613C"/>
    <w:rsid w:val="0060229D"/>
    <w:rsid w:val="00604A93"/>
    <w:rsid w:val="00610D44"/>
    <w:rsid w:val="00611CD3"/>
    <w:rsid w:val="00615407"/>
    <w:rsid w:val="006304C1"/>
    <w:rsid w:val="00631656"/>
    <w:rsid w:val="0063461F"/>
    <w:rsid w:val="006350D2"/>
    <w:rsid w:val="0063752D"/>
    <w:rsid w:val="006404D8"/>
    <w:rsid w:val="00643155"/>
    <w:rsid w:val="0064659A"/>
    <w:rsid w:val="0064668D"/>
    <w:rsid w:val="00654786"/>
    <w:rsid w:val="00660740"/>
    <w:rsid w:val="006623E1"/>
    <w:rsid w:val="00680A7F"/>
    <w:rsid w:val="0068364E"/>
    <w:rsid w:val="006847F5"/>
    <w:rsid w:val="00684F4C"/>
    <w:rsid w:val="00685638"/>
    <w:rsid w:val="00685B3D"/>
    <w:rsid w:val="00687FCB"/>
    <w:rsid w:val="00690EBB"/>
    <w:rsid w:val="00691326"/>
    <w:rsid w:val="006921E1"/>
    <w:rsid w:val="006922D5"/>
    <w:rsid w:val="006976A8"/>
    <w:rsid w:val="006A0321"/>
    <w:rsid w:val="006A3ABF"/>
    <w:rsid w:val="006B3FE7"/>
    <w:rsid w:val="006B6BF8"/>
    <w:rsid w:val="006B7B42"/>
    <w:rsid w:val="006C034E"/>
    <w:rsid w:val="006D39F0"/>
    <w:rsid w:val="006D3AFE"/>
    <w:rsid w:val="006D6196"/>
    <w:rsid w:val="006E022F"/>
    <w:rsid w:val="006E0DDA"/>
    <w:rsid w:val="006E2206"/>
    <w:rsid w:val="006E3029"/>
    <w:rsid w:val="006F233C"/>
    <w:rsid w:val="006F4B25"/>
    <w:rsid w:val="006F6496"/>
    <w:rsid w:val="00702694"/>
    <w:rsid w:val="00702954"/>
    <w:rsid w:val="00702E58"/>
    <w:rsid w:val="0070541D"/>
    <w:rsid w:val="0070596C"/>
    <w:rsid w:val="0071147A"/>
    <w:rsid w:val="00712C9F"/>
    <w:rsid w:val="0071540D"/>
    <w:rsid w:val="00721592"/>
    <w:rsid w:val="00722584"/>
    <w:rsid w:val="00723B7D"/>
    <w:rsid w:val="007272CF"/>
    <w:rsid w:val="00734640"/>
    <w:rsid w:val="0073534F"/>
    <w:rsid w:val="0073560B"/>
    <w:rsid w:val="007357F7"/>
    <w:rsid w:val="00736348"/>
    <w:rsid w:val="00736821"/>
    <w:rsid w:val="00746A2B"/>
    <w:rsid w:val="00750BCF"/>
    <w:rsid w:val="00753F00"/>
    <w:rsid w:val="00757CF6"/>
    <w:rsid w:val="00760146"/>
    <w:rsid w:val="00760488"/>
    <w:rsid w:val="00760908"/>
    <w:rsid w:val="00761E6C"/>
    <w:rsid w:val="00766096"/>
    <w:rsid w:val="00766647"/>
    <w:rsid w:val="00772F3B"/>
    <w:rsid w:val="00773820"/>
    <w:rsid w:val="007813D1"/>
    <w:rsid w:val="00782318"/>
    <w:rsid w:val="007845EA"/>
    <w:rsid w:val="00787185"/>
    <w:rsid w:val="007871B2"/>
    <w:rsid w:val="0078786A"/>
    <w:rsid w:val="00797A5A"/>
    <w:rsid w:val="007A16AD"/>
    <w:rsid w:val="007A2E98"/>
    <w:rsid w:val="007A4E3D"/>
    <w:rsid w:val="007A56E0"/>
    <w:rsid w:val="007A7C8A"/>
    <w:rsid w:val="007B03CB"/>
    <w:rsid w:val="007B17E9"/>
    <w:rsid w:val="007B440E"/>
    <w:rsid w:val="007C0751"/>
    <w:rsid w:val="007C2983"/>
    <w:rsid w:val="007C2AEC"/>
    <w:rsid w:val="007C388B"/>
    <w:rsid w:val="007C59B7"/>
    <w:rsid w:val="007D0651"/>
    <w:rsid w:val="007D1F81"/>
    <w:rsid w:val="007D32F2"/>
    <w:rsid w:val="007D4B52"/>
    <w:rsid w:val="007D52CC"/>
    <w:rsid w:val="007D6E9F"/>
    <w:rsid w:val="007E0B23"/>
    <w:rsid w:val="007E12CE"/>
    <w:rsid w:val="007E6941"/>
    <w:rsid w:val="007F05B6"/>
    <w:rsid w:val="007F18F9"/>
    <w:rsid w:val="007F238D"/>
    <w:rsid w:val="007F28F6"/>
    <w:rsid w:val="007F2EA3"/>
    <w:rsid w:val="007F559D"/>
    <w:rsid w:val="008025F4"/>
    <w:rsid w:val="00802C7D"/>
    <w:rsid w:val="00802D27"/>
    <w:rsid w:val="008036DF"/>
    <w:rsid w:val="00805743"/>
    <w:rsid w:val="00806355"/>
    <w:rsid w:val="00810393"/>
    <w:rsid w:val="00815D49"/>
    <w:rsid w:val="00817EED"/>
    <w:rsid w:val="00825B59"/>
    <w:rsid w:val="0082760E"/>
    <w:rsid w:val="008321C6"/>
    <w:rsid w:val="0083695C"/>
    <w:rsid w:val="00841B70"/>
    <w:rsid w:val="00843AAA"/>
    <w:rsid w:val="0084781E"/>
    <w:rsid w:val="008502A2"/>
    <w:rsid w:val="00856DA3"/>
    <w:rsid w:val="00861B92"/>
    <w:rsid w:val="00870913"/>
    <w:rsid w:val="008749E8"/>
    <w:rsid w:val="00877ADA"/>
    <w:rsid w:val="008814FB"/>
    <w:rsid w:val="00886CB9"/>
    <w:rsid w:val="0089295E"/>
    <w:rsid w:val="00892A47"/>
    <w:rsid w:val="00892B34"/>
    <w:rsid w:val="0089363C"/>
    <w:rsid w:val="00893667"/>
    <w:rsid w:val="00895B82"/>
    <w:rsid w:val="008A32DC"/>
    <w:rsid w:val="008A44E5"/>
    <w:rsid w:val="008A6CFB"/>
    <w:rsid w:val="008B0259"/>
    <w:rsid w:val="008B0AF6"/>
    <w:rsid w:val="008B11C5"/>
    <w:rsid w:val="008B71D7"/>
    <w:rsid w:val="008C5569"/>
    <w:rsid w:val="008D0DEE"/>
    <w:rsid w:val="008D412A"/>
    <w:rsid w:val="008E46F5"/>
    <w:rsid w:val="008E766D"/>
    <w:rsid w:val="008F05BF"/>
    <w:rsid w:val="008F5E30"/>
    <w:rsid w:val="008F7220"/>
    <w:rsid w:val="009031C9"/>
    <w:rsid w:val="009048D4"/>
    <w:rsid w:val="00906DD5"/>
    <w:rsid w:val="00907667"/>
    <w:rsid w:val="00914D7F"/>
    <w:rsid w:val="0091586A"/>
    <w:rsid w:val="00920E75"/>
    <w:rsid w:val="00921B53"/>
    <w:rsid w:val="009255F2"/>
    <w:rsid w:val="00925AD2"/>
    <w:rsid w:val="00927149"/>
    <w:rsid w:val="00931CB7"/>
    <w:rsid w:val="00934096"/>
    <w:rsid w:val="0093488A"/>
    <w:rsid w:val="0094017B"/>
    <w:rsid w:val="00941A10"/>
    <w:rsid w:val="0094436E"/>
    <w:rsid w:val="0094448C"/>
    <w:rsid w:val="00945E59"/>
    <w:rsid w:val="009503FF"/>
    <w:rsid w:val="00953F65"/>
    <w:rsid w:val="009550C1"/>
    <w:rsid w:val="009571E5"/>
    <w:rsid w:val="00963FF5"/>
    <w:rsid w:val="0096497E"/>
    <w:rsid w:val="0096797C"/>
    <w:rsid w:val="00967F2E"/>
    <w:rsid w:val="009709CB"/>
    <w:rsid w:val="009712F8"/>
    <w:rsid w:val="00980FAE"/>
    <w:rsid w:val="009826FC"/>
    <w:rsid w:val="009938FF"/>
    <w:rsid w:val="009942B0"/>
    <w:rsid w:val="0099475A"/>
    <w:rsid w:val="00995B6C"/>
    <w:rsid w:val="00996688"/>
    <w:rsid w:val="009A1944"/>
    <w:rsid w:val="009A2A7D"/>
    <w:rsid w:val="009A2EE5"/>
    <w:rsid w:val="009A67D7"/>
    <w:rsid w:val="009A76EE"/>
    <w:rsid w:val="009A78BE"/>
    <w:rsid w:val="009B1A85"/>
    <w:rsid w:val="009B1BAC"/>
    <w:rsid w:val="009C2EFA"/>
    <w:rsid w:val="009C77C8"/>
    <w:rsid w:val="009D3C0F"/>
    <w:rsid w:val="009D67C8"/>
    <w:rsid w:val="009D7EDF"/>
    <w:rsid w:val="009E680B"/>
    <w:rsid w:val="009F3E3F"/>
    <w:rsid w:val="00A0023C"/>
    <w:rsid w:val="00A02589"/>
    <w:rsid w:val="00A042B4"/>
    <w:rsid w:val="00A04BE7"/>
    <w:rsid w:val="00A0649F"/>
    <w:rsid w:val="00A06F01"/>
    <w:rsid w:val="00A11142"/>
    <w:rsid w:val="00A1362F"/>
    <w:rsid w:val="00A15A1F"/>
    <w:rsid w:val="00A168AA"/>
    <w:rsid w:val="00A24060"/>
    <w:rsid w:val="00A24455"/>
    <w:rsid w:val="00A30580"/>
    <w:rsid w:val="00A31338"/>
    <w:rsid w:val="00A32BF7"/>
    <w:rsid w:val="00A3325A"/>
    <w:rsid w:val="00A338C5"/>
    <w:rsid w:val="00A357E7"/>
    <w:rsid w:val="00A43013"/>
    <w:rsid w:val="00A446EC"/>
    <w:rsid w:val="00A461D6"/>
    <w:rsid w:val="00A4694D"/>
    <w:rsid w:val="00A52850"/>
    <w:rsid w:val="00A52A3F"/>
    <w:rsid w:val="00A53737"/>
    <w:rsid w:val="00A5614C"/>
    <w:rsid w:val="00A57AFC"/>
    <w:rsid w:val="00A61AD9"/>
    <w:rsid w:val="00A61FCE"/>
    <w:rsid w:val="00A633C5"/>
    <w:rsid w:val="00A67A60"/>
    <w:rsid w:val="00A73CCF"/>
    <w:rsid w:val="00A75919"/>
    <w:rsid w:val="00A76B95"/>
    <w:rsid w:val="00A80F48"/>
    <w:rsid w:val="00A824B6"/>
    <w:rsid w:val="00A83B77"/>
    <w:rsid w:val="00A906F6"/>
    <w:rsid w:val="00A90B89"/>
    <w:rsid w:val="00AA7954"/>
    <w:rsid w:val="00AB06E8"/>
    <w:rsid w:val="00AB27F8"/>
    <w:rsid w:val="00AB5329"/>
    <w:rsid w:val="00AB6D57"/>
    <w:rsid w:val="00AB789E"/>
    <w:rsid w:val="00AC2DB4"/>
    <w:rsid w:val="00AC3EB8"/>
    <w:rsid w:val="00AC522D"/>
    <w:rsid w:val="00AC6B9D"/>
    <w:rsid w:val="00AD4B30"/>
    <w:rsid w:val="00AE2379"/>
    <w:rsid w:val="00AE3114"/>
    <w:rsid w:val="00AE38FC"/>
    <w:rsid w:val="00AE5FDB"/>
    <w:rsid w:val="00AE684D"/>
    <w:rsid w:val="00AE6C36"/>
    <w:rsid w:val="00AE7F84"/>
    <w:rsid w:val="00AF080C"/>
    <w:rsid w:val="00AF108A"/>
    <w:rsid w:val="00AF3391"/>
    <w:rsid w:val="00AF3BCA"/>
    <w:rsid w:val="00AF4DDF"/>
    <w:rsid w:val="00AF546F"/>
    <w:rsid w:val="00AF70D7"/>
    <w:rsid w:val="00B02E55"/>
    <w:rsid w:val="00B035A5"/>
    <w:rsid w:val="00B036C1"/>
    <w:rsid w:val="00B07F4C"/>
    <w:rsid w:val="00B16475"/>
    <w:rsid w:val="00B20273"/>
    <w:rsid w:val="00B245AB"/>
    <w:rsid w:val="00B24638"/>
    <w:rsid w:val="00B2559F"/>
    <w:rsid w:val="00B27D31"/>
    <w:rsid w:val="00B31030"/>
    <w:rsid w:val="00B4068A"/>
    <w:rsid w:val="00B4127D"/>
    <w:rsid w:val="00B413AD"/>
    <w:rsid w:val="00B41559"/>
    <w:rsid w:val="00B41B5D"/>
    <w:rsid w:val="00B43350"/>
    <w:rsid w:val="00B43E83"/>
    <w:rsid w:val="00B43E9E"/>
    <w:rsid w:val="00B53B7D"/>
    <w:rsid w:val="00B5431F"/>
    <w:rsid w:val="00B56E1D"/>
    <w:rsid w:val="00B57343"/>
    <w:rsid w:val="00B61A51"/>
    <w:rsid w:val="00B61E0E"/>
    <w:rsid w:val="00B624D3"/>
    <w:rsid w:val="00B644BD"/>
    <w:rsid w:val="00B664FA"/>
    <w:rsid w:val="00B67D34"/>
    <w:rsid w:val="00B70D69"/>
    <w:rsid w:val="00B71AC6"/>
    <w:rsid w:val="00B76FF6"/>
    <w:rsid w:val="00B77260"/>
    <w:rsid w:val="00B82C14"/>
    <w:rsid w:val="00B90BE2"/>
    <w:rsid w:val="00B91718"/>
    <w:rsid w:val="00B91F1B"/>
    <w:rsid w:val="00B94771"/>
    <w:rsid w:val="00B96551"/>
    <w:rsid w:val="00BB3D11"/>
    <w:rsid w:val="00BB4B18"/>
    <w:rsid w:val="00BB61E5"/>
    <w:rsid w:val="00BC0E8B"/>
    <w:rsid w:val="00BC0FAC"/>
    <w:rsid w:val="00BC2B19"/>
    <w:rsid w:val="00BC3043"/>
    <w:rsid w:val="00BC5EFB"/>
    <w:rsid w:val="00BC6F5F"/>
    <w:rsid w:val="00BD12D7"/>
    <w:rsid w:val="00BE03DE"/>
    <w:rsid w:val="00BE4B4B"/>
    <w:rsid w:val="00BF44A6"/>
    <w:rsid w:val="00BF5A98"/>
    <w:rsid w:val="00BF73EC"/>
    <w:rsid w:val="00BF7438"/>
    <w:rsid w:val="00BF7FE0"/>
    <w:rsid w:val="00C03AE7"/>
    <w:rsid w:val="00C16776"/>
    <w:rsid w:val="00C17B29"/>
    <w:rsid w:val="00C2144E"/>
    <w:rsid w:val="00C22301"/>
    <w:rsid w:val="00C224B0"/>
    <w:rsid w:val="00C228BA"/>
    <w:rsid w:val="00C2424F"/>
    <w:rsid w:val="00C27C17"/>
    <w:rsid w:val="00C30FD9"/>
    <w:rsid w:val="00C35C89"/>
    <w:rsid w:val="00C401AC"/>
    <w:rsid w:val="00C41012"/>
    <w:rsid w:val="00C4323F"/>
    <w:rsid w:val="00C45A6E"/>
    <w:rsid w:val="00C477E4"/>
    <w:rsid w:val="00C47AE6"/>
    <w:rsid w:val="00C500FC"/>
    <w:rsid w:val="00C51767"/>
    <w:rsid w:val="00C51B05"/>
    <w:rsid w:val="00C6191E"/>
    <w:rsid w:val="00C639CF"/>
    <w:rsid w:val="00C66E1A"/>
    <w:rsid w:val="00C776D3"/>
    <w:rsid w:val="00C77D99"/>
    <w:rsid w:val="00C81104"/>
    <w:rsid w:val="00C814C9"/>
    <w:rsid w:val="00C829AD"/>
    <w:rsid w:val="00C846DA"/>
    <w:rsid w:val="00C8745D"/>
    <w:rsid w:val="00C87F75"/>
    <w:rsid w:val="00C944E7"/>
    <w:rsid w:val="00C96411"/>
    <w:rsid w:val="00CA0350"/>
    <w:rsid w:val="00CA4462"/>
    <w:rsid w:val="00CA448E"/>
    <w:rsid w:val="00CB2942"/>
    <w:rsid w:val="00CB2E3C"/>
    <w:rsid w:val="00CB5671"/>
    <w:rsid w:val="00CB6EF0"/>
    <w:rsid w:val="00CC03B2"/>
    <w:rsid w:val="00CC2985"/>
    <w:rsid w:val="00CC2B6B"/>
    <w:rsid w:val="00CC3313"/>
    <w:rsid w:val="00CC69D0"/>
    <w:rsid w:val="00CC6E5E"/>
    <w:rsid w:val="00CC7BD6"/>
    <w:rsid w:val="00CD0C2A"/>
    <w:rsid w:val="00CD4996"/>
    <w:rsid w:val="00CD56A8"/>
    <w:rsid w:val="00CD75F1"/>
    <w:rsid w:val="00CD7F4B"/>
    <w:rsid w:val="00CE3014"/>
    <w:rsid w:val="00CE4865"/>
    <w:rsid w:val="00CF12E3"/>
    <w:rsid w:val="00CF4F96"/>
    <w:rsid w:val="00CF58B7"/>
    <w:rsid w:val="00CF7AE3"/>
    <w:rsid w:val="00D01299"/>
    <w:rsid w:val="00D015D2"/>
    <w:rsid w:val="00D027ED"/>
    <w:rsid w:val="00D03A50"/>
    <w:rsid w:val="00D10686"/>
    <w:rsid w:val="00D15E45"/>
    <w:rsid w:val="00D163DA"/>
    <w:rsid w:val="00D238F3"/>
    <w:rsid w:val="00D27A23"/>
    <w:rsid w:val="00D3106A"/>
    <w:rsid w:val="00D31D2D"/>
    <w:rsid w:val="00D351C1"/>
    <w:rsid w:val="00D358EE"/>
    <w:rsid w:val="00D35EFB"/>
    <w:rsid w:val="00D378F8"/>
    <w:rsid w:val="00D379A0"/>
    <w:rsid w:val="00D37BC1"/>
    <w:rsid w:val="00D4073A"/>
    <w:rsid w:val="00D425C5"/>
    <w:rsid w:val="00D42974"/>
    <w:rsid w:val="00D43010"/>
    <w:rsid w:val="00D432C7"/>
    <w:rsid w:val="00D45AB9"/>
    <w:rsid w:val="00D47B6D"/>
    <w:rsid w:val="00D504B3"/>
    <w:rsid w:val="00D567D6"/>
    <w:rsid w:val="00D56A27"/>
    <w:rsid w:val="00D60B37"/>
    <w:rsid w:val="00D60C06"/>
    <w:rsid w:val="00D628F5"/>
    <w:rsid w:val="00D63868"/>
    <w:rsid w:val="00D751C1"/>
    <w:rsid w:val="00D8191C"/>
    <w:rsid w:val="00D82D02"/>
    <w:rsid w:val="00D84727"/>
    <w:rsid w:val="00D867B5"/>
    <w:rsid w:val="00D86BF0"/>
    <w:rsid w:val="00D900B1"/>
    <w:rsid w:val="00D91300"/>
    <w:rsid w:val="00D925A7"/>
    <w:rsid w:val="00D9402A"/>
    <w:rsid w:val="00D959FE"/>
    <w:rsid w:val="00D95A75"/>
    <w:rsid w:val="00D97DA6"/>
    <w:rsid w:val="00D97F24"/>
    <w:rsid w:val="00DA3510"/>
    <w:rsid w:val="00DB1D3A"/>
    <w:rsid w:val="00DB2539"/>
    <w:rsid w:val="00DB471A"/>
    <w:rsid w:val="00DB52A9"/>
    <w:rsid w:val="00DB5E79"/>
    <w:rsid w:val="00DB79A0"/>
    <w:rsid w:val="00DB7FDD"/>
    <w:rsid w:val="00DC0E9C"/>
    <w:rsid w:val="00DC74EC"/>
    <w:rsid w:val="00DD0043"/>
    <w:rsid w:val="00DD0D68"/>
    <w:rsid w:val="00DD50A9"/>
    <w:rsid w:val="00DD6DEC"/>
    <w:rsid w:val="00DD7813"/>
    <w:rsid w:val="00DE2F3F"/>
    <w:rsid w:val="00DE33B1"/>
    <w:rsid w:val="00DE4402"/>
    <w:rsid w:val="00DE5C6A"/>
    <w:rsid w:val="00DE711D"/>
    <w:rsid w:val="00DF0E0C"/>
    <w:rsid w:val="00DF5C76"/>
    <w:rsid w:val="00DF7080"/>
    <w:rsid w:val="00E00F97"/>
    <w:rsid w:val="00E12AF5"/>
    <w:rsid w:val="00E12CAA"/>
    <w:rsid w:val="00E171CA"/>
    <w:rsid w:val="00E21AFA"/>
    <w:rsid w:val="00E23AB3"/>
    <w:rsid w:val="00E33D72"/>
    <w:rsid w:val="00E34372"/>
    <w:rsid w:val="00E352BE"/>
    <w:rsid w:val="00E355D5"/>
    <w:rsid w:val="00E43C8C"/>
    <w:rsid w:val="00E452C1"/>
    <w:rsid w:val="00E51920"/>
    <w:rsid w:val="00E534E9"/>
    <w:rsid w:val="00E5517E"/>
    <w:rsid w:val="00E55978"/>
    <w:rsid w:val="00E57E3D"/>
    <w:rsid w:val="00E64120"/>
    <w:rsid w:val="00E6550D"/>
    <w:rsid w:val="00E660A1"/>
    <w:rsid w:val="00E67411"/>
    <w:rsid w:val="00E70C3C"/>
    <w:rsid w:val="00E71BB7"/>
    <w:rsid w:val="00E7286B"/>
    <w:rsid w:val="00E74ABC"/>
    <w:rsid w:val="00E805B2"/>
    <w:rsid w:val="00E83A91"/>
    <w:rsid w:val="00E85471"/>
    <w:rsid w:val="00E859D3"/>
    <w:rsid w:val="00E8650B"/>
    <w:rsid w:val="00E91AC1"/>
    <w:rsid w:val="00E939A8"/>
    <w:rsid w:val="00E95A27"/>
    <w:rsid w:val="00EA3CCF"/>
    <w:rsid w:val="00EA46BA"/>
    <w:rsid w:val="00EA7EE0"/>
    <w:rsid w:val="00EB028F"/>
    <w:rsid w:val="00EB069D"/>
    <w:rsid w:val="00EB1A8E"/>
    <w:rsid w:val="00EB1EDE"/>
    <w:rsid w:val="00EB2258"/>
    <w:rsid w:val="00EB3EB8"/>
    <w:rsid w:val="00EB47D8"/>
    <w:rsid w:val="00EB5A39"/>
    <w:rsid w:val="00EB6022"/>
    <w:rsid w:val="00EC14FF"/>
    <w:rsid w:val="00EC1743"/>
    <w:rsid w:val="00EC2253"/>
    <w:rsid w:val="00EC49B8"/>
    <w:rsid w:val="00EC7841"/>
    <w:rsid w:val="00EC7BBD"/>
    <w:rsid w:val="00ED160E"/>
    <w:rsid w:val="00ED2E9E"/>
    <w:rsid w:val="00EE5C45"/>
    <w:rsid w:val="00EE6C94"/>
    <w:rsid w:val="00EF5A76"/>
    <w:rsid w:val="00EF7A79"/>
    <w:rsid w:val="00F00432"/>
    <w:rsid w:val="00F030E5"/>
    <w:rsid w:val="00F055F1"/>
    <w:rsid w:val="00F05F30"/>
    <w:rsid w:val="00F06433"/>
    <w:rsid w:val="00F078E0"/>
    <w:rsid w:val="00F11879"/>
    <w:rsid w:val="00F14F67"/>
    <w:rsid w:val="00F20869"/>
    <w:rsid w:val="00F217DC"/>
    <w:rsid w:val="00F25466"/>
    <w:rsid w:val="00F2582D"/>
    <w:rsid w:val="00F26B9C"/>
    <w:rsid w:val="00F27DF1"/>
    <w:rsid w:val="00F346BE"/>
    <w:rsid w:val="00F36A2B"/>
    <w:rsid w:val="00F37376"/>
    <w:rsid w:val="00F4638D"/>
    <w:rsid w:val="00F52998"/>
    <w:rsid w:val="00F52A05"/>
    <w:rsid w:val="00F53F66"/>
    <w:rsid w:val="00F6031C"/>
    <w:rsid w:val="00F610AF"/>
    <w:rsid w:val="00F62428"/>
    <w:rsid w:val="00F66F0A"/>
    <w:rsid w:val="00F706E7"/>
    <w:rsid w:val="00F73707"/>
    <w:rsid w:val="00F75E64"/>
    <w:rsid w:val="00F8088B"/>
    <w:rsid w:val="00F91D83"/>
    <w:rsid w:val="00F939AA"/>
    <w:rsid w:val="00F946F8"/>
    <w:rsid w:val="00F96D09"/>
    <w:rsid w:val="00FA2C5A"/>
    <w:rsid w:val="00FA3978"/>
    <w:rsid w:val="00FA453B"/>
    <w:rsid w:val="00FA5E78"/>
    <w:rsid w:val="00FA6DFE"/>
    <w:rsid w:val="00FB2FA1"/>
    <w:rsid w:val="00FB63A0"/>
    <w:rsid w:val="00FC2D11"/>
    <w:rsid w:val="00FC6230"/>
    <w:rsid w:val="00FC62C9"/>
    <w:rsid w:val="00FC66DB"/>
    <w:rsid w:val="00FD19A2"/>
    <w:rsid w:val="00FD672F"/>
    <w:rsid w:val="00FD77FB"/>
    <w:rsid w:val="00FE3641"/>
    <w:rsid w:val="00FE3F2A"/>
    <w:rsid w:val="00FE436E"/>
    <w:rsid w:val="00FF09AA"/>
    <w:rsid w:val="00FF10CA"/>
    <w:rsid w:val="00FF1E80"/>
    <w:rsid w:val="00FF340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B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lsdException w:name="heading 2" w:locked="0" w:semiHidden="1" w:uiPriority="2" w:qFormat="1"/>
    <w:lsdException w:name="heading 3" w:locked="0"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semiHidden="1" w:qFormat="1"/>
    <w:lsdException w:name="Emphasis" w:semiHidden="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qFormat/>
    <w:rsid w:val="00A0023C"/>
    <w:rPr>
      <w:sz w:val="24"/>
      <w:szCs w:val="24"/>
    </w:rPr>
  </w:style>
  <w:style w:type="paragraph" w:styleId="Heading1">
    <w:name w:val="heading 1"/>
    <w:basedOn w:val="Normal"/>
    <w:next w:val="Paragraph"/>
    <w:link w:val="Heading1Char"/>
    <w:uiPriority w:val="1"/>
    <w:locked/>
    <w:rsid w:val="00CB5671"/>
    <w:pPr>
      <w:keepNext/>
      <w:spacing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locked/>
    <w:rsid w:val="00D959FE"/>
    <w:pPr>
      <w:spacing w:after="240"/>
      <w:outlineLvl w:val="1"/>
    </w:pPr>
    <w:rPr>
      <w:b w:val="0"/>
    </w:rPr>
  </w:style>
  <w:style w:type="paragraph" w:styleId="Heading3">
    <w:name w:val="heading 3"/>
    <w:basedOn w:val="Normal"/>
    <w:next w:val="Paragraph"/>
    <w:link w:val="Heading3Char"/>
    <w:uiPriority w:val="3"/>
    <w:qFormat/>
    <w:locked/>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7A56E0"/>
    <w:pPr>
      <w:numPr>
        <w:numId w:val="20"/>
      </w:numPr>
      <w:tabs>
        <w:tab w:val="left" w:pos="709"/>
      </w:tabs>
      <w:ind w:left="567" w:hanging="567"/>
    </w:pPr>
    <w:rPr>
      <w14:scene3d>
        <w14:camera w14:prst="orthographicFront"/>
        <w14:lightRig w14:rig="threePt" w14:dir="t">
          <w14:rot w14:lat="0" w14:lon="0" w14:rev="0"/>
        </w14:lightRig>
      </w14:scene3d>
    </w:rPr>
  </w:style>
  <w:style w:type="paragraph" w:styleId="Title">
    <w:name w:val="Title"/>
    <w:basedOn w:val="Normal"/>
    <w:next w:val="Heading1"/>
    <w:link w:val="TitleChar"/>
    <w:qFormat/>
    <w:rsid w:val="008036DF"/>
    <w:pPr>
      <w:spacing w:before="120" w:after="240"/>
      <w:jc w:val="center"/>
      <w:outlineLvl w:val="0"/>
    </w:pPr>
    <w:rPr>
      <w:rFonts w:ascii="Arial" w:hAnsi="Arial"/>
      <w:b/>
      <w:bCs/>
      <w:kern w:val="28"/>
      <w:sz w:val="40"/>
      <w:szCs w:val="32"/>
    </w:rPr>
  </w:style>
  <w:style w:type="character" w:customStyle="1" w:styleId="TitleChar">
    <w:name w:val="Title Char"/>
    <w:link w:val="Title"/>
    <w:rsid w:val="008036DF"/>
    <w:rPr>
      <w:rFonts w:ascii="Arial" w:hAnsi="Arial"/>
      <w:b/>
      <w:bCs/>
      <w:kern w:val="28"/>
      <w:sz w:val="40"/>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313630"/>
    <w:pPr>
      <w:numPr>
        <w:numId w:val="2"/>
      </w:numPr>
      <w:spacing w:after="120" w:line="276" w:lineRule="auto"/>
    </w:pPr>
    <w:rPr>
      <w:rFonts w:ascii="Arial" w:hAnsi="Arial"/>
    </w:rPr>
  </w:style>
  <w:style w:type="paragraph" w:styleId="Header">
    <w:name w:val="header"/>
    <w:basedOn w:val="Normal"/>
    <w:link w:val="HeaderChar"/>
    <w:uiPriority w:val="99"/>
    <w:rsid w:val="00383093"/>
    <w:pPr>
      <w:tabs>
        <w:tab w:val="center" w:pos="4513"/>
        <w:tab w:val="right" w:pos="9026"/>
      </w:tabs>
    </w:pPr>
    <w:rPr>
      <w:rFonts w:ascii="Arial" w:hAnsi="Arial"/>
      <w:b/>
    </w:rPr>
  </w:style>
  <w:style w:type="character" w:customStyle="1" w:styleId="HeaderChar">
    <w:name w:val="Header Char"/>
    <w:link w:val="Header"/>
    <w:uiPriority w:val="99"/>
    <w:rsid w:val="00383093"/>
    <w:rPr>
      <w:rFonts w:ascii="Arial" w:hAnsi="Arial"/>
      <w:b/>
      <w:sz w:val="24"/>
      <w:szCs w:val="24"/>
    </w:rPr>
  </w:style>
  <w:style w:type="paragraph" w:styleId="Footer">
    <w:name w:val="footer"/>
    <w:basedOn w:val="Normal"/>
    <w:link w:val="FooterChar"/>
    <w:rsid w:val="00383093"/>
    <w:pPr>
      <w:tabs>
        <w:tab w:val="center" w:pos="4513"/>
        <w:tab w:val="right" w:pos="9026"/>
      </w:tabs>
    </w:pPr>
    <w:rPr>
      <w:rFonts w:ascii="Arial" w:hAnsi="Arial"/>
      <w:sz w:val="16"/>
    </w:rPr>
  </w:style>
  <w:style w:type="character" w:customStyle="1" w:styleId="FooterChar">
    <w:name w:val="Footer Char"/>
    <w:link w:val="Footer"/>
    <w:rsid w:val="00383093"/>
    <w:rPr>
      <w:rFonts w:ascii="Arial" w:hAnsi="Arial"/>
      <w:sz w:val="16"/>
      <w:szCs w:val="24"/>
    </w:rPr>
  </w:style>
  <w:style w:type="paragraph" w:styleId="BalloonText">
    <w:name w:val="Balloon Text"/>
    <w:basedOn w:val="Normal"/>
    <w:link w:val="BalloonTextChar"/>
    <w:semiHidden/>
    <w:locked/>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D959FE"/>
    <w:rPr>
      <w:rFonts w:ascii="Arial" w:hAnsi="Arial"/>
      <w:bCs/>
      <w:kern w:val="32"/>
      <w:sz w:val="28"/>
      <w:szCs w:val="32"/>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locked/>
    <w:rsid w:val="00F610AF"/>
    <w:rPr>
      <w:rFonts w:ascii="Arial" w:hAnsi="Arial"/>
    </w:rPr>
  </w:style>
  <w:style w:type="paragraph" w:styleId="TOC2">
    <w:name w:val="toc 2"/>
    <w:basedOn w:val="Normal"/>
    <w:next w:val="Normal"/>
    <w:autoRedefine/>
    <w:semiHidden/>
    <w:locked/>
    <w:rsid w:val="00F610AF"/>
    <w:pPr>
      <w:ind w:left="240"/>
    </w:pPr>
    <w:rPr>
      <w:rFonts w:ascii="Arial" w:hAnsi="Arial"/>
    </w:rPr>
  </w:style>
  <w:style w:type="paragraph" w:styleId="TOC3">
    <w:name w:val="toc 3"/>
    <w:basedOn w:val="Normal"/>
    <w:next w:val="Normal"/>
    <w:autoRedefine/>
    <w:semiHidden/>
    <w:locked/>
    <w:rsid w:val="00F610AF"/>
    <w:pPr>
      <w:ind w:left="480"/>
    </w:pPr>
    <w:rPr>
      <w:rFonts w:ascii="Arial" w:hAnsi="Arial"/>
    </w:rPr>
  </w:style>
  <w:style w:type="paragraph" w:styleId="TOC4">
    <w:name w:val="toc 4"/>
    <w:basedOn w:val="Normal"/>
    <w:next w:val="Normal"/>
    <w:autoRedefine/>
    <w:semiHidden/>
    <w:locked/>
    <w:rsid w:val="00F610AF"/>
    <w:pPr>
      <w:ind w:left="720"/>
    </w:pPr>
    <w:rPr>
      <w:rFonts w:ascii="Arial" w:hAnsi="Arial"/>
    </w:rPr>
  </w:style>
  <w:style w:type="paragraph" w:styleId="TOAHeading">
    <w:name w:val="toa heading"/>
    <w:basedOn w:val="Normal"/>
    <w:next w:val="Normal"/>
    <w:semiHidden/>
    <w:locked/>
    <w:rsid w:val="00F610AF"/>
    <w:pPr>
      <w:spacing w:before="120"/>
    </w:pPr>
    <w:rPr>
      <w:rFonts w:ascii="Arial" w:hAnsi="Arial"/>
      <w:b/>
      <w:bCs/>
    </w:rPr>
  </w:style>
  <w:style w:type="paragraph" w:customStyle="1" w:styleId="Title16pt">
    <w:name w:val="Title 16 pt"/>
    <w:basedOn w:val="Title"/>
    <w:rsid w:val="008036DF"/>
    <w:pPr>
      <w:keepNext/>
      <w:spacing w:before="240"/>
    </w:pPr>
    <w:rPr>
      <w:rFonts w:cs="Arial"/>
      <w:sz w:val="32"/>
      <w:lang w:eastAsia="en-US"/>
    </w:rPr>
  </w:style>
  <w:style w:type="paragraph" w:customStyle="1" w:styleId="Heading1boardreport">
    <w:name w:val="Heading 1 board report"/>
    <w:basedOn w:val="Heading1"/>
    <w:next w:val="Paragraph"/>
    <w:link w:val="Heading1boardreportChar"/>
    <w:qFormat/>
    <w:rsid w:val="008A6CFB"/>
    <w:pPr>
      <w:spacing w:after="240"/>
    </w:pPr>
    <w:rPr>
      <w:color w:val="004650"/>
      <w:sz w:val="36"/>
      <w:szCs w:val="36"/>
    </w:rPr>
  </w:style>
  <w:style w:type="character" w:customStyle="1" w:styleId="Heading1boardreportChar">
    <w:name w:val="Heading 1 board report Char"/>
    <w:basedOn w:val="Heading1Char"/>
    <w:link w:val="Heading1boardreport"/>
    <w:rsid w:val="008A6CFB"/>
    <w:rPr>
      <w:rFonts w:ascii="Arial" w:hAnsi="Arial"/>
      <w:b/>
      <w:bCs/>
      <w:color w:val="004650"/>
      <w:kern w:val="32"/>
      <w:sz w:val="36"/>
      <w:szCs w:val="36"/>
    </w:rPr>
  </w:style>
  <w:style w:type="table" w:styleId="TableGrid">
    <w:name w:val="Table Grid"/>
    <w:basedOn w:val="TableNormal"/>
    <w:uiPriority w:val="99"/>
    <w:rsid w:val="009A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onumbersChar">
    <w:name w:val="Paragraph no numbers Char"/>
    <w:basedOn w:val="DefaultParagraphFont"/>
    <w:link w:val="Paragraphnonumbers"/>
    <w:uiPriority w:val="99"/>
    <w:rsid w:val="000C0B4E"/>
    <w:rPr>
      <w:rFonts w:ascii="Arial" w:hAnsi="Arial"/>
      <w:sz w:val="24"/>
      <w:szCs w:val="24"/>
    </w:rPr>
  </w:style>
  <w:style w:type="paragraph" w:customStyle="1" w:styleId="Tabletext">
    <w:name w:val="Table text"/>
    <w:basedOn w:val="Normal"/>
    <w:link w:val="TabletextChar"/>
    <w:qFormat/>
    <w:rsid w:val="00A0023C"/>
    <w:pPr>
      <w:spacing w:before="60" w:after="60" w:line="276" w:lineRule="auto"/>
    </w:pPr>
    <w:rPr>
      <w:rFonts w:ascii="Arial" w:hAnsi="Arial"/>
      <w:sz w:val="22"/>
      <w:szCs w:val="20"/>
    </w:rPr>
  </w:style>
  <w:style w:type="paragraph" w:customStyle="1" w:styleId="Tablecolumnheading">
    <w:name w:val="Table column heading"/>
    <w:basedOn w:val="Tabletext"/>
    <w:link w:val="TablecolumnheadingChar"/>
    <w:qFormat/>
    <w:rsid w:val="00245256"/>
    <w:rPr>
      <w:b/>
    </w:rPr>
  </w:style>
  <w:style w:type="paragraph" w:customStyle="1" w:styleId="Tableandgraphheading">
    <w:name w:val="Table and graph heading"/>
    <w:basedOn w:val="Heading3"/>
    <w:link w:val="TableandgraphheadingChar"/>
    <w:qFormat/>
    <w:rsid w:val="008A6CFB"/>
    <w:rPr>
      <w:color w:val="004650"/>
    </w:rPr>
  </w:style>
  <w:style w:type="character" w:customStyle="1" w:styleId="TabletextChar">
    <w:name w:val="Table text Char"/>
    <w:basedOn w:val="DefaultParagraphFont"/>
    <w:link w:val="Tabletext"/>
    <w:rsid w:val="00A0023C"/>
    <w:rPr>
      <w:rFonts w:ascii="Arial" w:hAnsi="Arial"/>
      <w:sz w:val="22"/>
      <w:szCs w:val="24"/>
    </w:rPr>
  </w:style>
  <w:style w:type="character" w:customStyle="1" w:styleId="TablecolumnheadingChar">
    <w:name w:val="Table column heading Char"/>
    <w:basedOn w:val="TabletextChar"/>
    <w:link w:val="Tablecolumnheading"/>
    <w:rsid w:val="00245256"/>
    <w:rPr>
      <w:rFonts w:ascii="Arial" w:hAnsi="Arial"/>
      <w:b/>
      <w:sz w:val="22"/>
      <w:szCs w:val="24"/>
    </w:rPr>
  </w:style>
  <w:style w:type="character" w:customStyle="1" w:styleId="TableandgraphheadingChar">
    <w:name w:val="Table and graph heading Char"/>
    <w:basedOn w:val="Heading3Char"/>
    <w:link w:val="Tableandgraphheading"/>
    <w:rsid w:val="008A6CFB"/>
    <w:rPr>
      <w:rFonts w:ascii="Arial" w:hAnsi="Arial"/>
      <w:b/>
      <w:bCs/>
      <w:color w:val="004650"/>
      <w:sz w:val="24"/>
      <w:szCs w:val="26"/>
    </w:rPr>
  </w:style>
  <w:style w:type="paragraph" w:customStyle="1" w:styleId="Bulletslast">
    <w:name w:val="Bullets last"/>
    <w:basedOn w:val="Bullets"/>
    <w:qFormat/>
    <w:rsid w:val="003E6FBF"/>
    <w:pPr>
      <w:spacing w:after="240"/>
    </w:pPr>
    <w:rPr>
      <w:szCs w:val="20"/>
    </w:rPr>
  </w:style>
  <w:style w:type="paragraph" w:customStyle="1" w:styleId="Subbulletslast">
    <w:name w:val="Sub bullets last"/>
    <w:basedOn w:val="Subbullets"/>
    <w:qFormat/>
    <w:rsid w:val="00A0023C"/>
    <w:pPr>
      <w:spacing w:after="240"/>
    </w:pPr>
    <w:rPr>
      <w:szCs w:val="20"/>
    </w:rPr>
  </w:style>
  <w:style w:type="paragraph" w:customStyle="1" w:styleId="Heading2boardreport">
    <w:name w:val="Heading 2 board report"/>
    <w:basedOn w:val="Heading2"/>
    <w:qFormat/>
    <w:rsid w:val="00D959FE"/>
  </w:style>
  <w:style w:type="paragraph" w:customStyle="1" w:styleId="Heading3boardreport">
    <w:name w:val="Heading 3 board report"/>
    <w:basedOn w:val="Heading3"/>
    <w:qFormat/>
    <w:rsid w:val="007A56E0"/>
    <w:pPr>
      <w:ind w:left="567"/>
    </w:pPr>
    <w:rPr>
      <w:bCs w:val="0"/>
    </w:rPr>
  </w:style>
  <w:style w:type="character" w:styleId="Hyperlink">
    <w:name w:val="Hyperlink"/>
    <w:basedOn w:val="DefaultParagraphFont"/>
    <w:uiPriority w:val="99"/>
    <w:rsid w:val="004A1FA3"/>
    <w:rPr>
      <w:color w:val="0000FF" w:themeColor="hyperlink"/>
      <w:u w:val="single"/>
    </w:rPr>
  </w:style>
  <w:style w:type="paragraph" w:customStyle="1" w:styleId="Tablebullet">
    <w:name w:val="Table bullet"/>
    <w:basedOn w:val="Tabletext"/>
    <w:qFormat/>
    <w:rsid w:val="00810393"/>
    <w:pPr>
      <w:numPr>
        <w:numId w:val="25"/>
      </w:numPr>
    </w:pPr>
  </w:style>
  <w:style w:type="paragraph" w:customStyle="1" w:styleId="Commenttextred">
    <w:name w:val="Comment text red"/>
    <w:basedOn w:val="CommentText"/>
    <w:qFormat/>
    <w:rsid w:val="002A3FC0"/>
    <w:rPr>
      <w:color w:val="FF0000"/>
      <w:lang w:eastAsia="en-US"/>
    </w:rPr>
  </w:style>
  <w:style w:type="paragraph" w:customStyle="1" w:styleId="Commenttextbold">
    <w:name w:val="Comment text bold"/>
    <w:basedOn w:val="CommentText"/>
    <w:qFormat/>
    <w:rsid w:val="002A3FC0"/>
    <w:rPr>
      <w:b/>
      <w:lang w:val="x-none" w:eastAsia="en-US"/>
    </w:rPr>
  </w:style>
  <w:style w:type="paragraph" w:customStyle="1" w:styleId="Commenttextblue">
    <w:name w:val="Comment text blue"/>
    <w:basedOn w:val="CommentText"/>
    <w:qFormat/>
    <w:rsid w:val="002A3FC0"/>
    <w:rPr>
      <w:color w:val="0070C0"/>
      <w:lang w:val="x-none" w:eastAsia="en-US"/>
    </w:rPr>
  </w:style>
  <w:style w:type="paragraph" w:customStyle="1" w:styleId="Commenttextgreen">
    <w:name w:val="Comment text green"/>
    <w:basedOn w:val="CommentText"/>
    <w:qFormat/>
    <w:rsid w:val="002A3FC0"/>
    <w:rPr>
      <w:color w:val="00B050"/>
      <w:lang w:val="x-none" w:eastAsia="en-US"/>
    </w:rPr>
  </w:style>
  <w:style w:type="paragraph" w:customStyle="1" w:styleId="Commenttextitalic">
    <w:name w:val="Comment text italic"/>
    <w:basedOn w:val="CommentText"/>
    <w:qFormat/>
    <w:rsid w:val="002A3FC0"/>
    <w:rPr>
      <w:i/>
      <w:lang w:val="x-none" w:eastAsia="en-US"/>
    </w:rPr>
  </w:style>
  <w:style w:type="paragraph" w:styleId="CommentText">
    <w:name w:val="annotation text"/>
    <w:basedOn w:val="Normal"/>
    <w:link w:val="CommentTextChar"/>
    <w:semiHidden/>
    <w:unhideWhenUsed/>
    <w:rsid w:val="002A3FC0"/>
    <w:rPr>
      <w:sz w:val="20"/>
      <w:szCs w:val="20"/>
    </w:rPr>
  </w:style>
  <w:style w:type="character" w:customStyle="1" w:styleId="CommentTextChar">
    <w:name w:val="Comment Text Char"/>
    <w:basedOn w:val="DefaultParagraphFont"/>
    <w:link w:val="CommentText"/>
    <w:semiHidden/>
    <w:rsid w:val="002A3FC0"/>
  </w:style>
  <w:style w:type="character" w:styleId="CommentReference">
    <w:name w:val="annotation reference"/>
    <w:basedOn w:val="DefaultParagraphFont"/>
    <w:semiHidden/>
    <w:unhideWhenUsed/>
    <w:rsid w:val="00047F22"/>
    <w:rPr>
      <w:sz w:val="16"/>
      <w:szCs w:val="16"/>
    </w:rPr>
  </w:style>
  <w:style w:type="paragraph" w:customStyle="1" w:styleId="Numberedheading1">
    <w:name w:val="Numbered heading 1"/>
    <w:basedOn w:val="Heading1"/>
    <w:next w:val="Normal"/>
    <w:locked/>
    <w:rsid w:val="00047F22"/>
    <w:pPr>
      <w:numPr>
        <w:numId w:val="26"/>
      </w:numPr>
      <w:tabs>
        <w:tab w:val="clear" w:pos="1134"/>
        <w:tab w:val="num" w:pos="851"/>
      </w:tabs>
      <w:spacing w:before="240"/>
      <w:ind w:left="851" w:hanging="851"/>
    </w:pPr>
    <w:rPr>
      <w:rFonts w:cs="Arial"/>
      <w:sz w:val="32"/>
      <w:szCs w:val="24"/>
      <w:lang w:eastAsia="en-US"/>
    </w:rPr>
  </w:style>
  <w:style w:type="paragraph" w:customStyle="1" w:styleId="Numberedheading2">
    <w:name w:val="Numbered heading 2"/>
    <w:basedOn w:val="Heading2"/>
    <w:next w:val="Normal"/>
    <w:locked/>
    <w:rsid w:val="00047F22"/>
    <w:pPr>
      <w:numPr>
        <w:ilvl w:val="1"/>
        <w:numId w:val="26"/>
      </w:numPr>
      <w:spacing w:before="240" w:after="60"/>
    </w:pPr>
    <w:rPr>
      <w:rFonts w:cs="Arial"/>
      <w:b/>
      <w:i/>
      <w:iCs/>
      <w:kern w:val="0"/>
      <w:szCs w:val="28"/>
      <w:lang w:eastAsia="en-US"/>
    </w:rPr>
  </w:style>
  <w:style w:type="paragraph" w:customStyle="1" w:styleId="Numberedheading3">
    <w:name w:val="Numbered heading 3"/>
    <w:basedOn w:val="Heading3"/>
    <w:next w:val="Normal"/>
    <w:locked/>
    <w:rsid w:val="00047F22"/>
    <w:pPr>
      <w:numPr>
        <w:ilvl w:val="2"/>
        <w:numId w:val="26"/>
      </w:numPr>
      <w:spacing w:before="240"/>
    </w:pPr>
    <w:rPr>
      <w:rFonts w:cs="Arial"/>
      <w:sz w:val="26"/>
      <w:szCs w:val="24"/>
      <w:lang w:eastAsia="en-US"/>
    </w:rPr>
  </w:style>
  <w:style w:type="paragraph" w:customStyle="1" w:styleId="Numberedlevel4text">
    <w:name w:val="Numbered level 4 text"/>
    <w:basedOn w:val="Normal"/>
    <w:next w:val="Normal"/>
    <w:locked/>
    <w:rsid w:val="00047F22"/>
    <w:pPr>
      <w:numPr>
        <w:ilvl w:val="3"/>
        <w:numId w:val="26"/>
      </w:numPr>
      <w:spacing w:after="240"/>
    </w:pPr>
    <w:rPr>
      <w:rFonts w:ascii="Arial" w:hAnsi="Arial"/>
      <w:lang w:val="en-US" w:eastAsia="en-US"/>
    </w:rPr>
  </w:style>
  <w:style w:type="paragraph" w:styleId="CommentSubject">
    <w:name w:val="annotation subject"/>
    <w:basedOn w:val="CommentText"/>
    <w:next w:val="CommentText"/>
    <w:link w:val="CommentSubjectChar"/>
    <w:semiHidden/>
    <w:unhideWhenUsed/>
    <w:rsid w:val="00437271"/>
    <w:rPr>
      <w:b/>
      <w:bCs/>
    </w:rPr>
  </w:style>
  <w:style w:type="character" w:customStyle="1" w:styleId="CommentSubjectChar">
    <w:name w:val="Comment Subject Char"/>
    <w:basedOn w:val="CommentTextChar"/>
    <w:link w:val="CommentSubject"/>
    <w:semiHidden/>
    <w:rsid w:val="00437271"/>
    <w:rPr>
      <w:b/>
      <w:bCs/>
    </w:rPr>
  </w:style>
  <w:style w:type="character" w:styleId="FollowedHyperlink">
    <w:name w:val="FollowedHyperlink"/>
    <w:basedOn w:val="DefaultParagraphFont"/>
    <w:semiHidden/>
    <w:unhideWhenUsed/>
    <w:rsid w:val="005E4DF0"/>
    <w:rPr>
      <w:color w:val="800080" w:themeColor="followedHyperlink"/>
      <w:u w:val="single"/>
    </w:rPr>
  </w:style>
  <w:style w:type="paragraph" w:customStyle="1" w:styleId="Heading4">
    <w:name w:val="Heading4"/>
    <w:basedOn w:val="Heading3"/>
    <w:link w:val="Heading4Char"/>
    <w:qFormat/>
    <w:rsid w:val="00AB06E8"/>
    <w:pPr>
      <w:spacing w:before="240"/>
      <w:ind w:left="567"/>
    </w:pPr>
    <w:rPr>
      <w:sz w:val="22"/>
    </w:rPr>
  </w:style>
  <w:style w:type="character" w:customStyle="1" w:styleId="Heading4Char">
    <w:name w:val="Heading4 Char"/>
    <w:link w:val="Heading4"/>
    <w:rsid w:val="00AB06E8"/>
    <w:rPr>
      <w:rFonts w:ascii="Arial" w:hAnsi="Arial"/>
      <w:b/>
      <w:bCs/>
      <w:sz w:val="22"/>
      <w:szCs w:val="26"/>
    </w:rPr>
  </w:style>
  <w:style w:type="paragraph" w:styleId="FootnoteText">
    <w:name w:val="footnote text"/>
    <w:basedOn w:val="Normal"/>
    <w:link w:val="FootnoteTextChar"/>
    <w:semiHidden/>
    <w:unhideWhenUsed/>
    <w:rsid w:val="006D6196"/>
    <w:rPr>
      <w:sz w:val="20"/>
      <w:szCs w:val="20"/>
    </w:rPr>
  </w:style>
  <w:style w:type="character" w:customStyle="1" w:styleId="FootnoteTextChar">
    <w:name w:val="Footnote Text Char"/>
    <w:basedOn w:val="DefaultParagraphFont"/>
    <w:link w:val="FootnoteText"/>
    <w:semiHidden/>
    <w:rsid w:val="006D6196"/>
  </w:style>
  <w:style w:type="character" w:styleId="FootnoteReference">
    <w:name w:val="footnote reference"/>
    <w:basedOn w:val="DefaultParagraphFont"/>
    <w:semiHidden/>
    <w:unhideWhenUsed/>
    <w:rsid w:val="006D6196"/>
    <w:rPr>
      <w:vertAlign w:val="superscript"/>
    </w:rPr>
  </w:style>
  <w:style w:type="paragraph" w:styleId="EndnoteText">
    <w:name w:val="endnote text"/>
    <w:basedOn w:val="Normal"/>
    <w:link w:val="EndnoteTextChar"/>
    <w:semiHidden/>
    <w:unhideWhenUsed/>
    <w:locked/>
    <w:rsid w:val="0009209B"/>
    <w:rPr>
      <w:sz w:val="20"/>
      <w:szCs w:val="20"/>
    </w:rPr>
  </w:style>
  <w:style w:type="character" w:customStyle="1" w:styleId="EndnoteTextChar">
    <w:name w:val="Endnote Text Char"/>
    <w:basedOn w:val="DefaultParagraphFont"/>
    <w:link w:val="EndnoteText"/>
    <w:semiHidden/>
    <w:rsid w:val="0009209B"/>
  </w:style>
  <w:style w:type="character" w:styleId="EndnoteReference">
    <w:name w:val="endnote reference"/>
    <w:basedOn w:val="DefaultParagraphFont"/>
    <w:semiHidden/>
    <w:unhideWhenUsed/>
    <w:locked/>
    <w:rsid w:val="0009209B"/>
    <w:rPr>
      <w:vertAlign w:val="superscript"/>
    </w:rPr>
  </w:style>
  <w:style w:type="paragraph" w:styleId="Revision">
    <w:name w:val="Revision"/>
    <w:hidden/>
    <w:uiPriority w:val="99"/>
    <w:semiHidden/>
    <w:rsid w:val="000F0E2F"/>
    <w:rPr>
      <w:sz w:val="24"/>
      <w:szCs w:val="24"/>
    </w:rPr>
  </w:style>
  <w:style w:type="paragraph" w:styleId="ListParagraph">
    <w:name w:val="List Paragraph"/>
    <w:basedOn w:val="Normal"/>
    <w:uiPriority w:val="34"/>
    <w:qFormat/>
    <w:locked/>
    <w:rsid w:val="007A56E0"/>
    <w:pPr>
      <w:ind w:left="720"/>
    </w:pPr>
    <w:rPr>
      <w:rFonts w:ascii="Calibri" w:eastAsiaTheme="minorHAnsi" w:hAnsi="Calibri"/>
      <w:sz w:val="22"/>
      <w:szCs w:val="22"/>
      <w:lang w:eastAsia="en-US"/>
    </w:rPr>
  </w:style>
  <w:style w:type="paragraph" w:customStyle="1" w:styleId="H4">
    <w:name w:val="H4"/>
    <w:basedOn w:val="Normal"/>
    <w:uiPriority w:val="99"/>
    <w:rsid w:val="007A56E0"/>
    <w:pPr>
      <w:keepNext/>
      <w:autoSpaceDE w:val="0"/>
      <w:autoSpaceDN w:val="0"/>
      <w:spacing w:before="100" w:after="100"/>
    </w:pPr>
    <w:rPr>
      <w:rFonts w:eastAsiaTheme="minorHAnsi"/>
      <w:b/>
      <w:bCs/>
    </w:rPr>
  </w:style>
  <w:style w:type="character" w:styleId="UnresolvedMention">
    <w:name w:val="Unresolved Mention"/>
    <w:basedOn w:val="DefaultParagraphFont"/>
    <w:uiPriority w:val="99"/>
    <w:semiHidden/>
    <w:unhideWhenUsed/>
    <w:rsid w:val="00B94771"/>
    <w:rPr>
      <w:color w:val="605E5C"/>
      <w:shd w:val="clear" w:color="auto" w:fill="E1DFDD"/>
    </w:rPr>
  </w:style>
  <w:style w:type="table" w:styleId="GridTable5Dark-Accent4">
    <w:name w:val="Grid Table 5 Dark Accent 4"/>
    <w:basedOn w:val="TableNormal"/>
    <w:uiPriority w:val="50"/>
    <w:locked/>
    <w:rsid w:val="00B406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locked/>
    <w:rsid w:val="005449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1Light">
    <w:name w:val="Grid Table 1 Light"/>
    <w:basedOn w:val="TableNormal"/>
    <w:uiPriority w:val="46"/>
    <w:locked/>
    <w:rsid w:val="007845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locked/>
    <w:rsid w:val="007845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1112">
      <w:bodyDiv w:val="1"/>
      <w:marLeft w:val="0"/>
      <w:marRight w:val="0"/>
      <w:marTop w:val="0"/>
      <w:marBottom w:val="0"/>
      <w:divBdr>
        <w:top w:val="none" w:sz="0" w:space="0" w:color="auto"/>
        <w:left w:val="none" w:sz="0" w:space="0" w:color="auto"/>
        <w:bottom w:val="none" w:sz="0" w:space="0" w:color="auto"/>
        <w:right w:val="none" w:sz="0" w:space="0" w:color="auto"/>
      </w:divBdr>
    </w:div>
    <w:div w:id="944266322">
      <w:bodyDiv w:val="1"/>
      <w:marLeft w:val="0"/>
      <w:marRight w:val="0"/>
      <w:marTop w:val="0"/>
      <w:marBottom w:val="0"/>
      <w:divBdr>
        <w:top w:val="none" w:sz="0" w:space="0" w:color="auto"/>
        <w:left w:val="none" w:sz="0" w:space="0" w:color="auto"/>
        <w:bottom w:val="none" w:sz="0" w:space="0" w:color="auto"/>
        <w:right w:val="none" w:sz="0" w:space="0" w:color="auto"/>
      </w:divBdr>
    </w:div>
    <w:div w:id="1118449703">
      <w:bodyDiv w:val="1"/>
      <w:marLeft w:val="0"/>
      <w:marRight w:val="0"/>
      <w:marTop w:val="0"/>
      <w:marBottom w:val="0"/>
      <w:divBdr>
        <w:top w:val="none" w:sz="0" w:space="0" w:color="auto"/>
        <w:left w:val="none" w:sz="0" w:space="0" w:color="auto"/>
        <w:bottom w:val="none" w:sz="0" w:space="0" w:color="auto"/>
        <w:right w:val="none" w:sz="0" w:space="0" w:color="auto"/>
      </w:divBdr>
    </w:div>
    <w:div w:id="1491359925">
      <w:bodyDiv w:val="1"/>
      <w:marLeft w:val="0"/>
      <w:marRight w:val="0"/>
      <w:marTop w:val="0"/>
      <w:marBottom w:val="0"/>
      <w:divBdr>
        <w:top w:val="none" w:sz="0" w:space="0" w:color="auto"/>
        <w:left w:val="none" w:sz="0" w:space="0" w:color="auto"/>
        <w:bottom w:val="none" w:sz="0" w:space="0" w:color="auto"/>
        <w:right w:val="none" w:sz="0" w:space="0" w:color="auto"/>
      </w:divBdr>
    </w:div>
    <w:div w:id="1840925009">
      <w:bodyDiv w:val="1"/>
      <w:marLeft w:val="0"/>
      <w:marRight w:val="0"/>
      <w:marTop w:val="0"/>
      <w:marBottom w:val="0"/>
      <w:divBdr>
        <w:top w:val="none" w:sz="0" w:space="0" w:color="auto"/>
        <w:left w:val="none" w:sz="0" w:space="0" w:color="auto"/>
        <w:bottom w:val="none" w:sz="0" w:space="0" w:color="auto"/>
        <w:right w:val="none" w:sz="0" w:space="0" w:color="auto"/>
      </w:divBdr>
    </w:div>
    <w:div w:id="211440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nice.org.uk/Media/Default/Get-involved/Meetings-In-Public/Public-board-meetings/Data-sets/sep19-board-paper-data-sets.xlsx" TargetMode="External"/><Relationship Id="rId26" Type="http://schemas.openxmlformats.org/officeDocument/2006/relationships/hyperlink" Target="https://www.ons.gov.uk/methodology/geography/geographicalproducts/ruralurbanclassifications/2011ruralurbanclassification" TargetMode="External"/><Relationship Id="rId39" Type="http://schemas.openxmlformats.org/officeDocument/2006/relationships/hyperlink" Target="https://www.nice.org.uk/terms-and-conditions" TargetMode="External"/><Relationship Id="rId21" Type="http://schemas.openxmlformats.org/officeDocument/2006/relationships/chart" Target="charts/chart5.xml"/><Relationship Id="rId34" Type="http://schemas.openxmlformats.org/officeDocument/2006/relationships/hyperlink" Target="https://www.nice.org.uk/Media/Default/Get-involved/Meetings-In-Public/Public-board-meetings/Data-sets/sep19-board-paper-data-sets.xls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Media/Default/Get-involved/Meetings-In-Public/Public-board-meetings/Data-sets/sep19-board-paper-data-sets.xlsx" TargetMode="External"/><Relationship Id="rId20" Type="http://schemas.openxmlformats.org/officeDocument/2006/relationships/hyperlink" Target="https://www.nice.org.uk/Media/Default/Get-involved/Meetings-In-Public/Public-board-meetings/Data-sets/sep19-board-paper-data-sets.xlsx" TargetMode="External"/><Relationship Id="rId29" Type="http://schemas.openxmlformats.org/officeDocument/2006/relationships/hyperlink" Target="https://www.nice.org.uk/Media/Default/Get-involved/Meetings-In-Public/Public-board-meetings/Data-sets/sep19-board-paper-data-sets.xls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dershipacademy.nhs.uk/programmes/the-stepping-up-programme/" TargetMode="External"/><Relationship Id="rId24" Type="http://schemas.openxmlformats.org/officeDocument/2006/relationships/hyperlink" Target="https://www.nice.org.uk/Media/Default/Get-involved/Meetings-In-Public/Public-board-meetings/Data-sets/sep19-board-paper-data-sets.xlsx" TargetMode="External"/><Relationship Id="rId32" Type="http://schemas.openxmlformats.org/officeDocument/2006/relationships/hyperlink" Target="https://www.nice.org.uk/Media/Default/Get-involved/Meetings-In-Public/Public-board-meetings/Data-sets/sep19-board-paper-data-sets.xlsx" TargetMode="External"/><Relationship Id="rId37" Type="http://schemas.openxmlformats.org/officeDocument/2006/relationships/chart" Target="charts/chart11.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chart" Target="charts/chart7.xml"/><Relationship Id="rId36" Type="http://schemas.openxmlformats.org/officeDocument/2006/relationships/hyperlink" Target="https://www.nice.org.uk/Media/Default/Get-involved/Meetings-In-Public/Public-board-meetings/Data-sets/sep19-board-paper-data-sets.xlsx" TargetMode="External"/><Relationship Id="rId10" Type="http://schemas.openxmlformats.org/officeDocument/2006/relationships/hyperlink" Target="https://www.nice.org.uk/news/blog/working-on-a-nice-committee-to-make-a-bame-difference" TargetMode="External"/><Relationship Id="rId19" Type="http://schemas.openxmlformats.org/officeDocument/2006/relationships/chart" Target="charts/chart4.xm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s://www.nice.org.uk/get-involved/our-committees" TargetMode="External"/><Relationship Id="rId14" Type="http://schemas.openxmlformats.org/officeDocument/2006/relationships/hyperlink" Target="https://www.nice.org.uk/Media/Default/Get-involved/Meetings-In-Public/Public-board-meetings/Data-sets/sep19-board-paper-data-sets.xlsx" TargetMode="External"/><Relationship Id="rId22" Type="http://schemas.openxmlformats.org/officeDocument/2006/relationships/hyperlink" Target="https://www.nice.org.uk/Media/Default/Get-involved/Meetings-In-Public/Public-board-meetings/Data-sets/sep19-board-paper-data-sets.xlsx" TargetMode="External"/><Relationship Id="rId27" Type="http://schemas.openxmlformats.org/officeDocument/2006/relationships/hyperlink" Target="https://publicappointmentscommissioner.independent.gov.uk/wp-content/uploads/2018/10/Annual-Report-17-18-2.pdf" TargetMode="External"/><Relationship Id="rId30" Type="http://schemas.openxmlformats.org/officeDocument/2006/relationships/hyperlink" Target="https://www.nice.org.uk/about/who-we-are/corporate-publications/gender-pay-gap-report" TargetMode="External"/><Relationship Id="rId35" Type="http://schemas.openxmlformats.org/officeDocument/2006/relationships/chart" Target="charts/chart10.xml"/><Relationship Id="rId43" Type="http://schemas.openxmlformats.org/officeDocument/2006/relationships/theme" Target="theme/theme1.xml"/><Relationship Id="rId8" Type="http://schemas.openxmlformats.org/officeDocument/2006/relationships/hyperlink" Target="https://www.nice.org.uk/Media/Default/Get-involved/Meetings-In-Public/Public-board-meetings/agenda-and-papers-july-19.pdf" TargetMode="External"/><Relationship Id="rId3" Type="http://schemas.openxmlformats.org/officeDocument/2006/relationships/styles" Target="styles.xml"/><Relationship Id="rId12" Type="http://schemas.openxmlformats.org/officeDocument/2006/relationships/hyperlink" Target="https://www.leadershipacademy.nhs.uk/programmes/the-ready-now-programme/" TargetMode="External"/><Relationship Id="rId17" Type="http://schemas.openxmlformats.org/officeDocument/2006/relationships/chart" Target="charts/chart3.xml"/><Relationship Id="rId25" Type="http://schemas.openxmlformats.org/officeDocument/2006/relationships/hyperlink" Target="https://www.ons.gov.uk/methodology/geography/geographicalproducts/ruralurbanclassifications/2011ruralurbanclassification" TargetMode="External"/><Relationship Id="rId33" Type="http://schemas.openxmlformats.org/officeDocument/2006/relationships/chart" Target="charts/chart9.xml"/><Relationship Id="rId38" Type="http://schemas.openxmlformats.org/officeDocument/2006/relationships/hyperlink" Target="https://www.nice.org.uk/Media/Default/Get-involved/Meetings-In-Public/Public-board-meetings/Data-sets/sep19-board-paper-data-sets.xls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8%20-%202019\Completed\All%20Char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8%20-%202019\Completed\All%20Chart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8%20-%202019\Completed\All%20Char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8%20-%202019\Completed\All%20Char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'2019 Picker charts'!$A$27</c:f>
              <c:strCache>
                <c:ptCount val="1"/>
                <c:pt idx="0">
                  <c:v>Female</c:v>
                </c:pt>
              </c:strCache>
            </c:strRef>
          </c:tx>
          <c:spPr>
            <a:solidFill>
              <a:srgbClr val="4F7D83"/>
            </a:solidFill>
            <a:ln>
              <a:noFill/>
            </a:ln>
            <a:effectLst/>
          </c:spPr>
          <c:invertIfNegative val="0"/>
          <c:cat>
            <c:strRef>
              <c:f>'2019 Picker charts'!$B$26:$D$26</c:f>
              <c:strCache>
                <c:ptCount val="3"/>
                <c:pt idx="0">
                  <c:v>All</c:v>
                </c:pt>
                <c:pt idx="1">
                  <c:v>Non-lay</c:v>
                </c:pt>
                <c:pt idx="2">
                  <c:v>Lay</c:v>
                </c:pt>
              </c:strCache>
            </c:strRef>
          </c:cat>
          <c:val>
            <c:numRef>
              <c:f>'2019 Picker charts'!$B$27:$D$27</c:f>
              <c:numCache>
                <c:formatCode>0.00%</c:formatCode>
                <c:ptCount val="3"/>
                <c:pt idx="0">
                  <c:v>0.47499999999999998</c:v>
                </c:pt>
                <c:pt idx="1">
                  <c:v>0.42699999999999999</c:v>
                </c:pt>
                <c:pt idx="2">
                  <c:v>0.71599999999999997</c:v>
                </c:pt>
              </c:numCache>
            </c:numRef>
          </c:val>
          <c:extLst>
            <c:ext xmlns:c16="http://schemas.microsoft.com/office/drawing/2014/chart" uri="{C3380CC4-5D6E-409C-BE32-E72D297353CC}">
              <c16:uniqueId val="{00000000-B9C1-471F-AAE0-1DCC19981E9A}"/>
            </c:ext>
          </c:extLst>
        </c:ser>
        <c:ser>
          <c:idx val="1"/>
          <c:order val="1"/>
          <c:tx>
            <c:strRef>
              <c:f>'2019 Picker charts'!$A$28</c:f>
              <c:strCache>
                <c:ptCount val="1"/>
                <c:pt idx="0">
                  <c:v>Male</c:v>
                </c:pt>
              </c:strCache>
            </c:strRef>
          </c:tx>
          <c:spPr>
            <a:solidFill>
              <a:srgbClr val="A2BDC1"/>
            </a:solidFill>
            <a:ln>
              <a:noFill/>
            </a:ln>
            <a:effectLst/>
          </c:spPr>
          <c:invertIfNegative val="0"/>
          <c:cat>
            <c:strRef>
              <c:f>'2019 Picker charts'!$B$26:$D$26</c:f>
              <c:strCache>
                <c:ptCount val="3"/>
                <c:pt idx="0">
                  <c:v>All</c:v>
                </c:pt>
                <c:pt idx="1">
                  <c:v>Non-lay</c:v>
                </c:pt>
                <c:pt idx="2">
                  <c:v>Lay</c:v>
                </c:pt>
              </c:strCache>
            </c:strRef>
          </c:cat>
          <c:val>
            <c:numRef>
              <c:f>'2019 Picker charts'!$B$28:$D$28</c:f>
              <c:numCache>
                <c:formatCode>0.00%</c:formatCode>
                <c:ptCount val="3"/>
                <c:pt idx="0">
                  <c:v>0.502</c:v>
                </c:pt>
                <c:pt idx="1">
                  <c:v>0.56399999999999995</c:v>
                </c:pt>
                <c:pt idx="2">
                  <c:v>0.253</c:v>
                </c:pt>
              </c:numCache>
            </c:numRef>
          </c:val>
          <c:extLst>
            <c:ext xmlns:c16="http://schemas.microsoft.com/office/drawing/2014/chart" uri="{C3380CC4-5D6E-409C-BE32-E72D297353CC}">
              <c16:uniqueId val="{00000001-B9C1-471F-AAE0-1DCC19981E9A}"/>
            </c:ext>
          </c:extLst>
        </c:ser>
        <c:ser>
          <c:idx val="2"/>
          <c:order val="2"/>
          <c:tx>
            <c:strRef>
              <c:f>'2019 Picker charts'!$A$29</c:f>
              <c:strCache>
                <c:ptCount val="1"/>
                <c:pt idx="0">
                  <c:v>Other</c:v>
                </c:pt>
              </c:strCache>
            </c:strRef>
          </c:tx>
          <c:spPr>
            <a:solidFill>
              <a:schemeClr val="accent3"/>
            </a:solidFill>
            <a:ln>
              <a:noFill/>
            </a:ln>
            <a:effectLst/>
          </c:spPr>
          <c:invertIfNegative val="0"/>
          <c:cat>
            <c:strRef>
              <c:f>'2019 Picker charts'!$B$26:$D$26</c:f>
              <c:strCache>
                <c:ptCount val="3"/>
                <c:pt idx="0">
                  <c:v>All</c:v>
                </c:pt>
                <c:pt idx="1">
                  <c:v>Non-lay</c:v>
                </c:pt>
                <c:pt idx="2">
                  <c:v>Lay</c:v>
                </c:pt>
              </c:strCache>
            </c:strRef>
          </c:cat>
          <c:val>
            <c:numRef>
              <c:f>'2019 Picker charts'!$B$29:$D$29</c:f>
              <c:numCache>
                <c:formatCode>General</c:formatCode>
                <c:ptCount val="3"/>
                <c:pt idx="0" formatCode="0.00%">
                  <c:v>2E-3</c:v>
                </c:pt>
                <c:pt idx="2" formatCode="0.00%">
                  <c:v>1.0999999999999999E-2</c:v>
                </c:pt>
              </c:numCache>
            </c:numRef>
          </c:val>
          <c:extLst>
            <c:ext xmlns:c16="http://schemas.microsoft.com/office/drawing/2014/chart" uri="{C3380CC4-5D6E-409C-BE32-E72D297353CC}">
              <c16:uniqueId val="{00000002-B9C1-471F-AAE0-1DCC19981E9A}"/>
            </c:ext>
          </c:extLst>
        </c:ser>
        <c:ser>
          <c:idx val="3"/>
          <c:order val="3"/>
          <c:tx>
            <c:strRef>
              <c:f>'2019 Picker charts'!$A$30</c:f>
              <c:strCache>
                <c:ptCount val="1"/>
                <c:pt idx="0">
                  <c:v>No reply/not disclosed</c:v>
                </c:pt>
              </c:strCache>
            </c:strRef>
          </c:tx>
          <c:spPr>
            <a:solidFill>
              <a:srgbClr val="517489"/>
            </a:solidFill>
            <a:ln>
              <a:noFill/>
            </a:ln>
            <a:effectLst/>
          </c:spPr>
          <c:invertIfNegative val="0"/>
          <c:cat>
            <c:strRef>
              <c:f>'2019 Picker charts'!$B$26:$D$26</c:f>
              <c:strCache>
                <c:ptCount val="3"/>
                <c:pt idx="0">
                  <c:v>All</c:v>
                </c:pt>
                <c:pt idx="1">
                  <c:v>Non-lay</c:v>
                </c:pt>
                <c:pt idx="2">
                  <c:v>Lay</c:v>
                </c:pt>
              </c:strCache>
            </c:strRef>
          </c:cat>
          <c:val>
            <c:numRef>
              <c:f>'2019 Picker charts'!$B$30:$D$30</c:f>
              <c:numCache>
                <c:formatCode>0.00%</c:formatCode>
                <c:ptCount val="3"/>
                <c:pt idx="0">
                  <c:v>2.1999999999999999E-2</c:v>
                </c:pt>
                <c:pt idx="1">
                  <c:v>8.9999999999999993E-3</c:v>
                </c:pt>
                <c:pt idx="2">
                  <c:v>2.1000000000000001E-2</c:v>
                </c:pt>
              </c:numCache>
            </c:numRef>
          </c:val>
          <c:extLst>
            <c:ext xmlns:c16="http://schemas.microsoft.com/office/drawing/2014/chart" uri="{C3380CC4-5D6E-409C-BE32-E72D297353CC}">
              <c16:uniqueId val="{00000003-B9C1-471F-AAE0-1DCC19981E9A}"/>
            </c:ext>
          </c:extLst>
        </c:ser>
        <c:dLbls>
          <c:showLegendKey val="0"/>
          <c:showVal val="0"/>
          <c:showCatName val="0"/>
          <c:showSerName val="0"/>
          <c:showPercent val="0"/>
          <c:showBubbleSize val="0"/>
        </c:dLbls>
        <c:gapWidth val="150"/>
        <c:overlap val="100"/>
        <c:axId val="140756272"/>
        <c:axId val="89669104"/>
      </c:barChart>
      <c:catAx>
        <c:axId val="140756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69104"/>
        <c:crosses val="autoZero"/>
        <c:auto val="1"/>
        <c:lblAlgn val="ctr"/>
        <c:lblOffset val="100"/>
        <c:noMultiLvlLbl val="0"/>
      </c:catAx>
      <c:valAx>
        <c:axId val="896691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5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Chart12!$B$5</c:f>
              <c:strCache>
                <c:ptCount val="1"/>
                <c:pt idx="0">
                  <c:v>Percentage</c:v>
                </c:pt>
              </c:strCache>
            </c:strRef>
          </c:tx>
          <c:spPr>
            <a:solidFill>
              <a:srgbClr val="18646E"/>
            </a:solidFill>
            <a:ln>
              <a:noFill/>
            </a:ln>
            <a:effectLst/>
          </c:spPr>
          <c:invertIfNegative val="0"/>
          <c:cat>
            <c:strRef>
              <c:f>Chart12!$A$6:$A$10</c:f>
              <c:strCache>
                <c:ptCount val="5"/>
                <c:pt idx="0">
                  <c:v>Bisexual</c:v>
                </c:pt>
                <c:pt idx="1">
                  <c:v>Gay or lesbian</c:v>
                </c:pt>
                <c:pt idx="2">
                  <c:v>Heterosexual or straight</c:v>
                </c:pt>
                <c:pt idx="3">
                  <c:v>Not Disclosed</c:v>
                </c:pt>
                <c:pt idx="4">
                  <c:v>Other sexual orientation not listed</c:v>
                </c:pt>
              </c:strCache>
            </c:strRef>
          </c:cat>
          <c:val>
            <c:numRef>
              <c:f>Chart12!$B$6:$B$10</c:f>
              <c:numCache>
                <c:formatCode>0.00%</c:formatCode>
                <c:ptCount val="5"/>
                <c:pt idx="0">
                  <c:v>1.2048192771084338E-2</c:v>
                </c:pt>
                <c:pt idx="1">
                  <c:v>3.313253012048193E-2</c:v>
                </c:pt>
                <c:pt idx="2">
                  <c:v>0.79216867469879515</c:v>
                </c:pt>
                <c:pt idx="3">
                  <c:v>0.16114457831325302</c:v>
                </c:pt>
                <c:pt idx="4">
                  <c:v>1.5060240963855422E-3</c:v>
                </c:pt>
              </c:numCache>
            </c:numRef>
          </c:val>
          <c:extLst>
            <c:ext xmlns:c16="http://schemas.microsoft.com/office/drawing/2014/chart" uri="{C3380CC4-5D6E-409C-BE32-E72D297353CC}">
              <c16:uniqueId val="{00000000-80D6-495E-BD48-2117F5201FC5}"/>
            </c:ext>
          </c:extLst>
        </c:ser>
        <c:dLbls>
          <c:showLegendKey val="0"/>
          <c:showVal val="0"/>
          <c:showCatName val="0"/>
          <c:showSerName val="0"/>
          <c:showPercent val="0"/>
          <c:showBubbleSize val="0"/>
        </c:dLbls>
        <c:gapWidth val="150"/>
        <c:axId val="474228472"/>
        <c:axId val="474225520"/>
      </c:barChart>
      <c:scatterChart>
        <c:scatterStyle val="lineMarker"/>
        <c:varyColors val="0"/>
        <c:ser>
          <c:idx val="1"/>
          <c:order val="1"/>
          <c:tx>
            <c:strRef>
              <c:f>Chart12!$C$5</c:f>
              <c:strCache>
                <c:ptCount val="1"/>
                <c:pt idx="0">
                  <c:v>Census data</c:v>
                </c:pt>
              </c:strCache>
            </c:strRef>
          </c:tx>
          <c:spPr>
            <a:ln w="25400" cap="rnd">
              <a:noFill/>
              <a:round/>
            </a:ln>
            <a:effectLst/>
          </c:spPr>
          <c:marker>
            <c:symbol val="dash"/>
            <c:size val="15"/>
            <c:spPr>
              <a:solidFill>
                <a:srgbClr val="403152"/>
              </a:solidFill>
              <a:ln w="9525">
                <a:solidFill>
                  <a:srgbClr val="403152"/>
                </a:solidFill>
              </a:ln>
              <a:effectLst/>
            </c:spPr>
          </c:marker>
          <c:yVal>
            <c:numRef>
              <c:f>Chart12!$C$6:$C$10</c:f>
              <c:numCache>
                <c:formatCode>0.00%</c:formatCode>
                <c:ptCount val="5"/>
                <c:pt idx="0">
                  <c:v>7.0000000000000001E-3</c:v>
                </c:pt>
                <c:pt idx="1">
                  <c:v>3.3000000000000002E-2</c:v>
                </c:pt>
                <c:pt idx="2">
                  <c:v>0.90500000000000003</c:v>
                </c:pt>
                <c:pt idx="3">
                  <c:v>0.05</c:v>
                </c:pt>
                <c:pt idx="4">
                  <c:v>5.0000000000000001E-3</c:v>
                </c:pt>
              </c:numCache>
            </c:numRef>
          </c:yVal>
          <c:smooth val="0"/>
          <c:extLst>
            <c:ext xmlns:c16="http://schemas.microsoft.com/office/drawing/2014/chart" uri="{C3380CC4-5D6E-409C-BE32-E72D297353CC}">
              <c16:uniqueId val="{00000001-80D6-495E-BD48-2117F5201FC5}"/>
            </c:ext>
          </c:extLst>
        </c:ser>
        <c:dLbls>
          <c:showLegendKey val="0"/>
          <c:showVal val="0"/>
          <c:showCatName val="0"/>
          <c:showSerName val="0"/>
          <c:showPercent val="0"/>
          <c:showBubbleSize val="0"/>
        </c:dLbls>
        <c:axId val="474228472"/>
        <c:axId val="474225520"/>
      </c:scatterChart>
      <c:catAx>
        <c:axId val="474228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Sexual Orientation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225520"/>
        <c:crosses val="autoZero"/>
        <c:auto val="1"/>
        <c:lblAlgn val="ctr"/>
        <c:lblOffset val="100"/>
        <c:noMultiLvlLbl val="0"/>
      </c:catAx>
      <c:valAx>
        <c:axId val="474225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228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Aft>
          <a:spcPts val="1200"/>
        </a:spcAft>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Chart11!$B$4</c:f>
              <c:strCache>
                <c:ptCount val="1"/>
                <c:pt idx="0">
                  <c:v>Percentage</c:v>
                </c:pt>
              </c:strCache>
            </c:strRef>
          </c:tx>
          <c:spPr>
            <a:solidFill>
              <a:srgbClr val="18646E"/>
            </a:solidFill>
            <a:ln>
              <a:noFill/>
            </a:ln>
            <a:effectLst/>
          </c:spPr>
          <c:invertIfNegative val="0"/>
          <c:cat>
            <c:strRef>
              <c:f>Chart11!$A$5:$A$14</c:f>
              <c:strCache>
                <c:ptCount val="10"/>
                <c:pt idx="0">
                  <c:v>Atheism</c:v>
                </c:pt>
                <c:pt idx="1">
                  <c:v>Buddhism</c:v>
                </c:pt>
                <c:pt idx="2">
                  <c:v>Christianity</c:v>
                </c:pt>
                <c:pt idx="3">
                  <c:v>Hinduism</c:v>
                </c:pt>
                <c:pt idx="4">
                  <c:v>Islam</c:v>
                </c:pt>
                <c:pt idx="5">
                  <c:v>Jainism</c:v>
                </c:pt>
                <c:pt idx="6">
                  <c:v>Judaism</c:v>
                </c:pt>
                <c:pt idx="7">
                  <c:v>Other</c:v>
                </c:pt>
                <c:pt idx="8">
                  <c:v>Sikhism</c:v>
                </c:pt>
                <c:pt idx="9">
                  <c:v>Not Disclosed</c:v>
                </c:pt>
              </c:strCache>
            </c:strRef>
          </c:cat>
          <c:val>
            <c:numRef>
              <c:f>Chart11!$B$5:$B$14</c:f>
              <c:numCache>
                <c:formatCode>0.00%</c:formatCode>
                <c:ptCount val="10"/>
                <c:pt idx="0">
                  <c:v>0.26355421686746988</c:v>
                </c:pt>
                <c:pt idx="1">
                  <c:v>6.024096385542169E-3</c:v>
                </c:pt>
                <c:pt idx="2">
                  <c:v>0.3509036144578313</c:v>
                </c:pt>
                <c:pt idx="3">
                  <c:v>2.2590361445783132E-2</c:v>
                </c:pt>
                <c:pt idx="4">
                  <c:v>2.710843373493976E-2</c:v>
                </c:pt>
                <c:pt idx="5">
                  <c:v>3.0120481927710845E-3</c:v>
                </c:pt>
                <c:pt idx="6">
                  <c:v>4.5180722891566263E-3</c:v>
                </c:pt>
                <c:pt idx="7">
                  <c:v>9.9397590361445784E-2</c:v>
                </c:pt>
                <c:pt idx="8">
                  <c:v>3.0120481927710845E-3</c:v>
                </c:pt>
                <c:pt idx="9">
                  <c:v>0.21987951807228914</c:v>
                </c:pt>
              </c:numCache>
            </c:numRef>
          </c:val>
          <c:extLst>
            <c:ext xmlns:c16="http://schemas.microsoft.com/office/drawing/2014/chart" uri="{C3380CC4-5D6E-409C-BE32-E72D297353CC}">
              <c16:uniqueId val="{00000000-2D50-47A4-9A33-5BA3531F2BC6}"/>
            </c:ext>
          </c:extLst>
        </c:ser>
        <c:dLbls>
          <c:showLegendKey val="0"/>
          <c:showVal val="0"/>
          <c:showCatName val="0"/>
          <c:showSerName val="0"/>
          <c:showPercent val="0"/>
          <c:showBubbleSize val="0"/>
        </c:dLbls>
        <c:gapWidth val="219"/>
        <c:overlap val="-27"/>
        <c:axId val="472371320"/>
        <c:axId val="472371976"/>
      </c:barChart>
      <c:scatterChart>
        <c:scatterStyle val="lineMarker"/>
        <c:varyColors val="0"/>
        <c:ser>
          <c:idx val="1"/>
          <c:order val="1"/>
          <c:tx>
            <c:v>Census</c:v>
          </c:tx>
          <c:spPr>
            <a:ln w="25400" cap="rnd">
              <a:noFill/>
              <a:round/>
            </a:ln>
            <a:effectLst/>
          </c:spPr>
          <c:marker>
            <c:symbol val="dash"/>
            <c:size val="12"/>
            <c:spPr>
              <a:solidFill>
                <a:srgbClr val="403152"/>
              </a:solidFill>
              <a:ln w="63500">
                <a:noFill/>
                <a:round/>
              </a:ln>
              <a:effectLst/>
            </c:spPr>
          </c:marker>
          <c:yVal>
            <c:numRef>
              <c:f>Chart11!$C$5:$C$14</c:f>
              <c:numCache>
                <c:formatCode>0.00%</c:formatCode>
                <c:ptCount val="10"/>
                <c:pt idx="0">
                  <c:v>0.2478502177548178</c:v>
                </c:pt>
                <c:pt idx="1">
                  <c:v>4.4179932374528302E-3</c:v>
                </c:pt>
                <c:pt idx="2">
                  <c:v>0.59282450903339745</c:v>
                </c:pt>
                <c:pt idx="3">
                  <c:v>1.4562990968385855E-2</c:v>
                </c:pt>
                <c:pt idx="4">
                  <c:v>4.8257191073414911E-2</c:v>
                </c:pt>
                <c:pt idx="5">
                  <c:v>3.6179527494800261E-4</c:v>
                </c:pt>
                <c:pt idx="6">
                  <c:v>4.6962410526644668E-3</c:v>
                </c:pt>
                <c:pt idx="7">
                  <c:v>7.4727986590748625E-3</c:v>
                </c:pt>
                <c:pt idx="8">
                  <c:v>7.5461634935157186E-3</c:v>
                </c:pt>
                <c:pt idx="9">
                  <c:v>7.2010099452328127E-2</c:v>
                </c:pt>
              </c:numCache>
            </c:numRef>
          </c:yVal>
          <c:smooth val="0"/>
          <c:extLst>
            <c:ext xmlns:c16="http://schemas.microsoft.com/office/drawing/2014/chart" uri="{C3380CC4-5D6E-409C-BE32-E72D297353CC}">
              <c16:uniqueId val="{00000001-2D50-47A4-9A33-5BA3531F2BC6}"/>
            </c:ext>
          </c:extLst>
        </c:ser>
        <c:dLbls>
          <c:showLegendKey val="0"/>
          <c:showVal val="0"/>
          <c:showCatName val="0"/>
          <c:showSerName val="0"/>
          <c:showPercent val="0"/>
          <c:showBubbleSize val="0"/>
        </c:dLbls>
        <c:axId val="472371320"/>
        <c:axId val="472371976"/>
      </c:scatterChart>
      <c:catAx>
        <c:axId val="472371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Religious Belief</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371976"/>
        <c:crosses val="autoZero"/>
        <c:auto val="1"/>
        <c:lblAlgn val="ctr"/>
        <c:lblOffset val="100"/>
        <c:noMultiLvlLbl val="0"/>
      </c:catAx>
      <c:valAx>
        <c:axId val="472371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371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'2019 Picker charts'!$A$123</c:f>
              <c:strCache>
                <c:ptCount val="1"/>
                <c:pt idx="0">
                  <c:v>Yes</c:v>
                </c:pt>
              </c:strCache>
            </c:strRef>
          </c:tx>
          <c:spPr>
            <a:solidFill>
              <a:srgbClr val="4F7D83"/>
            </a:solidFill>
            <a:ln>
              <a:noFill/>
            </a:ln>
            <a:effectLst/>
          </c:spPr>
          <c:invertIfNegative val="0"/>
          <c:cat>
            <c:strRef>
              <c:f>'2019 Picker charts'!$B$122:$D$122</c:f>
              <c:strCache>
                <c:ptCount val="3"/>
                <c:pt idx="0">
                  <c:v>All</c:v>
                </c:pt>
                <c:pt idx="1">
                  <c:v>Non-lay</c:v>
                </c:pt>
                <c:pt idx="2">
                  <c:v>Lay</c:v>
                </c:pt>
              </c:strCache>
            </c:strRef>
          </c:cat>
          <c:val>
            <c:numRef>
              <c:f>'2019 Picker charts'!$B$123:$D$123</c:f>
              <c:numCache>
                <c:formatCode>0.00%</c:formatCode>
                <c:ptCount val="3"/>
                <c:pt idx="0">
                  <c:v>9.5000000000000001E-2</c:v>
                </c:pt>
                <c:pt idx="1">
                  <c:v>4.5999999999999999E-2</c:v>
                </c:pt>
                <c:pt idx="2">
                  <c:v>0.316</c:v>
                </c:pt>
              </c:numCache>
            </c:numRef>
          </c:val>
          <c:extLst>
            <c:ext xmlns:c16="http://schemas.microsoft.com/office/drawing/2014/chart" uri="{C3380CC4-5D6E-409C-BE32-E72D297353CC}">
              <c16:uniqueId val="{00000000-8FBE-46EA-987A-4ABCB22664D9}"/>
            </c:ext>
          </c:extLst>
        </c:ser>
        <c:ser>
          <c:idx val="1"/>
          <c:order val="1"/>
          <c:tx>
            <c:strRef>
              <c:f>'2019 Picker charts'!$A$124</c:f>
              <c:strCache>
                <c:ptCount val="1"/>
                <c:pt idx="0">
                  <c:v>No</c:v>
                </c:pt>
              </c:strCache>
            </c:strRef>
          </c:tx>
          <c:spPr>
            <a:solidFill>
              <a:srgbClr val="A2BDC1"/>
            </a:solidFill>
            <a:ln>
              <a:noFill/>
            </a:ln>
            <a:effectLst/>
          </c:spPr>
          <c:invertIfNegative val="0"/>
          <c:cat>
            <c:strRef>
              <c:f>'2019 Picker charts'!$B$122:$D$122</c:f>
              <c:strCache>
                <c:ptCount val="3"/>
                <c:pt idx="0">
                  <c:v>All</c:v>
                </c:pt>
                <c:pt idx="1">
                  <c:v>Non-lay</c:v>
                </c:pt>
                <c:pt idx="2">
                  <c:v>Lay</c:v>
                </c:pt>
              </c:strCache>
            </c:strRef>
          </c:cat>
          <c:val>
            <c:numRef>
              <c:f>'2019 Picker charts'!$B$124:$D$124</c:f>
              <c:numCache>
                <c:formatCode>0.00%</c:formatCode>
                <c:ptCount val="3"/>
                <c:pt idx="0">
                  <c:v>0.72299999999999998</c:v>
                </c:pt>
                <c:pt idx="1">
                  <c:v>0.80100000000000005</c:v>
                </c:pt>
                <c:pt idx="2">
                  <c:v>0.495</c:v>
                </c:pt>
              </c:numCache>
            </c:numRef>
          </c:val>
          <c:extLst>
            <c:ext xmlns:c16="http://schemas.microsoft.com/office/drawing/2014/chart" uri="{C3380CC4-5D6E-409C-BE32-E72D297353CC}">
              <c16:uniqueId val="{00000001-8FBE-46EA-987A-4ABCB22664D9}"/>
            </c:ext>
          </c:extLst>
        </c:ser>
        <c:ser>
          <c:idx val="2"/>
          <c:order val="2"/>
          <c:tx>
            <c:strRef>
              <c:f>'2019 Picker charts'!$A$125</c:f>
              <c:strCache>
                <c:ptCount val="1"/>
                <c:pt idx="0">
                  <c:v>No reply/not disclosed</c:v>
                </c:pt>
              </c:strCache>
            </c:strRef>
          </c:tx>
          <c:spPr>
            <a:solidFill>
              <a:schemeClr val="accent3"/>
            </a:solidFill>
            <a:ln>
              <a:noFill/>
            </a:ln>
            <a:effectLst/>
          </c:spPr>
          <c:invertIfNegative val="0"/>
          <c:cat>
            <c:strRef>
              <c:f>'2019 Picker charts'!$B$122:$D$122</c:f>
              <c:strCache>
                <c:ptCount val="3"/>
                <c:pt idx="0">
                  <c:v>All</c:v>
                </c:pt>
                <c:pt idx="1">
                  <c:v>Non-lay</c:v>
                </c:pt>
                <c:pt idx="2">
                  <c:v>Lay</c:v>
                </c:pt>
              </c:strCache>
            </c:strRef>
          </c:cat>
          <c:val>
            <c:numRef>
              <c:f>'2019 Picker charts'!$B$125:$D$125</c:f>
              <c:numCache>
                <c:formatCode>0.00%</c:formatCode>
                <c:ptCount val="3"/>
                <c:pt idx="0">
                  <c:v>0.18200000000000002</c:v>
                </c:pt>
                <c:pt idx="1">
                  <c:v>0.153</c:v>
                </c:pt>
                <c:pt idx="2">
                  <c:v>0.19</c:v>
                </c:pt>
              </c:numCache>
            </c:numRef>
          </c:val>
          <c:extLst>
            <c:ext xmlns:c16="http://schemas.microsoft.com/office/drawing/2014/chart" uri="{C3380CC4-5D6E-409C-BE32-E72D297353CC}">
              <c16:uniqueId val="{00000002-8FBE-46EA-987A-4ABCB22664D9}"/>
            </c:ext>
          </c:extLst>
        </c:ser>
        <c:dLbls>
          <c:showLegendKey val="0"/>
          <c:showVal val="0"/>
          <c:showCatName val="0"/>
          <c:showSerName val="0"/>
          <c:showPercent val="0"/>
          <c:showBubbleSize val="0"/>
        </c:dLbls>
        <c:gapWidth val="150"/>
        <c:overlap val="100"/>
        <c:axId val="139611600"/>
        <c:axId val="139205848"/>
      </c:barChart>
      <c:catAx>
        <c:axId val="139611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05848"/>
        <c:crosses val="autoZero"/>
        <c:auto val="1"/>
        <c:lblAlgn val="ctr"/>
        <c:lblOffset val="100"/>
        <c:noMultiLvlLbl val="0"/>
      </c:catAx>
      <c:valAx>
        <c:axId val="1392058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1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'2019 Picker charts'!$B$42</c:f>
              <c:strCache>
                <c:ptCount val="1"/>
                <c:pt idx="0">
                  <c:v>Lay</c:v>
                </c:pt>
              </c:strCache>
            </c:strRef>
          </c:tx>
          <c:spPr>
            <a:solidFill>
              <a:srgbClr val="4F7D83"/>
            </a:solidFill>
            <a:ln>
              <a:noFill/>
            </a:ln>
            <a:effectLst/>
          </c:spPr>
          <c:invertIfNegative val="0"/>
          <c:cat>
            <c:strRef>
              <c:f>'2019 Picker charts'!$A$43:$A$48</c:f>
              <c:strCache>
                <c:ptCount val="6"/>
                <c:pt idx="0">
                  <c:v>Asian</c:v>
                </c:pt>
                <c:pt idx="1">
                  <c:v>Black</c:v>
                </c:pt>
                <c:pt idx="2">
                  <c:v>Mixed</c:v>
                </c:pt>
                <c:pt idx="3">
                  <c:v>White</c:v>
                </c:pt>
                <c:pt idx="4">
                  <c:v>Other</c:v>
                </c:pt>
                <c:pt idx="5">
                  <c:v>No reply/not disclosed</c:v>
                </c:pt>
              </c:strCache>
            </c:strRef>
          </c:cat>
          <c:val>
            <c:numRef>
              <c:f>'2019 Picker charts'!$B$43:$B$48</c:f>
              <c:numCache>
                <c:formatCode>0.00%</c:formatCode>
                <c:ptCount val="6"/>
                <c:pt idx="0">
                  <c:v>1.0999999999999999E-2</c:v>
                </c:pt>
                <c:pt idx="1">
                  <c:v>1.0999999999999999E-2</c:v>
                </c:pt>
                <c:pt idx="2">
                  <c:v>3.3000000000000002E-2</c:v>
                </c:pt>
                <c:pt idx="3">
                  <c:v>0.91600000000000004</c:v>
                </c:pt>
                <c:pt idx="4">
                  <c:v>2.1000000000000001E-2</c:v>
                </c:pt>
                <c:pt idx="5">
                  <c:v>1.0999999999999999E-2</c:v>
                </c:pt>
              </c:numCache>
            </c:numRef>
          </c:val>
          <c:extLst>
            <c:ext xmlns:c16="http://schemas.microsoft.com/office/drawing/2014/chart" uri="{C3380CC4-5D6E-409C-BE32-E72D297353CC}">
              <c16:uniqueId val="{00000000-356C-4D25-81E6-3250E13D0AD3}"/>
            </c:ext>
          </c:extLst>
        </c:ser>
        <c:ser>
          <c:idx val="1"/>
          <c:order val="1"/>
          <c:tx>
            <c:strRef>
              <c:f>'2019 Picker charts'!$C$42</c:f>
              <c:strCache>
                <c:ptCount val="1"/>
                <c:pt idx="0">
                  <c:v>Non-Lay</c:v>
                </c:pt>
              </c:strCache>
            </c:strRef>
          </c:tx>
          <c:spPr>
            <a:solidFill>
              <a:srgbClr val="A2BDC1"/>
            </a:solidFill>
            <a:ln>
              <a:noFill/>
            </a:ln>
            <a:effectLst/>
          </c:spPr>
          <c:invertIfNegative val="0"/>
          <c:cat>
            <c:strRef>
              <c:f>'2019 Picker charts'!$A$43:$A$48</c:f>
              <c:strCache>
                <c:ptCount val="6"/>
                <c:pt idx="0">
                  <c:v>Asian</c:v>
                </c:pt>
                <c:pt idx="1">
                  <c:v>Black</c:v>
                </c:pt>
                <c:pt idx="2">
                  <c:v>Mixed</c:v>
                </c:pt>
                <c:pt idx="3">
                  <c:v>White</c:v>
                </c:pt>
                <c:pt idx="4">
                  <c:v>Other</c:v>
                </c:pt>
                <c:pt idx="5">
                  <c:v>No reply/not disclosed</c:v>
                </c:pt>
              </c:strCache>
            </c:strRef>
          </c:cat>
          <c:val>
            <c:numRef>
              <c:f>'2019 Picker charts'!$C$43:$C$48</c:f>
              <c:numCache>
                <c:formatCode>0.00%</c:formatCode>
                <c:ptCount val="6"/>
                <c:pt idx="0">
                  <c:v>8.8999999999999996E-2</c:v>
                </c:pt>
                <c:pt idx="1">
                  <c:v>7.0000000000000001E-3</c:v>
                </c:pt>
                <c:pt idx="2">
                  <c:v>2.9000000000000001E-2</c:v>
                </c:pt>
                <c:pt idx="3">
                  <c:v>0.82399999999999995</c:v>
                </c:pt>
                <c:pt idx="4">
                  <c:v>0.03</c:v>
                </c:pt>
                <c:pt idx="5">
                  <c:v>0.02</c:v>
                </c:pt>
              </c:numCache>
            </c:numRef>
          </c:val>
          <c:extLst>
            <c:ext xmlns:c16="http://schemas.microsoft.com/office/drawing/2014/chart" uri="{C3380CC4-5D6E-409C-BE32-E72D297353CC}">
              <c16:uniqueId val="{00000001-356C-4D25-81E6-3250E13D0AD3}"/>
            </c:ext>
          </c:extLst>
        </c:ser>
        <c:ser>
          <c:idx val="2"/>
          <c:order val="2"/>
          <c:tx>
            <c:strRef>
              <c:f>'2019 Picker charts'!$D$42</c:f>
              <c:strCache>
                <c:ptCount val="1"/>
                <c:pt idx="0">
                  <c:v>Total</c:v>
                </c:pt>
              </c:strCache>
            </c:strRef>
          </c:tx>
          <c:spPr>
            <a:solidFill>
              <a:srgbClr val="517489"/>
            </a:solidFill>
            <a:ln>
              <a:noFill/>
            </a:ln>
            <a:effectLst/>
          </c:spPr>
          <c:invertIfNegative val="0"/>
          <c:cat>
            <c:strRef>
              <c:f>'2019 Picker charts'!$A$43:$A$48</c:f>
              <c:strCache>
                <c:ptCount val="6"/>
                <c:pt idx="0">
                  <c:v>Asian</c:v>
                </c:pt>
                <c:pt idx="1">
                  <c:v>Black</c:v>
                </c:pt>
                <c:pt idx="2">
                  <c:v>Mixed</c:v>
                </c:pt>
                <c:pt idx="3">
                  <c:v>White</c:v>
                </c:pt>
                <c:pt idx="4">
                  <c:v>Other</c:v>
                </c:pt>
                <c:pt idx="5">
                  <c:v>No reply/not disclosed</c:v>
                </c:pt>
              </c:strCache>
            </c:strRef>
          </c:cat>
          <c:val>
            <c:numRef>
              <c:f>'2019 Picker charts'!$D$43:$D$48</c:f>
              <c:numCache>
                <c:formatCode>0.00%</c:formatCode>
                <c:ptCount val="6"/>
                <c:pt idx="0">
                  <c:v>7.3999999999999996E-2</c:v>
                </c:pt>
                <c:pt idx="1">
                  <c:v>7.0000000000000001E-3</c:v>
                </c:pt>
                <c:pt idx="2">
                  <c:v>3.3000000000000002E-2</c:v>
                </c:pt>
                <c:pt idx="3">
                  <c:v>0.83</c:v>
                </c:pt>
                <c:pt idx="4">
                  <c:v>2.9000000000000001E-2</c:v>
                </c:pt>
                <c:pt idx="5">
                  <c:v>2.9000000000000001E-2</c:v>
                </c:pt>
              </c:numCache>
            </c:numRef>
          </c:val>
          <c:extLst>
            <c:ext xmlns:c16="http://schemas.microsoft.com/office/drawing/2014/chart" uri="{C3380CC4-5D6E-409C-BE32-E72D297353CC}">
              <c16:uniqueId val="{00000002-356C-4D25-81E6-3250E13D0AD3}"/>
            </c:ext>
          </c:extLst>
        </c:ser>
        <c:ser>
          <c:idx val="3"/>
          <c:order val="3"/>
          <c:tx>
            <c:strRef>
              <c:f>'2019 Picker charts'!$E$42</c:f>
              <c:strCache>
                <c:ptCount val="1"/>
                <c:pt idx="0">
                  <c:v>England &amp; Wales</c:v>
                </c:pt>
              </c:strCache>
            </c:strRef>
          </c:tx>
          <c:spPr>
            <a:solidFill>
              <a:srgbClr val="2F4C60"/>
            </a:solidFill>
            <a:ln>
              <a:noFill/>
            </a:ln>
            <a:effectLst/>
          </c:spPr>
          <c:invertIfNegative val="0"/>
          <c:cat>
            <c:strRef>
              <c:f>'2019 Picker charts'!$A$43:$A$48</c:f>
              <c:strCache>
                <c:ptCount val="6"/>
                <c:pt idx="0">
                  <c:v>Asian</c:v>
                </c:pt>
                <c:pt idx="1">
                  <c:v>Black</c:v>
                </c:pt>
                <c:pt idx="2">
                  <c:v>Mixed</c:v>
                </c:pt>
                <c:pt idx="3">
                  <c:v>White</c:v>
                </c:pt>
                <c:pt idx="4">
                  <c:v>Other</c:v>
                </c:pt>
                <c:pt idx="5">
                  <c:v>No reply/not disclosed</c:v>
                </c:pt>
              </c:strCache>
            </c:strRef>
          </c:cat>
          <c:val>
            <c:numRef>
              <c:f>'2019 Picker charts'!$E$43:$E$48</c:f>
              <c:numCache>
                <c:formatCode>0.00%</c:formatCode>
                <c:ptCount val="6"/>
                <c:pt idx="0">
                  <c:v>7.4999999999999997E-2</c:v>
                </c:pt>
                <c:pt idx="1">
                  <c:v>3.3000000000000002E-2</c:v>
                </c:pt>
                <c:pt idx="2">
                  <c:v>2.2000000000000002E-2</c:v>
                </c:pt>
                <c:pt idx="3">
                  <c:v>0.86</c:v>
                </c:pt>
                <c:pt idx="4">
                  <c:v>0.01</c:v>
                </c:pt>
                <c:pt idx="5">
                  <c:v>0</c:v>
                </c:pt>
              </c:numCache>
            </c:numRef>
          </c:val>
          <c:extLst>
            <c:ext xmlns:c16="http://schemas.microsoft.com/office/drawing/2014/chart" uri="{C3380CC4-5D6E-409C-BE32-E72D297353CC}">
              <c16:uniqueId val="{00000003-356C-4D25-81E6-3250E13D0AD3}"/>
            </c:ext>
          </c:extLst>
        </c:ser>
        <c:dLbls>
          <c:showLegendKey val="0"/>
          <c:showVal val="0"/>
          <c:showCatName val="0"/>
          <c:showSerName val="0"/>
          <c:showPercent val="0"/>
          <c:showBubbleSize val="0"/>
        </c:dLbls>
        <c:gapWidth val="219"/>
        <c:overlap val="-27"/>
        <c:axId val="263934216"/>
        <c:axId val="263934608"/>
      </c:barChart>
      <c:catAx>
        <c:axId val="26393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934608"/>
        <c:crosses val="autoZero"/>
        <c:auto val="1"/>
        <c:lblAlgn val="ctr"/>
        <c:lblOffset val="100"/>
        <c:noMultiLvlLbl val="0"/>
      </c:catAx>
      <c:valAx>
        <c:axId val="263934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934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661939579870364E-2"/>
          <c:y val="3.9538721830390297E-2"/>
          <c:w val="0.90137059632719496"/>
          <c:h val="0.70100631754747844"/>
        </c:manualLayout>
      </c:layout>
      <c:barChart>
        <c:barDir val="col"/>
        <c:grouping val="clustered"/>
        <c:varyColors val="0"/>
        <c:ser>
          <c:idx val="0"/>
          <c:order val="0"/>
          <c:tx>
            <c:strRef>
              <c:f>'2019 Picker charts'!$B$7</c:f>
              <c:strCache>
                <c:ptCount val="1"/>
                <c:pt idx="0">
                  <c:v>Lay</c:v>
                </c:pt>
              </c:strCache>
            </c:strRef>
          </c:tx>
          <c:spPr>
            <a:solidFill>
              <a:srgbClr val="4F7D83"/>
            </a:solidFill>
            <a:ln>
              <a:noFill/>
            </a:ln>
            <a:effectLst/>
          </c:spPr>
          <c:invertIfNegative val="0"/>
          <c:cat>
            <c:strRef>
              <c:f>'2019 Picker charts'!$A$8:$A$12</c:f>
              <c:strCache>
                <c:ptCount val="5"/>
                <c:pt idx="0">
                  <c:v>18-35</c:v>
                </c:pt>
                <c:pt idx="1">
                  <c:v>36-50</c:v>
                </c:pt>
                <c:pt idx="2">
                  <c:v>51-65</c:v>
                </c:pt>
                <c:pt idx="3">
                  <c:v>Over 65</c:v>
                </c:pt>
                <c:pt idx="4">
                  <c:v>No reply/not disclosed</c:v>
                </c:pt>
              </c:strCache>
            </c:strRef>
          </c:cat>
          <c:val>
            <c:numRef>
              <c:f>'2019 Picker charts'!$B$8:$B$12</c:f>
              <c:numCache>
                <c:formatCode>0.00%</c:formatCode>
                <c:ptCount val="5"/>
                <c:pt idx="0">
                  <c:v>0.126</c:v>
                </c:pt>
                <c:pt idx="1">
                  <c:v>9.5000000000000001E-2</c:v>
                </c:pt>
                <c:pt idx="2">
                  <c:v>0.505</c:v>
                </c:pt>
                <c:pt idx="3">
                  <c:v>0.253</c:v>
                </c:pt>
                <c:pt idx="4">
                  <c:v>2.1000000000000001E-2</c:v>
                </c:pt>
              </c:numCache>
            </c:numRef>
          </c:val>
          <c:extLst>
            <c:ext xmlns:c16="http://schemas.microsoft.com/office/drawing/2014/chart" uri="{C3380CC4-5D6E-409C-BE32-E72D297353CC}">
              <c16:uniqueId val="{00000000-47F8-4A08-A11A-AFF483EF7E67}"/>
            </c:ext>
          </c:extLst>
        </c:ser>
        <c:ser>
          <c:idx val="1"/>
          <c:order val="1"/>
          <c:tx>
            <c:strRef>
              <c:f>'2019 Picker charts'!$C$7</c:f>
              <c:strCache>
                <c:ptCount val="1"/>
                <c:pt idx="0">
                  <c:v>Non-lay</c:v>
                </c:pt>
              </c:strCache>
            </c:strRef>
          </c:tx>
          <c:spPr>
            <a:solidFill>
              <a:srgbClr val="A2BDC1"/>
            </a:solidFill>
            <a:ln>
              <a:noFill/>
            </a:ln>
            <a:effectLst/>
          </c:spPr>
          <c:invertIfNegative val="0"/>
          <c:cat>
            <c:strRef>
              <c:f>'2019 Picker charts'!$A$8:$A$12</c:f>
              <c:strCache>
                <c:ptCount val="5"/>
                <c:pt idx="0">
                  <c:v>18-35</c:v>
                </c:pt>
                <c:pt idx="1">
                  <c:v>36-50</c:v>
                </c:pt>
                <c:pt idx="2">
                  <c:v>51-65</c:v>
                </c:pt>
                <c:pt idx="3">
                  <c:v>Over 65</c:v>
                </c:pt>
                <c:pt idx="4">
                  <c:v>No reply/not disclosed</c:v>
                </c:pt>
              </c:strCache>
            </c:strRef>
          </c:cat>
          <c:val>
            <c:numRef>
              <c:f>'2019 Picker charts'!$C$8:$C$12</c:f>
              <c:numCache>
                <c:formatCode>0.00%</c:formatCode>
                <c:ptCount val="5"/>
                <c:pt idx="0">
                  <c:v>2.7E-2</c:v>
                </c:pt>
                <c:pt idx="1">
                  <c:v>0.42499999999999999</c:v>
                </c:pt>
                <c:pt idx="2">
                  <c:v>0.48399999999999999</c:v>
                </c:pt>
                <c:pt idx="3">
                  <c:v>5.5E-2</c:v>
                </c:pt>
                <c:pt idx="4">
                  <c:v>9.0000000000000011E-3</c:v>
                </c:pt>
              </c:numCache>
            </c:numRef>
          </c:val>
          <c:extLst>
            <c:ext xmlns:c16="http://schemas.microsoft.com/office/drawing/2014/chart" uri="{C3380CC4-5D6E-409C-BE32-E72D297353CC}">
              <c16:uniqueId val="{00000001-47F8-4A08-A11A-AFF483EF7E67}"/>
            </c:ext>
          </c:extLst>
        </c:ser>
        <c:ser>
          <c:idx val="2"/>
          <c:order val="2"/>
          <c:tx>
            <c:strRef>
              <c:f>'2019 Picker charts'!$D$7</c:f>
              <c:strCache>
                <c:ptCount val="1"/>
                <c:pt idx="0">
                  <c:v>All</c:v>
                </c:pt>
              </c:strCache>
            </c:strRef>
          </c:tx>
          <c:spPr>
            <a:solidFill>
              <a:srgbClr val="517489"/>
            </a:solidFill>
            <a:ln>
              <a:noFill/>
            </a:ln>
            <a:effectLst/>
          </c:spPr>
          <c:invertIfNegative val="0"/>
          <c:cat>
            <c:strRef>
              <c:f>'2019 Picker charts'!$A$8:$A$12</c:f>
              <c:strCache>
                <c:ptCount val="5"/>
                <c:pt idx="0">
                  <c:v>18-35</c:v>
                </c:pt>
                <c:pt idx="1">
                  <c:v>36-50</c:v>
                </c:pt>
                <c:pt idx="2">
                  <c:v>51-65</c:v>
                </c:pt>
                <c:pt idx="3">
                  <c:v>Over 65</c:v>
                </c:pt>
                <c:pt idx="4">
                  <c:v>No reply/not disclosed</c:v>
                </c:pt>
              </c:strCache>
            </c:strRef>
          </c:cat>
          <c:val>
            <c:numRef>
              <c:f>'2019 Picker charts'!$D$8:$D$12</c:f>
              <c:numCache>
                <c:formatCode>0.00%</c:formatCode>
                <c:ptCount val="5"/>
                <c:pt idx="0">
                  <c:v>4.3999999999999997E-2</c:v>
                </c:pt>
                <c:pt idx="1">
                  <c:v>0.36199999999999999</c:v>
                </c:pt>
                <c:pt idx="2">
                  <c:v>0.48099999999999998</c:v>
                </c:pt>
                <c:pt idx="3">
                  <c:v>9.4E-2</c:v>
                </c:pt>
                <c:pt idx="4">
                  <c:v>1.9999999999999997E-2</c:v>
                </c:pt>
              </c:numCache>
            </c:numRef>
          </c:val>
          <c:extLst>
            <c:ext xmlns:c16="http://schemas.microsoft.com/office/drawing/2014/chart" uri="{C3380CC4-5D6E-409C-BE32-E72D297353CC}">
              <c16:uniqueId val="{00000002-47F8-4A08-A11A-AFF483EF7E67}"/>
            </c:ext>
          </c:extLst>
        </c:ser>
        <c:ser>
          <c:idx val="3"/>
          <c:order val="3"/>
          <c:tx>
            <c:strRef>
              <c:f>'2019 Picker charts'!$E$7</c:f>
              <c:strCache>
                <c:ptCount val="1"/>
                <c:pt idx="0">
                  <c:v>England &amp; Wales</c:v>
                </c:pt>
              </c:strCache>
            </c:strRef>
          </c:tx>
          <c:spPr>
            <a:solidFill>
              <a:srgbClr val="2F4C60"/>
            </a:solidFill>
            <a:ln>
              <a:noFill/>
            </a:ln>
            <a:effectLst/>
          </c:spPr>
          <c:invertIfNegative val="0"/>
          <c:cat>
            <c:strRef>
              <c:f>'2019 Picker charts'!$A$8:$A$12</c:f>
              <c:strCache>
                <c:ptCount val="5"/>
                <c:pt idx="0">
                  <c:v>18-35</c:v>
                </c:pt>
                <c:pt idx="1">
                  <c:v>36-50</c:v>
                </c:pt>
                <c:pt idx="2">
                  <c:v>51-65</c:v>
                </c:pt>
                <c:pt idx="3">
                  <c:v>Over 65</c:v>
                </c:pt>
                <c:pt idx="4">
                  <c:v>No reply/not disclosed</c:v>
                </c:pt>
              </c:strCache>
            </c:strRef>
          </c:cat>
          <c:val>
            <c:numRef>
              <c:f>'2019 Picker charts'!$E$8:$E$12</c:f>
              <c:numCache>
                <c:formatCode>0.00%</c:formatCode>
                <c:ptCount val="5"/>
                <c:pt idx="0">
                  <c:v>0.19939999999999999</c:v>
                </c:pt>
                <c:pt idx="1">
                  <c:v>0.19570000000000001</c:v>
                </c:pt>
                <c:pt idx="2">
                  <c:v>0.187</c:v>
                </c:pt>
                <c:pt idx="3">
                  <c:v>0.1817</c:v>
                </c:pt>
              </c:numCache>
            </c:numRef>
          </c:val>
          <c:extLst>
            <c:ext xmlns:c16="http://schemas.microsoft.com/office/drawing/2014/chart" uri="{C3380CC4-5D6E-409C-BE32-E72D297353CC}">
              <c16:uniqueId val="{00000003-47F8-4A08-A11A-AFF483EF7E67}"/>
            </c:ext>
          </c:extLst>
        </c:ser>
        <c:dLbls>
          <c:showLegendKey val="0"/>
          <c:showVal val="0"/>
          <c:showCatName val="0"/>
          <c:showSerName val="0"/>
          <c:showPercent val="0"/>
          <c:showBubbleSize val="0"/>
        </c:dLbls>
        <c:gapWidth val="219"/>
        <c:overlap val="-27"/>
        <c:axId val="139638072"/>
        <c:axId val="139877896"/>
      </c:barChart>
      <c:catAx>
        <c:axId val="13963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77896"/>
        <c:crosses val="autoZero"/>
        <c:auto val="1"/>
        <c:lblAlgn val="ctr"/>
        <c:lblOffset val="100"/>
        <c:noMultiLvlLbl val="0"/>
      </c:catAx>
      <c:valAx>
        <c:axId val="139877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3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'2019 Picker charts'!$B$79</c:f>
              <c:strCache>
                <c:ptCount val="1"/>
                <c:pt idx="0">
                  <c:v>Heterosexual</c:v>
                </c:pt>
              </c:strCache>
            </c:strRef>
          </c:tx>
          <c:spPr>
            <a:solidFill>
              <a:srgbClr val="4F7D83"/>
            </a:solidFill>
            <a:ln>
              <a:noFill/>
            </a:ln>
            <a:effectLst/>
          </c:spPr>
          <c:invertIfNegative val="0"/>
          <c:cat>
            <c:strRef>
              <c:f>'2019 Picker charts'!$C$78:$E$78</c:f>
              <c:strCache>
                <c:ptCount val="3"/>
                <c:pt idx="0">
                  <c:v>All</c:v>
                </c:pt>
                <c:pt idx="1">
                  <c:v>Non-lay</c:v>
                </c:pt>
                <c:pt idx="2">
                  <c:v>Lay</c:v>
                </c:pt>
              </c:strCache>
            </c:strRef>
          </c:cat>
          <c:val>
            <c:numRef>
              <c:f>'2019 Picker charts'!$C$79:$E$79</c:f>
              <c:numCache>
                <c:formatCode>0.00%</c:formatCode>
                <c:ptCount val="3"/>
                <c:pt idx="0">
                  <c:v>0.88200000000000001</c:v>
                </c:pt>
                <c:pt idx="1">
                  <c:v>0.89700000000000002</c:v>
                </c:pt>
                <c:pt idx="2">
                  <c:v>0.85299999999999998</c:v>
                </c:pt>
              </c:numCache>
            </c:numRef>
          </c:val>
          <c:extLst>
            <c:ext xmlns:c16="http://schemas.microsoft.com/office/drawing/2014/chart" uri="{C3380CC4-5D6E-409C-BE32-E72D297353CC}">
              <c16:uniqueId val="{00000000-A7DF-47A5-9A20-6BE2B8DA9FF8}"/>
            </c:ext>
          </c:extLst>
        </c:ser>
        <c:ser>
          <c:idx val="1"/>
          <c:order val="1"/>
          <c:tx>
            <c:strRef>
              <c:f>'2019 Picker charts'!$B$80</c:f>
              <c:strCache>
                <c:ptCount val="1"/>
                <c:pt idx="0">
                  <c:v>Lesbian, Gay, Bisexual or other</c:v>
                </c:pt>
              </c:strCache>
            </c:strRef>
          </c:tx>
          <c:spPr>
            <a:solidFill>
              <a:srgbClr val="A2BDC1"/>
            </a:solidFill>
            <a:ln>
              <a:noFill/>
            </a:ln>
            <a:effectLst/>
          </c:spPr>
          <c:invertIfNegative val="0"/>
          <c:cat>
            <c:strRef>
              <c:f>'2019 Picker charts'!$C$78:$E$78</c:f>
              <c:strCache>
                <c:ptCount val="3"/>
                <c:pt idx="0">
                  <c:v>All</c:v>
                </c:pt>
                <c:pt idx="1">
                  <c:v>Non-lay</c:v>
                </c:pt>
                <c:pt idx="2">
                  <c:v>Lay</c:v>
                </c:pt>
              </c:strCache>
            </c:strRef>
          </c:cat>
          <c:val>
            <c:numRef>
              <c:f>'2019 Picker charts'!$C$80:$E$80</c:f>
              <c:numCache>
                <c:formatCode>0.00%</c:formatCode>
                <c:ptCount val="3"/>
                <c:pt idx="0">
                  <c:v>4.2999999999999997E-2</c:v>
                </c:pt>
                <c:pt idx="1">
                  <c:v>3.5000000000000003E-2</c:v>
                </c:pt>
                <c:pt idx="2">
                  <c:v>0.106</c:v>
                </c:pt>
              </c:numCache>
            </c:numRef>
          </c:val>
          <c:extLst>
            <c:ext xmlns:c16="http://schemas.microsoft.com/office/drawing/2014/chart" uri="{C3380CC4-5D6E-409C-BE32-E72D297353CC}">
              <c16:uniqueId val="{00000001-A7DF-47A5-9A20-6BE2B8DA9FF8}"/>
            </c:ext>
          </c:extLst>
        </c:ser>
        <c:ser>
          <c:idx val="2"/>
          <c:order val="2"/>
          <c:tx>
            <c:strRef>
              <c:f>'2019 Picker charts'!$B$81</c:f>
              <c:strCache>
                <c:ptCount val="1"/>
                <c:pt idx="0">
                  <c:v>No reply/not disclosed</c:v>
                </c:pt>
              </c:strCache>
            </c:strRef>
          </c:tx>
          <c:spPr>
            <a:solidFill>
              <a:srgbClr val="517489"/>
            </a:solidFill>
            <a:ln>
              <a:noFill/>
            </a:ln>
            <a:effectLst/>
          </c:spPr>
          <c:invertIfNegative val="0"/>
          <c:cat>
            <c:strRef>
              <c:f>'2019 Picker charts'!$C$78:$E$78</c:f>
              <c:strCache>
                <c:ptCount val="3"/>
                <c:pt idx="0">
                  <c:v>All</c:v>
                </c:pt>
                <c:pt idx="1">
                  <c:v>Non-lay</c:v>
                </c:pt>
                <c:pt idx="2">
                  <c:v>Lay</c:v>
                </c:pt>
              </c:strCache>
            </c:strRef>
          </c:cat>
          <c:val>
            <c:numRef>
              <c:f>'2019 Picker charts'!$C$81:$E$81</c:f>
              <c:numCache>
                <c:formatCode>0.00%</c:formatCode>
                <c:ptCount val="3"/>
                <c:pt idx="0">
                  <c:v>7.3999999999999996E-2</c:v>
                </c:pt>
                <c:pt idx="1">
                  <c:v>6.9000000000000006E-2</c:v>
                </c:pt>
                <c:pt idx="2">
                  <c:v>4.2000000000000003E-2</c:v>
                </c:pt>
              </c:numCache>
            </c:numRef>
          </c:val>
          <c:extLst>
            <c:ext xmlns:c16="http://schemas.microsoft.com/office/drawing/2014/chart" uri="{C3380CC4-5D6E-409C-BE32-E72D297353CC}">
              <c16:uniqueId val="{00000002-A7DF-47A5-9A20-6BE2B8DA9FF8}"/>
            </c:ext>
          </c:extLst>
        </c:ser>
        <c:dLbls>
          <c:showLegendKey val="0"/>
          <c:showVal val="0"/>
          <c:showCatName val="0"/>
          <c:showSerName val="0"/>
          <c:showPercent val="0"/>
          <c:showBubbleSize val="0"/>
        </c:dLbls>
        <c:gapWidth val="150"/>
        <c:overlap val="100"/>
        <c:axId val="263935392"/>
        <c:axId val="263935784"/>
      </c:barChart>
      <c:catAx>
        <c:axId val="263935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935784"/>
        <c:crosses val="autoZero"/>
        <c:auto val="1"/>
        <c:lblAlgn val="ctr"/>
        <c:lblOffset val="100"/>
        <c:noMultiLvlLbl val="0"/>
      </c:catAx>
      <c:valAx>
        <c:axId val="263935784"/>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93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33244110095752E-2"/>
          <c:y val="4.3149946062567425E-2"/>
          <c:w val="0.8974128512677243"/>
          <c:h val="0.51515735290370257"/>
        </c:manualLayout>
      </c:layout>
      <c:barChart>
        <c:barDir val="col"/>
        <c:grouping val="clustered"/>
        <c:varyColors val="0"/>
        <c:ser>
          <c:idx val="0"/>
          <c:order val="0"/>
          <c:tx>
            <c:strRef>
              <c:f>'2019 Picker charts'!$C$98</c:f>
              <c:strCache>
                <c:ptCount val="1"/>
                <c:pt idx="0">
                  <c:v>Lay</c:v>
                </c:pt>
              </c:strCache>
            </c:strRef>
          </c:tx>
          <c:spPr>
            <a:solidFill>
              <a:srgbClr val="4F7D83"/>
            </a:solidFill>
            <a:ln>
              <a:noFill/>
            </a:ln>
            <a:effectLst/>
          </c:spPr>
          <c:invertIfNegative val="0"/>
          <c:cat>
            <c:strRef>
              <c:f>'2019 Picker charts'!$B$99:$B$108</c:f>
              <c:strCache>
                <c:ptCount val="10"/>
                <c:pt idx="0">
                  <c:v>Buddhism</c:v>
                </c:pt>
                <c:pt idx="1">
                  <c:v>Christianity</c:v>
                </c:pt>
                <c:pt idx="2">
                  <c:v>Hinduism</c:v>
                </c:pt>
                <c:pt idx="3">
                  <c:v>Islam</c:v>
                </c:pt>
                <c:pt idx="4">
                  <c:v>Jainism</c:v>
                </c:pt>
                <c:pt idx="5">
                  <c:v>Judaism</c:v>
                </c:pt>
                <c:pt idx="6">
                  <c:v>Sikhism</c:v>
                </c:pt>
                <c:pt idx="7">
                  <c:v>Other</c:v>
                </c:pt>
                <c:pt idx="8">
                  <c:v>No religion</c:v>
                </c:pt>
                <c:pt idx="9">
                  <c:v>No reply/not disclosed</c:v>
                </c:pt>
              </c:strCache>
            </c:strRef>
          </c:cat>
          <c:val>
            <c:numRef>
              <c:f>'2019 Picker charts'!$C$99:$C$108</c:f>
              <c:numCache>
                <c:formatCode>0.00%</c:formatCode>
                <c:ptCount val="10"/>
                <c:pt idx="0">
                  <c:v>3.2000000000000001E-2</c:v>
                </c:pt>
                <c:pt idx="1">
                  <c:v>0.505</c:v>
                </c:pt>
                <c:pt idx="5">
                  <c:v>5.2999999999999999E-2</c:v>
                </c:pt>
                <c:pt idx="6">
                  <c:v>1.0999999999999999E-2</c:v>
                </c:pt>
                <c:pt idx="7">
                  <c:v>1.0999999999999999E-2</c:v>
                </c:pt>
                <c:pt idx="8">
                  <c:v>0.33700000000000002</c:v>
                </c:pt>
                <c:pt idx="9">
                  <c:v>5.2999999999999999E-2</c:v>
                </c:pt>
              </c:numCache>
            </c:numRef>
          </c:val>
          <c:extLst>
            <c:ext xmlns:c16="http://schemas.microsoft.com/office/drawing/2014/chart" uri="{C3380CC4-5D6E-409C-BE32-E72D297353CC}">
              <c16:uniqueId val="{00000000-C9C7-47C7-B126-23397CFAD5A9}"/>
            </c:ext>
          </c:extLst>
        </c:ser>
        <c:ser>
          <c:idx val="1"/>
          <c:order val="1"/>
          <c:tx>
            <c:strRef>
              <c:f>'2019 Picker charts'!$D$98</c:f>
              <c:strCache>
                <c:ptCount val="1"/>
                <c:pt idx="0">
                  <c:v>Non-lay</c:v>
                </c:pt>
              </c:strCache>
            </c:strRef>
          </c:tx>
          <c:spPr>
            <a:solidFill>
              <a:srgbClr val="A2BDC1"/>
            </a:solidFill>
            <a:ln>
              <a:noFill/>
            </a:ln>
            <a:effectLst/>
          </c:spPr>
          <c:invertIfNegative val="0"/>
          <c:cat>
            <c:strRef>
              <c:f>'2019 Picker charts'!$B$99:$B$108</c:f>
              <c:strCache>
                <c:ptCount val="10"/>
                <c:pt idx="0">
                  <c:v>Buddhism</c:v>
                </c:pt>
                <c:pt idx="1">
                  <c:v>Christianity</c:v>
                </c:pt>
                <c:pt idx="2">
                  <c:v>Hinduism</c:v>
                </c:pt>
                <c:pt idx="3">
                  <c:v>Islam</c:v>
                </c:pt>
                <c:pt idx="4">
                  <c:v>Jainism</c:v>
                </c:pt>
                <c:pt idx="5">
                  <c:v>Judaism</c:v>
                </c:pt>
                <c:pt idx="6">
                  <c:v>Sikhism</c:v>
                </c:pt>
                <c:pt idx="7">
                  <c:v>Other</c:v>
                </c:pt>
                <c:pt idx="8">
                  <c:v>No religion</c:v>
                </c:pt>
                <c:pt idx="9">
                  <c:v>No reply/not disclosed</c:v>
                </c:pt>
              </c:strCache>
            </c:strRef>
          </c:cat>
          <c:val>
            <c:numRef>
              <c:f>'2019 Picker charts'!$D$99:$D$108</c:f>
              <c:numCache>
                <c:formatCode>0.00%</c:formatCode>
                <c:ptCount val="10"/>
                <c:pt idx="0">
                  <c:v>1.4E-2</c:v>
                </c:pt>
                <c:pt idx="1">
                  <c:v>0.441</c:v>
                </c:pt>
                <c:pt idx="2">
                  <c:v>4.1000000000000002E-2</c:v>
                </c:pt>
                <c:pt idx="3">
                  <c:v>0.03</c:v>
                </c:pt>
                <c:pt idx="4">
                  <c:v>5.0000000000000001E-3</c:v>
                </c:pt>
                <c:pt idx="5">
                  <c:v>2.5000000000000001E-2</c:v>
                </c:pt>
                <c:pt idx="6">
                  <c:v>7.0000000000000001E-3</c:v>
                </c:pt>
                <c:pt idx="7">
                  <c:v>2E-3</c:v>
                </c:pt>
                <c:pt idx="8">
                  <c:v>0.39300000000000002</c:v>
                </c:pt>
                <c:pt idx="9">
                  <c:v>4.2999999999999997E-2</c:v>
                </c:pt>
              </c:numCache>
            </c:numRef>
          </c:val>
          <c:extLst>
            <c:ext xmlns:c16="http://schemas.microsoft.com/office/drawing/2014/chart" uri="{C3380CC4-5D6E-409C-BE32-E72D297353CC}">
              <c16:uniqueId val="{00000001-C9C7-47C7-B126-23397CFAD5A9}"/>
            </c:ext>
          </c:extLst>
        </c:ser>
        <c:ser>
          <c:idx val="2"/>
          <c:order val="2"/>
          <c:tx>
            <c:strRef>
              <c:f>'2019 Picker charts'!$E$98</c:f>
              <c:strCache>
                <c:ptCount val="1"/>
                <c:pt idx="0">
                  <c:v>All</c:v>
                </c:pt>
              </c:strCache>
            </c:strRef>
          </c:tx>
          <c:spPr>
            <a:solidFill>
              <a:srgbClr val="517489"/>
            </a:solidFill>
            <a:ln>
              <a:noFill/>
            </a:ln>
            <a:effectLst/>
          </c:spPr>
          <c:invertIfNegative val="0"/>
          <c:cat>
            <c:strRef>
              <c:f>'2019 Picker charts'!$B$99:$B$108</c:f>
              <c:strCache>
                <c:ptCount val="10"/>
                <c:pt idx="0">
                  <c:v>Buddhism</c:v>
                </c:pt>
                <c:pt idx="1">
                  <c:v>Christianity</c:v>
                </c:pt>
                <c:pt idx="2">
                  <c:v>Hinduism</c:v>
                </c:pt>
                <c:pt idx="3">
                  <c:v>Islam</c:v>
                </c:pt>
                <c:pt idx="4">
                  <c:v>Jainism</c:v>
                </c:pt>
                <c:pt idx="5">
                  <c:v>Judaism</c:v>
                </c:pt>
                <c:pt idx="6">
                  <c:v>Sikhism</c:v>
                </c:pt>
                <c:pt idx="7">
                  <c:v>Other</c:v>
                </c:pt>
                <c:pt idx="8">
                  <c:v>No religion</c:v>
                </c:pt>
                <c:pt idx="9">
                  <c:v>No reply/not disclosed</c:v>
                </c:pt>
              </c:strCache>
            </c:strRef>
          </c:cat>
          <c:val>
            <c:numRef>
              <c:f>'2019 Picker charts'!$E$99:$E$108</c:f>
              <c:numCache>
                <c:formatCode>0.00%</c:formatCode>
                <c:ptCount val="10"/>
                <c:pt idx="0">
                  <c:v>1.6E-2</c:v>
                </c:pt>
                <c:pt idx="1">
                  <c:v>0.45100000000000001</c:v>
                </c:pt>
                <c:pt idx="2">
                  <c:v>3.4000000000000002E-2</c:v>
                </c:pt>
                <c:pt idx="3">
                  <c:v>2.3E-2</c:v>
                </c:pt>
                <c:pt idx="4">
                  <c:v>4.0000000000000001E-3</c:v>
                </c:pt>
                <c:pt idx="5">
                  <c:v>0.03</c:v>
                </c:pt>
                <c:pt idx="6">
                  <c:v>7.0000000000000001E-3</c:v>
                </c:pt>
                <c:pt idx="7">
                  <c:v>4.0000000000000001E-3</c:v>
                </c:pt>
                <c:pt idx="8">
                  <c:v>0.378</c:v>
                </c:pt>
                <c:pt idx="9">
                  <c:v>5.5E-2</c:v>
                </c:pt>
              </c:numCache>
            </c:numRef>
          </c:val>
          <c:extLst>
            <c:ext xmlns:c16="http://schemas.microsoft.com/office/drawing/2014/chart" uri="{C3380CC4-5D6E-409C-BE32-E72D297353CC}">
              <c16:uniqueId val="{00000002-C9C7-47C7-B126-23397CFAD5A9}"/>
            </c:ext>
          </c:extLst>
        </c:ser>
        <c:ser>
          <c:idx val="3"/>
          <c:order val="3"/>
          <c:tx>
            <c:strRef>
              <c:f>'2019 Picker charts'!$F$98</c:f>
              <c:strCache>
                <c:ptCount val="1"/>
                <c:pt idx="0">
                  <c:v>England &amp; Wales</c:v>
                </c:pt>
              </c:strCache>
            </c:strRef>
          </c:tx>
          <c:spPr>
            <a:solidFill>
              <a:srgbClr val="2F4C60"/>
            </a:solidFill>
            <a:ln>
              <a:noFill/>
            </a:ln>
            <a:effectLst/>
          </c:spPr>
          <c:invertIfNegative val="0"/>
          <c:cat>
            <c:strRef>
              <c:f>'2019 Picker charts'!$B$99:$B$108</c:f>
              <c:strCache>
                <c:ptCount val="10"/>
                <c:pt idx="0">
                  <c:v>Buddhism</c:v>
                </c:pt>
                <c:pt idx="1">
                  <c:v>Christianity</c:v>
                </c:pt>
                <c:pt idx="2">
                  <c:v>Hinduism</c:v>
                </c:pt>
                <c:pt idx="3">
                  <c:v>Islam</c:v>
                </c:pt>
                <c:pt idx="4">
                  <c:v>Jainism</c:v>
                </c:pt>
                <c:pt idx="5">
                  <c:v>Judaism</c:v>
                </c:pt>
                <c:pt idx="6">
                  <c:v>Sikhism</c:v>
                </c:pt>
                <c:pt idx="7">
                  <c:v>Other</c:v>
                </c:pt>
                <c:pt idx="8">
                  <c:v>No religion</c:v>
                </c:pt>
                <c:pt idx="9">
                  <c:v>No reply/not disclosed</c:v>
                </c:pt>
              </c:strCache>
            </c:strRef>
          </c:cat>
          <c:val>
            <c:numRef>
              <c:f>'2019 Picker charts'!$F$99:$F$108</c:f>
              <c:numCache>
                <c:formatCode>0.00%</c:formatCode>
                <c:ptCount val="10"/>
                <c:pt idx="0">
                  <c:v>4.0000000000000001E-3</c:v>
                </c:pt>
                <c:pt idx="1">
                  <c:v>0.59299999999999997</c:v>
                </c:pt>
                <c:pt idx="2">
                  <c:v>1.4999999999999999E-2</c:v>
                </c:pt>
                <c:pt idx="3">
                  <c:v>4.8000000000000001E-2</c:v>
                </c:pt>
                <c:pt idx="5">
                  <c:v>5.0000000000000001E-3</c:v>
                </c:pt>
                <c:pt idx="6">
                  <c:v>8.0000000000000002E-3</c:v>
                </c:pt>
                <c:pt idx="7">
                  <c:v>4.0000000000000001E-3</c:v>
                </c:pt>
                <c:pt idx="8">
                  <c:v>0.251</c:v>
                </c:pt>
                <c:pt idx="9">
                  <c:v>7.2000000000000008E-2</c:v>
                </c:pt>
              </c:numCache>
            </c:numRef>
          </c:val>
          <c:extLst>
            <c:ext xmlns:c16="http://schemas.microsoft.com/office/drawing/2014/chart" uri="{C3380CC4-5D6E-409C-BE32-E72D297353CC}">
              <c16:uniqueId val="{00000003-C9C7-47C7-B126-23397CFAD5A9}"/>
            </c:ext>
          </c:extLst>
        </c:ser>
        <c:dLbls>
          <c:showLegendKey val="0"/>
          <c:showVal val="0"/>
          <c:showCatName val="0"/>
          <c:showSerName val="0"/>
          <c:showPercent val="0"/>
          <c:showBubbleSize val="0"/>
        </c:dLbls>
        <c:gapWidth val="219"/>
        <c:overlap val="-27"/>
        <c:axId val="139877352"/>
        <c:axId val="139876176"/>
      </c:barChart>
      <c:catAx>
        <c:axId val="13987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76176"/>
        <c:crosses val="autoZero"/>
        <c:auto val="1"/>
        <c:lblAlgn val="ctr"/>
        <c:lblOffset val="100"/>
        <c:noMultiLvlLbl val="0"/>
      </c:catAx>
      <c:valAx>
        <c:axId val="139876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77352"/>
        <c:crosses val="autoZero"/>
        <c:crossBetween val="between"/>
      </c:valAx>
      <c:spPr>
        <a:noFill/>
        <a:ln>
          <a:noFill/>
        </a:ln>
        <a:effectLst/>
      </c:spPr>
    </c:plotArea>
    <c:legend>
      <c:legendPos val="b"/>
      <c:layout>
        <c:manualLayout>
          <c:xMode val="edge"/>
          <c:yMode val="edge"/>
          <c:x val="0.14282572498655571"/>
          <c:y val="0.7817332585748763"/>
          <c:w val="0.43745381336578598"/>
          <c:h val="6.26745333713508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Chart9!$A$4</c:f>
              <c:strCache>
                <c:ptCount val="1"/>
                <c:pt idx="0">
                  <c:v>Female</c:v>
                </c:pt>
              </c:strCache>
            </c:strRef>
          </c:tx>
          <c:spPr>
            <a:solidFill>
              <a:srgbClr val="18646E"/>
            </a:solidFill>
            <a:ln>
              <a:noFill/>
            </a:ln>
            <a:effectLst/>
          </c:spPr>
          <c:invertIfNegative val="0"/>
          <c:cat>
            <c:strRef>
              <c:f>Chart9!$B$3:$O$3</c:f>
              <c:strCache>
                <c:ptCount val="14"/>
                <c:pt idx="0">
                  <c:v>Band 1</c:v>
                </c:pt>
                <c:pt idx="1">
                  <c:v>Band 2</c:v>
                </c:pt>
                <c:pt idx="2">
                  <c:v>Band 3</c:v>
                </c:pt>
                <c:pt idx="3">
                  <c:v>Band 4</c:v>
                </c:pt>
                <c:pt idx="4">
                  <c:v>Band 5</c:v>
                </c:pt>
                <c:pt idx="5">
                  <c:v>Band 6</c:v>
                </c:pt>
                <c:pt idx="6">
                  <c:v>Band 7</c:v>
                </c:pt>
                <c:pt idx="7">
                  <c:v>Band 8 - Range A</c:v>
                </c:pt>
                <c:pt idx="8">
                  <c:v>Band 8 - Range B</c:v>
                </c:pt>
                <c:pt idx="9">
                  <c:v>Band 8 - Range C</c:v>
                </c:pt>
                <c:pt idx="10">
                  <c:v>Band 8 - Range D</c:v>
                </c:pt>
                <c:pt idx="11">
                  <c:v>Band 9</c:v>
                </c:pt>
                <c:pt idx="12">
                  <c:v>Consultant</c:v>
                </c:pt>
                <c:pt idx="13">
                  <c:v>VSM Grade</c:v>
                </c:pt>
              </c:strCache>
            </c:strRef>
          </c:cat>
          <c:val>
            <c:numRef>
              <c:f>Chart9!$B$4:$O$4</c:f>
              <c:numCache>
                <c:formatCode>0.00%</c:formatCode>
                <c:ptCount val="14"/>
                <c:pt idx="0">
                  <c:v>1</c:v>
                </c:pt>
                <c:pt idx="1">
                  <c:v>0.8</c:v>
                </c:pt>
                <c:pt idx="2">
                  <c:v>0.55555555555555558</c:v>
                </c:pt>
                <c:pt idx="3">
                  <c:v>0.65853658536585369</c:v>
                </c:pt>
                <c:pt idx="4">
                  <c:v>0.79166666666666663</c:v>
                </c:pt>
                <c:pt idx="5">
                  <c:v>0.76363636363636367</c:v>
                </c:pt>
                <c:pt idx="6">
                  <c:v>0.72222222222222221</c:v>
                </c:pt>
                <c:pt idx="7">
                  <c:v>0.71323529411764708</c:v>
                </c:pt>
                <c:pt idx="8">
                  <c:v>0.63749999999999996</c:v>
                </c:pt>
                <c:pt idx="9">
                  <c:v>0.65384615384615385</c:v>
                </c:pt>
                <c:pt idx="10">
                  <c:v>0.67647058823529416</c:v>
                </c:pt>
                <c:pt idx="11">
                  <c:v>0.73333333333333328</c:v>
                </c:pt>
                <c:pt idx="12">
                  <c:v>0.6</c:v>
                </c:pt>
                <c:pt idx="13">
                  <c:v>0.33333333333333331</c:v>
                </c:pt>
              </c:numCache>
            </c:numRef>
          </c:val>
          <c:extLst>
            <c:ext xmlns:c16="http://schemas.microsoft.com/office/drawing/2014/chart" uri="{C3380CC4-5D6E-409C-BE32-E72D297353CC}">
              <c16:uniqueId val="{00000000-59A4-4B63-9427-DDCA6C28BD8A}"/>
            </c:ext>
          </c:extLst>
        </c:ser>
        <c:ser>
          <c:idx val="1"/>
          <c:order val="1"/>
          <c:tx>
            <c:strRef>
              <c:f>Chart9!$A$5</c:f>
              <c:strCache>
                <c:ptCount val="1"/>
                <c:pt idx="0">
                  <c:v>Male</c:v>
                </c:pt>
              </c:strCache>
            </c:strRef>
          </c:tx>
          <c:spPr>
            <a:solidFill>
              <a:srgbClr val="403152"/>
            </a:solidFill>
            <a:ln>
              <a:noFill/>
            </a:ln>
            <a:effectLst/>
          </c:spPr>
          <c:invertIfNegative val="0"/>
          <c:cat>
            <c:strRef>
              <c:f>Chart9!$B$3:$O$3</c:f>
              <c:strCache>
                <c:ptCount val="14"/>
                <c:pt idx="0">
                  <c:v>Band 1</c:v>
                </c:pt>
                <c:pt idx="1">
                  <c:v>Band 2</c:v>
                </c:pt>
                <c:pt idx="2">
                  <c:v>Band 3</c:v>
                </c:pt>
                <c:pt idx="3">
                  <c:v>Band 4</c:v>
                </c:pt>
                <c:pt idx="4">
                  <c:v>Band 5</c:v>
                </c:pt>
                <c:pt idx="5">
                  <c:v>Band 6</c:v>
                </c:pt>
                <c:pt idx="6">
                  <c:v>Band 7</c:v>
                </c:pt>
                <c:pt idx="7">
                  <c:v>Band 8 - Range A</c:v>
                </c:pt>
                <c:pt idx="8">
                  <c:v>Band 8 - Range B</c:v>
                </c:pt>
                <c:pt idx="9">
                  <c:v>Band 8 - Range C</c:v>
                </c:pt>
                <c:pt idx="10">
                  <c:v>Band 8 - Range D</c:v>
                </c:pt>
                <c:pt idx="11">
                  <c:v>Band 9</c:v>
                </c:pt>
                <c:pt idx="12">
                  <c:v>Consultant</c:v>
                </c:pt>
                <c:pt idx="13">
                  <c:v>VSM Grade</c:v>
                </c:pt>
              </c:strCache>
            </c:strRef>
          </c:cat>
          <c:val>
            <c:numRef>
              <c:f>Chart9!$B$5:$O$5</c:f>
              <c:numCache>
                <c:formatCode>0.00%</c:formatCode>
                <c:ptCount val="14"/>
                <c:pt idx="0">
                  <c:v>0</c:v>
                </c:pt>
                <c:pt idx="1">
                  <c:v>0.2</c:v>
                </c:pt>
                <c:pt idx="2">
                  <c:v>0.44444444444444442</c:v>
                </c:pt>
                <c:pt idx="3">
                  <c:v>0.34146341463414637</c:v>
                </c:pt>
                <c:pt idx="4">
                  <c:v>0.20833333333333334</c:v>
                </c:pt>
                <c:pt idx="5">
                  <c:v>0.23636363636363636</c:v>
                </c:pt>
                <c:pt idx="6">
                  <c:v>0.27777777777777779</c:v>
                </c:pt>
                <c:pt idx="7">
                  <c:v>0.28676470588235292</c:v>
                </c:pt>
                <c:pt idx="8">
                  <c:v>0.36249999999999999</c:v>
                </c:pt>
                <c:pt idx="9">
                  <c:v>0.34615384615384615</c:v>
                </c:pt>
                <c:pt idx="10">
                  <c:v>0.3235294117647059</c:v>
                </c:pt>
                <c:pt idx="11">
                  <c:v>0.26666666666666666</c:v>
                </c:pt>
                <c:pt idx="12">
                  <c:v>0.4</c:v>
                </c:pt>
                <c:pt idx="13">
                  <c:v>0.66666666666666663</c:v>
                </c:pt>
              </c:numCache>
            </c:numRef>
          </c:val>
          <c:extLst>
            <c:ext xmlns:c16="http://schemas.microsoft.com/office/drawing/2014/chart" uri="{C3380CC4-5D6E-409C-BE32-E72D297353CC}">
              <c16:uniqueId val="{00000001-59A4-4B63-9427-DDCA6C28BD8A}"/>
            </c:ext>
          </c:extLst>
        </c:ser>
        <c:dLbls>
          <c:showLegendKey val="0"/>
          <c:showVal val="0"/>
          <c:showCatName val="0"/>
          <c:showSerName val="0"/>
          <c:showPercent val="0"/>
          <c:showBubbleSize val="0"/>
        </c:dLbls>
        <c:gapWidth val="150"/>
        <c:overlap val="100"/>
        <c:axId val="614472720"/>
        <c:axId val="614470096"/>
      </c:barChart>
      <c:lineChart>
        <c:grouping val="standard"/>
        <c:varyColors val="0"/>
        <c:ser>
          <c:idx val="2"/>
          <c:order val="2"/>
          <c:tx>
            <c:strRef>
              <c:f>Chart9!$A$6</c:f>
              <c:strCache>
                <c:ptCount val="1"/>
                <c:pt idx="0">
                  <c:v>Overall Gender Split</c:v>
                </c:pt>
              </c:strCache>
            </c:strRef>
          </c:tx>
          <c:spPr>
            <a:ln w="28575" cap="rnd">
              <a:solidFill>
                <a:srgbClr val="A2BDC1"/>
              </a:solidFill>
              <a:round/>
            </a:ln>
            <a:effectLst/>
          </c:spPr>
          <c:marker>
            <c:symbol val="none"/>
          </c:marker>
          <c:cat>
            <c:strRef>
              <c:f>Chart9!$B$3:$O$3</c:f>
              <c:strCache>
                <c:ptCount val="14"/>
                <c:pt idx="0">
                  <c:v>Band 1</c:v>
                </c:pt>
                <c:pt idx="1">
                  <c:v>Band 2</c:v>
                </c:pt>
                <c:pt idx="2">
                  <c:v>Band 3</c:v>
                </c:pt>
                <c:pt idx="3">
                  <c:v>Band 4</c:v>
                </c:pt>
                <c:pt idx="4">
                  <c:v>Band 5</c:v>
                </c:pt>
                <c:pt idx="5">
                  <c:v>Band 6</c:v>
                </c:pt>
                <c:pt idx="6">
                  <c:v>Band 7</c:v>
                </c:pt>
                <c:pt idx="7">
                  <c:v>Band 8 - Range A</c:v>
                </c:pt>
                <c:pt idx="8">
                  <c:v>Band 8 - Range B</c:v>
                </c:pt>
                <c:pt idx="9">
                  <c:v>Band 8 - Range C</c:v>
                </c:pt>
                <c:pt idx="10">
                  <c:v>Band 8 - Range D</c:v>
                </c:pt>
                <c:pt idx="11">
                  <c:v>Band 9</c:v>
                </c:pt>
                <c:pt idx="12">
                  <c:v>Consultant</c:v>
                </c:pt>
                <c:pt idx="13">
                  <c:v>VSM Grade</c:v>
                </c:pt>
              </c:strCache>
            </c:strRef>
          </c:cat>
          <c:val>
            <c:numRef>
              <c:f>Chart9!$B$6:$O$6</c:f>
              <c:numCache>
                <c:formatCode>0.00%</c:formatCode>
                <c:ptCount val="14"/>
                <c:pt idx="0">
                  <c:v>0.70330000000000004</c:v>
                </c:pt>
                <c:pt idx="1">
                  <c:v>0.70330000000000004</c:v>
                </c:pt>
                <c:pt idx="2">
                  <c:v>0.70330000000000004</c:v>
                </c:pt>
                <c:pt idx="3">
                  <c:v>0.70330000000000004</c:v>
                </c:pt>
                <c:pt idx="4">
                  <c:v>0.70330000000000004</c:v>
                </c:pt>
                <c:pt idx="5">
                  <c:v>0.70330000000000004</c:v>
                </c:pt>
                <c:pt idx="6">
                  <c:v>0.70330000000000004</c:v>
                </c:pt>
                <c:pt idx="7">
                  <c:v>0.70330000000000004</c:v>
                </c:pt>
                <c:pt idx="8">
                  <c:v>0.70330000000000004</c:v>
                </c:pt>
                <c:pt idx="9">
                  <c:v>0.70330000000000004</c:v>
                </c:pt>
                <c:pt idx="10">
                  <c:v>0.70330000000000004</c:v>
                </c:pt>
                <c:pt idx="11">
                  <c:v>0.70330000000000004</c:v>
                </c:pt>
                <c:pt idx="12">
                  <c:v>0.70330000000000004</c:v>
                </c:pt>
                <c:pt idx="13">
                  <c:v>0.70330000000000004</c:v>
                </c:pt>
              </c:numCache>
            </c:numRef>
          </c:val>
          <c:smooth val="0"/>
          <c:extLst>
            <c:ext xmlns:c16="http://schemas.microsoft.com/office/drawing/2014/chart" uri="{C3380CC4-5D6E-409C-BE32-E72D297353CC}">
              <c16:uniqueId val="{00000002-59A4-4B63-9427-DDCA6C28BD8A}"/>
            </c:ext>
          </c:extLst>
        </c:ser>
        <c:dLbls>
          <c:showLegendKey val="0"/>
          <c:showVal val="0"/>
          <c:showCatName val="0"/>
          <c:showSerName val="0"/>
          <c:showPercent val="0"/>
          <c:showBubbleSize val="0"/>
        </c:dLbls>
        <c:marker val="1"/>
        <c:smooth val="0"/>
        <c:axId val="614472720"/>
        <c:axId val="614470096"/>
      </c:lineChart>
      <c:catAx>
        <c:axId val="61447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Banding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4470096"/>
        <c:crosses val="autoZero"/>
        <c:auto val="1"/>
        <c:lblAlgn val="ctr"/>
        <c:lblOffset val="100"/>
        <c:noMultiLvlLbl val="0"/>
      </c:catAx>
      <c:valAx>
        <c:axId val="61447009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4472720"/>
        <c:crosses val="autoZero"/>
        <c:crossBetween val="between"/>
      </c:valAx>
      <c:spPr>
        <a:noFill/>
        <a:ln>
          <a:noFill/>
        </a:ln>
        <a:effectLst/>
      </c:spPr>
    </c:plotArea>
    <c:legend>
      <c:legendPos val="b"/>
      <c:layout>
        <c:manualLayout>
          <c:xMode val="edge"/>
          <c:yMode val="edge"/>
          <c:x val="0.25454591542298227"/>
          <c:y val="0.86629564551075411"/>
          <c:w val="0.49090800016560865"/>
          <c:h val="7.49795222744807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Chart13!$B$4</c:f>
              <c:strCache>
                <c:ptCount val="1"/>
                <c:pt idx="0">
                  <c:v>Percentage</c:v>
                </c:pt>
              </c:strCache>
            </c:strRef>
          </c:tx>
          <c:spPr>
            <a:solidFill>
              <a:srgbClr val="18646E"/>
            </a:solidFill>
            <a:ln>
              <a:noFill/>
            </a:ln>
            <a:effectLst/>
          </c:spPr>
          <c:invertIfNegative val="0"/>
          <c:cat>
            <c:strRef>
              <c:f>Chart13!$A$5:$A$10</c:f>
              <c:strCache>
                <c:ptCount val="6"/>
                <c:pt idx="0">
                  <c:v>Asian / Asian British</c:v>
                </c:pt>
                <c:pt idx="1">
                  <c:v>Black / African / Caribbean / Black British</c:v>
                </c:pt>
                <c:pt idx="2">
                  <c:v>Mixed / Multiple Ethnic Group</c:v>
                </c:pt>
                <c:pt idx="3">
                  <c:v>Not Disclosed</c:v>
                </c:pt>
                <c:pt idx="4">
                  <c:v>Other Ethnic Group</c:v>
                </c:pt>
                <c:pt idx="5">
                  <c:v>White</c:v>
                </c:pt>
              </c:strCache>
            </c:strRef>
          </c:cat>
          <c:val>
            <c:numRef>
              <c:f>Chart13!$B$5:$B$10</c:f>
              <c:numCache>
                <c:formatCode>0.00%</c:formatCode>
                <c:ptCount val="6"/>
                <c:pt idx="0">
                  <c:v>5.7228915662650599E-2</c:v>
                </c:pt>
                <c:pt idx="1">
                  <c:v>2.4096385542168676E-2</c:v>
                </c:pt>
                <c:pt idx="2">
                  <c:v>2.4096385542168676E-2</c:v>
                </c:pt>
                <c:pt idx="3">
                  <c:v>8.2831325301204822E-2</c:v>
                </c:pt>
                <c:pt idx="4">
                  <c:v>2.2590361445783132E-2</c:v>
                </c:pt>
                <c:pt idx="5">
                  <c:v>0.78915662650602414</c:v>
                </c:pt>
              </c:numCache>
            </c:numRef>
          </c:val>
          <c:extLst>
            <c:ext xmlns:c16="http://schemas.microsoft.com/office/drawing/2014/chart" uri="{C3380CC4-5D6E-409C-BE32-E72D297353CC}">
              <c16:uniqueId val="{00000000-96BF-4FB6-8A79-6F542E4947A7}"/>
            </c:ext>
          </c:extLst>
        </c:ser>
        <c:dLbls>
          <c:showLegendKey val="0"/>
          <c:showVal val="0"/>
          <c:showCatName val="0"/>
          <c:showSerName val="0"/>
          <c:showPercent val="0"/>
          <c:showBubbleSize val="0"/>
        </c:dLbls>
        <c:gapWidth val="219"/>
        <c:axId val="625393080"/>
        <c:axId val="625388160"/>
      </c:barChart>
      <c:scatterChart>
        <c:scatterStyle val="lineMarker"/>
        <c:varyColors val="0"/>
        <c:ser>
          <c:idx val="1"/>
          <c:order val="1"/>
          <c:tx>
            <c:strRef>
              <c:f>Chart13!$C$4</c:f>
              <c:strCache>
                <c:ptCount val="1"/>
                <c:pt idx="0">
                  <c:v>Census Data</c:v>
                </c:pt>
              </c:strCache>
            </c:strRef>
          </c:tx>
          <c:spPr>
            <a:ln w="25400" cap="rnd">
              <a:noFill/>
              <a:round/>
            </a:ln>
            <a:effectLst/>
          </c:spPr>
          <c:marker>
            <c:symbol val="dash"/>
            <c:size val="15"/>
            <c:spPr>
              <a:solidFill>
                <a:srgbClr val="403152"/>
              </a:solidFill>
              <a:ln w="9525">
                <a:solidFill>
                  <a:srgbClr val="403152"/>
                </a:solidFill>
              </a:ln>
              <a:effectLst/>
            </c:spPr>
          </c:marker>
          <c:yVal>
            <c:numRef>
              <c:f>Chart13!$C$5:$C$10</c:f>
              <c:numCache>
                <c:formatCode>0.00%</c:formatCode>
                <c:ptCount val="6"/>
                <c:pt idx="0">
                  <c:v>7.5139767677786504E-2</c:v>
                </c:pt>
                <c:pt idx="1">
                  <c:v>3.3256525547012056E-2</c:v>
                </c:pt>
                <c:pt idx="2">
                  <c:v>2.1834687236116642E-2</c:v>
                </c:pt>
                <c:pt idx="3">
                  <c:v>5.9400906399881643E-3</c:v>
                </c:pt>
                <c:pt idx="4">
                  <c:v>4.1122826499906057E-3</c:v>
                </c:pt>
                <c:pt idx="5">
                  <c:v>0.85971664624910604</c:v>
                </c:pt>
              </c:numCache>
            </c:numRef>
          </c:yVal>
          <c:smooth val="0"/>
          <c:extLst>
            <c:ext xmlns:c16="http://schemas.microsoft.com/office/drawing/2014/chart" uri="{C3380CC4-5D6E-409C-BE32-E72D297353CC}">
              <c16:uniqueId val="{00000001-96BF-4FB6-8A79-6F542E4947A7}"/>
            </c:ext>
          </c:extLst>
        </c:ser>
        <c:dLbls>
          <c:showLegendKey val="0"/>
          <c:showVal val="0"/>
          <c:showCatName val="0"/>
          <c:showSerName val="0"/>
          <c:showPercent val="0"/>
          <c:showBubbleSize val="0"/>
        </c:dLbls>
        <c:axId val="625393080"/>
        <c:axId val="625388160"/>
      </c:scatterChart>
      <c:catAx>
        <c:axId val="625393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Ethnic Origin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388160"/>
        <c:crosses val="autoZero"/>
        <c:auto val="1"/>
        <c:lblAlgn val="ctr"/>
        <c:lblOffset val="100"/>
        <c:noMultiLvlLbl val="0"/>
      </c:catAx>
      <c:valAx>
        <c:axId val="625388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393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Chart8!$A$5</c:f>
              <c:strCache>
                <c:ptCount val="1"/>
                <c:pt idx="0">
                  <c:v>Percentage of Workforce at each Age Band</c:v>
                </c:pt>
              </c:strCache>
            </c:strRef>
          </c:tx>
          <c:spPr>
            <a:solidFill>
              <a:srgbClr val="18646E"/>
            </a:solidFill>
            <a:ln>
              <a:noFill/>
            </a:ln>
            <a:effectLst/>
          </c:spPr>
          <c:invertIfNegative val="0"/>
          <c:cat>
            <c:strRef>
              <c:f>Chart8!$B$4:$L$4</c:f>
              <c:strCache>
                <c:ptCount val="11"/>
                <c:pt idx="0">
                  <c:v>16 - 20</c:v>
                </c:pt>
                <c:pt idx="1">
                  <c:v>21 - 25</c:v>
                </c:pt>
                <c:pt idx="2">
                  <c:v>26 - 30</c:v>
                </c:pt>
                <c:pt idx="3">
                  <c:v>31 - 35</c:v>
                </c:pt>
                <c:pt idx="4">
                  <c:v>36 - 40</c:v>
                </c:pt>
                <c:pt idx="5">
                  <c:v>41 - 45</c:v>
                </c:pt>
                <c:pt idx="6">
                  <c:v>45 - 50</c:v>
                </c:pt>
                <c:pt idx="7">
                  <c:v>51 - 55</c:v>
                </c:pt>
                <c:pt idx="8">
                  <c:v>56 - 60</c:v>
                </c:pt>
                <c:pt idx="9">
                  <c:v>61 - 65</c:v>
                </c:pt>
                <c:pt idx="10">
                  <c:v>66 - 70</c:v>
                </c:pt>
              </c:strCache>
            </c:strRef>
          </c:cat>
          <c:val>
            <c:numRef>
              <c:f>Chart8!$B$5:$L$5</c:f>
              <c:numCache>
                <c:formatCode>0.00%</c:formatCode>
                <c:ptCount val="11"/>
                <c:pt idx="0">
                  <c:v>1.355421686746988E-2</c:v>
                </c:pt>
                <c:pt idx="1">
                  <c:v>3.614457831325301E-2</c:v>
                </c:pt>
                <c:pt idx="2">
                  <c:v>8.8855421686746983E-2</c:v>
                </c:pt>
                <c:pt idx="3">
                  <c:v>0.20783132530120482</c:v>
                </c:pt>
                <c:pt idx="4">
                  <c:v>0.21385542168674698</c:v>
                </c:pt>
                <c:pt idx="5">
                  <c:v>0.14156626506024098</c:v>
                </c:pt>
                <c:pt idx="6">
                  <c:v>0.125</c:v>
                </c:pt>
                <c:pt idx="7">
                  <c:v>8.8855421686746983E-2</c:v>
                </c:pt>
                <c:pt idx="8">
                  <c:v>5.8734939759036146E-2</c:v>
                </c:pt>
                <c:pt idx="9">
                  <c:v>1.9578313253012049E-2</c:v>
                </c:pt>
                <c:pt idx="10">
                  <c:v>6.024096385542169E-3</c:v>
                </c:pt>
              </c:numCache>
            </c:numRef>
          </c:val>
          <c:extLst>
            <c:ext xmlns:c16="http://schemas.microsoft.com/office/drawing/2014/chart" uri="{C3380CC4-5D6E-409C-BE32-E72D297353CC}">
              <c16:uniqueId val="{00000000-3CB3-4E7B-BD6E-94C883F5E14C}"/>
            </c:ext>
          </c:extLst>
        </c:ser>
        <c:dLbls>
          <c:showLegendKey val="0"/>
          <c:showVal val="0"/>
          <c:showCatName val="0"/>
          <c:showSerName val="0"/>
          <c:showPercent val="0"/>
          <c:showBubbleSize val="0"/>
        </c:dLbls>
        <c:gapWidth val="219"/>
        <c:overlap val="-27"/>
        <c:axId val="585256544"/>
        <c:axId val="585252936"/>
      </c:barChart>
      <c:catAx>
        <c:axId val="585256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Age Banding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252936"/>
        <c:crosses val="autoZero"/>
        <c:auto val="1"/>
        <c:lblAlgn val="ctr"/>
        <c:lblOffset val="100"/>
        <c:noMultiLvlLbl val="0"/>
      </c:catAx>
      <c:valAx>
        <c:axId val="585252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25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BD32-DD19-4B15-A5E5-F8B6BB9B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8378</Words>
  <Characters>47756</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2020-08-21T12:58:00Z</dcterms:created>
  <dcterms:modified xsi:type="dcterms:W3CDTF">2020-08-21T12:58:00Z</dcterms:modified>
</cp:coreProperties>
</file>