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D804D" w14:textId="161EE7A1" w:rsidR="00D530A9" w:rsidRPr="00877408" w:rsidRDefault="00D530A9" w:rsidP="00877408">
      <w:pPr>
        <w:pStyle w:val="Title"/>
        <w:spacing w:before="7200"/>
      </w:pPr>
      <w:bookmarkStart w:id="0" w:name="_Toc494123738"/>
      <w:bookmarkStart w:id="1" w:name="_Toc494124021"/>
      <w:bookmarkStart w:id="2" w:name="_Toc494124228"/>
      <w:bookmarkStart w:id="3" w:name="_Toc495585583"/>
      <w:bookmarkStart w:id="4" w:name="_Hlk92363575"/>
      <w:r w:rsidRPr="009D2871">
        <w:t xml:space="preserve">NATIONAL INSTITUTE </w:t>
      </w:r>
      <w:r w:rsidRPr="00877408">
        <w:t>FOR</w:t>
      </w:r>
      <w:r w:rsidRPr="009D2871">
        <w:t xml:space="preserve"> HEALTH AND CARE EXCELLENCE</w:t>
      </w:r>
      <w:bookmarkEnd w:id="0"/>
      <w:bookmarkEnd w:id="1"/>
      <w:bookmarkEnd w:id="2"/>
      <w:bookmarkEnd w:id="3"/>
    </w:p>
    <w:p w14:paraId="725D7347" w14:textId="230692A5" w:rsidR="00D530A9" w:rsidRPr="00877408" w:rsidRDefault="00D530A9" w:rsidP="00877408">
      <w:pPr>
        <w:pStyle w:val="Title2"/>
      </w:pPr>
      <w:r w:rsidRPr="009D2871">
        <w:t>Annual Equality Report 2021-22</w:t>
      </w:r>
      <w:bookmarkEnd w:id="4"/>
    </w:p>
    <w:p w14:paraId="061C57E4" w14:textId="1CF26D9B" w:rsidR="00D530A9" w:rsidRPr="00C92A96" w:rsidRDefault="00877408" w:rsidP="00877408">
      <w:pPr>
        <w:pStyle w:val="Heading1"/>
      </w:pPr>
      <w:r>
        <w:br w:type="column"/>
      </w:r>
      <w:r w:rsidR="00D530A9">
        <w:lastRenderedPageBreak/>
        <w:t>Executive summary</w:t>
      </w:r>
    </w:p>
    <w:p w14:paraId="08648B4A" w14:textId="77777777" w:rsidR="00D530A9" w:rsidRPr="009D2871" w:rsidRDefault="00D530A9" w:rsidP="00D530A9">
      <w:pPr>
        <w:pStyle w:val="NICEnormalnumbered"/>
        <w:numPr>
          <w:ilvl w:val="0"/>
          <w:numId w:val="26"/>
        </w:numPr>
        <w:ind w:left="709" w:hanging="709"/>
        <w:rPr>
          <w:rFonts w:cs="Arial"/>
        </w:rPr>
      </w:pPr>
      <w:bookmarkStart w:id="5" w:name="_Hlk87943218"/>
      <w:r w:rsidRPr="009D2871">
        <w:rPr>
          <w:rFonts w:cs="Arial"/>
        </w:rPr>
        <w:t>At the National Institute f</w:t>
      </w:r>
      <w:r>
        <w:rPr>
          <w:rFonts w:cs="Arial"/>
        </w:rPr>
        <w:t>or</w:t>
      </w:r>
      <w:r w:rsidRPr="009D2871">
        <w:rPr>
          <w:rFonts w:cs="Arial"/>
        </w:rPr>
        <w:t xml:space="preserve"> Health and Care Excellence (NICE), we continue to strive to put equality, </w:t>
      </w:r>
      <w:proofErr w:type="gramStart"/>
      <w:r w:rsidRPr="009D2871">
        <w:rPr>
          <w:rFonts w:cs="Arial"/>
        </w:rPr>
        <w:t>diversity</w:t>
      </w:r>
      <w:proofErr w:type="gramEnd"/>
      <w:r w:rsidRPr="009D2871">
        <w:rPr>
          <w:rFonts w:cs="Arial"/>
        </w:rPr>
        <w:t xml:space="preserve"> and inclusion (EDI) at the heart of everything we do. </w:t>
      </w:r>
    </w:p>
    <w:bookmarkEnd w:id="5"/>
    <w:p w14:paraId="144057F9" w14:textId="77777777" w:rsidR="00D530A9" w:rsidRPr="009D2871" w:rsidRDefault="00D530A9" w:rsidP="00D530A9">
      <w:pPr>
        <w:pStyle w:val="NICEnormalnumbered"/>
        <w:numPr>
          <w:ilvl w:val="0"/>
          <w:numId w:val="26"/>
        </w:numPr>
        <w:ind w:left="709" w:hanging="709"/>
        <w:rPr>
          <w:rFonts w:cs="Arial"/>
        </w:rPr>
      </w:pPr>
      <w:r w:rsidRPr="009D2871">
        <w:rPr>
          <w:rFonts w:cs="Arial"/>
        </w:rPr>
        <w:t>The 2021/22 report highlights the work that NICE has undertaken to deliver its equality objectives and the associated performance data</w:t>
      </w:r>
      <w:r>
        <w:rPr>
          <w:rFonts w:cs="Arial"/>
        </w:rPr>
        <w:t xml:space="preserve"> in that year</w:t>
      </w:r>
      <w:r w:rsidRPr="009D2871">
        <w:rPr>
          <w:rFonts w:cs="Arial"/>
        </w:rPr>
        <w:t>. NICE’s equality objectives 2020-24 are:</w:t>
      </w:r>
    </w:p>
    <w:p w14:paraId="037BA6E1" w14:textId="77777777" w:rsidR="00D530A9" w:rsidRPr="009D2871" w:rsidRDefault="00D530A9" w:rsidP="00D530A9">
      <w:pPr>
        <w:pStyle w:val="NICEnormalnumbered"/>
        <w:numPr>
          <w:ilvl w:val="0"/>
          <w:numId w:val="25"/>
        </w:numPr>
        <w:tabs>
          <w:tab w:val="clear" w:pos="709"/>
          <w:tab w:val="left" w:pos="426"/>
        </w:tabs>
        <w:spacing w:before="240" w:after="0"/>
        <w:rPr>
          <w:rFonts w:cs="Arial"/>
        </w:rPr>
      </w:pPr>
      <w:r w:rsidRPr="009D2871">
        <w:rPr>
          <w:rFonts w:cs="Arial"/>
          <w:b/>
          <w:bCs/>
        </w:rPr>
        <w:t>Guidance objective:</w:t>
      </w:r>
      <w:r w:rsidRPr="009D2871">
        <w:rPr>
          <w:rFonts w:cs="Arial"/>
        </w:rPr>
        <w:t xml:space="preserve"> to review and improve equality considerations throughout development of our guidance.</w:t>
      </w:r>
    </w:p>
    <w:p w14:paraId="39BDBACA" w14:textId="77777777" w:rsidR="00D530A9" w:rsidRPr="0098285F" w:rsidRDefault="00D530A9" w:rsidP="00D530A9">
      <w:pPr>
        <w:pStyle w:val="NICEnormalnumbered"/>
        <w:numPr>
          <w:ilvl w:val="0"/>
          <w:numId w:val="25"/>
        </w:numPr>
        <w:tabs>
          <w:tab w:val="clear" w:pos="709"/>
          <w:tab w:val="left" w:pos="426"/>
        </w:tabs>
        <w:spacing w:before="240"/>
        <w:rPr>
          <w:rFonts w:cs="Arial"/>
        </w:rPr>
      </w:pPr>
      <w:r w:rsidRPr="009D2871">
        <w:rPr>
          <w:rFonts w:cs="Arial"/>
          <w:b/>
          <w:bCs/>
        </w:rPr>
        <w:t>Workforce objective:</w:t>
      </w:r>
      <w:r w:rsidRPr="009D2871">
        <w:rPr>
          <w:rFonts w:cs="Arial"/>
        </w:rPr>
        <w:t xml:space="preserve"> to develop our workforce and culture to be more equal, </w:t>
      </w:r>
      <w:proofErr w:type="gramStart"/>
      <w:r w:rsidRPr="009D2871">
        <w:rPr>
          <w:rFonts w:cs="Arial"/>
        </w:rPr>
        <w:t>diverse</w:t>
      </w:r>
      <w:proofErr w:type="gramEnd"/>
      <w:r w:rsidRPr="009D2871">
        <w:rPr>
          <w:rFonts w:cs="Arial"/>
        </w:rPr>
        <w:t xml:space="preserve"> and inclusive.   </w:t>
      </w:r>
      <w:bookmarkStart w:id="6" w:name="_Toc92375671"/>
    </w:p>
    <w:p w14:paraId="3EB3A1F0" w14:textId="77777777" w:rsidR="00D530A9" w:rsidRDefault="00D530A9" w:rsidP="00D530A9">
      <w:pPr>
        <w:pStyle w:val="NICEnormalnumbered"/>
        <w:numPr>
          <w:ilvl w:val="0"/>
          <w:numId w:val="26"/>
        </w:numPr>
        <w:ind w:left="709" w:hanging="709"/>
        <w:rPr>
          <w:rFonts w:cs="Arial"/>
        </w:rPr>
      </w:pPr>
      <w:r w:rsidRPr="009D2871">
        <w:rPr>
          <w:rFonts w:cs="Arial"/>
        </w:rPr>
        <w:t xml:space="preserve">During 2021/22, we have continued to deliver on the commitments set out in our 2020-24 equality objectives. </w:t>
      </w:r>
      <w:r>
        <w:rPr>
          <w:rFonts w:cs="Arial"/>
        </w:rPr>
        <w:t xml:space="preserve">While we have made progress in some important domains, we are disappointed not to have seen more positive changes in representation of Black, Asian and minority ethnic staff at senior levels within NICE, and of Black and Black British groups on our committees. </w:t>
      </w:r>
    </w:p>
    <w:p w14:paraId="0C5843C4" w14:textId="77777777" w:rsidR="00D530A9" w:rsidRDefault="00D530A9" w:rsidP="00D530A9">
      <w:pPr>
        <w:pStyle w:val="NICEnormalnumbered"/>
        <w:numPr>
          <w:ilvl w:val="0"/>
          <w:numId w:val="26"/>
        </w:numPr>
        <w:ind w:left="709" w:hanging="709"/>
        <w:rPr>
          <w:rFonts w:cs="Arial"/>
        </w:rPr>
      </w:pPr>
      <w:r w:rsidRPr="009D2871">
        <w:rPr>
          <w:rFonts w:cs="Arial"/>
        </w:rPr>
        <w:t xml:space="preserve">A highlight of this year has been </w:t>
      </w:r>
      <w:r>
        <w:rPr>
          <w:rFonts w:cs="Arial"/>
        </w:rPr>
        <w:t xml:space="preserve">high levels of positive </w:t>
      </w:r>
      <w:r w:rsidRPr="009D2871">
        <w:rPr>
          <w:rFonts w:cs="Arial"/>
        </w:rPr>
        <w:t>stakeholder engagement, both internal and external, to support the delivery of our workforce objective and our objective to increase diversity within our committees. This report explains the various initiatives that have been undertaken to implement our commitment to EDI.</w:t>
      </w:r>
    </w:p>
    <w:p w14:paraId="312C65EF" w14:textId="77777777" w:rsidR="00D530A9" w:rsidRPr="009D2871" w:rsidRDefault="00D530A9" w:rsidP="00D530A9">
      <w:pPr>
        <w:pStyle w:val="NICEnormalnumbered"/>
        <w:numPr>
          <w:ilvl w:val="0"/>
          <w:numId w:val="26"/>
        </w:numPr>
        <w:ind w:left="709" w:hanging="709"/>
        <w:rPr>
          <w:rFonts w:cs="Arial"/>
        </w:rPr>
      </w:pPr>
      <w:r>
        <w:rPr>
          <w:rFonts w:cs="Arial"/>
        </w:rPr>
        <w:t xml:space="preserve">Although there have been positive changes in some areas, we recognise that we need to do more. The year ahead will see the implementation of 2 actions related to NICE’s objectives on guidance and workforce. </w:t>
      </w:r>
    </w:p>
    <w:p w14:paraId="0F4F505A" w14:textId="5FD86F71" w:rsidR="00D530A9" w:rsidRDefault="00D530A9" w:rsidP="00D530A9">
      <w:pPr>
        <w:pStyle w:val="NICEnormal"/>
        <w:spacing w:after="0"/>
        <w:rPr>
          <w:rFonts w:cs="Arial"/>
        </w:rPr>
      </w:pPr>
    </w:p>
    <w:p w14:paraId="1C1D91DD" w14:textId="77777777" w:rsidR="00D530A9" w:rsidRPr="009D2871" w:rsidRDefault="00D530A9" w:rsidP="00D530A9">
      <w:pPr>
        <w:pStyle w:val="NICEnormal"/>
        <w:spacing w:after="0"/>
        <w:rPr>
          <w:rFonts w:cs="Arial"/>
        </w:rPr>
      </w:pPr>
      <w:r w:rsidRPr="009D2871">
        <w:rPr>
          <w:rFonts w:cs="Arial"/>
        </w:rPr>
        <w:t>Jennifer Howells, director of Finance Strategy and Transformation</w:t>
      </w:r>
    </w:p>
    <w:p w14:paraId="35718774" w14:textId="77777777" w:rsidR="00D530A9" w:rsidRPr="009D2871" w:rsidRDefault="00D530A9" w:rsidP="00D530A9">
      <w:pPr>
        <w:pStyle w:val="NICEnormal"/>
        <w:spacing w:after="0"/>
        <w:rPr>
          <w:rFonts w:cs="Arial"/>
        </w:rPr>
      </w:pPr>
      <w:r w:rsidRPr="009D2871">
        <w:rPr>
          <w:rFonts w:cs="Arial"/>
        </w:rPr>
        <w:t>Nicole Gee, interim chief people officer</w:t>
      </w:r>
    </w:p>
    <w:p w14:paraId="5F664182" w14:textId="77777777" w:rsidR="00D530A9" w:rsidRDefault="00D530A9" w:rsidP="00D530A9">
      <w:pPr>
        <w:pStyle w:val="NICEnormal"/>
        <w:spacing w:after="0"/>
        <w:rPr>
          <w:rFonts w:cs="Arial"/>
        </w:rPr>
      </w:pPr>
      <w:r w:rsidRPr="009D2871">
        <w:rPr>
          <w:rFonts w:cs="Arial"/>
        </w:rPr>
        <w:t>October 202</w:t>
      </w:r>
      <w:r>
        <w:rPr>
          <w:rFonts w:cs="Arial"/>
        </w:rPr>
        <w:t>2</w:t>
      </w:r>
    </w:p>
    <w:p w14:paraId="6EBED7B3" w14:textId="77777777" w:rsidR="00D530A9" w:rsidRPr="00C92A96" w:rsidRDefault="00D530A9" w:rsidP="00877408">
      <w:pPr>
        <w:pStyle w:val="Heading1"/>
      </w:pPr>
      <w:bookmarkStart w:id="7" w:name="_Toc111706536"/>
      <w:r w:rsidRPr="009D2871">
        <w:lastRenderedPageBreak/>
        <w:t>Background</w:t>
      </w:r>
      <w:bookmarkEnd w:id="6"/>
      <w:bookmarkEnd w:id="7"/>
    </w:p>
    <w:p w14:paraId="2A65D4AE" w14:textId="77777777" w:rsidR="00D530A9" w:rsidRDefault="00D530A9" w:rsidP="00D530A9">
      <w:pPr>
        <w:pStyle w:val="NICEnormalnumbered"/>
        <w:numPr>
          <w:ilvl w:val="0"/>
          <w:numId w:val="26"/>
        </w:numPr>
        <w:ind w:left="709" w:hanging="709"/>
        <w:rPr>
          <w:rFonts w:cs="Arial"/>
        </w:rPr>
      </w:pPr>
      <w:r w:rsidRPr="009D2871">
        <w:rPr>
          <w:rFonts w:cs="Arial"/>
        </w:rPr>
        <w:t xml:space="preserve">As a public sector organisation NICE is subject to the legal obligations placed by the Equality Act 2010 to comply with public sector equality duty. NICE is committed to ensuring that equality, </w:t>
      </w:r>
      <w:proofErr w:type="gramStart"/>
      <w:r w:rsidRPr="009D2871">
        <w:rPr>
          <w:rFonts w:cs="Arial"/>
        </w:rPr>
        <w:t>diversity</w:t>
      </w:r>
      <w:proofErr w:type="gramEnd"/>
      <w:r w:rsidRPr="009D2871">
        <w:rPr>
          <w:rFonts w:cs="Arial"/>
        </w:rPr>
        <w:t xml:space="preserve"> and inclusion are central to everything that we do. This includes staff working within the organisation, independent members of our advisory committees, and those impacted </w:t>
      </w:r>
      <w:proofErr w:type="gramStart"/>
      <w:r w:rsidRPr="009D2871">
        <w:rPr>
          <w:rFonts w:cs="Arial"/>
        </w:rPr>
        <w:t>by the use of</w:t>
      </w:r>
      <w:proofErr w:type="gramEnd"/>
      <w:r w:rsidRPr="009D2871">
        <w:rPr>
          <w:rFonts w:cs="Arial"/>
        </w:rPr>
        <w:t xml:space="preserve"> our guidance and advice. </w:t>
      </w:r>
    </w:p>
    <w:p w14:paraId="1F9CEB5C" w14:textId="648A61C8" w:rsidR="00D530A9" w:rsidRDefault="00D530A9" w:rsidP="00D530A9">
      <w:pPr>
        <w:pStyle w:val="NICEnormalnumbered"/>
        <w:numPr>
          <w:ilvl w:val="0"/>
          <w:numId w:val="26"/>
        </w:numPr>
        <w:ind w:left="709" w:hanging="709"/>
        <w:rPr>
          <w:rFonts w:cs="Arial"/>
        </w:rPr>
      </w:pPr>
      <w:r w:rsidRPr="009D2871">
        <w:rPr>
          <w:rFonts w:cs="Arial"/>
        </w:rPr>
        <w:t xml:space="preserve">The 2021/22 annual report presents our progress made during the second year since the equality objectives were set by NICE in 2020. </w:t>
      </w:r>
    </w:p>
    <w:p w14:paraId="2BD61C9C" w14:textId="77777777" w:rsidR="003E0007" w:rsidRPr="00020D77" w:rsidRDefault="003E0007" w:rsidP="003E0007">
      <w:pPr>
        <w:pStyle w:val="NICEnormalnumbered"/>
        <w:ind w:left="709"/>
        <w:rPr>
          <w:rFonts w:cs="Arial"/>
        </w:rPr>
      </w:pPr>
    </w:p>
    <w:p w14:paraId="61FDDB39" w14:textId="77777777" w:rsidR="00D530A9" w:rsidRPr="009D2871" w:rsidRDefault="00D530A9" w:rsidP="00877408">
      <w:pPr>
        <w:pStyle w:val="Heading1"/>
      </w:pPr>
      <w:r>
        <w:t>Progress against equality objective 1 - guidance</w:t>
      </w:r>
    </w:p>
    <w:p w14:paraId="62CFF963" w14:textId="77777777" w:rsidR="00D530A9" w:rsidRDefault="00D530A9" w:rsidP="00877408">
      <w:pPr>
        <w:pStyle w:val="Heading2"/>
      </w:pPr>
      <w:r>
        <w:t>What is better than last year?</w:t>
      </w:r>
    </w:p>
    <w:p w14:paraId="5F9F4971" w14:textId="5B67F94A" w:rsidR="00D530A9" w:rsidRDefault="00D530A9" w:rsidP="00D530A9">
      <w:pPr>
        <w:pStyle w:val="NICEnormalnumbered"/>
        <w:numPr>
          <w:ilvl w:val="0"/>
          <w:numId w:val="26"/>
        </w:numPr>
        <w:ind w:left="709" w:hanging="709"/>
        <w:rPr>
          <w:rFonts w:cs="Arial"/>
        </w:rPr>
      </w:pPr>
      <w:r w:rsidRPr="00D62C37">
        <w:rPr>
          <w:rFonts w:cs="Arial"/>
        </w:rPr>
        <w:t>There has been a notable</w:t>
      </w:r>
      <w:r>
        <w:rPr>
          <w:rFonts w:cs="Arial"/>
        </w:rPr>
        <w:t>, positive</w:t>
      </w:r>
      <w:r w:rsidRPr="00D62C37">
        <w:rPr>
          <w:rFonts w:cs="Arial"/>
        </w:rPr>
        <w:t xml:space="preserve"> change in the delivery of our guidance objective</w:t>
      </w:r>
      <w:r>
        <w:rPr>
          <w:rFonts w:cs="Arial"/>
        </w:rPr>
        <w:t>.</w:t>
      </w:r>
    </w:p>
    <w:p w14:paraId="269DC876" w14:textId="15EE5170" w:rsidR="003E0007" w:rsidRPr="008A2EB7" w:rsidRDefault="003E0007" w:rsidP="00C60230">
      <w:pPr>
        <w:pStyle w:val="Caption"/>
      </w:pPr>
      <w:r>
        <w:t>Figure 1: Summary of key areas of improvement in 2021/22</w:t>
      </w:r>
    </w:p>
    <w:p w14:paraId="7CD16544" w14:textId="5014562D" w:rsidR="00D530A9" w:rsidRDefault="00D530A9" w:rsidP="00630525">
      <w:pPr>
        <w:pStyle w:val="NICEnormal"/>
        <w:jc w:val="center"/>
        <w:rPr>
          <w:noProof/>
        </w:rPr>
      </w:pPr>
      <w:r>
        <w:rPr>
          <w:noProof/>
        </w:rPr>
        <w:drawing>
          <wp:inline distT="0" distB="0" distL="0" distR="0" wp14:anchorId="7A798B87" wp14:editId="36423F9A">
            <wp:extent cx="5533277" cy="1876508"/>
            <wp:effectExtent l="0" t="0" r="0" b="0"/>
            <wp:docPr id="3" name="Picture 3" descr="Notable, positive change in the delivery of our guidance objective - increase in the number of committee applicants from Black and Asian minority background, increase in disclosure rates across all characteristics, notably ethn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table, positive change in the delivery of our guidance objective - increase in the number of committee applicants from Black and Asian minority background, increase in disclosure rates across all characteristics, notably ethnicity."/>
                    <pic:cNvPicPr/>
                  </pic:nvPicPr>
                  <pic:blipFill>
                    <a:blip r:embed="rId8"/>
                    <a:stretch>
                      <a:fillRect/>
                    </a:stretch>
                  </pic:blipFill>
                  <pic:spPr>
                    <a:xfrm>
                      <a:off x="0" y="0"/>
                      <a:ext cx="5554086" cy="1883565"/>
                    </a:xfrm>
                    <a:prstGeom prst="rect">
                      <a:avLst/>
                    </a:prstGeom>
                  </pic:spPr>
                </pic:pic>
              </a:graphicData>
            </a:graphic>
          </wp:inline>
        </w:drawing>
      </w:r>
    </w:p>
    <w:p w14:paraId="373ADD75" w14:textId="684E9490" w:rsidR="003E0007" w:rsidRPr="003E0007" w:rsidRDefault="003E0007" w:rsidP="003E0007">
      <w:pPr>
        <w:rPr>
          <w:lang w:eastAsia="en-US"/>
        </w:rPr>
      </w:pPr>
    </w:p>
    <w:p w14:paraId="29A647F5" w14:textId="6BFF8240" w:rsidR="003E0007" w:rsidRPr="00FF52CA" w:rsidRDefault="00FF52CA" w:rsidP="00FF52CA">
      <w:pPr>
        <w:pStyle w:val="NICEnormalnumbered"/>
        <w:numPr>
          <w:ilvl w:val="0"/>
          <w:numId w:val="26"/>
        </w:numPr>
        <w:ind w:left="709" w:hanging="709"/>
        <w:rPr>
          <w:rFonts w:cs="Arial"/>
        </w:rPr>
      </w:pPr>
      <w:r w:rsidRPr="00FF52CA">
        <w:rPr>
          <w:rFonts w:cs="Arial"/>
        </w:rPr>
        <w:t>The figure above summarises the progress made to deliver the equality objective related to increasing diversity within our committees.</w:t>
      </w:r>
    </w:p>
    <w:p w14:paraId="47EA3A29" w14:textId="7FC6242A" w:rsidR="003E0007" w:rsidRDefault="003E0007" w:rsidP="003E0007">
      <w:pPr>
        <w:tabs>
          <w:tab w:val="left" w:pos="1064"/>
        </w:tabs>
        <w:rPr>
          <w:lang w:eastAsia="en-US"/>
        </w:rPr>
      </w:pPr>
    </w:p>
    <w:p w14:paraId="6F66606E" w14:textId="458E61DC" w:rsidR="003E0007" w:rsidRDefault="003E0007" w:rsidP="003E0007">
      <w:pPr>
        <w:tabs>
          <w:tab w:val="left" w:pos="1064"/>
        </w:tabs>
        <w:rPr>
          <w:lang w:eastAsia="en-US"/>
        </w:rPr>
      </w:pPr>
    </w:p>
    <w:p w14:paraId="024CFF2E" w14:textId="2C11B67B" w:rsidR="003E0007" w:rsidRPr="003E0007" w:rsidRDefault="003E0007" w:rsidP="00C60230">
      <w:pPr>
        <w:pStyle w:val="Caption"/>
      </w:pPr>
      <w:r w:rsidRPr="003E0007">
        <w:lastRenderedPageBreak/>
        <w:t>Figure 2</w:t>
      </w:r>
      <w:r w:rsidR="00FF52CA">
        <w:t>: Non-disclosure rates related to religion/belief and disability of advisory committee applicants (all roles) in 2021/22</w:t>
      </w:r>
    </w:p>
    <w:p w14:paraId="201A7CF6" w14:textId="315ABB56" w:rsidR="002115F6" w:rsidRDefault="00D530A9" w:rsidP="002115F6">
      <w:pPr>
        <w:pStyle w:val="NICEnormal"/>
        <w:jc w:val="center"/>
      </w:pPr>
      <w:r>
        <w:rPr>
          <w:noProof/>
        </w:rPr>
        <w:drawing>
          <wp:inline distT="0" distB="0" distL="0" distR="0" wp14:anchorId="7CA7AF45" wp14:editId="53D0F50D">
            <wp:extent cx="4365266" cy="2077684"/>
            <wp:effectExtent l="0" t="0" r="0" b="0"/>
            <wp:docPr id="5" name="Picture 5" descr="Decrease in non-disclosure rates around religion/belief and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rease in non-disclosure rates around religion/belief and disability."/>
                    <pic:cNvPicPr/>
                  </pic:nvPicPr>
                  <pic:blipFill>
                    <a:blip r:embed="rId9"/>
                    <a:stretch>
                      <a:fillRect/>
                    </a:stretch>
                  </pic:blipFill>
                  <pic:spPr>
                    <a:xfrm>
                      <a:off x="0" y="0"/>
                      <a:ext cx="4386404" cy="2087745"/>
                    </a:xfrm>
                    <a:prstGeom prst="rect">
                      <a:avLst/>
                    </a:prstGeom>
                  </pic:spPr>
                </pic:pic>
              </a:graphicData>
            </a:graphic>
          </wp:inline>
        </w:drawing>
      </w:r>
    </w:p>
    <w:p w14:paraId="00D1A6B1" w14:textId="75D27486" w:rsidR="002115F6" w:rsidRPr="002115F6" w:rsidRDefault="002115F6" w:rsidP="002115F6">
      <w:pPr>
        <w:pStyle w:val="NICEnormalnumbered"/>
        <w:numPr>
          <w:ilvl w:val="0"/>
          <w:numId w:val="26"/>
        </w:numPr>
        <w:ind w:left="709" w:hanging="709"/>
        <w:rPr>
          <w:rFonts w:cs="Arial"/>
        </w:rPr>
      </w:pPr>
      <w:r w:rsidRPr="002115F6">
        <w:rPr>
          <w:rFonts w:cs="Arial"/>
        </w:rPr>
        <w:t xml:space="preserve">The above figure highlights </w:t>
      </w:r>
      <w:r>
        <w:rPr>
          <w:rFonts w:cs="Arial"/>
        </w:rPr>
        <w:t xml:space="preserve">there is a two-fold </w:t>
      </w:r>
      <w:r w:rsidRPr="002115F6">
        <w:rPr>
          <w:rFonts w:cs="Arial"/>
        </w:rPr>
        <w:t>increase in the percentage of applicants disclosing their religion/belief</w:t>
      </w:r>
      <w:r>
        <w:rPr>
          <w:rFonts w:cs="Arial"/>
        </w:rPr>
        <w:t>. Similarly, there has been a significant increase within candidates disclosing their disability.</w:t>
      </w:r>
    </w:p>
    <w:p w14:paraId="696341B0" w14:textId="39AF66AA" w:rsidR="006C060D" w:rsidRDefault="00FF52CA" w:rsidP="002115F6">
      <w:pPr>
        <w:pStyle w:val="NICEnormal"/>
      </w:pPr>
      <w:r w:rsidRPr="002115F6">
        <w:rPr>
          <w:b/>
          <w:iCs/>
          <w:szCs w:val="18"/>
        </w:rPr>
        <w:t xml:space="preserve">Figure 3: </w:t>
      </w:r>
      <w:r w:rsidR="006C060D" w:rsidRPr="002115F6">
        <w:rPr>
          <w:b/>
          <w:iCs/>
          <w:szCs w:val="18"/>
        </w:rPr>
        <w:t>Ethnicity of all applicants in NICE advisory committees highlights a positive trend in 2021/22 when compared to 2020/21</w:t>
      </w:r>
      <w:r w:rsidR="006C060D">
        <w:t>.</w:t>
      </w:r>
      <w:r w:rsidR="00D530A9">
        <w:rPr>
          <w:noProof/>
        </w:rPr>
        <w:drawing>
          <wp:inline distT="0" distB="0" distL="0" distR="0" wp14:anchorId="280EF6F4" wp14:editId="6FCED20B">
            <wp:extent cx="4890052" cy="2855149"/>
            <wp:effectExtent l="0" t="0" r="6350" b="2540"/>
            <wp:docPr id="2" name="Picture 2" descr="Ethnicity of applicants in NICE advisory committees showing an increase in the percentage of applicants from all Black, Asian and minority ethnic backgrounds disclosing their ethn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hnicity of applicants in NICE advisory committees showing an increase in the percentage of applicants from all Black, Asian and minority ethnic backgrounds disclosing their ethnicity"/>
                    <pic:cNvPicPr/>
                  </pic:nvPicPr>
                  <pic:blipFill>
                    <a:blip r:embed="rId10"/>
                    <a:stretch>
                      <a:fillRect/>
                    </a:stretch>
                  </pic:blipFill>
                  <pic:spPr>
                    <a:xfrm>
                      <a:off x="0" y="0"/>
                      <a:ext cx="4904198" cy="2863408"/>
                    </a:xfrm>
                    <a:prstGeom prst="rect">
                      <a:avLst/>
                    </a:prstGeom>
                  </pic:spPr>
                </pic:pic>
              </a:graphicData>
            </a:graphic>
          </wp:inline>
        </w:drawing>
      </w:r>
    </w:p>
    <w:p w14:paraId="19025071" w14:textId="5F835A78" w:rsidR="00F457EC" w:rsidRPr="00F457EC" w:rsidRDefault="00F457EC" w:rsidP="00F457EC">
      <w:pPr>
        <w:pStyle w:val="NICEnormalnumbered"/>
        <w:numPr>
          <w:ilvl w:val="0"/>
          <w:numId w:val="26"/>
        </w:numPr>
        <w:ind w:left="709" w:hanging="709"/>
        <w:rPr>
          <w:rFonts w:cs="Arial"/>
        </w:rPr>
      </w:pPr>
      <w:r w:rsidRPr="00F457EC">
        <w:rPr>
          <w:rFonts w:cs="Arial"/>
        </w:rPr>
        <w:t>The above figure highlights an increase in the percentage of applicants from all Black, Asian and minority ethnic backgrounds disclosing their ethnicity.</w:t>
      </w:r>
    </w:p>
    <w:p w14:paraId="0020AD54" w14:textId="77777777" w:rsidR="002115F6" w:rsidRDefault="002115F6" w:rsidP="002115F6">
      <w:pPr>
        <w:pStyle w:val="Caption"/>
      </w:pPr>
      <w:r>
        <w:lastRenderedPageBreak/>
        <w:t>Figure 4: Summary of equality issues in 2021/22 compared to 2020/21.</w:t>
      </w:r>
    </w:p>
    <w:p w14:paraId="6663076C" w14:textId="09CA970E" w:rsidR="002115F6" w:rsidRDefault="002115F6" w:rsidP="00F457EC">
      <w:pPr>
        <w:pStyle w:val="NICEnormalnumbered"/>
        <w:jc w:val="center"/>
        <w:rPr>
          <w:rFonts w:cs="Arial"/>
        </w:rPr>
      </w:pPr>
      <w:r>
        <w:rPr>
          <w:noProof/>
        </w:rPr>
        <w:drawing>
          <wp:inline distT="0" distB="0" distL="0" distR="0" wp14:anchorId="3C11AD7B" wp14:editId="022B46D9">
            <wp:extent cx="2936609" cy="2321781"/>
            <wp:effectExtent l="0" t="0" r="0" b="2540"/>
            <wp:docPr id="8" name="Picture 8" descr="An infographic showing that there were 501 equality issues identified in 2021 to 2022 (with 188 pieces of guidance produced) compared to 309 in 2020 to 2021 (with 137 pieces of guidance produc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n infographic showing that there were 501 equality issues identified in 2021 to 2022 (with 188 pieces of guidance produced) compared to 309 in 2020 to 2021 (with 137 pieces of guidance produced).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7030" cy="2330020"/>
                    </a:xfrm>
                    <a:prstGeom prst="rect">
                      <a:avLst/>
                    </a:prstGeom>
                  </pic:spPr>
                </pic:pic>
              </a:graphicData>
            </a:graphic>
          </wp:inline>
        </w:drawing>
      </w:r>
    </w:p>
    <w:p w14:paraId="36104563" w14:textId="4C8C8E67" w:rsidR="002115F6" w:rsidRPr="00F457EC" w:rsidRDefault="00320BA3" w:rsidP="00F457EC">
      <w:pPr>
        <w:pStyle w:val="NICEnormalnumbered"/>
        <w:numPr>
          <w:ilvl w:val="0"/>
          <w:numId w:val="26"/>
        </w:numPr>
        <w:ind w:left="709" w:hanging="709"/>
        <w:rPr>
          <w:rFonts w:cs="Arial"/>
        </w:rPr>
      </w:pPr>
      <w:r w:rsidRPr="00320BA3">
        <w:rPr>
          <w:rFonts w:cs="Arial"/>
        </w:rPr>
        <w:t xml:space="preserve">The data show that more equality and health inequality issues were identified in 2021-22 than in 2020-21. This may in part be due to the increase in volume of guidance produced during 2021-22. It may also reflect work to strengthen our approach to considering equality and health inequalities during guidance development resulting in an increase in proactive identification of related issues to be considered by guidance committees.  </w:t>
      </w:r>
    </w:p>
    <w:p w14:paraId="02B3BE15" w14:textId="77777777" w:rsidR="00320BA3" w:rsidRPr="00320BA3" w:rsidRDefault="00320BA3" w:rsidP="00F457EC">
      <w:pPr>
        <w:pStyle w:val="NICEnormalnumbered"/>
        <w:numPr>
          <w:ilvl w:val="0"/>
          <w:numId w:val="26"/>
        </w:numPr>
        <w:ind w:left="709" w:hanging="709"/>
        <w:rPr>
          <w:rFonts w:cs="Arial"/>
        </w:rPr>
      </w:pPr>
      <w:r w:rsidRPr="00320BA3">
        <w:rPr>
          <w:rFonts w:cs="Arial"/>
        </w:rPr>
        <w:t>By identifying potential inequalities relating to guidance topics, we can seek to address them through guidance recommendations thus supporting the health and care system in their work to tackle health inequalities.</w:t>
      </w:r>
    </w:p>
    <w:p w14:paraId="022E1B6F" w14:textId="1541C199" w:rsidR="00320BA3" w:rsidRDefault="00320BA3" w:rsidP="00320BA3">
      <w:pPr>
        <w:pStyle w:val="NICEnormalnumbered"/>
        <w:jc w:val="center"/>
        <w:rPr>
          <w:rFonts w:cs="Arial"/>
          <w:b/>
          <w:bCs/>
          <w:color w:val="00506A"/>
          <w:sz w:val="26"/>
          <w:szCs w:val="26"/>
          <w:lang w:eastAsia="en-US"/>
        </w:rPr>
      </w:pPr>
    </w:p>
    <w:p w14:paraId="3C9EF0BF" w14:textId="3DDF3463" w:rsidR="00D530A9" w:rsidRPr="00D62C37" w:rsidRDefault="00D530A9" w:rsidP="00877408">
      <w:pPr>
        <w:pStyle w:val="Heading2"/>
      </w:pPr>
      <w:r w:rsidRPr="00D62C37">
        <w:t xml:space="preserve">What is </w:t>
      </w:r>
      <w:r>
        <w:t>similar</w:t>
      </w:r>
      <w:r w:rsidRPr="00D62C37">
        <w:t>?</w:t>
      </w:r>
    </w:p>
    <w:p w14:paraId="3CC2B0C2" w14:textId="473FE5B3" w:rsidR="00320BA3" w:rsidRDefault="00613481" w:rsidP="00F457EC">
      <w:pPr>
        <w:pStyle w:val="NICEnormalnumbered"/>
        <w:numPr>
          <w:ilvl w:val="0"/>
          <w:numId w:val="26"/>
        </w:numPr>
        <w:ind w:left="709" w:hanging="709"/>
        <w:rPr>
          <w:rFonts w:cs="Arial"/>
        </w:rPr>
      </w:pPr>
      <w:r>
        <w:rPr>
          <w:rFonts w:cs="Arial"/>
        </w:rPr>
        <w:t>T</w:t>
      </w:r>
      <w:r w:rsidR="00D530A9" w:rsidRPr="00320BA3">
        <w:rPr>
          <w:rFonts w:cs="Arial"/>
        </w:rPr>
        <w:t>his progress has, however, not been delivered across all groups, with applications from Black and Black British people remaining unchanged since last year</w:t>
      </w:r>
      <w:r w:rsidR="00A27E1B" w:rsidRPr="00320BA3">
        <w:rPr>
          <w:rFonts w:cs="Arial"/>
        </w:rPr>
        <w:t>.</w:t>
      </w:r>
    </w:p>
    <w:p w14:paraId="795BED86" w14:textId="56B4244A" w:rsidR="00F457EC" w:rsidRDefault="00F457EC" w:rsidP="00F457EC">
      <w:pPr>
        <w:pStyle w:val="NICEnormalnumbered"/>
        <w:rPr>
          <w:rFonts w:cs="Arial"/>
        </w:rPr>
      </w:pPr>
    </w:p>
    <w:p w14:paraId="57E11967" w14:textId="71985B2F" w:rsidR="00F457EC" w:rsidRDefault="00F457EC" w:rsidP="00F457EC">
      <w:pPr>
        <w:pStyle w:val="NICEnormalnumbered"/>
        <w:rPr>
          <w:rFonts w:cs="Arial"/>
        </w:rPr>
      </w:pPr>
    </w:p>
    <w:p w14:paraId="7CEF00F3" w14:textId="77777777" w:rsidR="00F457EC" w:rsidRPr="00F457EC" w:rsidRDefault="00F457EC" w:rsidP="00F457EC">
      <w:pPr>
        <w:pStyle w:val="NICEnormalnumbered"/>
        <w:rPr>
          <w:rFonts w:cs="Arial"/>
        </w:rPr>
      </w:pPr>
    </w:p>
    <w:p w14:paraId="244C90DB" w14:textId="0ABC4C73" w:rsidR="006C060D" w:rsidRPr="00320BA3" w:rsidRDefault="006C060D" w:rsidP="00320BA3">
      <w:pPr>
        <w:pStyle w:val="NICEnormalnumbered"/>
        <w:rPr>
          <w:b/>
          <w:bCs/>
        </w:rPr>
      </w:pPr>
      <w:r w:rsidRPr="00320BA3">
        <w:rPr>
          <w:b/>
          <w:bCs/>
        </w:rPr>
        <w:lastRenderedPageBreak/>
        <w:t xml:space="preserve">Figure </w:t>
      </w:r>
      <w:r w:rsidR="00320BA3">
        <w:rPr>
          <w:b/>
          <w:bCs/>
        </w:rPr>
        <w:t>5</w:t>
      </w:r>
      <w:r w:rsidRPr="00320BA3">
        <w:rPr>
          <w:b/>
          <w:bCs/>
        </w:rPr>
        <w:t>: Conversion rate of applicants to those appointed to committees.</w:t>
      </w:r>
    </w:p>
    <w:p w14:paraId="218CC271" w14:textId="66027267" w:rsidR="00D530A9" w:rsidRDefault="00397446" w:rsidP="00D530A9">
      <w:pPr>
        <w:pStyle w:val="Heading3boardreport"/>
        <w:jc w:val="center"/>
      </w:pPr>
      <w:r>
        <w:rPr>
          <w:noProof/>
        </w:rPr>
        <w:drawing>
          <wp:inline distT="0" distB="0" distL="0" distR="0" wp14:anchorId="0D9E58CF" wp14:editId="04E1DD09">
            <wp:extent cx="2679388" cy="2512612"/>
            <wp:effectExtent l="0" t="0" r="6985" b="2540"/>
            <wp:docPr id="15" name="Picture 15" descr="Conversion rate highlights 43% of white applicants are appointed to NICE advisory committees, in comparison to 41% from Black, Asian and minority ethnic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onversion rate highlights 43% of white applicants are appointed to NICE advisory committees, in comparison to 41% from Black, Asian and minority ethnic groups."/>
                    <pic:cNvPicPr/>
                  </pic:nvPicPr>
                  <pic:blipFill>
                    <a:blip r:embed="rId12"/>
                    <a:stretch>
                      <a:fillRect/>
                    </a:stretch>
                  </pic:blipFill>
                  <pic:spPr>
                    <a:xfrm>
                      <a:off x="0" y="0"/>
                      <a:ext cx="2700795" cy="2532686"/>
                    </a:xfrm>
                    <a:prstGeom prst="rect">
                      <a:avLst/>
                    </a:prstGeom>
                  </pic:spPr>
                </pic:pic>
              </a:graphicData>
            </a:graphic>
          </wp:inline>
        </w:drawing>
      </w:r>
    </w:p>
    <w:p w14:paraId="1DFED3C9" w14:textId="77777777" w:rsidR="00320BA3" w:rsidRDefault="00320BA3" w:rsidP="00320BA3">
      <w:pPr>
        <w:pStyle w:val="NICEnormalnumbered"/>
        <w:ind w:left="709"/>
        <w:rPr>
          <w:rFonts w:cs="Arial"/>
        </w:rPr>
      </w:pPr>
    </w:p>
    <w:p w14:paraId="300C32EE" w14:textId="7EEE7B58" w:rsidR="00D530A9" w:rsidRDefault="00D530A9" w:rsidP="00F457EC">
      <w:pPr>
        <w:pStyle w:val="NICEnormalnumbered"/>
        <w:numPr>
          <w:ilvl w:val="0"/>
          <w:numId w:val="26"/>
        </w:numPr>
        <w:ind w:left="709" w:hanging="709"/>
        <w:rPr>
          <w:rFonts w:cs="Arial"/>
        </w:rPr>
      </w:pPr>
      <w:r w:rsidRPr="00F47CFF">
        <w:rPr>
          <w:rFonts w:cs="Arial"/>
        </w:rPr>
        <w:t>Applicants who did not disclose their ethnicity were marginally more successful than those who did</w:t>
      </w:r>
      <w:r>
        <w:rPr>
          <w:rFonts w:cs="Arial"/>
        </w:rPr>
        <w:t>, which is consistent with previous years</w:t>
      </w:r>
      <w:r w:rsidRPr="00F47CFF">
        <w:rPr>
          <w:rFonts w:cs="Arial"/>
        </w:rPr>
        <w:t>.</w:t>
      </w:r>
    </w:p>
    <w:p w14:paraId="5875EE06" w14:textId="77777777" w:rsidR="00320BA3" w:rsidRDefault="00D530A9" w:rsidP="00F457EC">
      <w:pPr>
        <w:pStyle w:val="NICEnormalnumbered"/>
        <w:numPr>
          <w:ilvl w:val="0"/>
          <w:numId w:val="26"/>
        </w:numPr>
        <w:ind w:left="709" w:hanging="709"/>
        <w:rPr>
          <w:rFonts w:cs="Arial"/>
        </w:rPr>
      </w:pPr>
      <w:r w:rsidRPr="009D2871">
        <w:rPr>
          <w:rFonts w:cs="Arial"/>
        </w:rPr>
        <w:t>The</w:t>
      </w:r>
      <w:r>
        <w:rPr>
          <w:rFonts w:cs="Arial"/>
        </w:rPr>
        <w:t>re</w:t>
      </w:r>
      <w:r w:rsidRPr="009D2871">
        <w:rPr>
          <w:rFonts w:cs="Arial"/>
        </w:rPr>
        <w:t xml:space="preserve"> </w:t>
      </w:r>
      <w:r>
        <w:rPr>
          <w:rFonts w:cs="Arial"/>
        </w:rPr>
        <w:t xml:space="preserve">remains a </w:t>
      </w:r>
      <w:r w:rsidRPr="00226966">
        <w:rPr>
          <w:rFonts w:cs="Arial"/>
        </w:rPr>
        <w:t>lack of diversity amongst applicants and appointees in relation to sexual orientation, with around 85% of</w:t>
      </w:r>
      <w:r>
        <w:rPr>
          <w:rFonts w:cs="Arial"/>
        </w:rPr>
        <w:t xml:space="preserve"> applicants and</w:t>
      </w:r>
      <w:r w:rsidRPr="00226966">
        <w:rPr>
          <w:rFonts w:cs="Arial"/>
        </w:rPr>
        <w:t xml:space="preserve"> appointees identifying themselves as heterosexual (straight).</w:t>
      </w:r>
    </w:p>
    <w:p w14:paraId="73ED753D" w14:textId="1DA47470" w:rsidR="00D530A9" w:rsidRDefault="00D530A9" w:rsidP="00D530A9">
      <w:pPr>
        <w:pStyle w:val="NICEnormalnumbered"/>
        <w:jc w:val="center"/>
        <w:rPr>
          <w:rFonts w:cs="Arial"/>
        </w:rPr>
      </w:pPr>
    </w:p>
    <w:p w14:paraId="5B94AF6D" w14:textId="3AE9EA07" w:rsidR="00D530A9" w:rsidRPr="009D2871" w:rsidRDefault="00D530A9" w:rsidP="00877408">
      <w:pPr>
        <w:pStyle w:val="Heading1"/>
      </w:pPr>
      <w:r>
        <w:t>Progress against equality objective 2 - workforce</w:t>
      </w:r>
    </w:p>
    <w:p w14:paraId="721AD936" w14:textId="550A7AC0" w:rsidR="00D530A9" w:rsidRDefault="00D530A9" w:rsidP="00877408">
      <w:pPr>
        <w:pStyle w:val="Heading2"/>
      </w:pPr>
      <w:r>
        <w:t>What is better than last year?</w:t>
      </w:r>
    </w:p>
    <w:p w14:paraId="0E13F4E4" w14:textId="06DE2331" w:rsidR="00C82732" w:rsidRPr="00C82732" w:rsidRDefault="00C82732" w:rsidP="00C60230">
      <w:pPr>
        <w:pStyle w:val="Caption"/>
      </w:pPr>
      <w:r>
        <w:t xml:space="preserve">Figure 6: </w:t>
      </w:r>
      <w:r w:rsidR="004E0313">
        <w:t>A</w:t>
      </w:r>
      <w:r>
        <w:t xml:space="preserve"> positive trend in the percentage of staff from Black, </w:t>
      </w:r>
      <w:proofErr w:type="gramStart"/>
      <w:r>
        <w:t>Asian</w:t>
      </w:r>
      <w:proofErr w:type="gramEnd"/>
      <w:r>
        <w:t xml:space="preserve"> and ethnic minority backgrounds in 2021/22 in bands 1-7 and 8a-8d. </w:t>
      </w:r>
    </w:p>
    <w:p w14:paraId="713BD3A5" w14:textId="1446045F" w:rsidR="00C82732" w:rsidRDefault="00C82732" w:rsidP="00C82732">
      <w:pPr>
        <w:pStyle w:val="NICEnormal"/>
      </w:pPr>
      <w:r>
        <w:rPr>
          <w:noProof/>
        </w:rPr>
        <w:drawing>
          <wp:inline distT="0" distB="0" distL="0" distR="0" wp14:anchorId="34DD2E3C" wp14:editId="1B12A404">
            <wp:extent cx="5717636" cy="1876508"/>
            <wp:effectExtent l="0" t="0" r="0" b="9525"/>
            <wp:docPr id="10" name="Picture 10" descr="An increase in percentage of staff from Black, Asian and minority backgrounds in bands 1-7 and 8a-8d in 20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n increase in percentage of staff from Black, Asian and minority backgrounds in bands 1-7 and 8a-8d in 2021/22."/>
                    <pic:cNvPicPr/>
                  </pic:nvPicPr>
                  <pic:blipFill>
                    <a:blip r:embed="rId13"/>
                    <a:stretch>
                      <a:fillRect/>
                    </a:stretch>
                  </pic:blipFill>
                  <pic:spPr>
                    <a:xfrm>
                      <a:off x="0" y="0"/>
                      <a:ext cx="5724736" cy="1878838"/>
                    </a:xfrm>
                    <a:prstGeom prst="rect">
                      <a:avLst/>
                    </a:prstGeom>
                  </pic:spPr>
                </pic:pic>
              </a:graphicData>
            </a:graphic>
          </wp:inline>
        </w:drawing>
      </w:r>
    </w:p>
    <w:p w14:paraId="7D498F65" w14:textId="1E8110A8" w:rsidR="004E0313" w:rsidRDefault="004E0313" w:rsidP="00C60230">
      <w:pPr>
        <w:pStyle w:val="Caption"/>
      </w:pPr>
      <w:r>
        <w:lastRenderedPageBreak/>
        <w:t>Figure 7: Non-disclosure rates across protected characteristics.</w:t>
      </w:r>
    </w:p>
    <w:p w14:paraId="5D225BD2" w14:textId="5868BBE5" w:rsidR="004E0313" w:rsidRDefault="004E0313" w:rsidP="004E0313">
      <w:pPr>
        <w:pStyle w:val="NICEnormal"/>
        <w:jc w:val="center"/>
      </w:pPr>
      <w:r>
        <w:rPr>
          <w:noProof/>
        </w:rPr>
        <w:drawing>
          <wp:inline distT="0" distB="0" distL="0" distR="0" wp14:anchorId="756E1F22" wp14:editId="7C00A64B">
            <wp:extent cx="3872467" cy="2910177"/>
            <wp:effectExtent l="0" t="0" r="0" b="5080"/>
            <wp:docPr id="7" name="Picture 7" descr="Non-declaration rates have fallen across all characteristics since the period 2020/21, and most notably for disability, which has fallen by 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on-declaration rates have fallen across all characteristics since the period 2020/21, and most notably for disability, which has fallen by 27%.  "/>
                    <pic:cNvPicPr/>
                  </pic:nvPicPr>
                  <pic:blipFill>
                    <a:blip r:embed="rId14"/>
                    <a:stretch>
                      <a:fillRect/>
                    </a:stretch>
                  </pic:blipFill>
                  <pic:spPr>
                    <a:xfrm>
                      <a:off x="0" y="0"/>
                      <a:ext cx="3875565" cy="2912505"/>
                    </a:xfrm>
                    <a:prstGeom prst="rect">
                      <a:avLst/>
                    </a:prstGeom>
                  </pic:spPr>
                </pic:pic>
              </a:graphicData>
            </a:graphic>
          </wp:inline>
        </w:drawing>
      </w:r>
    </w:p>
    <w:p w14:paraId="44FD293E" w14:textId="33579F39" w:rsidR="004E0313" w:rsidRDefault="004E0313" w:rsidP="00F457EC">
      <w:pPr>
        <w:pStyle w:val="NICEnormalnumbered"/>
        <w:numPr>
          <w:ilvl w:val="0"/>
          <w:numId w:val="26"/>
        </w:numPr>
        <w:ind w:left="709" w:hanging="709"/>
        <w:rPr>
          <w:rFonts w:cs="Arial"/>
        </w:rPr>
      </w:pPr>
      <w:r w:rsidRPr="004E0313">
        <w:rPr>
          <w:rFonts w:cs="Arial"/>
        </w:rPr>
        <w:t xml:space="preserve">A positive change </w:t>
      </w:r>
      <w:r w:rsidR="00566906">
        <w:rPr>
          <w:rFonts w:cs="Arial"/>
        </w:rPr>
        <w:t xml:space="preserve">is especially notable </w:t>
      </w:r>
      <w:r w:rsidRPr="004E0313">
        <w:rPr>
          <w:rFonts w:cs="Arial"/>
        </w:rPr>
        <w:t>within the number of staff with a disability who have chosen to disclose this information</w:t>
      </w:r>
      <w:r>
        <w:rPr>
          <w:rFonts w:cs="Arial"/>
        </w:rPr>
        <w:t xml:space="preserve"> in 2021/22.</w:t>
      </w:r>
    </w:p>
    <w:p w14:paraId="5CD07849" w14:textId="60CA41B1" w:rsidR="00566906" w:rsidRPr="004E0313" w:rsidRDefault="00566906" w:rsidP="00C60230">
      <w:pPr>
        <w:pStyle w:val="Caption"/>
      </w:pPr>
      <w:r>
        <w:t xml:space="preserve">Figure 8: </w:t>
      </w:r>
      <w:r w:rsidR="00D14C74">
        <w:t>Improvements made in reporting sexual orientation of staff in 2021/22</w:t>
      </w:r>
    </w:p>
    <w:p w14:paraId="520F630C" w14:textId="4A4719C3" w:rsidR="00566906" w:rsidRDefault="00566906" w:rsidP="00566906">
      <w:pPr>
        <w:pStyle w:val="NICEnormalnumbered"/>
        <w:rPr>
          <w:rFonts w:cs="Arial"/>
          <w:b/>
          <w:bCs/>
          <w:color w:val="00506A"/>
          <w:sz w:val="26"/>
          <w:szCs w:val="26"/>
          <w:lang w:eastAsia="en-US"/>
        </w:rPr>
      </w:pPr>
      <w:r>
        <w:rPr>
          <w:noProof/>
        </w:rPr>
        <w:drawing>
          <wp:inline distT="0" distB="0" distL="0" distR="0" wp14:anchorId="0A28E5AA" wp14:editId="407E5CDB">
            <wp:extent cx="5274310" cy="2160270"/>
            <wp:effectExtent l="0" t="0" r="2540" b="0"/>
            <wp:docPr id="18" name="Picture 18" descr="We are making improvements in reporting data around sexual ori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e are making improvements in reporting data around sexual orientati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2160270"/>
                    </a:xfrm>
                    <a:prstGeom prst="rect">
                      <a:avLst/>
                    </a:prstGeom>
                  </pic:spPr>
                </pic:pic>
              </a:graphicData>
            </a:graphic>
          </wp:inline>
        </w:drawing>
      </w:r>
    </w:p>
    <w:p w14:paraId="24B42E59" w14:textId="258BAE7A" w:rsidR="00D14C74" w:rsidRDefault="00D14C74" w:rsidP="00F457EC">
      <w:pPr>
        <w:pStyle w:val="NICEnormalnumbered"/>
        <w:numPr>
          <w:ilvl w:val="0"/>
          <w:numId w:val="26"/>
        </w:numPr>
        <w:ind w:left="709" w:hanging="709"/>
        <w:rPr>
          <w:rFonts w:cs="Arial"/>
        </w:rPr>
      </w:pPr>
      <w:r w:rsidRPr="00147C68">
        <w:rPr>
          <w:rFonts w:cs="Arial"/>
        </w:rPr>
        <w:t xml:space="preserve">The above figure highlights a positive </w:t>
      </w:r>
      <w:r w:rsidR="00147C68" w:rsidRPr="00147C68">
        <w:rPr>
          <w:rFonts w:cs="Arial"/>
        </w:rPr>
        <w:t>first step in reporting data around sexual orientation of NICE staff.</w:t>
      </w:r>
      <w:r w:rsidR="00147C68">
        <w:rPr>
          <w:rFonts w:cs="Arial"/>
        </w:rPr>
        <w:t xml:space="preserve"> </w:t>
      </w:r>
    </w:p>
    <w:p w14:paraId="7AB13BD5" w14:textId="51720FA2" w:rsidR="00147C68" w:rsidRDefault="00147C68" w:rsidP="00F457EC">
      <w:pPr>
        <w:pStyle w:val="NICEnormalnumbered"/>
        <w:numPr>
          <w:ilvl w:val="0"/>
          <w:numId w:val="26"/>
        </w:numPr>
        <w:ind w:left="709" w:hanging="709"/>
        <w:rPr>
          <w:rFonts w:cs="Arial"/>
        </w:rPr>
      </w:pPr>
      <w:r>
        <w:rPr>
          <w:rFonts w:cs="Arial"/>
        </w:rPr>
        <w:t>Consistent reporting in the future will allow for better comparison, enabling us to track progress.</w:t>
      </w:r>
    </w:p>
    <w:p w14:paraId="0E95ACDE" w14:textId="77777777" w:rsidR="00147C68" w:rsidRDefault="00566906" w:rsidP="00877408">
      <w:pPr>
        <w:pStyle w:val="Heading2"/>
      </w:pPr>
      <w:r>
        <w:t>Area</w:t>
      </w:r>
      <w:r w:rsidR="00825F66" w:rsidRPr="00566906">
        <w:t>s we need to improve</w:t>
      </w:r>
    </w:p>
    <w:p w14:paraId="137C93AA" w14:textId="50C1A710" w:rsidR="00147C68" w:rsidRPr="00147C68" w:rsidRDefault="00147C68" w:rsidP="00C60230">
      <w:pPr>
        <w:pStyle w:val="Caption"/>
      </w:pPr>
      <w:r w:rsidRPr="00147C68">
        <w:t>Figure 9: Black, Asian and minority ethnic staff continue to be underrepresented at bands 8d and 9.</w:t>
      </w:r>
    </w:p>
    <w:p w14:paraId="2F073AE9" w14:textId="62515843" w:rsidR="0054524D" w:rsidRDefault="00566906" w:rsidP="00566906">
      <w:pPr>
        <w:pStyle w:val="NICEnormalnumbered"/>
        <w:rPr>
          <w:rFonts w:cs="Arial"/>
          <w:b/>
          <w:bCs/>
          <w:color w:val="00506A"/>
          <w:sz w:val="26"/>
          <w:szCs w:val="26"/>
          <w:lang w:eastAsia="en-US"/>
        </w:rPr>
      </w:pPr>
      <w:r>
        <w:rPr>
          <w:noProof/>
        </w:rPr>
        <w:drawing>
          <wp:inline distT="0" distB="0" distL="0" distR="0" wp14:anchorId="66F96D96" wp14:editId="42E36DB6">
            <wp:extent cx="5274310" cy="1377220"/>
            <wp:effectExtent l="0" t="0" r="2540" b="0"/>
            <wp:docPr id="6" name="Picture 6" descr="We need to improve representation of Black, Asian and minority ethnic staff at bands 8d an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e need to improve representation of Black, Asian and minority ethnic staff at bands 8d and 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74310" cy="1377220"/>
                    </a:xfrm>
                    <a:prstGeom prst="rect">
                      <a:avLst/>
                    </a:prstGeom>
                  </pic:spPr>
                </pic:pic>
              </a:graphicData>
            </a:graphic>
          </wp:inline>
        </w:drawing>
      </w:r>
    </w:p>
    <w:p w14:paraId="0C8CD6AA" w14:textId="70C19A88" w:rsidR="007A77C1" w:rsidRDefault="007A77C1" w:rsidP="00F457EC">
      <w:pPr>
        <w:pStyle w:val="NICEnormalnumbered"/>
        <w:numPr>
          <w:ilvl w:val="0"/>
          <w:numId w:val="26"/>
        </w:numPr>
        <w:ind w:left="709" w:hanging="709"/>
        <w:rPr>
          <w:rFonts w:cs="Arial"/>
        </w:rPr>
      </w:pPr>
      <w:r w:rsidRPr="007A77C1">
        <w:rPr>
          <w:rFonts w:cs="Arial"/>
        </w:rPr>
        <w:t xml:space="preserve">On </w:t>
      </w:r>
      <w:r w:rsidR="00C60230">
        <w:rPr>
          <w:rFonts w:cs="Arial"/>
        </w:rPr>
        <w:t xml:space="preserve">31 </w:t>
      </w:r>
      <w:r w:rsidRPr="007A77C1">
        <w:rPr>
          <w:rFonts w:cs="Arial"/>
        </w:rPr>
        <w:t xml:space="preserve">March 2022 there were still no staff in band 9 roles and above from Black, Asian and minority ethnic backgrounds and across senior and very senior levels. </w:t>
      </w:r>
    </w:p>
    <w:p w14:paraId="65B3E10C" w14:textId="5771712E" w:rsidR="001B6545" w:rsidRDefault="007A77C1" w:rsidP="00F457EC">
      <w:pPr>
        <w:pStyle w:val="NICEnormalnumbered"/>
        <w:numPr>
          <w:ilvl w:val="0"/>
          <w:numId w:val="26"/>
        </w:numPr>
        <w:ind w:left="709" w:hanging="709"/>
        <w:rPr>
          <w:rFonts w:cs="Arial"/>
        </w:rPr>
      </w:pPr>
      <w:r w:rsidRPr="007A77C1">
        <w:rPr>
          <w:rFonts w:cs="Arial"/>
        </w:rPr>
        <w:t>A</w:t>
      </w:r>
      <w:r w:rsidR="00B55349">
        <w:rPr>
          <w:rFonts w:cs="Arial"/>
        </w:rPr>
        <w:t>s seen in figure 10 below, a</w:t>
      </w:r>
      <w:r w:rsidRPr="007A77C1">
        <w:rPr>
          <w:rFonts w:cs="Arial"/>
        </w:rPr>
        <w:t xml:space="preserve">t interview stage, Black and Black British candidates are 5.7 times less likely, and Asian and Asian British are 2.7 times less likely, to be appointed than their white counterparts. </w:t>
      </w:r>
      <w:proofErr w:type="gramStart"/>
      <w:r w:rsidRPr="007A77C1">
        <w:rPr>
          <w:rFonts w:cs="Arial"/>
        </w:rPr>
        <w:t>Both of these</w:t>
      </w:r>
      <w:proofErr w:type="gramEnd"/>
      <w:r w:rsidRPr="007A77C1">
        <w:rPr>
          <w:rFonts w:cs="Arial"/>
        </w:rPr>
        <w:t xml:space="preserve"> figures have worsened since last year.</w:t>
      </w:r>
    </w:p>
    <w:p w14:paraId="42DAFBC2" w14:textId="7FD631F6" w:rsidR="007A77C1" w:rsidRDefault="00B55349" w:rsidP="00C60230">
      <w:pPr>
        <w:pStyle w:val="Caption"/>
      </w:pPr>
      <w:r>
        <w:t>Figure 10: Relative likelihood of white candidates being appointed relative to their Black, Asian and minority ethnic counterparts.</w:t>
      </w:r>
    </w:p>
    <w:p w14:paraId="0552694B" w14:textId="5747B762" w:rsidR="007A77C1" w:rsidRDefault="007A77C1" w:rsidP="007A77C1">
      <w:pPr>
        <w:pStyle w:val="NICEnormalnumbered"/>
        <w:rPr>
          <w:rFonts w:cs="Arial"/>
        </w:rPr>
      </w:pPr>
      <w:r>
        <w:rPr>
          <w:noProof/>
        </w:rPr>
        <w:drawing>
          <wp:inline distT="0" distB="0" distL="0" distR="0" wp14:anchorId="5AD4217A" wp14:editId="4AA02C66">
            <wp:extent cx="5274310" cy="2265958"/>
            <wp:effectExtent l="0" t="0" r="2540" b="1270"/>
            <wp:docPr id="21" name="Picture 21" descr="Black and Black British candidates are 5.75 times less likely, and Asian and Asian British candidates are 2.27 times less likely to be appointed when compared to their white counterparts. This is worsened since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Black and Black British candidates are 5.75 times less likely, and Asian and Asian British candidates are 2.27 times less likely to be appointed when compared to their white counterparts. This is worsened since last year."/>
                    <pic:cNvPicPr/>
                  </pic:nvPicPr>
                  <pic:blipFill>
                    <a:blip r:embed="rId17">
                      <a:extLst>
                        <a:ext uri="{28A0092B-C50C-407E-A947-70E740481C1C}">
                          <a14:useLocalDpi xmlns:a14="http://schemas.microsoft.com/office/drawing/2010/main" val="0"/>
                        </a:ext>
                      </a:extLst>
                    </a:blip>
                    <a:stretch>
                      <a:fillRect/>
                    </a:stretch>
                  </pic:blipFill>
                  <pic:spPr>
                    <a:xfrm>
                      <a:off x="0" y="0"/>
                      <a:ext cx="5274310" cy="2265958"/>
                    </a:xfrm>
                    <a:prstGeom prst="rect">
                      <a:avLst/>
                    </a:prstGeom>
                  </pic:spPr>
                </pic:pic>
              </a:graphicData>
            </a:graphic>
          </wp:inline>
        </w:drawing>
      </w:r>
    </w:p>
    <w:p w14:paraId="7552FEBE" w14:textId="64E0F536" w:rsidR="00B55349" w:rsidRPr="007A77C1" w:rsidRDefault="00B55349" w:rsidP="00C60230">
      <w:pPr>
        <w:pStyle w:val="Caption"/>
      </w:pPr>
      <w:r>
        <w:lastRenderedPageBreak/>
        <w:t>Figure 11: Experience measures for Black, Asian and minority ethnic staff</w:t>
      </w:r>
    </w:p>
    <w:p w14:paraId="24A1E5EA" w14:textId="71FE1626" w:rsidR="00B55349" w:rsidRDefault="007A3EC5" w:rsidP="007A3EC5">
      <w:pPr>
        <w:pStyle w:val="NICEnormalnumbered"/>
      </w:pPr>
      <w:r>
        <w:rPr>
          <w:noProof/>
        </w:rPr>
        <w:drawing>
          <wp:inline distT="0" distB="0" distL="0" distR="0" wp14:anchorId="0D95BB0C" wp14:editId="54A389FB">
            <wp:extent cx="5668492" cy="2385392"/>
            <wp:effectExtent l="0" t="0" r="8890" b="0"/>
            <wp:docPr id="22" name="Picture 22" descr="Staff experience measures for Black, Asian and minority ethnic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taff experience measures for Black, Asian and minority ethnic staff"/>
                    <pic:cNvPicPr/>
                  </pic:nvPicPr>
                  <pic:blipFill>
                    <a:blip r:embed="rId18">
                      <a:extLst>
                        <a:ext uri="{28A0092B-C50C-407E-A947-70E740481C1C}">
                          <a14:useLocalDpi xmlns:a14="http://schemas.microsoft.com/office/drawing/2010/main" val="0"/>
                        </a:ext>
                      </a:extLst>
                    </a:blip>
                    <a:stretch>
                      <a:fillRect/>
                    </a:stretch>
                  </pic:blipFill>
                  <pic:spPr>
                    <a:xfrm>
                      <a:off x="0" y="0"/>
                      <a:ext cx="5668492" cy="2385392"/>
                    </a:xfrm>
                    <a:prstGeom prst="rect">
                      <a:avLst/>
                    </a:prstGeom>
                  </pic:spPr>
                </pic:pic>
              </a:graphicData>
            </a:graphic>
          </wp:inline>
        </w:drawing>
      </w:r>
    </w:p>
    <w:p w14:paraId="4B31B925" w14:textId="4E630A37" w:rsidR="00B55349" w:rsidRPr="00B55349" w:rsidRDefault="00B55349" w:rsidP="00F457EC">
      <w:pPr>
        <w:pStyle w:val="NICEnormalnumbered"/>
        <w:numPr>
          <w:ilvl w:val="0"/>
          <w:numId w:val="26"/>
        </w:numPr>
        <w:ind w:left="709" w:hanging="709"/>
        <w:rPr>
          <w:rFonts w:cs="Arial"/>
        </w:rPr>
      </w:pPr>
      <w:r w:rsidRPr="00B55349">
        <w:rPr>
          <w:rFonts w:cs="Arial"/>
        </w:rPr>
        <w:t xml:space="preserve">As seen in figure 11 above, the turnover within Black, Asian and minority ethnic staff has gone up during 2021/22. </w:t>
      </w:r>
    </w:p>
    <w:p w14:paraId="488BB8FF" w14:textId="1E50CEBA" w:rsidR="00B55349" w:rsidRDefault="00DC29E7" w:rsidP="00F457EC">
      <w:pPr>
        <w:pStyle w:val="NICEnormalnumbered"/>
        <w:numPr>
          <w:ilvl w:val="0"/>
          <w:numId w:val="26"/>
        </w:numPr>
        <w:ind w:left="709" w:hanging="709"/>
        <w:rPr>
          <w:rFonts w:cs="Arial"/>
        </w:rPr>
      </w:pPr>
      <w:r>
        <w:rPr>
          <w:rFonts w:cs="Arial"/>
        </w:rPr>
        <w:t>However</w:t>
      </w:r>
      <w:r w:rsidR="00B55349" w:rsidRPr="00B55349">
        <w:rPr>
          <w:rFonts w:cs="Arial"/>
        </w:rPr>
        <w:t xml:space="preserve">, there has been a 20% drop in Black, Asian and minority ethnic staff reporting sickness absence. </w:t>
      </w:r>
    </w:p>
    <w:p w14:paraId="72868740" w14:textId="77777777" w:rsidR="007C096B" w:rsidRDefault="007C096B" w:rsidP="00F457EC">
      <w:pPr>
        <w:pStyle w:val="NICEnormalnumbered"/>
        <w:numPr>
          <w:ilvl w:val="0"/>
          <w:numId w:val="26"/>
        </w:numPr>
        <w:ind w:left="709" w:hanging="709"/>
        <w:rPr>
          <w:rFonts w:cs="Arial"/>
        </w:rPr>
      </w:pPr>
      <w:r>
        <w:rPr>
          <w:rFonts w:cs="Arial"/>
        </w:rPr>
        <w:t xml:space="preserve">Figure 12 below highlights that the turnover in staff with disabilities has also increased. </w:t>
      </w:r>
    </w:p>
    <w:p w14:paraId="3C839F4C" w14:textId="33519F48" w:rsidR="007C096B" w:rsidRDefault="007C096B" w:rsidP="00F457EC">
      <w:pPr>
        <w:pStyle w:val="NICEnormalnumbered"/>
        <w:numPr>
          <w:ilvl w:val="0"/>
          <w:numId w:val="26"/>
        </w:numPr>
        <w:ind w:left="709" w:hanging="709"/>
        <w:rPr>
          <w:rFonts w:cs="Arial"/>
        </w:rPr>
      </w:pPr>
      <w:r>
        <w:rPr>
          <w:rFonts w:cs="Arial"/>
        </w:rPr>
        <w:t xml:space="preserve">There has also been a notable increase in sickness absence amongst staff self-identifying as disabled. </w:t>
      </w:r>
    </w:p>
    <w:p w14:paraId="292B6A16" w14:textId="1A2E113E" w:rsidR="007C096B" w:rsidRPr="007C096B" w:rsidRDefault="007C096B" w:rsidP="00C60230">
      <w:pPr>
        <w:pStyle w:val="Caption"/>
      </w:pPr>
      <w:r>
        <w:t>Figure 12: Staff experience measures for staff who self-identify as disabled.</w:t>
      </w:r>
    </w:p>
    <w:p w14:paraId="22D57D46" w14:textId="252C03FE" w:rsidR="007A3EC5" w:rsidRDefault="007A3EC5" w:rsidP="007A3EC5">
      <w:pPr>
        <w:pStyle w:val="NICEnormalnumbered"/>
      </w:pPr>
      <w:r>
        <w:rPr>
          <w:noProof/>
        </w:rPr>
        <w:drawing>
          <wp:inline distT="0" distB="0" distL="0" distR="0" wp14:anchorId="0B7D9F0E" wp14:editId="732DD8D8">
            <wp:extent cx="5123321" cy="2138901"/>
            <wp:effectExtent l="0" t="0" r="1270" b="0"/>
            <wp:docPr id="23" name="Picture 23" descr="Staff experience measures for staff who self-identify as 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taff experience measures for staff who self-identify as disabl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30330" cy="2141827"/>
                    </a:xfrm>
                    <a:prstGeom prst="rect">
                      <a:avLst/>
                    </a:prstGeom>
                  </pic:spPr>
                </pic:pic>
              </a:graphicData>
            </a:graphic>
          </wp:inline>
        </w:drawing>
      </w:r>
    </w:p>
    <w:p w14:paraId="0880E2E1" w14:textId="7458338A" w:rsidR="00D530A9" w:rsidRPr="009D2871" w:rsidRDefault="00D530A9" w:rsidP="00877408">
      <w:pPr>
        <w:pStyle w:val="Heading1"/>
      </w:pPr>
      <w:r>
        <w:lastRenderedPageBreak/>
        <w:t>What actions are we taking to address these issues?</w:t>
      </w:r>
    </w:p>
    <w:p w14:paraId="76FDE9AA" w14:textId="12A09B28" w:rsidR="00D530A9" w:rsidRDefault="00776658" w:rsidP="00877408">
      <w:pPr>
        <w:pStyle w:val="Heading2"/>
      </w:pPr>
      <w:r>
        <w:t>Guidance</w:t>
      </w:r>
      <w:r w:rsidR="005E24F2">
        <w:t xml:space="preserve"> objective</w:t>
      </w:r>
    </w:p>
    <w:p w14:paraId="29043EAC" w14:textId="63FC7EFE" w:rsidR="00776658" w:rsidRPr="009D2871" w:rsidRDefault="00D7236D" w:rsidP="00776658">
      <w:pPr>
        <w:pStyle w:val="NICEnormal"/>
        <w:numPr>
          <w:ilvl w:val="0"/>
          <w:numId w:val="27"/>
        </w:numPr>
        <w:rPr>
          <w:rFonts w:cs="Arial"/>
        </w:rPr>
      </w:pPr>
      <w:r>
        <w:rPr>
          <w:rFonts w:cs="Arial"/>
        </w:rPr>
        <w:t>We will continue to d</w:t>
      </w:r>
      <w:r w:rsidR="00776658" w:rsidRPr="009D2871">
        <w:rPr>
          <w:rFonts w:cs="Arial"/>
        </w:rPr>
        <w:t xml:space="preserve">eliver listening events with former and current committee members to discuss </w:t>
      </w:r>
      <w:r w:rsidR="00776658">
        <w:rPr>
          <w:rFonts w:cs="Arial"/>
        </w:rPr>
        <w:t xml:space="preserve">how to increase </w:t>
      </w:r>
      <w:r w:rsidR="00776658" w:rsidRPr="009D2871">
        <w:rPr>
          <w:rFonts w:cs="Arial"/>
        </w:rPr>
        <w:t>diversity within NICE’s advisory committees and during guidance development.</w:t>
      </w:r>
    </w:p>
    <w:p w14:paraId="43640BAB" w14:textId="539864CA" w:rsidR="00D7236D" w:rsidRDefault="00D7236D" w:rsidP="00776658">
      <w:pPr>
        <w:pStyle w:val="NICEnormal"/>
        <w:numPr>
          <w:ilvl w:val="0"/>
          <w:numId w:val="27"/>
        </w:numPr>
        <w:rPr>
          <w:rFonts w:cs="Arial"/>
        </w:rPr>
      </w:pPr>
      <w:r>
        <w:rPr>
          <w:rFonts w:cs="Arial"/>
        </w:rPr>
        <w:t>We will implement an action plan that we have co-produced with professional and lay committee members</w:t>
      </w:r>
      <w:r w:rsidR="0018209D">
        <w:rPr>
          <w:rFonts w:cs="Arial"/>
        </w:rPr>
        <w:t xml:space="preserve"> to increase diversity within NICE’s advisory committees.</w:t>
      </w:r>
    </w:p>
    <w:p w14:paraId="49332FE6" w14:textId="044B4207" w:rsidR="00776658" w:rsidRPr="0018209D" w:rsidRDefault="0018209D" w:rsidP="0018209D">
      <w:pPr>
        <w:pStyle w:val="NICEnormal"/>
        <w:numPr>
          <w:ilvl w:val="0"/>
          <w:numId w:val="27"/>
        </w:numPr>
        <w:rPr>
          <w:rFonts w:cs="Arial"/>
        </w:rPr>
      </w:pPr>
      <w:r>
        <w:rPr>
          <w:rFonts w:cs="Arial"/>
        </w:rPr>
        <w:t xml:space="preserve">We will simplify the process of recruiting and </w:t>
      </w:r>
      <w:r w:rsidR="00776658" w:rsidRPr="0018209D">
        <w:rPr>
          <w:rFonts w:cs="Arial"/>
        </w:rPr>
        <w:t>joining committees to make it more accessible</w:t>
      </w:r>
      <w:r>
        <w:rPr>
          <w:rFonts w:cs="Arial"/>
        </w:rPr>
        <w:t>. This will</w:t>
      </w:r>
      <w:r w:rsidR="00776658" w:rsidRPr="0018209D">
        <w:rPr>
          <w:rFonts w:cs="Arial"/>
        </w:rPr>
        <w:t xml:space="preserve"> also enable more efficient data management and recording.</w:t>
      </w:r>
    </w:p>
    <w:p w14:paraId="1B18162D" w14:textId="6C8C33A4" w:rsidR="00804061" w:rsidRPr="00804061" w:rsidRDefault="0018209D" w:rsidP="00804061">
      <w:pPr>
        <w:pStyle w:val="NICEnormal"/>
        <w:numPr>
          <w:ilvl w:val="0"/>
          <w:numId w:val="27"/>
        </w:numPr>
        <w:rPr>
          <w:rFonts w:cs="Arial"/>
        </w:rPr>
      </w:pPr>
      <w:r w:rsidRPr="009D2871">
        <w:rPr>
          <w:rFonts w:cs="Arial"/>
        </w:rPr>
        <w:t xml:space="preserve">NICE’s health inequalities programme </w:t>
      </w:r>
      <w:r>
        <w:rPr>
          <w:rFonts w:cs="Arial"/>
        </w:rPr>
        <w:t xml:space="preserve">has now put forth a </w:t>
      </w:r>
      <w:r w:rsidRPr="00D7236D">
        <w:rPr>
          <w:rFonts w:cs="Arial"/>
        </w:rPr>
        <w:t>combin</w:t>
      </w:r>
      <w:r>
        <w:rPr>
          <w:rFonts w:cs="Arial"/>
        </w:rPr>
        <w:t>ed</w:t>
      </w:r>
      <w:r w:rsidRPr="00D7236D">
        <w:rPr>
          <w:rFonts w:cs="Arial"/>
        </w:rPr>
        <w:t xml:space="preserve"> approach</w:t>
      </w:r>
      <w:r>
        <w:rPr>
          <w:rFonts w:cs="Arial"/>
        </w:rPr>
        <w:t xml:space="preserve"> to</w:t>
      </w:r>
      <w:r w:rsidRPr="00D7236D">
        <w:rPr>
          <w:rFonts w:cs="Arial"/>
        </w:rPr>
        <w:t xml:space="preserve"> </w:t>
      </w:r>
      <w:r w:rsidR="000A352B">
        <w:rPr>
          <w:rFonts w:cs="Arial"/>
        </w:rPr>
        <w:t>strengthen</w:t>
      </w:r>
      <w:r w:rsidRPr="00D7236D">
        <w:rPr>
          <w:rFonts w:cs="Arial"/>
        </w:rPr>
        <w:t xml:space="preserve"> </w:t>
      </w:r>
      <w:r>
        <w:rPr>
          <w:rFonts w:cs="Arial"/>
        </w:rPr>
        <w:t>equalities and health inequalities (EHIA) in guidance development</w:t>
      </w:r>
      <w:r w:rsidRPr="00D7236D">
        <w:rPr>
          <w:rFonts w:cs="Arial"/>
        </w:rPr>
        <w:t>. The implementation of this approach will be reflected in next year’s report.</w:t>
      </w:r>
    </w:p>
    <w:p w14:paraId="514C827B" w14:textId="1B2C05CD" w:rsidR="00776658" w:rsidRDefault="00776658" w:rsidP="00877408">
      <w:pPr>
        <w:pStyle w:val="Heading2"/>
      </w:pPr>
      <w:r>
        <w:t>Workforce</w:t>
      </w:r>
      <w:r w:rsidR="005E24F2">
        <w:t xml:space="preserve"> objective</w:t>
      </w:r>
    </w:p>
    <w:p w14:paraId="5AC0291E" w14:textId="77AE9F51" w:rsidR="0018209D" w:rsidRPr="0018209D" w:rsidRDefault="005E24F2" w:rsidP="0018209D">
      <w:pPr>
        <w:pStyle w:val="NICEnormal"/>
        <w:numPr>
          <w:ilvl w:val="0"/>
          <w:numId w:val="27"/>
        </w:numPr>
        <w:rPr>
          <w:rFonts w:cs="Arial"/>
        </w:rPr>
      </w:pPr>
      <w:r>
        <w:rPr>
          <w:rFonts w:cs="Arial"/>
        </w:rPr>
        <w:t xml:space="preserve">We have developed an </w:t>
      </w:r>
      <w:r w:rsidR="0018209D" w:rsidRPr="0018209D">
        <w:rPr>
          <w:rFonts w:cs="Arial"/>
        </w:rPr>
        <w:t>EDI workforce Action Plan 2022/3 (developed with Staff Networks)</w:t>
      </w:r>
    </w:p>
    <w:p w14:paraId="41341911" w14:textId="6741688C" w:rsidR="0059075F" w:rsidRDefault="005E24F2" w:rsidP="0018209D">
      <w:pPr>
        <w:pStyle w:val="NICEnormal"/>
        <w:numPr>
          <w:ilvl w:val="0"/>
          <w:numId w:val="27"/>
        </w:numPr>
        <w:rPr>
          <w:rFonts w:cs="Arial"/>
        </w:rPr>
      </w:pPr>
      <w:r>
        <w:rPr>
          <w:rFonts w:cs="Arial"/>
        </w:rPr>
        <w:t xml:space="preserve">All members of NICE’s executive team </w:t>
      </w:r>
      <w:r w:rsidR="0018209D" w:rsidRPr="0018209D">
        <w:rPr>
          <w:rFonts w:cs="Arial"/>
        </w:rPr>
        <w:t>have individual objectives</w:t>
      </w:r>
    </w:p>
    <w:p w14:paraId="035D7739" w14:textId="3F7FDA1E" w:rsidR="0018209D" w:rsidRDefault="005E24F2" w:rsidP="0018209D">
      <w:pPr>
        <w:pStyle w:val="NICEnormal"/>
        <w:numPr>
          <w:ilvl w:val="0"/>
          <w:numId w:val="27"/>
        </w:numPr>
        <w:rPr>
          <w:rFonts w:cs="Arial"/>
        </w:rPr>
      </w:pPr>
      <w:r>
        <w:rPr>
          <w:rFonts w:cs="Arial"/>
        </w:rPr>
        <w:t>We will develop d</w:t>
      </w:r>
      <w:r w:rsidR="0018209D" w:rsidRPr="0018209D">
        <w:rPr>
          <w:rFonts w:cs="Arial"/>
        </w:rPr>
        <w:t>irectorate</w:t>
      </w:r>
      <w:r w:rsidR="007C096B">
        <w:rPr>
          <w:rFonts w:cs="Arial"/>
        </w:rPr>
        <w:t>-</w:t>
      </w:r>
      <w:r w:rsidR="0018209D" w:rsidRPr="0018209D">
        <w:rPr>
          <w:rFonts w:cs="Arial"/>
        </w:rPr>
        <w:t xml:space="preserve">level </w:t>
      </w:r>
      <w:r w:rsidR="007C096B">
        <w:rPr>
          <w:rFonts w:cs="Arial"/>
        </w:rPr>
        <w:t>key performance indicators</w:t>
      </w:r>
      <w:r w:rsidR="0018209D" w:rsidRPr="0018209D">
        <w:rPr>
          <w:rFonts w:cs="Arial"/>
        </w:rPr>
        <w:t xml:space="preserve"> </w:t>
      </w:r>
      <w:r w:rsidR="007C096B">
        <w:rPr>
          <w:rFonts w:cs="Arial"/>
        </w:rPr>
        <w:t xml:space="preserve">(KPIs) </w:t>
      </w:r>
      <w:r w:rsidR="0018209D" w:rsidRPr="0018209D">
        <w:rPr>
          <w:rFonts w:cs="Arial"/>
        </w:rPr>
        <w:t xml:space="preserve">and </w:t>
      </w:r>
      <w:r w:rsidR="007C096B">
        <w:rPr>
          <w:rFonts w:cs="Arial"/>
        </w:rPr>
        <w:t>a</w:t>
      </w:r>
      <w:r w:rsidR="0018209D" w:rsidRPr="0018209D">
        <w:rPr>
          <w:rFonts w:cs="Arial"/>
        </w:rPr>
        <w:t xml:space="preserve">ction </w:t>
      </w:r>
      <w:r w:rsidR="007C096B">
        <w:rPr>
          <w:rFonts w:cs="Arial"/>
        </w:rPr>
        <w:t>p</w:t>
      </w:r>
      <w:r w:rsidR="0018209D" w:rsidRPr="0018209D">
        <w:rPr>
          <w:rFonts w:cs="Arial"/>
        </w:rPr>
        <w:t>lans</w:t>
      </w:r>
    </w:p>
    <w:p w14:paraId="6CC7C9F6" w14:textId="6048C7BA" w:rsidR="0018209D" w:rsidRPr="0018209D" w:rsidRDefault="005E24F2" w:rsidP="0018209D">
      <w:pPr>
        <w:pStyle w:val="NICEnormal"/>
        <w:numPr>
          <w:ilvl w:val="0"/>
          <w:numId w:val="27"/>
        </w:numPr>
        <w:rPr>
          <w:rFonts w:cs="Arial"/>
        </w:rPr>
      </w:pPr>
      <w:r>
        <w:rPr>
          <w:rFonts w:cs="Arial"/>
        </w:rPr>
        <w:t>We will</w:t>
      </w:r>
      <w:r w:rsidR="0018209D" w:rsidRPr="0018209D">
        <w:rPr>
          <w:rFonts w:cs="Arial"/>
        </w:rPr>
        <w:t xml:space="preserve"> review interview practice, with recommendations and actions to address barriers and challenges</w:t>
      </w:r>
    </w:p>
    <w:p w14:paraId="479BD6F5" w14:textId="1DEA1A20" w:rsidR="0018209D" w:rsidRPr="0018209D" w:rsidRDefault="005E24F2" w:rsidP="0018209D">
      <w:pPr>
        <w:pStyle w:val="NICEnormal"/>
        <w:numPr>
          <w:ilvl w:val="0"/>
          <w:numId w:val="27"/>
        </w:numPr>
        <w:rPr>
          <w:rFonts w:cs="Arial"/>
        </w:rPr>
      </w:pPr>
      <w:r>
        <w:rPr>
          <w:rFonts w:cs="Arial"/>
        </w:rPr>
        <w:t>We will i</w:t>
      </w:r>
      <w:r w:rsidR="0018209D" w:rsidRPr="0018209D">
        <w:rPr>
          <w:rFonts w:cs="Arial"/>
        </w:rPr>
        <w:t>mprov</w:t>
      </w:r>
      <w:r>
        <w:rPr>
          <w:rFonts w:cs="Arial"/>
        </w:rPr>
        <w:t>e</w:t>
      </w:r>
      <w:r w:rsidR="0018209D" w:rsidRPr="0018209D">
        <w:rPr>
          <w:rFonts w:cs="Arial"/>
        </w:rPr>
        <w:t xml:space="preserve"> our ability to deliver effective workplace adjustments to those who request them</w:t>
      </w:r>
    </w:p>
    <w:p w14:paraId="409240C2" w14:textId="017C6ED3" w:rsidR="0018209D" w:rsidRPr="0018209D" w:rsidRDefault="005E24F2" w:rsidP="0018209D">
      <w:pPr>
        <w:pStyle w:val="NICEnormal"/>
        <w:numPr>
          <w:ilvl w:val="0"/>
          <w:numId w:val="27"/>
        </w:numPr>
        <w:rPr>
          <w:rFonts w:cs="Arial"/>
        </w:rPr>
      </w:pPr>
      <w:r>
        <w:rPr>
          <w:rFonts w:cs="Arial"/>
        </w:rPr>
        <w:t>We will</w:t>
      </w:r>
      <w:r w:rsidR="0018209D" w:rsidRPr="0018209D">
        <w:rPr>
          <w:rFonts w:cs="Arial"/>
        </w:rPr>
        <w:t xml:space="preserve"> develop and deliver </w:t>
      </w:r>
      <w:r>
        <w:rPr>
          <w:rFonts w:cs="Arial"/>
        </w:rPr>
        <w:t xml:space="preserve">a </w:t>
      </w:r>
      <w:r w:rsidR="0018209D" w:rsidRPr="0018209D">
        <w:rPr>
          <w:rFonts w:cs="Arial"/>
        </w:rPr>
        <w:t>high-quality EDI development ‘offer’ for staff at all levels</w:t>
      </w:r>
    </w:p>
    <w:p w14:paraId="6915541B" w14:textId="2CDEFBB0" w:rsidR="0018209D" w:rsidRPr="00966263" w:rsidRDefault="005E24F2" w:rsidP="00966263">
      <w:pPr>
        <w:pStyle w:val="NICEnormal"/>
        <w:numPr>
          <w:ilvl w:val="0"/>
          <w:numId w:val="27"/>
        </w:numPr>
        <w:rPr>
          <w:rFonts w:cs="Arial"/>
        </w:rPr>
      </w:pPr>
      <w:r>
        <w:rPr>
          <w:rFonts w:cs="Arial"/>
        </w:rPr>
        <w:lastRenderedPageBreak/>
        <w:t>We will c</w:t>
      </w:r>
      <w:r w:rsidR="0018209D" w:rsidRPr="0018209D">
        <w:rPr>
          <w:rFonts w:cs="Arial"/>
        </w:rPr>
        <w:t>ontinu</w:t>
      </w:r>
      <w:r>
        <w:rPr>
          <w:rFonts w:cs="Arial"/>
        </w:rPr>
        <w:t>e</w:t>
      </w:r>
      <w:r w:rsidR="0018209D" w:rsidRPr="0018209D">
        <w:rPr>
          <w:rFonts w:cs="Arial"/>
        </w:rPr>
        <w:t xml:space="preserve"> to empower and develop our Staff Networks</w:t>
      </w:r>
    </w:p>
    <w:p w14:paraId="5E616BAB" w14:textId="78AB50DA" w:rsidR="0018209D" w:rsidRPr="005E24F2" w:rsidRDefault="0018209D" w:rsidP="00804061">
      <w:pPr>
        <w:pStyle w:val="Heading3boardreport"/>
        <w:rPr>
          <w:b w:val="0"/>
          <w:bCs w:val="0"/>
          <w:color w:val="auto"/>
        </w:rPr>
      </w:pPr>
      <w:r w:rsidRPr="005E24F2">
        <w:rPr>
          <w:b w:val="0"/>
          <w:bCs w:val="0"/>
          <w:color w:val="auto"/>
        </w:rPr>
        <w:t>In addition to this, we have committed to</w:t>
      </w:r>
      <w:r w:rsidR="005E24F2" w:rsidRPr="005E24F2">
        <w:rPr>
          <w:b w:val="0"/>
          <w:bCs w:val="0"/>
          <w:color w:val="auto"/>
        </w:rPr>
        <w:t>:</w:t>
      </w:r>
    </w:p>
    <w:p w14:paraId="0D271E4E" w14:textId="185F8488" w:rsidR="0018209D" w:rsidRPr="0018209D" w:rsidRDefault="0018209D" w:rsidP="0018209D">
      <w:pPr>
        <w:pStyle w:val="NICEnormal"/>
        <w:numPr>
          <w:ilvl w:val="0"/>
          <w:numId w:val="27"/>
        </w:numPr>
        <w:rPr>
          <w:rFonts w:cs="Arial"/>
        </w:rPr>
      </w:pPr>
      <w:r w:rsidRPr="0018209D">
        <w:rPr>
          <w:rFonts w:cs="Arial"/>
        </w:rPr>
        <w:t xml:space="preserve">Establish a mechanism for </w:t>
      </w:r>
      <w:r w:rsidR="005E24F2">
        <w:rPr>
          <w:rFonts w:cs="Arial"/>
        </w:rPr>
        <w:t>creating</w:t>
      </w:r>
      <w:r w:rsidRPr="0018209D">
        <w:rPr>
          <w:rFonts w:cs="Arial"/>
        </w:rPr>
        <w:t xml:space="preserve"> more diversity</w:t>
      </w:r>
      <w:r w:rsidR="005E24F2">
        <w:rPr>
          <w:rFonts w:cs="Arial"/>
        </w:rPr>
        <w:t xml:space="preserve"> within the executive team</w:t>
      </w:r>
      <w:r w:rsidRPr="0018209D">
        <w:rPr>
          <w:rFonts w:cs="Arial"/>
        </w:rPr>
        <w:t>, if this is not possible through current recruitment (</w:t>
      </w:r>
      <w:proofErr w:type="gramStart"/>
      <w:r w:rsidRPr="0018209D">
        <w:rPr>
          <w:rFonts w:cs="Arial"/>
        </w:rPr>
        <w:t>e.g.</w:t>
      </w:r>
      <w:proofErr w:type="gramEnd"/>
      <w:r w:rsidRPr="0018209D">
        <w:rPr>
          <w:rFonts w:cs="Arial"/>
        </w:rPr>
        <w:t xml:space="preserve"> diversity advisers)</w:t>
      </w:r>
    </w:p>
    <w:p w14:paraId="30C24F95" w14:textId="439FBA03" w:rsidR="0018209D" w:rsidRPr="0018209D" w:rsidRDefault="0018209D" w:rsidP="0018209D">
      <w:pPr>
        <w:pStyle w:val="NICEnormal"/>
        <w:numPr>
          <w:ilvl w:val="0"/>
          <w:numId w:val="27"/>
        </w:numPr>
        <w:rPr>
          <w:rFonts w:cs="Arial"/>
        </w:rPr>
      </w:pPr>
      <w:r w:rsidRPr="0018209D">
        <w:rPr>
          <w:rFonts w:cs="Arial"/>
        </w:rPr>
        <w:t>Explore ways of developing strong and diverse talent pipelines to support a more intentional and structured approach to succession planning</w:t>
      </w:r>
    </w:p>
    <w:p w14:paraId="5131B617" w14:textId="2E59B0E0" w:rsidR="00C84F7A" w:rsidRDefault="0018209D" w:rsidP="00C84F7A">
      <w:pPr>
        <w:pStyle w:val="NICEnormal"/>
        <w:numPr>
          <w:ilvl w:val="0"/>
          <w:numId w:val="27"/>
        </w:numPr>
        <w:rPr>
          <w:rFonts w:cs="Arial"/>
        </w:rPr>
      </w:pPr>
      <w:r w:rsidRPr="004E59B9">
        <w:rPr>
          <w:rFonts w:cs="Arial"/>
        </w:rPr>
        <w:t>Reach out to other ALBs to seek out best practice and build relations that support our learning</w:t>
      </w:r>
      <w:r w:rsidR="00FF1CD9">
        <w:rPr>
          <w:rFonts w:cs="Arial"/>
        </w:rPr>
        <w:t>.</w:t>
      </w:r>
    </w:p>
    <w:p w14:paraId="7A8FE12B" w14:textId="6D7426FB" w:rsidR="00810748" w:rsidRPr="0018209D" w:rsidRDefault="00877408" w:rsidP="00877408">
      <w:pPr>
        <w:pStyle w:val="Heading1"/>
      </w:pPr>
      <w:r>
        <w:br w:type="column"/>
      </w:r>
      <w:r w:rsidR="00810748">
        <w:t>Abbreviations</w:t>
      </w:r>
    </w:p>
    <w:tbl>
      <w:tblPr>
        <w:tblStyle w:val="TableGrid"/>
        <w:tblW w:w="0" w:type="auto"/>
        <w:tblLook w:val="04A0" w:firstRow="1" w:lastRow="0" w:firstColumn="1" w:lastColumn="0" w:noHBand="0" w:noVBand="1"/>
      </w:tblPr>
      <w:tblGrid>
        <w:gridCol w:w="2187"/>
        <w:gridCol w:w="6109"/>
      </w:tblGrid>
      <w:tr w:rsidR="004429A7" w:rsidRPr="00685EA0" w14:paraId="7645D79E" w14:textId="77777777" w:rsidTr="004E59B9">
        <w:tc>
          <w:tcPr>
            <w:tcW w:w="2187" w:type="dxa"/>
          </w:tcPr>
          <w:p w14:paraId="3D773A9F" w14:textId="77777777" w:rsidR="004429A7" w:rsidRPr="00685EA0" w:rsidRDefault="004429A7" w:rsidP="00CC28F1">
            <w:pPr>
              <w:pStyle w:val="NICEnormal"/>
              <w:rPr>
                <w:rFonts w:cs="Arial"/>
                <w:b/>
                <w:bCs/>
                <w:i/>
                <w:iCs/>
              </w:rPr>
            </w:pPr>
            <w:r w:rsidRPr="00685EA0">
              <w:rPr>
                <w:rFonts w:cs="Arial"/>
                <w:b/>
                <w:bCs/>
              </w:rPr>
              <w:t>Abbreviation</w:t>
            </w:r>
          </w:p>
        </w:tc>
        <w:tc>
          <w:tcPr>
            <w:tcW w:w="6109" w:type="dxa"/>
          </w:tcPr>
          <w:p w14:paraId="2210B6E9" w14:textId="77777777" w:rsidR="004429A7" w:rsidRPr="00685EA0" w:rsidRDefault="004429A7" w:rsidP="00CC28F1">
            <w:pPr>
              <w:pStyle w:val="NICEnormal"/>
              <w:rPr>
                <w:rFonts w:cs="Arial"/>
                <w:b/>
                <w:bCs/>
                <w:i/>
                <w:iCs/>
              </w:rPr>
            </w:pPr>
            <w:r w:rsidRPr="00685EA0">
              <w:rPr>
                <w:rFonts w:cs="Arial"/>
                <w:b/>
                <w:bCs/>
              </w:rPr>
              <w:t>Description</w:t>
            </w:r>
          </w:p>
        </w:tc>
      </w:tr>
      <w:tr w:rsidR="004429A7" w:rsidRPr="00685EA0" w14:paraId="5C78FA91" w14:textId="77777777" w:rsidTr="004E59B9">
        <w:tc>
          <w:tcPr>
            <w:tcW w:w="2187" w:type="dxa"/>
          </w:tcPr>
          <w:p w14:paraId="706DB378" w14:textId="77777777" w:rsidR="004429A7" w:rsidRPr="004E59B9" w:rsidRDefault="004429A7" w:rsidP="00CC28F1">
            <w:pPr>
              <w:pStyle w:val="NICEnormal"/>
              <w:rPr>
                <w:rFonts w:cs="Arial"/>
              </w:rPr>
            </w:pPr>
            <w:bookmarkStart w:id="8" w:name="_Toc90888263"/>
            <w:bookmarkStart w:id="9" w:name="_Toc91680128"/>
            <w:bookmarkStart w:id="10" w:name="_Toc92376214"/>
            <w:r w:rsidRPr="004E59B9">
              <w:rPr>
                <w:rFonts w:cs="Arial"/>
              </w:rPr>
              <w:t>ALBs</w:t>
            </w:r>
            <w:bookmarkEnd w:id="8"/>
            <w:bookmarkEnd w:id="9"/>
            <w:bookmarkEnd w:id="10"/>
          </w:p>
        </w:tc>
        <w:tc>
          <w:tcPr>
            <w:tcW w:w="6109" w:type="dxa"/>
          </w:tcPr>
          <w:p w14:paraId="3B8AF22A" w14:textId="77777777" w:rsidR="004429A7" w:rsidRPr="004E59B9" w:rsidRDefault="004429A7" w:rsidP="00CC28F1">
            <w:pPr>
              <w:pStyle w:val="NICEnormal"/>
              <w:rPr>
                <w:rFonts w:cs="Arial"/>
              </w:rPr>
            </w:pPr>
            <w:bookmarkStart w:id="11" w:name="_Toc90888264"/>
            <w:bookmarkStart w:id="12" w:name="_Toc91680129"/>
            <w:bookmarkStart w:id="13" w:name="_Toc92376215"/>
            <w:r w:rsidRPr="004E59B9">
              <w:rPr>
                <w:rFonts w:cs="Arial"/>
              </w:rPr>
              <w:t>Arm’s length bodies</w:t>
            </w:r>
            <w:bookmarkEnd w:id="11"/>
            <w:bookmarkEnd w:id="12"/>
            <w:bookmarkEnd w:id="13"/>
          </w:p>
        </w:tc>
      </w:tr>
      <w:tr w:rsidR="004429A7" w:rsidRPr="00685EA0" w14:paraId="12C1272F" w14:textId="77777777" w:rsidTr="004E59B9">
        <w:tc>
          <w:tcPr>
            <w:tcW w:w="2187" w:type="dxa"/>
          </w:tcPr>
          <w:p w14:paraId="4819CE80" w14:textId="77777777" w:rsidR="004429A7" w:rsidRPr="004E59B9" w:rsidRDefault="004429A7" w:rsidP="00CC28F1">
            <w:pPr>
              <w:pStyle w:val="NICEnormal"/>
              <w:rPr>
                <w:rFonts w:cs="Arial"/>
              </w:rPr>
            </w:pPr>
            <w:bookmarkStart w:id="14" w:name="_Toc90888277"/>
            <w:bookmarkStart w:id="15" w:name="_Toc91680142"/>
            <w:bookmarkStart w:id="16" w:name="_Toc92376228"/>
            <w:r w:rsidRPr="004E59B9">
              <w:rPr>
                <w:rFonts w:cs="Arial"/>
              </w:rPr>
              <w:t>EDI</w:t>
            </w:r>
            <w:bookmarkEnd w:id="14"/>
            <w:bookmarkEnd w:id="15"/>
            <w:bookmarkEnd w:id="16"/>
          </w:p>
        </w:tc>
        <w:tc>
          <w:tcPr>
            <w:tcW w:w="6109" w:type="dxa"/>
          </w:tcPr>
          <w:p w14:paraId="2113E190" w14:textId="77777777" w:rsidR="004429A7" w:rsidRPr="004E59B9" w:rsidRDefault="004429A7" w:rsidP="00CC28F1">
            <w:pPr>
              <w:pStyle w:val="NICEnormal"/>
              <w:rPr>
                <w:rFonts w:cs="Arial"/>
              </w:rPr>
            </w:pPr>
            <w:bookmarkStart w:id="17" w:name="_Toc90888278"/>
            <w:bookmarkStart w:id="18" w:name="_Toc91680143"/>
            <w:bookmarkStart w:id="19" w:name="_Toc92376229"/>
            <w:r w:rsidRPr="004E59B9">
              <w:rPr>
                <w:rFonts w:cs="Arial"/>
              </w:rPr>
              <w:t xml:space="preserve">Equality, </w:t>
            </w:r>
            <w:proofErr w:type="gramStart"/>
            <w:r w:rsidRPr="004E59B9">
              <w:rPr>
                <w:rFonts w:cs="Arial"/>
              </w:rPr>
              <w:t>Diversity</w:t>
            </w:r>
            <w:proofErr w:type="gramEnd"/>
            <w:r w:rsidRPr="004E59B9">
              <w:rPr>
                <w:rFonts w:cs="Arial"/>
              </w:rPr>
              <w:t xml:space="preserve"> and Inclusion</w:t>
            </w:r>
            <w:bookmarkEnd w:id="17"/>
            <w:bookmarkEnd w:id="18"/>
            <w:bookmarkEnd w:id="19"/>
          </w:p>
        </w:tc>
      </w:tr>
      <w:tr w:rsidR="004429A7" w:rsidRPr="00685EA0" w14:paraId="77B726DD" w14:textId="77777777" w:rsidTr="004E59B9">
        <w:tc>
          <w:tcPr>
            <w:tcW w:w="2187" w:type="dxa"/>
          </w:tcPr>
          <w:p w14:paraId="6978A3FB" w14:textId="77777777" w:rsidR="004429A7" w:rsidRPr="004E59B9" w:rsidRDefault="004429A7" w:rsidP="00CC28F1">
            <w:pPr>
              <w:pStyle w:val="NICEnormal"/>
              <w:rPr>
                <w:rFonts w:cs="Arial"/>
              </w:rPr>
            </w:pPr>
            <w:r w:rsidRPr="004E59B9">
              <w:rPr>
                <w:rFonts w:cs="Arial"/>
              </w:rPr>
              <w:t>EHIA</w:t>
            </w:r>
          </w:p>
        </w:tc>
        <w:tc>
          <w:tcPr>
            <w:tcW w:w="6109" w:type="dxa"/>
          </w:tcPr>
          <w:p w14:paraId="5437B211" w14:textId="77777777" w:rsidR="004429A7" w:rsidRPr="004E59B9" w:rsidRDefault="004429A7" w:rsidP="00CC28F1">
            <w:pPr>
              <w:pStyle w:val="NICEnormal"/>
              <w:rPr>
                <w:rFonts w:cs="Arial"/>
              </w:rPr>
            </w:pPr>
            <w:r w:rsidRPr="004E59B9">
              <w:rPr>
                <w:rFonts w:cs="Arial"/>
              </w:rPr>
              <w:t>Equality and Health Inequality Impact Assessment</w:t>
            </w:r>
          </w:p>
        </w:tc>
      </w:tr>
      <w:tr w:rsidR="004429A7" w:rsidRPr="00685EA0" w14:paraId="44C12931" w14:textId="77777777" w:rsidTr="004E59B9">
        <w:tc>
          <w:tcPr>
            <w:tcW w:w="2187" w:type="dxa"/>
          </w:tcPr>
          <w:p w14:paraId="58B8DF81" w14:textId="77777777" w:rsidR="004429A7" w:rsidRPr="004E59B9" w:rsidRDefault="004429A7" w:rsidP="00CC28F1">
            <w:pPr>
              <w:pStyle w:val="NICEnormal"/>
              <w:rPr>
                <w:rFonts w:cs="Arial"/>
              </w:rPr>
            </w:pPr>
            <w:bookmarkStart w:id="20" w:name="_Toc90888289"/>
            <w:bookmarkStart w:id="21" w:name="_Toc91680154"/>
            <w:bookmarkStart w:id="22" w:name="_Toc92376240"/>
            <w:r w:rsidRPr="004E59B9">
              <w:rPr>
                <w:rFonts w:cs="Arial"/>
              </w:rPr>
              <w:t>FTE</w:t>
            </w:r>
            <w:bookmarkEnd w:id="20"/>
            <w:bookmarkEnd w:id="21"/>
            <w:bookmarkEnd w:id="22"/>
          </w:p>
        </w:tc>
        <w:tc>
          <w:tcPr>
            <w:tcW w:w="6109" w:type="dxa"/>
          </w:tcPr>
          <w:p w14:paraId="47633A52" w14:textId="77777777" w:rsidR="004429A7" w:rsidRPr="004E59B9" w:rsidRDefault="004429A7" w:rsidP="00CC28F1">
            <w:pPr>
              <w:pStyle w:val="NICEnormal"/>
              <w:rPr>
                <w:rFonts w:cs="Arial"/>
              </w:rPr>
            </w:pPr>
            <w:bookmarkStart w:id="23" w:name="_Toc90888290"/>
            <w:bookmarkStart w:id="24" w:name="_Toc91680155"/>
            <w:bookmarkStart w:id="25" w:name="_Toc92376241"/>
            <w:r w:rsidRPr="004E59B9">
              <w:rPr>
                <w:rFonts w:cs="Arial"/>
              </w:rPr>
              <w:t>Full-Time Equivalent</w:t>
            </w:r>
            <w:bookmarkEnd w:id="23"/>
            <w:bookmarkEnd w:id="24"/>
            <w:bookmarkEnd w:id="25"/>
          </w:p>
        </w:tc>
      </w:tr>
      <w:tr w:rsidR="004429A7" w:rsidRPr="00685EA0" w14:paraId="510D8B7E" w14:textId="77777777" w:rsidTr="004E59B9">
        <w:tc>
          <w:tcPr>
            <w:tcW w:w="2187" w:type="dxa"/>
          </w:tcPr>
          <w:p w14:paraId="59990C1E" w14:textId="77777777" w:rsidR="004429A7" w:rsidRPr="004E59B9" w:rsidRDefault="004429A7" w:rsidP="00CC28F1">
            <w:pPr>
              <w:pStyle w:val="NICEnormal"/>
              <w:rPr>
                <w:rFonts w:cs="Arial"/>
              </w:rPr>
            </w:pPr>
            <w:bookmarkStart w:id="26" w:name="_Toc90888299"/>
            <w:bookmarkStart w:id="27" w:name="_Toc91680164"/>
            <w:bookmarkStart w:id="28" w:name="_Toc92376250"/>
            <w:r w:rsidRPr="004E59B9">
              <w:rPr>
                <w:rFonts w:cs="Arial"/>
              </w:rPr>
              <w:t>LGBTQ+</w:t>
            </w:r>
            <w:bookmarkEnd w:id="26"/>
            <w:bookmarkEnd w:id="27"/>
            <w:bookmarkEnd w:id="28"/>
          </w:p>
        </w:tc>
        <w:tc>
          <w:tcPr>
            <w:tcW w:w="6109" w:type="dxa"/>
          </w:tcPr>
          <w:p w14:paraId="5F72C572" w14:textId="77777777" w:rsidR="004429A7" w:rsidRPr="004E59B9" w:rsidRDefault="004429A7" w:rsidP="00CC28F1">
            <w:pPr>
              <w:pStyle w:val="NICEnormal"/>
              <w:rPr>
                <w:rFonts w:cs="Arial"/>
              </w:rPr>
            </w:pPr>
            <w:bookmarkStart w:id="29" w:name="_Toc90888300"/>
            <w:bookmarkStart w:id="30" w:name="_Toc91680165"/>
            <w:bookmarkStart w:id="31" w:name="_Toc92376251"/>
            <w:r w:rsidRPr="004E59B9">
              <w:rPr>
                <w:rFonts w:cs="Arial"/>
              </w:rPr>
              <w:t xml:space="preserve">Lesbian, Gay, Bisexual, Transgender, </w:t>
            </w:r>
            <w:proofErr w:type="gramStart"/>
            <w:r w:rsidRPr="004E59B9">
              <w:rPr>
                <w:rFonts w:cs="Arial"/>
              </w:rPr>
              <w:t>Queer</w:t>
            </w:r>
            <w:proofErr w:type="gramEnd"/>
            <w:r w:rsidRPr="004E59B9">
              <w:rPr>
                <w:rFonts w:cs="Arial"/>
              </w:rPr>
              <w:t xml:space="preserve"> and others</w:t>
            </w:r>
            <w:bookmarkEnd w:id="29"/>
            <w:bookmarkEnd w:id="30"/>
            <w:bookmarkEnd w:id="31"/>
          </w:p>
        </w:tc>
      </w:tr>
      <w:tr w:rsidR="004429A7" w:rsidRPr="00685EA0" w14:paraId="27ED8349" w14:textId="77777777" w:rsidTr="004E59B9">
        <w:tc>
          <w:tcPr>
            <w:tcW w:w="2187" w:type="dxa"/>
          </w:tcPr>
          <w:p w14:paraId="0FAD3BE4" w14:textId="77777777" w:rsidR="004429A7" w:rsidRPr="004E59B9" w:rsidRDefault="004429A7" w:rsidP="00CC28F1">
            <w:pPr>
              <w:pStyle w:val="NICEnormal"/>
              <w:rPr>
                <w:rFonts w:cs="Arial"/>
              </w:rPr>
            </w:pPr>
            <w:bookmarkStart w:id="32" w:name="_Toc90888301"/>
            <w:bookmarkStart w:id="33" w:name="_Toc91680166"/>
            <w:bookmarkStart w:id="34" w:name="_Toc92376252"/>
            <w:r w:rsidRPr="004E59B9">
              <w:rPr>
                <w:rFonts w:cs="Arial"/>
              </w:rPr>
              <w:t>LTR</w:t>
            </w:r>
            <w:bookmarkEnd w:id="32"/>
            <w:bookmarkEnd w:id="33"/>
            <w:bookmarkEnd w:id="34"/>
          </w:p>
        </w:tc>
        <w:tc>
          <w:tcPr>
            <w:tcW w:w="6109" w:type="dxa"/>
          </w:tcPr>
          <w:p w14:paraId="03DF4883" w14:textId="77777777" w:rsidR="004429A7" w:rsidRPr="004E59B9" w:rsidRDefault="004429A7" w:rsidP="00CC28F1">
            <w:pPr>
              <w:pStyle w:val="NICEnormal"/>
              <w:rPr>
                <w:rFonts w:cs="Arial"/>
              </w:rPr>
            </w:pPr>
            <w:bookmarkStart w:id="35" w:name="_Toc90888302"/>
            <w:bookmarkStart w:id="36" w:name="_Toc91680167"/>
            <w:bookmarkStart w:id="37" w:name="_Toc92376253"/>
            <w:r w:rsidRPr="004E59B9">
              <w:rPr>
                <w:rFonts w:cs="Arial"/>
              </w:rPr>
              <w:t>Labour Turnover Rate</w:t>
            </w:r>
            <w:bookmarkEnd w:id="35"/>
            <w:bookmarkEnd w:id="36"/>
            <w:bookmarkEnd w:id="37"/>
          </w:p>
        </w:tc>
      </w:tr>
      <w:tr w:rsidR="004429A7" w:rsidRPr="00685EA0" w14:paraId="40F63F4B" w14:textId="77777777" w:rsidTr="004E59B9">
        <w:tc>
          <w:tcPr>
            <w:tcW w:w="2187" w:type="dxa"/>
            <w:shd w:val="clear" w:color="auto" w:fill="auto"/>
          </w:tcPr>
          <w:p w14:paraId="1E0CF820" w14:textId="77777777" w:rsidR="004429A7" w:rsidRPr="004E59B9" w:rsidRDefault="004429A7" w:rsidP="00CC28F1">
            <w:pPr>
              <w:pStyle w:val="NICEnormal"/>
              <w:rPr>
                <w:rFonts w:cs="Arial"/>
              </w:rPr>
            </w:pPr>
            <w:r w:rsidRPr="004E59B9">
              <w:rPr>
                <w:rFonts w:cs="Arial"/>
              </w:rPr>
              <w:t>NICE</w:t>
            </w:r>
          </w:p>
        </w:tc>
        <w:tc>
          <w:tcPr>
            <w:tcW w:w="6109" w:type="dxa"/>
            <w:shd w:val="clear" w:color="auto" w:fill="auto"/>
          </w:tcPr>
          <w:p w14:paraId="7297B48B" w14:textId="77777777" w:rsidR="004429A7" w:rsidRPr="004E59B9" w:rsidRDefault="004429A7" w:rsidP="00CC28F1">
            <w:pPr>
              <w:pStyle w:val="NICEnormal"/>
              <w:rPr>
                <w:rFonts w:cs="Arial"/>
              </w:rPr>
            </w:pPr>
            <w:r w:rsidRPr="004E59B9">
              <w:rPr>
                <w:rFonts w:cs="Arial"/>
              </w:rPr>
              <w:t>National Institute for Health and Care Excellence</w:t>
            </w:r>
          </w:p>
        </w:tc>
      </w:tr>
    </w:tbl>
    <w:p w14:paraId="0D12BB96" w14:textId="77777777" w:rsidR="00DB0A63" w:rsidRDefault="00DB0A63" w:rsidP="00B96368">
      <w:pPr>
        <w:pStyle w:val="NICEnormalnumbered"/>
      </w:pPr>
    </w:p>
    <w:p w14:paraId="1B961B83" w14:textId="1816F975" w:rsidR="00594C3A" w:rsidRPr="00CF2E5C" w:rsidRDefault="00D530A9" w:rsidP="00B96368">
      <w:pPr>
        <w:pStyle w:val="NICEnormalnumbered"/>
      </w:pPr>
      <w:r w:rsidRPr="006D28B8">
        <w:t xml:space="preserve">© NICE 2022. All rights reserved. </w:t>
      </w:r>
      <w:hyperlink r:id="rId20" w:anchor="notice-of-rights" w:history="1">
        <w:r w:rsidRPr="006D28B8">
          <w:rPr>
            <w:rStyle w:val="Hyperlink"/>
            <w:rFonts w:cs="Arial"/>
          </w:rPr>
          <w:t>Subject to Notice of rights</w:t>
        </w:r>
      </w:hyperlink>
      <w:r w:rsidRPr="006D28B8">
        <w:t>.</w:t>
      </w:r>
    </w:p>
    <w:sectPr w:rsidR="00594C3A" w:rsidRPr="00CF2E5C" w:rsidSect="008F6FB7">
      <w:footerReference w:type="default" r:id="rId21"/>
      <w:headerReference w:type="first" r:id="rId22"/>
      <w:footerReference w:type="first" r:id="rId2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1589" w14:textId="77777777" w:rsidR="00754F4C" w:rsidRDefault="00754F4C" w:rsidP="00446BEE">
      <w:r>
        <w:separator/>
      </w:r>
    </w:p>
  </w:endnote>
  <w:endnote w:type="continuationSeparator" w:id="0">
    <w:p w14:paraId="7D96C1CF" w14:textId="77777777" w:rsidR="00754F4C" w:rsidRDefault="00754F4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2710" w14:textId="5A0AD68C" w:rsidR="00446BEE" w:rsidRDefault="00B96368" w:rsidP="00446BEE">
    <w:pPr>
      <w:pStyle w:val="Footer"/>
    </w:pPr>
    <w:r>
      <w:t>Annual equality report 2021/22</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p w14:paraId="62A96CAC" w14:textId="77777777" w:rsidR="00446BEE" w:rsidRDefault="00446BEE">
    <w:pPr>
      <w:pStyle w:val="Footer"/>
    </w:pPr>
  </w:p>
  <w:p w14:paraId="18BAF6DA"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25D16416" w14:textId="30624180" w:rsidR="008E7826" w:rsidRDefault="00B96368" w:rsidP="008E7826">
            <w:pPr>
              <w:pStyle w:val="Footer"/>
            </w:pPr>
            <w:r>
              <w:t>Annual equality report 2021/22</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E74A" w14:textId="77777777" w:rsidR="00754F4C" w:rsidRDefault="00754F4C" w:rsidP="00446BEE">
      <w:r>
        <w:separator/>
      </w:r>
    </w:p>
  </w:footnote>
  <w:footnote w:type="continuationSeparator" w:id="0">
    <w:p w14:paraId="01C7AB03" w14:textId="77777777" w:rsidR="00754F4C" w:rsidRDefault="00754F4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3E56" w14:textId="77777777" w:rsidR="008F6FB7" w:rsidRDefault="008F6FB7">
    <w:pPr>
      <w:pStyle w:val="Header"/>
    </w:pPr>
    <w:r>
      <w:rPr>
        <w:noProof/>
      </w:rPr>
      <w:drawing>
        <wp:inline distT="0" distB="0" distL="0" distR="0" wp14:anchorId="369619E4" wp14:editId="41861428">
          <wp:extent cx="2444400" cy="252000"/>
          <wp:effectExtent l="0" t="0" r="0" b="0"/>
          <wp:docPr id="61" name="Picture 6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D1159"/>
    <w:multiLevelType w:val="hybridMultilevel"/>
    <w:tmpl w:val="B6BE4BF4"/>
    <w:lvl w:ilvl="0" w:tplc="FFFFFFFF">
      <w:start w:val="1"/>
      <w:numFmt w:val="decimal"/>
      <w:lvlText w:val="%1."/>
      <w:lvlJc w:val="left"/>
      <w:pPr>
        <w:ind w:left="502"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587615"/>
    <w:multiLevelType w:val="hybridMultilevel"/>
    <w:tmpl w:val="2B56EEF0"/>
    <w:lvl w:ilvl="0" w:tplc="9B827A9E">
      <w:start w:val="1"/>
      <w:numFmt w:val="decimal"/>
      <w:lvlText w:val="%1."/>
      <w:lvlJc w:val="left"/>
      <w:pPr>
        <w:ind w:left="502"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1E5C78"/>
    <w:multiLevelType w:val="hybridMultilevel"/>
    <w:tmpl w:val="2892B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F37CCA"/>
    <w:multiLevelType w:val="hybridMultilevel"/>
    <w:tmpl w:val="2F32FC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B15778"/>
    <w:multiLevelType w:val="hybridMultilevel"/>
    <w:tmpl w:val="AB14C6B6"/>
    <w:lvl w:ilvl="0" w:tplc="FFFFFFFF">
      <w:start w:val="1"/>
      <w:numFmt w:val="decimal"/>
      <w:lvlText w:val="%1."/>
      <w:lvlJc w:val="left"/>
      <w:pPr>
        <w:ind w:left="502"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4"/>
  </w:num>
  <w:num w:numId="2" w16cid:durableId="1271931310">
    <w:abstractNumId w:val="18"/>
  </w:num>
  <w:num w:numId="3" w16cid:durableId="987441700">
    <w:abstractNumId w:val="18"/>
    <w:lvlOverride w:ilvl="0">
      <w:startOverride w:val="1"/>
    </w:lvlOverride>
  </w:num>
  <w:num w:numId="4" w16cid:durableId="1499422565">
    <w:abstractNumId w:val="18"/>
    <w:lvlOverride w:ilvl="0">
      <w:startOverride w:val="1"/>
    </w:lvlOverride>
  </w:num>
  <w:num w:numId="5" w16cid:durableId="2069916214">
    <w:abstractNumId w:val="18"/>
    <w:lvlOverride w:ilvl="0">
      <w:startOverride w:val="1"/>
    </w:lvlOverride>
  </w:num>
  <w:num w:numId="6" w16cid:durableId="1714303981">
    <w:abstractNumId w:val="18"/>
    <w:lvlOverride w:ilvl="0">
      <w:startOverride w:val="1"/>
    </w:lvlOverride>
  </w:num>
  <w:num w:numId="7" w16cid:durableId="1383334273">
    <w:abstractNumId w:val="18"/>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1"/>
  </w:num>
  <w:num w:numId="19" w16cid:durableId="1373924523">
    <w:abstractNumId w:val="11"/>
    <w:lvlOverride w:ilvl="0">
      <w:startOverride w:val="1"/>
    </w:lvlOverride>
  </w:num>
  <w:num w:numId="20" w16cid:durableId="399716702">
    <w:abstractNumId w:val="14"/>
  </w:num>
  <w:num w:numId="21" w16cid:durableId="1595244151">
    <w:abstractNumId w:val="18"/>
  </w:num>
  <w:num w:numId="22" w16cid:durableId="368646558">
    <w:abstractNumId w:val="11"/>
  </w:num>
  <w:num w:numId="23" w16cid:durableId="534393170">
    <w:abstractNumId w:val="17"/>
  </w:num>
  <w:num w:numId="24" w16cid:durableId="609512517">
    <w:abstractNumId w:val="19"/>
  </w:num>
  <w:num w:numId="25" w16cid:durableId="306475642">
    <w:abstractNumId w:val="13"/>
  </w:num>
  <w:num w:numId="26" w16cid:durableId="1982617497">
    <w:abstractNumId w:val="12"/>
  </w:num>
  <w:num w:numId="27" w16cid:durableId="1440101185">
    <w:abstractNumId w:val="15"/>
  </w:num>
  <w:num w:numId="28" w16cid:durableId="990868776">
    <w:abstractNumId w:val="10"/>
  </w:num>
  <w:num w:numId="29" w16cid:durableId="2596017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F4C"/>
    <w:rsid w:val="000053F8"/>
    <w:rsid w:val="00024D0A"/>
    <w:rsid w:val="00070065"/>
    <w:rsid w:val="000A352B"/>
    <w:rsid w:val="000A4FEE"/>
    <w:rsid w:val="000B5939"/>
    <w:rsid w:val="001134E7"/>
    <w:rsid w:val="001336FF"/>
    <w:rsid w:val="00136206"/>
    <w:rsid w:val="00147C68"/>
    <w:rsid w:val="00157BBE"/>
    <w:rsid w:val="0017169E"/>
    <w:rsid w:val="0018209D"/>
    <w:rsid w:val="001A6635"/>
    <w:rsid w:val="001B0EE9"/>
    <w:rsid w:val="001B6545"/>
    <w:rsid w:val="001B65B3"/>
    <w:rsid w:val="001C6979"/>
    <w:rsid w:val="001D062D"/>
    <w:rsid w:val="001D106C"/>
    <w:rsid w:val="001E60D6"/>
    <w:rsid w:val="002115F6"/>
    <w:rsid w:val="002124D5"/>
    <w:rsid w:val="002408EA"/>
    <w:rsid w:val="0025603E"/>
    <w:rsid w:val="002819D7"/>
    <w:rsid w:val="002C1A7E"/>
    <w:rsid w:val="002D3376"/>
    <w:rsid w:val="00311ED0"/>
    <w:rsid w:val="00320BA3"/>
    <w:rsid w:val="00363BC0"/>
    <w:rsid w:val="003648C5"/>
    <w:rsid w:val="003722FA"/>
    <w:rsid w:val="00397446"/>
    <w:rsid w:val="003C7AAF"/>
    <w:rsid w:val="003E0007"/>
    <w:rsid w:val="003F0A04"/>
    <w:rsid w:val="003F1C1C"/>
    <w:rsid w:val="004011DD"/>
    <w:rsid w:val="00402551"/>
    <w:rsid w:val="004075B6"/>
    <w:rsid w:val="00420952"/>
    <w:rsid w:val="004429A7"/>
    <w:rsid w:val="00446BEE"/>
    <w:rsid w:val="004A2043"/>
    <w:rsid w:val="004C58F4"/>
    <w:rsid w:val="004E0313"/>
    <w:rsid w:val="004E59B9"/>
    <w:rsid w:val="005025A1"/>
    <w:rsid w:val="0054524D"/>
    <w:rsid w:val="00557E62"/>
    <w:rsid w:val="00566906"/>
    <w:rsid w:val="0059075F"/>
    <w:rsid w:val="00594C3A"/>
    <w:rsid w:val="005A02D5"/>
    <w:rsid w:val="005D52D0"/>
    <w:rsid w:val="005E24F2"/>
    <w:rsid w:val="00613481"/>
    <w:rsid w:val="00624140"/>
    <w:rsid w:val="00630525"/>
    <w:rsid w:val="006709A9"/>
    <w:rsid w:val="006802A7"/>
    <w:rsid w:val="006921E1"/>
    <w:rsid w:val="00696C0A"/>
    <w:rsid w:val="006A28FB"/>
    <w:rsid w:val="006C060D"/>
    <w:rsid w:val="00735645"/>
    <w:rsid w:val="00736348"/>
    <w:rsid w:val="00754F4C"/>
    <w:rsid w:val="0077376B"/>
    <w:rsid w:val="00776658"/>
    <w:rsid w:val="00781C41"/>
    <w:rsid w:val="007A3EC5"/>
    <w:rsid w:val="007A77C1"/>
    <w:rsid w:val="007C096B"/>
    <w:rsid w:val="007C6455"/>
    <w:rsid w:val="00804061"/>
    <w:rsid w:val="00810748"/>
    <w:rsid w:val="00825F66"/>
    <w:rsid w:val="00833D8A"/>
    <w:rsid w:val="00861B92"/>
    <w:rsid w:val="00877408"/>
    <w:rsid w:val="008814FB"/>
    <w:rsid w:val="008A41BF"/>
    <w:rsid w:val="008D5095"/>
    <w:rsid w:val="008E20A6"/>
    <w:rsid w:val="008E7826"/>
    <w:rsid w:val="008F5E30"/>
    <w:rsid w:val="008F6FB7"/>
    <w:rsid w:val="00914D7F"/>
    <w:rsid w:val="00925D6A"/>
    <w:rsid w:val="00966263"/>
    <w:rsid w:val="0097305A"/>
    <w:rsid w:val="00976DC9"/>
    <w:rsid w:val="00987DCF"/>
    <w:rsid w:val="009D017B"/>
    <w:rsid w:val="009E680B"/>
    <w:rsid w:val="00A15A1F"/>
    <w:rsid w:val="00A27E1B"/>
    <w:rsid w:val="00A3325A"/>
    <w:rsid w:val="00A43013"/>
    <w:rsid w:val="00A45A47"/>
    <w:rsid w:val="00AF108A"/>
    <w:rsid w:val="00B02E55"/>
    <w:rsid w:val="00B036C1"/>
    <w:rsid w:val="00B5431F"/>
    <w:rsid w:val="00B55349"/>
    <w:rsid w:val="00B65A11"/>
    <w:rsid w:val="00B73D52"/>
    <w:rsid w:val="00B86FE7"/>
    <w:rsid w:val="00B96368"/>
    <w:rsid w:val="00BA185E"/>
    <w:rsid w:val="00BC184B"/>
    <w:rsid w:val="00BF7FE0"/>
    <w:rsid w:val="00C36044"/>
    <w:rsid w:val="00C60230"/>
    <w:rsid w:val="00C72C25"/>
    <w:rsid w:val="00C77C66"/>
    <w:rsid w:val="00C82732"/>
    <w:rsid w:val="00C84F7A"/>
    <w:rsid w:val="00C85682"/>
    <w:rsid w:val="00C96411"/>
    <w:rsid w:val="00CB2369"/>
    <w:rsid w:val="00CF2E5C"/>
    <w:rsid w:val="00CF58B7"/>
    <w:rsid w:val="00D02A8F"/>
    <w:rsid w:val="00D14C74"/>
    <w:rsid w:val="00D1699D"/>
    <w:rsid w:val="00D351C1"/>
    <w:rsid w:val="00D35EFB"/>
    <w:rsid w:val="00D47D55"/>
    <w:rsid w:val="00D504B3"/>
    <w:rsid w:val="00D530A9"/>
    <w:rsid w:val="00D7236D"/>
    <w:rsid w:val="00D80FC9"/>
    <w:rsid w:val="00D86BF0"/>
    <w:rsid w:val="00DB0A63"/>
    <w:rsid w:val="00DC29E7"/>
    <w:rsid w:val="00E51079"/>
    <w:rsid w:val="00E51920"/>
    <w:rsid w:val="00E64120"/>
    <w:rsid w:val="00E660A1"/>
    <w:rsid w:val="00E72AE9"/>
    <w:rsid w:val="00E8026A"/>
    <w:rsid w:val="00E851C4"/>
    <w:rsid w:val="00EB096F"/>
    <w:rsid w:val="00EB0BE0"/>
    <w:rsid w:val="00ED504D"/>
    <w:rsid w:val="00F002F4"/>
    <w:rsid w:val="00F055F1"/>
    <w:rsid w:val="00F457EC"/>
    <w:rsid w:val="00F610AF"/>
    <w:rsid w:val="00FA2C5A"/>
    <w:rsid w:val="00FC2D11"/>
    <w:rsid w:val="00FC6230"/>
    <w:rsid w:val="00FF1CD9"/>
    <w:rsid w:val="00FF52C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7E4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9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NICEnormal">
    <w:name w:val="NICE normal"/>
    <w:link w:val="NICEnormalChar"/>
    <w:qFormat/>
    <w:rsid w:val="00D530A9"/>
    <w:pPr>
      <w:spacing w:after="240" w:line="360" w:lineRule="auto"/>
    </w:pPr>
    <w:rPr>
      <w:rFonts w:ascii="Arial" w:hAnsi="Arial"/>
      <w:sz w:val="24"/>
      <w:szCs w:val="24"/>
      <w:lang w:eastAsia="en-US"/>
    </w:rPr>
  </w:style>
  <w:style w:type="character" w:customStyle="1" w:styleId="NICEnormalChar">
    <w:name w:val="NICE normal Char"/>
    <w:link w:val="NICEnormal"/>
    <w:rsid w:val="00D530A9"/>
    <w:rPr>
      <w:rFonts w:ascii="Arial" w:hAnsi="Arial"/>
      <w:sz w:val="24"/>
      <w:szCs w:val="24"/>
      <w:lang w:eastAsia="en-US"/>
    </w:rPr>
  </w:style>
  <w:style w:type="paragraph" w:customStyle="1" w:styleId="Heading1boardreport">
    <w:name w:val="Heading 1 board report"/>
    <w:basedOn w:val="Heading1"/>
    <w:next w:val="NICEnormal"/>
    <w:link w:val="Heading1boardreportChar"/>
    <w:qFormat/>
    <w:rsid w:val="00D530A9"/>
    <w:rPr>
      <w:color w:val="00506A"/>
    </w:rPr>
  </w:style>
  <w:style w:type="character" w:customStyle="1" w:styleId="Heading1boardreportChar">
    <w:name w:val="Heading 1 board report Char"/>
    <w:basedOn w:val="Heading1Char"/>
    <w:link w:val="Heading1boardreport"/>
    <w:rsid w:val="00D530A9"/>
    <w:rPr>
      <w:rFonts w:ascii="Arial" w:hAnsi="Arial" w:cs="Arial"/>
      <w:b/>
      <w:bCs/>
      <w:color w:val="00506A"/>
      <w:kern w:val="32"/>
      <w:sz w:val="32"/>
      <w:szCs w:val="32"/>
      <w:lang w:eastAsia="en-US"/>
    </w:rPr>
  </w:style>
  <w:style w:type="paragraph" w:customStyle="1" w:styleId="NICEnormalnumbered">
    <w:name w:val="NICE normal numbered"/>
    <w:basedOn w:val="Paragraph"/>
    <w:qFormat/>
    <w:rsid w:val="00D530A9"/>
    <w:pPr>
      <w:tabs>
        <w:tab w:val="left" w:pos="709"/>
      </w:tabs>
      <w:spacing w:after="120"/>
    </w:pPr>
    <w:rPr>
      <w:lang w:eastAsia="en-GB"/>
    </w:rPr>
  </w:style>
  <w:style w:type="paragraph" w:customStyle="1" w:styleId="Heading3boardreport">
    <w:name w:val="Heading 3 board report"/>
    <w:basedOn w:val="Heading3"/>
    <w:next w:val="NICEnormal"/>
    <w:qFormat/>
    <w:rsid w:val="00D530A9"/>
    <w:rPr>
      <w:color w:val="00506A"/>
      <w:szCs w:val="26"/>
    </w:rPr>
  </w:style>
  <w:style w:type="paragraph" w:styleId="NormalWeb">
    <w:name w:val="Normal (Web)"/>
    <w:basedOn w:val="Normal"/>
    <w:uiPriority w:val="99"/>
    <w:semiHidden/>
    <w:unhideWhenUsed/>
    <w:rsid w:val="004011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7374">
      <w:bodyDiv w:val="1"/>
      <w:marLeft w:val="0"/>
      <w:marRight w:val="0"/>
      <w:marTop w:val="0"/>
      <w:marBottom w:val="0"/>
      <w:divBdr>
        <w:top w:val="none" w:sz="0" w:space="0" w:color="auto"/>
        <w:left w:val="none" w:sz="0" w:space="0" w:color="auto"/>
        <w:bottom w:val="none" w:sz="0" w:space="0" w:color="auto"/>
        <w:right w:val="none" w:sz="0" w:space="0" w:color="auto"/>
      </w:divBdr>
    </w:div>
    <w:div w:id="1625115585">
      <w:bodyDiv w:val="1"/>
      <w:marLeft w:val="0"/>
      <w:marRight w:val="0"/>
      <w:marTop w:val="0"/>
      <w:marBottom w:val="0"/>
      <w:divBdr>
        <w:top w:val="none" w:sz="0" w:space="0" w:color="auto"/>
        <w:left w:val="none" w:sz="0" w:space="0" w:color="auto"/>
        <w:bottom w:val="none" w:sz="0" w:space="0" w:color="auto"/>
        <w:right w:val="none" w:sz="0" w:space="0" w:color="auto"/>
      </w:divBdr>
    </w:div>
    <w:div w:id="19209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nice.org.uk/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1351</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2022-09-12T19:29:00Z</dcterms:created>
  <dcterms:modified xsi:type="dcterms:W3CDTF">2022-09-27T12:35:00Z</dcterms:modified>
</cp:coreProperties>
</file>