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122DDEF5" w:rsidR="00975C12" w:rsidRPr="00F40D3F" w:rsidRDefault="00975C12" w:rsidP="00975C12">
      <w:pPr>
        <w:pStyle w:val="Heading1"/>
        <w:jc w:val="center"/>
      </w:pPr>
      <w:r w:rsidRPr="00F40D3F">
        <w:t xml:space="preserve">Minutes of the meeting held on </w:t>
      </w:r>
      <w:r w:rsidR="00892B11">
        <w:t>7 January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1F261591" w14:textId="30763212" w:rsidR="00892B11" w:rsidRPr="002D6B0B" w:rsidRDefault="00892B11" w:rsidP="00892B11">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Gill Leng</w:t>
      </w:r>
      <w:r w:rsidRPr="002D6B0B">
        <w:rPr>
          <w:rFonts w:cs="Arial"/>
          <w:color w:val="000000" w:themeColor="text1"/>
          <w:sz w:val="22"/>
          <w:szCs w:val="22"/>
          <w:lang w:val="en-GB"/>
        </w:rPr>
        <w:tab/>
      </w:r>
      <w:r>
        <w:rPr>
          <w:rFonts w:cs="Arial"/>
          <w:color w:val="000000" w:themeColor="text1"/>
          <w:sz w:val="22"/>
          <w:szCs w:val="22"/>
          <w:lang w:val="en-GB"/>
        </w:rPr>
        <w:t xml:space="preserve">Deputy Chief Executive and </w:t>
      </w:r>
      <w:r w:rsidRPr="002D6B0B">
        <w:rPr>
          <w:rFonts w:cs="Arial"/>
          <w:color w:val="000000" w:themeColor="text1"/>
          <w:sz w:val="22"/>
          <w:szCs w:val="22"/>
          <w:lang w:val="en-GB"/>
        </w:rPr>
        <w:t xml:space="preserve">Director – Health and Social Care </w:t>
      </w:r>
    </w:p>
    <w:p w14:paraId="7B11A71D" w14:textId="416BB900" w:rsidR="00B12D48" w:rsidRDefault="00B12D48"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Meindert Boysen </w:t>
      </w:r>
      <w:r>
        <w:rPr>
          <w:rFonts w:cs="Arial"/>
          <w:color w:val="000000" w:themeColor="text1"/>
          <w:sz w:val="22"/>
          <w:szCs w:val="22"/>
          <w:lang w:val="en-GB"/>
        </w:rPr>
        <w:tab/>
        <w:t xml:space="preserve">Director – Centre for Health Technology Evaluation </w:t>
      </w:r>
    </w:p>
    <w:p w14:paraId="7BB11027" w14:textId="4624565A"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01E2B1D4" w14:textId="446CAD7A" w:rsidR="007D0457" w:rsidRPr="002D6B0B"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Jane Gizbert</w:t>
      </w:r>
      <w:r w:rsidRPr="002D6B0B">
        <w:rPr>
          <w:rFonts w:cs="Arial"/>
          <w:color w:val="000000" w:themeColor="text1"/>
          <w:sz w:val="22"/>
          <w:szCs w:val="22"/>
          <w:lang w:val="en-GB"/>
        </w:rPr>
        <w:tab/>
        <w:t>Director – Communications</w:t>
      </w:r>
    </w:p>
    <w:p w14:paraId="7ADF7393" w14:textId="06E7F810" w:rsidR="00777395" w:rsidRPr="002D6B0B"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Alexia Tonnel</w:t>
      </w:r>
      <w:r w:rsidRPr="002D6B0B">
        <w:rPr>
          <w:rFonts w:cs="Arial"/>
          <w:color w:val="000000" w:themeColor="text1"/>
          <w:sz w:val="22"/>
          <w:szCs w:val="22"/>
          <w:lang w:val="en-GB"/>
        </w:rPr>
        <w:tab/>
        <w:t>Director – Evidence Resources</w:t>
      </w:r>
      <w:r w:rsidR="005360F2" w:rsidRPr="002D6B0B">
        <w:rPr>
          <w:rFonts w:cs="Arial"/>
          <w:color w:val="000000" w:themeColor="text1"/>
          <w:sz w:val="22"/>
          <w:szCs w:val="22"/>
          <w:lang w:val="en-GB"/>
        </w:rPr>
        <w:t xml:space="preserve"> </w:t>
      </w:r>
    </w:p>
    <w:p w14:paraId="5081CA70" w14:textId="535B8FCF" w:rsidR="00892B11" w:rsidRPr="00B12D48" w:rsidRDefault="00892B11" w:rsidP="00892B11">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r>
      <w:r>
        <w:rPr>
          <w:rFonts w:ascii="Arial" w:hAnsi="Arial" w:cs="Arial"/>
          <w:sz w:val="22"/>
          <w:szCs w:val="22"/>
        </w:rPr>
        <w:t xml:space="preserve">Acting </w:t>
      </w:r>
      <w:r w:rsidRPr="00B12D48">
        <w:rPr>
          <w:rFonts w:ascii="Arial" w:hAnsi="Arial" w:cs="Arial"/>
          <w:sz w:val="22"/>
          <w:szCs w:val="22"/>
        </w:rPr>
        <w:t>Business Planning and Resources Director</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6B528AAB" w14:textId="313BFD7B" w:rsidR="00274962" w:rsidRPr="00274962" w:rsidRDefault="00274962" w:rsidP="00274962">
      <w:pPr>
        <w:pStyle w:val="NICEnormal"/>
        <w:spacing w:after="0" w:line="240" w:lineRule="auto"/>
        <w:ind w:left="2160" w:hanging="2160"/>
        <w:rPr>
          <w:rFonts w:cs="Arial"/>
          <w:color w:val="000000" w:themeColor="text1"/>
          <w:sz w:val="22"/>
          <w:szCs w:val="22"/>
          <w:lang w:val="en-GB"/>
        </w:rPr>
      </w:pPr>
      <w:r w:rsidRPr="00274962">
        <w:rPr>
          <w:rFonts w:cs="Arial"/>
          <w:color w:val="000000" w:themeColor="text1"/>
          <w:sz w:val="22"/>
          <w:szCs w:val="22"/>
          <w:lang w:val="en-GB"/>
        </w:rPr>
        <w:t>Nicola Bent</w:t>
      </w:r>
      <w:r w:rsidRPr="00274962">
        <w:rPr>
          <w:rFonts w:cs="Arial"/>
          <w:color w:val="000000" w:themeColor="text1"/>
          <w:sz w:val="22"/>
          <w:szCs w:val="22"/>
          <w:lang w:val="en-GB"/>
        </w:rPr>
        <w:tab/>
        <w:t>Programme Director and Deputy Health and Social Care Director (for item 7.5)</w:t>
      </w:r>
    </w:p>
    <w:p w14:paraId="505B088E" w14:textId="784788A8" w:rsidR="00B3136A" w:rsidRPr="00274962" w:rsidRDefault="00B3136A" w:rsidP="003033D5">
      <w:pPr>
        <w:pStyle w:val="NICEnormal"/>
        <w:spacing w:after="0" w:line="240" w:lineRule="auto"/>
        <w:rPr>
          <w:rFonts w:cs="Arial"/>
          <w:color w:val="000000" w:themeColor="text1"/>
          <w:sz w:val="22"/>
          <w:szCs w:val="22"/>
          <w:lang w:val="en-GB"/>
        </w:rPr>
      </w:pPr>
      <w:r w:rsidRPr="00274962">
        <w:rPr>
          <w:rFonts w:cs="Arial"/>
          <w:color w:val="000000" w:themeColor="text1"/>
          <w:sz w:val="22"/>
          <w:szCs w:val="22"/>
          <w:lang w:val="en-GB"/>
        </w:rPr>
        <w:t>David Coombs</w:t>
      </w:r>
      <w:r w:rsidRPr="00274962">
        <w:rPr>
          <w:rFonts w:cs="Arial"/>
          <w:color w:val="000000" w:themeColor="text1"/>
          <w:sz w:val="22"/>
          <w:szCs w:val="22"/>
          <w:lang w:val="en-GB"/>
        </w:rPr>
        <w:tab/>
        <w:t>Associate Director – Corporate Office (minutes)</w:t>
      </w:r>
    </w:p>
    <w:p w14:paraId="37B5EB2B" w14:textId="4647DE83" w:rsidR="00B12D48" w:rsidRPr="00274962" w:rsidRDefault="00274962" w:rsidP="00F46C18">
      <w:pPr>
        <w:ind w:left="2160" w:hanging="2160"/>
        <w:rPr>
          <w:rFonts w:ascii="Arial" w:hAnsi="Arial" w:cs="Arial"/>
          <w:sz w:val="22"/>
          <w:szCs w:val="22"/>
        </w:rPr>
      </w:pPr>
      <w:r w:rsidRPr="00274962">
        <w:rPr>
          <w:rFonts w:ascii="Arial" w:hAnsi="Arial" w:cs="Arial"/>
          <w:sz w:val="22"/>
          <w:szCs w:val="22"/>
        </w:rPr>
        <w:t>Brad Groves</w:t>
      </w:r>
      <w:r w:rsidRPr="00274962">
        <w:rPr>
          <w:rFonts w:ascii="Arial" w:hAnsi="Arial" w:cs="Arial"/>
          <w:sz w:val="22"/>
          <w:szCs w:val="22"/>
        </w:rPr>
        <w:tab/>
        <w:t>Associate Director – Managed Access, CHTE (for item 7.4)</w:t>
      </w:r>
    </w:p>
    <w:p w14:paraId="24071E23" w14:textId="77777777" w:rsidR="00274962" w:rsidRDefault="00274962"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657F1874" w:rsidR="006F3BE2" w:rsidRDefault="002D6B0B" w:rsidP="00FF68A5">
      <w:pPr>
        <w:pStyle w:val="Numberedpara"/>
      </w:pPr>
      <w:r>
        <w:t xml:space="preserve">Apologies were received from </w:t>
      </w:r>
      <w:r w:rsidR="00665542">
        <w:t xml:space="preserve">Andrew Dillon, with Gill Leng chairing the meeting. </w:t>
      </w:r>
    </w:p>
    <w:p w14:paraId="3FD4EA6A" w14:textId="77777777"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7125D336" w:rsidR="003503B7" w:rsidRDefault="006F3BE2" w:rsidP="00FF68A5">
      <w:pPr>
        <w:pStyle w:val="Numberedpara"/>
      </w:pPr>
      <w:r>
        <w:t xml:space="preserve">The minutes of the meeting held on </w:t>
      </w:r>
      <w:r w:rsidR="00665542">
        <w:t>17</w:t>
      </w:r>
      <w:r w:rsidR="0058754B">
        <w:t xml:space="preserve"> December </w:t>
      </w:r>
      <w:r>
        <w:t>2019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51C898D6" w:rsidR="006F3BE2" w:rsidRDefault="006F3BE2" w:rsidP="00FF68A5">
      <w:pPr>
        <w:pStyle w:val="Numberedpara"/>
      </w:pPr>
      <w:r>
        <w:t xml:space="preserve">The actions from the meeting held on </w:t>
      </w:r>
      <w:r w:rsidR="0058754B">
        <w:t>1</w:t>
      </w:r>
      <w:r w:rsidR="00665542">
        <w:t>7</w:t>
      </w:r>
      <w:r w:rsidR="0058754B">
        <w:t xml:space="preserve"> December</w:t>
      </w:r>
      <w:r>
        <w:t xml:space="preserve"> 2019 were noted as complete or in hand. </w:t>
      </w:r>
    </w:p>
    <w:p w14:paraId="179C1AF8" w14:textId="77777777" w:rsidR="00274962" w:rsidRDefault="00274962" w:rsidP="00274962">
      <w:pPr>
        <w:pStyle w:val="Numberedpara"/>
        <w:numPr>
          <w:ilvl w:val="0"/>
          <w:numId w:val="0"/>
        </w:numPr>
        <w:ind w:left="357"/>
      </w:pPr>
    </w:p>
    <w:p w14:paraId="2DB34772" w14:textId="2DD76556" w:rsidR="00274962" w:rsidRDefault="0091378D" w:rsidP="00FF68A5">
      <w:pPr>
        <w:pStyle w:val="Numberedpara"/>
      </w:pPr>
      <w:r>
        <w:t xml:space="preserve">Catherine Wilkinson stated that the </w:t>
      </w:r>
      <w:r w:rsidR="002E137B">
        <w:t>proposed arrangements</w:t>
      </w:r>
      <w:r>
        <w:t xml:space="preserve"> for the </w:t>
      </w:r>
      <w:r w:rsidR="00375CA6">
        <w:t>facilities</w:t>
      </w:r>
      <w:r>
        <w:t xml:space="preserve"> and events </w:t>
      </w:r>
      <w:r w:rsidR="00375CA6">
        <w:t>functions</w:t>
      </w:r>
      <w:r>
        <w:t xml:space="preserve"> in the new London office ha</w:t>
      </w:r>
      <w:r w:rsidR="002E137B">
        <w:t>ve</w:t>
      </w:r>
      <w:r>
        <w:t xml:space="preserve"> been updated following </w:t>
      </w:r>
      <w:r w:rsidR="002E137B">
        <w:t xml:space="preserve">review by </w:t>
      </w:r>
      <w:r>
        <w:t>the other ALBs</w:t>
      </w:r>
      <w:r w:rsidR="00327AC3">
        <w:t xml:space="preserve"> moving to Stratford</w:t>
      </w:r>
      <w:r>
        <w:t>, and she would bring a revised paper to SMT.</w:t>
      </w:r>
    </w:p>
    <w:p w14:paraId="2E9795E0" w14:textId="77777777" w:rsidR="0091378D" w:rsidRDefault="0091378D" w:rsidP="0091378D">
      <w:pPr>
        <w:pStyle w:val="ListParagraph"/>
      </w:pPr>
    </w:p>
    <w:p w14:paraId="66784262" w14:textId="7EA8AB7D" w:rsidR="0091378D" w:rsidRDefault="0091378D" w:rsidP="0091378D">
      <w:pPr>
        <w:pStyle w:val="SMTActions"/>
      </w:pPr>
      <w:r>
        <w:t>ACTION: CW</w:t>
      </w:r>
    </w:p>
    <w:p w14:paraId="5B5447C2" w14:textId="47DFE37D" w:rsidR="00C12B6F" w:rsidRDefault="00C12B6F" w:rsidP="00FE4DAF">
      <w:pPr>
        <w:pStyle w:val="Numberedpara"/>
        <w:numPr>
          <w:ilvl w:val="0"/>
          <w:numId w:val="0"/>
        </w:numPr>
        <w:ind w:left="357"/>
      </w:pPr>
    </w:p>
    <w:p w14:paraId="73271922" w14:textId="74BC8D31" w:rsidR="0058754B" w:rsidRDefault="00665542" w:rsidP="0058754B">
      <w:pPr>
        <w:pStyle w:val="Heading2"/>
      </w:pPr>
      <w:r>
        <w:t>December Board Strategy meeting</w:t>
      </w:r>
      <w:r w:rsidR="0058754B">
        <w:t xml:space="preserve"> (item 6)</w:t>
      </w:r>
    </w:p>
    <w:p w14:paraId="0E979079" w14:textId="678E1B77" w:rsidR="0058754B" w:rsidRDefault="0058754B" w:rsidP="00FE4DAF">
      <w:pPr>
        <w:pStyle w:val="Numberedpara"/>
        <w:numPr>
          <w:ilvl w:val="0"/>
          <w:numId w:val="0"/>
        </w:numPr>
        <w:ind w:left="357"/>
      </w:pPr>
    </w:p>
    <w:p w14:paraId="51C09632" w14:textId="465B35E9" w:rsidR="00665542" w:rsidRDefault="0058754B" w:rsidP="00665542">
      <w:pPr>
        <w:pStyle w:val="Numberedpara"/>
      </w:pPr>
      <w:r>
        <w:t xml:space="preserve">SMT noted the </w:t>
      </w:r>
      <w:r w:rsidR="00665542">
        <w:t xml:space="preserve">actions from the December Board Strategy meeting. </w:t>
      </w:r>
    </w:p>
    <w:p w14:paraId="342FF740" w14:textId="77777777" w:rsidR="0091378D" w:rsidRDefault="0091378D" w:rsidP="0091378D">
      <w:pPr>
        <w:pStyle w:val="Numberedpara"/>
        <w:numPr>
          <w:ilvl w:val="0"/>
          <w:numId w:val="0"/>
        </w:numPr>
        <w:ind w:left="357"/>
      </w:pPr>
    </w:p>
    <w:p w14:paraId="39066B9D" w14:textId="2A101D63" w:rsidR="0091378D" w:rsidRDefault="0091378D" w:rsidP="00242DC5">
      <w:pPr>
        <w:pStyle w:val="Numberedpara"/>
      </w:pPr>
      <w:r>
        <w:t xml:space="preserve">SMT discussed the work required to refocus the EU risk register to reflect that ‘no deal’ planning has been stood down </w:t>
      </w:r>
      <w:r w:rsidR="002E137B">
        <w:t xml:space="preserve">across government </w:t>
      </w:r>
      <w:r>
        <w:t xml:space="preserve">in the expectation the withdrawal </w:t>
      </w:r>
      <w:r>
        <w:lastRenderedPageBreak/>
        <w:t xml:space="preserve">agreement </w:t>
      </w:r>
      <w:r w:rsidR="00327AC3">
        <w:t xml:space="preserve">is </w:t>
      </w:r>
      <w:r>
        <w:t>ratified later this month.</w:t>
      </w:r>
      <w:r w:rsidR="00242DC5">
        <w:t xml:space="preserve"> To provide sufficient time to engage colleagues across NICE </w:t>
      </w:r>
      <w:r w:rsidR="002E137B">
        <w:t xml:space="preserve">on the revised risk register </w:t>
      </w:r>
      <w:r w:rsidR="00242DC5">
        <w:t>i</w:t>
      </w:r>
      <w:r w:rsidR="00280CF4">
        <w:t xml:space="preserve">t was agreed to bring </w:t>
      </w:r>
      <w:r w:rsidR="002E137B">
        <w:t xml:space="preserve">this </w:t>
      </w:r>
      <w:r w:rsidR="00280CF4">
        <w:t xml:space="preserve">to the morning session of the March Board meeting, following </w:t>
      </w:r>
      <w:r w:rsidR="002E137B">
        <w:t xml:space="preserve">prior </w:t>
      </w:r>
      <w:r w:rsidR="00280CF4">
        <w:t>review by SMT. It was agreed to remove th</w:t>
      </w:r>
      <w:r w:rsidR="00242DC5">
        <w:t xml:space="preserve">e updates on EU exit </w:t>
      </w:r>
      <w:r w:rsidR="00280CF4">
        <w:t>from the January and Februar</w:t>
      </w:r>
      <w:r w:rsidR="00242DC5">
        <w:t>y</w:t>
      </w:r>
      <w:r w:rsidR="00280CF4">
        <w:t xml:space="preserve"> Board meeting agendas accordingly.</w:t>
      </w:r>
    </w:p>
    <w:p w14:paraId="0EA9D792" w14:textId="77777777" w:rsidR="00280CF4" w:rsidRDefault="00280CF4" w:rsidP="00280CF4">
      <w:pPr>
        <w:pStyle w:val="ListParagraph"/>
      </w:pPr>
    </w:p>
    <w:p w14:paraId="58AD6288" w14:textId="2D17C2D2" w:rsidR="00280CF4" w:rsidRDefault="00280CF4" w:rsidP="00280CF4">
      <w:pPr>
        <w:pStyle w:val="SMTActions"/>
      </w:pPr>
      <w:r>
        <w:t>ACTION: DC</w:t>
      </w:r>
    </w:p>
    <w:p w14:paraId="3B8FD070" w14:textId="689B978E" w:rsidR="00740321" w:rsidRDefault="00740321" w:rsidP="00740321">
      <w:pPr>
        <w:pStyle w:val="ListParagraph"/>
      </w:pPr>
    </w:p>
    <w:p w14:paraId="34120724" w14:textId="36615F70" w:rsidR="00242DC5" w:rsidRDefault="00242DC5" w:rsidP="00242DC5">
      <w:pPr>
        <w:pStyle w:val="Numberedpara"/>
      </w:pPr>
      <w:r>
        <w:t xml:space="preserve">Paul Chrisp noted that the publishing team are reviewing the revised recommendations </w:t>
      </w:r>
      <w:r w:rsidR="00154E94">
        <w:t xml:space="preserve">on aneurysm repair </w:t>
      </w:r>
      <w:r>
        <w:t>agreed by the Board to ens</w:t>
      </w:r>
      <w:r w:rsidR="00154E94">
        <w:t xml:space="preserve">ure the </w:t>
      </w:r>
      <w:r w:rsidR="00375CA6">
        <w:t>language</w:t>
      </w:r>
      <w:r w:rsidR="00154E94">
        <w:t xml:space="preserve"> is consistent with t</w:t>
      </w:r>
      <w:r w:rsidR="00375CA6">
        <w:t xml:space="preserve">he </w:t>
      </w:r>
      <w:r w:rsidR="00154E94">
        <w:t xml:space="preserve">rest of the abdominal aortic aneurysm (AAA) guideline. </w:t>
      </w:r>
      <w:r w:rsidR="002E137B">
        <w:t xml:space="preserve">Paul stated that he </w:t>
      </w:r>
      <w:r w:rsidR="00154E94">
        <w:t xml:space="preserve">would draft a letter for </w:t>
      </w:r>
      <w:r w:rsidR="00375CA6">
        <w:t>Andrew</w:t>
      </w:r>
      <w:r w:rsidR="00154E94">
        <w:t xml:space="preserve"> Dillon to </w:t>
      </w:r>
      <w:r w:rsidR="00327AC3">
        <w:t xml:space="preserve">review and </w:t>
      </w:r>
      <w:r w:rsidR="00154E94">
        <w:t>send to the committee chair</w:t>
      </w:r>
      <w:r w:rsidR="002E137B">
        <w:t xml:space="preserve"> on the next steps </w:t>
      </w:r>
      <w:r w:rsidR="00154E94">
        <w:t xml:space="preserve">agreed by the Board. </w:t>
      </w:r>
    </w:p>
    <w:p w14:paraId="6FB6C8A8" w14:textId="523CB8AF" w:rsidR="00154E94" w:rsidRDefault="00154E94" w:rsidP="00154E94">
      <w:pPr>
        <w:pStyle w:val="Numberedpara"/>
        <w:numPr>
          <w:ilvl w:val="0"/>
          <w:numId w:val="0"/>
        </w:numPr>
        <w:ind w:left="357" w:hanging="357"/>
      </w:pPr>
    </w:p>
    <w:p w14:paraId="7E8601E3" w14:textId="571FE002" w:rsidR="00154E94" w:rsidRDefault="00154E94" w:rsidP="00154E94">
      <w:pPr>
        <w:pStyle w:val="SMTActions"/>
      </w:pPr>
      <w:r>
        <w:t>ACTION: PC</w:t>
      </w:r>
    </w:p>
    <w:p w14:paraId="0EF85DD3" w14:textId="77777777" w:rsidR="00242DC5" w:rsidRDefault="00242DC5" w:rsidP="00740321">
      <w:pPr>
        <w:pStyle w:val="ListParagraph"/>
      </w:pPr>
    </w:p>
    <w:p w14:paraId="544AAB66" w14:textId="39D7C14E" w:rsidR="00C653B2" w:rsidRDefault="00802815" w:rsidP="004262B6">
      <w:pPr>
        <w:pStyle w:val="Heading2"/>
      </w:pPr>
      <w:r>
        <w:t>Business risk register (item 7.1)</w:t>
      </w:r>
    </w:p>
    <w:p w14:paraId="251FA0E2" w14:textId="496BC5E2" w:rsidR="00802815" w:rsidRDefault="00802815" w:rsidP="0086732E">
      <w:pPr>
        <w:pStyle w:val="Numberedpara"/>
        <w:numPr>
          <w:ilvl w:val="0"/>
          <w:numId w:val="0"/>
        </w:numPr>
        <w:ind w:left="567" w:hanging="501"/>
      </w:pPr>
    </w:p>
    <w:p w14:paraId="1BE1BE3B" w14:textId="77777777" w:rsidR="00C50107" w:rsidRDefault="00050204" w:rsidP="00050204">
      <w:pPr>
        <w:pStyle w:val="Numberedpara"/>
      </w:pPr>
      <w:r>
        <w:t>SMT reviewed the latest version of the business risk register</w:t>
      </w:r>
      <w:r w:rsidR="00154E94">
        <w:t xml:space="preserve">, following individual updates by directors </w:t>
      </w:r>
      <w:r w:rsidR="00C50107">
        <w:t>prior</w:t>
      </w:r>
      <w:r w:rsidR="00154E94">
        <w:t xml:space="preserve"> to the meeting</w:t>
      </w:r>
      <w:r>
        <w:t>.</w:t>
      </w:r>
      <w:r w:rsidR="00154E94">
        <w:t xml:space="preserve"> </w:t>
      </w:r>
    </w:p>
    <w:p w14:paraId="767E4FBB" w14:textId="77777777" w:rsidR="00C50107" w:rsidRDefault="00C50107" w:rsidP="00C50107">
      <w:pPr>
        <w:pStyle w:val="Numberedpara"/>
        <w:numPr>
          <w:ilvl w:val="0"/>
          <w:numId w:val="0"/>
        </w:numPr>
        <w:ind w:left="357"/>
      </w:pPr>
    </w:p>
    <w:p w14:paraId="46934964" w14:textId="1B64BA18" w:rsidR="00802815" w:rsidRDefault="00154E94" w:rsidP="00050204">
      <w:pPr>
        <w:pStyle w:val="Numberedpara"/>
      </w:pPr>
      <w:r>
        <w:t xml:space="preserve">It was noted that </w:t>
      </w:r>
      <w:r w:rsidR="008953F9" w:rsidRPr="008953F9">
        <w:t>an updated risk register to reflect the latest strategic ambitions and the objectives in the 2020/21 business plan will be developed and brought to the SMT and Board in February.</w:t>
      </w:r>
      <w:r w:rsidR="008953F9">
        <w:t xml:space="preserve"> SMT agreed that in the interim it would be appropriate to include in the current risk register any risks that </w:t>
      </w:r>
      <w:r w:rsidR="00DB0B35">
        <w:t xml:space="preserve">relate to the </w:t>
      </w:r>
      <w:r w:rsidR="00C50107">
        <w:t xml:space="preserve">2020/21 business plan </w:t>
      </w:r>
      <w:r w:rsidR="00DB0B35">
        <w:t xml:space="preserve">that have been identified </w:t>
      </w:r>
      <w:r w:rsidR="00C50107">
        <w:t xml:space="preserve">and </w:t>
      </w:r>
      <w:r w:rsidR="00F44607">
        <w:t xml:space="preserve">are </w:t>
      </w:r>
      <w:r w:rsidR="00327AC3">
        <w:t xml:space="preserve">currently </w:t>
      </w:r>
      <w:r w:rsidR="00C50107">
        <w:t xml:space="preserve">being mitigated. </w:t>
      </w:r>
      <w:r w:rsidR="00F44607">
        <w:t xml:space="preserve">In line with this approach, it was agreed to add a </w:t>
      </w:r>
      <w:r w:rsidR="00DB0B35">
        <w:t xml:space="preserve">new </w:t>
      </w:r>
      <w:r w:rsidR="00F44607">
        <w:t>risk a</w:t>
      </w:r>
      <w:r w:rsidR="00DB0B35">
        <w:t>bout</w:t>
      </w:r>
      <w:r w:rsidR="00F44607">
        <w:t xml:space="preserve"> ending the </w:t>
      </w:r>
      <w:r w:rsidR="00327AC3">
        <w:t xml:space="preserve">current outsourced </w:t>
      </w:r>
      <w:r w:rsidR="00DB0B35">
        <w:t xml:space="preserve">IT </w:t>
      </w:r>
      <w:r w:rsidR="00F44607">
        <w:t>contract</w:t>
      </w:r>
      <w:r w:rsidR="007D68FE">
        <w:t xml:space="preserve">. SMT supported </w:t>
      </w:r>
      <w:r w:rsidR="00375CA6">
        <w:t>Alexia</w:t>
      </w:r>
      <w:r w:rsidR="007D68FE">
        <w:t xml:space="preserve"> Tonnel’s </w:t>
      </w:r>
      <w:r w:rsidR="00375CA6">
        <w:t>proposal</w:t>
      </w:r>
      <w:r w:rsidR="007D68FE">
        <w:t xml:space="preserve"> to </w:t>
      </w:r>
      <w:r w:rsidR="00375CA6">
        <w:t>grade</w:t>
      </w:r>
      <w:r w:rsidR="007D68FE">
        <w:t xml:space="preserve"> this risk as </w:t>
      </w:r>
      <w:r w:rsidR="00DD36B8">
        <w:t>‘</w:t>
      </w:r>
      <w:r w:rsidR="007D68FE">
        <w:t>6</w:t>
      </w:r>
      <w:r w:rsidR="00DD36B8">
        <w:t>’</w:t>
      </w:r>
      <w:r w:rsidR="007D68FE">
        <w:t xml:space="preserve">, with the target of reducing </w:t>
      </w:r>
      <w:r w:rsidR="00DD36B8">
        <w:t>this risk to ‘</w:t>
      </w:r>
      <w:r w:rsidR="007D68FE">
        <w:t>4</w:t>
      </w:r>
      <w:r w:rsidR="00DD36B8">
        <w:t>’</w:t>
      </w:r>
      <w:r w:rsidR="007D68FE">
        <w:t xml:space="preserve"> following mitigation. </w:t>
      </w:r>
    </w:p>
    <w:p w14:paraId="4B371FCF" w14:textId="77777777" w:rsidR="007D68FE" w:rsidRDefault="007D68FE" w:rsidP="007D68FE">
      <w:pPr>
        <w:pStyle w:val="ListParagraph"/>
      </w:pPr>
    </w:p>
    <w:p w14:paraId="16C6299D" w14:textId="00C0D48B" w:rsidR="007D68FE" w:rsidRDefault="007D68FE" w:rsidP="007D68FE">
      <w:pPr>
        <w:pStyle w:val="SMTActions"/>
      </w:pPr>
      <w:r>
        <w:t>ACTION: AT</w:t>
      </w:r>
    </w:p>
    <w:p w14:paraId="38FFD0D7" w14:textId="77777777" w:rsidR="007D68FE" w:rsidRDefault="007D68FE" w:rsidP="007D68FE">
      <w:pPr>
        <w:pStyle w:val="Numberedpara"/>
        <w:numPr>
          <w:ilvl w:val="0"/>
          <w:numId w:val="0"/>
        </w:numPr>
        <w:ind w:left="357"/>
      </w:pPr>
    </w:p>
    <w:p w14:paraId="15C996A2" w14:textId="4F18E894" w:rsidR="00C50107" w:rsidRDefault="007D68FE" w:rsidP="00050204">
      <w:pPr>
        <w:pStyle w:val="Numberedpara"/>
      </w:pPr>
      <w:r>
        <w:t xml:space="preserve">SMT then reviewed the </w:t>
      </w:r>
      <w:r w:rsidR="00DD36B8">
        <w:t xml:space="preserve">existing entries in the </w:t>
      </w:r>
      <w:r>
        <w:t>risk register and agreed</w:t>
      </w:r>
      <w:r w:rsidR="00A248F6">
        <w:t>:</w:t>
      </w:r>
    </w:p>
    <w:p w14:paraId="64B0D6E5" w14:textId="2FB892A9" w:rsidR="00021245" w:rsidRDefault="00021245" w:rsidP="00A248F6">
      <w:pPr>
        <w:pStyle w:val="Numberedpara"/>
        <w:numPr>
          <w:ilvl w:val="1"/>
          <w:numId w:val="21"/>
        </w:numPr>
      </w:pPr>
      <w:r>
        <w:t>Risk 03/19 should be updated to refer to the upcoming judicial review hearing that could have imp</w:t>
      </w:r>
      <w:r w:rsidR="00375CA6">
        <w:t xml:space="preserve">lications </w:t>
      </w:r>
      <w:r>
        <w:t xml:space="preserve">for the highly specialised </w:t>
      </w:r>
      <w:r w:rsidR="00375CA6">
        <w:t>technologies</w:t>
      </w:r>
      <w:r>
        <w:t xml:space="preserve"> topic select</w:t>
      </w:r>
      <w:r w:rsidR="00375CA6">
        <w:t xml:space="preserve">ion </w:t>
      </w:r>
      <w:r>
        <w:t>arrangem</w:t>
      </w:r>
      <w:r w:rsidR="00375CA6">
        <w:t>e</w:t>
      </w:r>
      <w:r>
        <w:t xml:space="preserve">nts. </w:t>
      </w:r>
    </w:p>
    <w:p w14:paraId="202B50ED" w14:textId="3C7B69BC" w:rsidR="008B35AB" w:rsidRDefault="008B35AB" w:rsidP="00A248F6">
      <w:pPr>
        <w:pStyle w:val="Numberedpara"/>
        <w:numPr>
          <w:ilvl w:val="1"/>
          <w:numId w:val="21"/>
        </w:numPr>
      </w:pPr>
      <w:r>
        <w:t>Implementation of the management action plan following the internal audit review on conflicts of interest should be referenced as a planned act</w:t>
      </w:r>
      <w:r w:rsidR="00375CA6">
        <w:t xml:space="preserve">ion </w:t>
      </w:r>
      <w:r>
        <w:t xml:space="preserve">to mitigate risk 05/19 </w:t>
      </w:r>
      <w:r w:rsidR="00375CA6">
        <w:t>regarding</w:t>
      </w:r>
      <w:r>
        <w:t xml:space="preserve"> contentious or contested guidance.</w:t>
      </w:r>
    </w:p>
    <w:p w14:paraId="36491E5B" w14:textId="08193B2C" w:rsidR="00A248F6" w:rsidRDefault="00A248F6" w:rsidP="00A248F6">
      <w:pPr>
        <w:pStyle w:val="Numberedpara"/>
        <w:numPr>
          <w:ilvl w:val="1"/>
          <w:numId w:val="21"/>
        </w:numPr>
      </w:pPr>
      <w:r>
        <w:t xml:space="preserve">Risk 09/19 which relates to </w:t>
      </w:r>
      <w:r w:rsidR="00375CA6">
        <w:t>the</w:t>
      </w:r>
      <w:r>
        <w:t xml:space="preserve"> challenge of </w:t>
      </w:r>
      <w:r w:rsidR="00375CA6">
        <w:t>balancing</w:t>
      </w:r>
      <w:r>
        <w:t xml:space="preserve"> digital</w:t>
      </w:r>
      <w:r w:rsidR="00DD36B8">
        <w:t>/</w:t>
      </w:r>
      <w:r>
        <w:t xml:space="preserve">IT support </w:t>
      </w:r>
      <w:r w:rsidR="00DD36B8">
        <w:t xml:space="preserve">between </w:t>
      </w:r>
      <w:r>
        <w:t>transformation and main</w:t>
      </w:r>
      <w:r w:rsidR="00375CA6">
        <w:t xml:space="preserve">taining </w:t>
      </w:r>
      <w:r>
        <w:t xml:space="preserve">live services should be expanded to also refer to the </w:t>
      </w:r>
      <w:r w:rsidR="00375CA6">
        <w:t>challenge</w:t>
      </w:r>
      <w:r>
        <w:t xml:space="preserve"> of </w:t>
      </w:r>
      <w:r w:rsidR="00327AC3">
        <w:t xml:space="preserve">supporting </w:t>
      </w:r>
      <w:r>
        <w:t xml:space="preserve">the London office </w:t>
      </w:r>
      <w:r w:rsidR="00375CA6">
        <w:t>move</w:t>
      </w:r>
      <w:r>
        <w:t xml:space="preserve"> and the </w:t>
      </w:r>
      <w:r w:rsidR="00327AC3">
        <w:t xml:space="preserve">IT supplier </w:t>
      </w:r>
      <w:r w:rsidR="00375CA6">
        <w:t>transition</w:t>
      </w:r>
      <w:r w:rsidR="00327AC3">
        <w:t xml:space="preserve">. </w:t>
      </w:r>
    </w:p>
    <w:p w14:paraId="6A7C5B25" w14:textId="58942CA7" w:rsidR="008A5002" w:rsidRDefault="008A5002" w:rsidP="00A248F6">
      <w:pPr>
        <w:pStyle w:val="Numberedpara"/>
        <w:numPr>
          <w:ilvl w:val="1"/>
          <w:numId w:val="21"/>
        </w:numPr>
      </w:pPr>
      <w:r>
        <w:t xml:space="preserve">Risk 13/19 </w:t>
      </w:r>
      <w:r w:rsidR="00DD36B8">
        <w:t xml:space="preserve">on technology appraisal and highly specialised technologies cost recovery </w:t>
      </w:r>
      <w:r>
        <w:t xml:space="preserve">should be downgraded to </w:t>
      </w:r>
      <w:r w:rsidR="00246266">
        <w:t>‘</w:t>
      </w:r>
      <w:r>
        <w:t>green</w:t>
      </w:r>
      <w:r w:rsidR="00246266">
        <w:t>’</w:t>
      </w:r>
      <w:r>
        <w:t xml:space="preserve"> given </w:t>
      </w:r>
      <w:r w:rsidR="00375CA6">
        <w:t>industry’s</w:t>
      </w:r>
      <w:r w:rsidR="008B35AB">
        <w:t xml:space="preserve"> cooperation with the arrangements to date, and </w:t>
      </w:r>
      <w:r w:rsidR="00327AC3">
        <w:t xml:space="preserve">that </w:t>
      </w:r>
      <w:r w:rsidR="008B35AB">
        <w:t xml:space="preserve">no material issues are </w:t>
      </w:r>
      <w:r w:rsidR="00375CA6">
        <w:t>anticipated</w:t>
      </w:r>
      <w:r w:rsidR="008B35AB">
        <w:t xml:space="preserve"> in the remainder of 2019/20.</w:t>
      </w:r>
    </w:p>
    <w:p w14:paraId="0B9009DC" w14:textId="5E4DE7E4" w:rsidR="008A5002" w:rsidRDefault="008A5002" w:rsidP="00A248F6">
      <w:pPr>
        <w:pStyle w:val="Numberedpara"/>
        <w:numPr>
          <w:ilvl w:val="1"/>
          <w:numId w:val="21"/>
        </w:numPr>
      </w:pPr>
      <w:r>
        <w:t xml:space="preserve">Risk 14/19 </w:t>
      </w:r>
      <w:r w:rsidR="00327AC3">
        <w:t xml:space="preserve">on </w:t>
      </w:r>
      <w:r>
        <w:t xml:space="preserve">EU </w:t>
      </w:r>
      <w:r w:rsidR="00375CA6">
        <w:t>exit</w:t>
      </w:r>
      <w:r>
        <w:t xml:space="preserve"> should be revised to reflect the expected ratification of the </w:t>
      </w:r>
      <w:r w:rsidR="00375CA6">
        <w:t>withdrawal</w:t>
      </w:r>
      <w:r>
        <w:t xml:space="preserve"> agreement.</w:t>
      </w:r>
    </w:p>
    <w:p w14:paraId="4479E687" w14:textId="4CEBB672" w:rsidR="00A248F6" w:rsidRDefault="00327AC3" w:rsidP="00A248F6">
      <w:pPr>
        <w:pStyle w:val="Numberedpara"/>
        <w:numPr>
          <w:ilvl w:val="1"/>
          <w:numId w:val="21"/>
        </w:numPr>
      </w:pPr>
      <w:r>
        <w:t xml:space="preserve">The risk around </w:t>
      </w:r>
      <w:r w:rsidR="008A5002">
        <w:t xml:space="preserve">the London office move should be reviewed and </w:t>
      </w:r>
      <w:r w:rsidR="00375CA6">
        <w:t>updated</w:t>
      </w:r>
      <w:r>
        <w:t xml:space="preserve"> </w:t>
      </w:r>
      <w:r w:rsidR="008A5002">
        <w:t xml:space="preserve">in </w:t>
      </w:r>
      <w:r>
        <w:t>relation to IT.</w:t>
      </w:r>
    </w:p>
    <w:p w14:paraId="425368F3" w14:textId="4A79850B" w:rsidR="008A5002" w:rsidRDefault="00E44923" w:rsidP="00A248F6">
      <w:pPr>
        <w:pStyle w:val="Numberedpara"/>
        <w:numPr>
          <w:ilvl w:val="1"/>
          <w:numId w:val="21"/>
        </w:numPr>
      </w:pPr>
      <w:r>
        <w:t xml:space="preserve">The wording for risk 20/10 which relates to the board appointments should be </w:t>
      </w:r>
      <w:r w:rsidR="00624C3B">
        <w:t>reviewed</w:t>
      </w:r>
      <w:r>
        <w:t xml:space="preserve"> and reduced in length. The target rating should be increased to </w:t>
      </w:r>
      <w:r w:rsidR="00246266">
        <w:t>‘</w:t>
      </w:r>
      <w:r>
        <w:t>4</w:t>
      </w:r>
      <w:r w:rsidR="00246266">
        <w:t>’</w:t>
      </w:r>
      <w:r>
        <w:t xml:space="preserve"> to reflect the </w:t>
      </w:r>
      <w:r w:rsidR="00624C3B">
        <w:t>ongoing</w:t>
      </w:r>
      <w:r>
        <w:t xml:space="preserve"> uncertainty about the timescales for the chair and chief executive appointments and </w:t>
      </w:r>
      <w:r w:rsidR="009E7BD3">
        <w:t>current challenges around senior management capacity.</w:t>
      </w:r>
    </w:p>
    <w:p w14:paraId="5A5F3610" w14:textId="77777777" w:rsidR="00DD36B8" w:rsidRDefault="00DD36B8" w:rsidP="00DD36B8">
      <w:pPr>
        <w:pStyle w:val="Numberedpara"/>
        <w:numPr>
          <w:ilvl w:val="0"/>
          <w:numId w:val="0"/>
        </w:numPr>
        <w:ind w:left="938"/>
      </w:pPr>
    </w:p>
    <w:p w14:paraId="41BACFD7" w14:textId="096BA188" w:rsidR="00021245" w:rsidRDefault="00021245" w:rsidP="00021245">
      <w:pPr>
        <w:pStyle w:val="Numberedpara"/>
      </w:pPr>
      <w:r>
        <w:t xml:space="preserve">It was agreed that David Coombs would liaise with the relevant directors to </w:t>
      </w:r>
      <w:r w:rsidR="001C4767">
        <w:t xml:space="preserve">update the risk </w:t>
      </w:r>
      <w:r w:rsidR="00624C3B">
        <w:t>register</w:t>
      </w:r>
      <w:r w:rsidR="001C4767">
        <w:t xml:space="preserve"> accordingly, and Gill Leng would </w:t>
      </w:r>
      <w:r w:rsidR="00624C3B">
        <w:t>sign</w:t>
      </w:r>
      <w:r w:rsidR="001C4767">
        <w:t xml:space="preserve">-off the updated risk </w:t>
      </w:r>
      <w:r w:rsidR="00624C3B">
        <w:t>register</w:t>
      </w:r>
      <w:r w:rsidR="001C4767">
        <w:t xml:space="preserve"> for submission to the Audit and Risk Committee. </w:t>
      </w:r>
    </w:p>
    <w:p w14:paraId="4668373C" w14:textId="271BD197" w:rsidR="001C4767" w:rsidRDefault="001C4767" w:rsidP="001C4767">
      <w:pPr>
        <w:pStyle w:val="Numberedpara"/>
        <w:numPr>
          <w:ilvl w:val="0"/>
          <w:numId w:val="0"/>
        </w:numPr>
      </w:pPr>
    </w:p>
    <w:p w14:paraId="71444AB2" w14:textId="4A33273D" w:rsidR="001C4767" w:rsidRDefault="001C4767" w:rsidP="001C4767">
      <w:pPr>
        <w:pStyle w:val="SMTActions"/>
      </w:pPr>
      <w:r>
        <w:t>ACTION: DC/GL</w:t>
      </w:r>
    </w:p>
    <w:p w14:paraId="338B2C70" w14:textId="77777777" w:rsidR="001C4767" w:rsidRDefault="001C4767" w:rsidP="001C4767">
      <w:pPr>
        <w:pStyle w:val="Heading2"/>
      </w:pPr>
      <w:r>
        <w:t>Internal audit review on conflicts of interest (item 7.3)</w:t>
      </w:r>
    </w:p>
    <w:p w14:paraId="7D3491C9" w14:textId="77777777" w:rsidR="001C4767" w:rsidRDefault="001C4767" w:rsidP="001C4767">
      <w:pPr>
        <w:pStyle w:val="Numberedpara"/>
        <w:numPr>
          <w:ilvl w:val="0"/>
          <w:numId w:val="0"/>
        </w:numPr>
        <w:ind w:left="567" w:hanging="501"/>
      </w:pPr>
    </w:p>
    <w:p w14:paraId="64C9C8B3" w14:textId="40B9C6C0" w:rsidR="001C4767" w:rsidRDefault="001C4767" w:rsidP="001C4767">
      <w:pPr>
        <w:pStyle w:val="Numberedpara"/>
      </w:pPr>
      <w:r w:rsidRPr="001C4767">
        <w:rPr>
          <w:color w:val="auto"/>
        </w:rPr>
        <w:t xml:space="preserve">David Coombs </w:t>
      </w:r>
      <w:r>
        <w:t xml:space="preserve">presented the draft internal audit report and the proposed management response to the </w:t>
      </w:r>
      <w:r w:rsidR="00813EED">
        <w:t>5</w:t>
      </w:r>
      <w:r>
        <w:t xml:space="preserve"> recommendations. </w:t>
      </w:r>
    </w:p>
    <w:p w14:paraId="320A9BE7" w14:textId="77777777" w:rsidR="00813EED" w:rsidRDefault="00813EED" w:rsidP="00813EED">
      <w:pPr>
        <w:pStyle w:val="Numberedpara"/>
        <w:numPr>
          <w:ilvl w:val="0"/>
          <w:numId w:val="0"/>
        </w:numPr>
        <w:ind w:left="357"/>
      </w:pPr>
    </w:p>
    <w:p w14:paraId="4FF3380A" w14:textId="49D26F4C" w:rsidR="00813EED" w:rsidRDefault="00813EED" w:rsidP="001C4767">
      <w:pPr>
        <w:pStyle w:val="Numberedpara"/>
      </w:pPr>
      <w:r>
        <w:t xml:space="preserve">SMT discussed the report and noted the areas identified for improvement. </w:t>
      </w:r>
      <w:r w:rsidR="00AE342B">
        <w:t xml:space="preserve">SMT discussed the link </w:t>
      </w:r>
      <w:r>
        <w:t xml:space="preserve">with the NICE Connect </w:t>
      </w:r>
      <w:r w:rsidR="00E53A4A">
        <w:t xml:space="preserve">programme, and Gill Leng stated that </w:t>
      </w:r>
      <w:r w:rsidR="00DC72B8">
        <w:t xml:space="preserve">once </w:t>
      </w:r>
      <w:r w:rsidR="00624C3B">
        <w:t>established</w:t>
      </w:r>
      <w:r w:rsidR="00DC72B8">
        <w:t xml:space="preserve">, </w:t>
      </w:r>
      <w:r w:rsidR="00E53A4A">
        <w:t xml:space="preserve">the </w:t>
      </w:r>
      <w:r w:rsidR="00624C3B">
        <w:t>operational</w:t>
      </w:r>
      <w:r w:rsidR="00E53A4A">
        <w:t xml:space="preserve"> excellence team will have a key role </w:t>
      </w:r>
      <w:r w:rsidR="00187CB2">
        <w:t xml:space="preserve">in </w:t>
      </w:r>
      <w:r w:rsidR="00E53A4A">
        <w:t xml:space="preserve">supporting </w:t>
      </w:r>
      <w:r w:rsidR="00DC72B8">
        <w:t xml:space="preserve">guidance teams </w:t>
      </w:r>
      <w:r w:rsidR="00187CB2">
        <w:t xml:space="preserve">to </w:t>
      </w:r>
      <w:r w:rsidR="00E53A4A">
        <w:t xml:space="preserve">implement </w:t>
      </w:r>
      <w:r w:rsidR="00624C3B">
        <w:t>consistent</w:t>
      </w:r>
      <w:r w:rsidR="00E53A4A">
        <w:t xml:space="preserve"> processes. </w:t>
      </w:r>
      <w:r w:rsidR="00624C3B">
        <w:t>Likewise,</w:t>
      </w:r>
      <w:r w:rsidR="00E53A4A">
        <w:t xml:space="preserve"> </w:t>
      </w:r>
      <w:r w:rsidR="00AE342B">
        <w:t xml:space="preserve">Alexia Tonnel highlighted the identified </w:t>
      </w:r>
      <w:r w:rsidR="00DC72B8">
        <w:t xml:space="preserve">challenges around data management, and </w:t>
      </w:r>
      <w:r w:rsidR="00AE342B">
        <w:t xml:space="preserve">stated that </w:t>
      </w:r>
      <w:r w:rsidR="00E53A4A">
        <w:t>declarations of interests will feature in the next phase of the operational productivity work</w:t>
      </w:r>
      <w:r w:rsidR="00AE342B">
        <w:t xml:space="preserve">. </w:t>
      </w:r>
    </w:p>
    <w:p w14:paraId="69DCBBA8" w14:textId="77777777" w:rsidR="00E53A4A" w:rsidRDefault="00E53A4A" w:rsidP="00E53A4A">
      <w:pPr>
        <w:pStyle w:val="ListParagraph"/>
      </w:pPr>
    </w:p>
    <w:p w14:paraId="38B3EECB" w14:textId="0B6BFFBD" w:rsidR="00E53A4A" w:rsidRDefault="00E53A4A" w:rsidP="001C4767">
      <w:pPr>
        <w:pStyle w:val="Numberedpara"/>
      </w:pPr>
      <w:r>
        <w:t xml:space="preserve">SMT discussed ownership of the recommendations and </w:t>
      </w:r>
      <w:r w:rsidR="00DC72B8">
        <w:t>supported the proposed management action plan</w:t>
      </w:r>
      <w:r w:rsidR="001C2B2C">
        <w:t xml:space="preserve">. The ownership of the recommendations was agreed between the guidance teams and corporate office, with support from the operational excellence team. It was agreed to revise some of the timescales </w:t>
      </w:r>
      <w:r w:rsidR="00AE342B">
        <w:t xml:space="preserve">in the proposed action plan </w:t>
      </w:r>
      <w:r w:rsidR="001C2B2C">
        <w:t xml:space="preserve">to </w:t>
      </w:r>
      <w:r w:rsidR="00AE342B">
        <w:t>reflect</w:t>
      </w:r>
      <w:r w:rsidR="001C2B2C">
        <w:t xml:space="preserve"> that the operational excellence team is not yet in place. It was also agreed that the </w:t>
      </w:r>
      <w:r w:rsidR="0035176E" w:rsidRPr="00AE5CC7">
        <w:rPr>
          <w:color w:val="auto"/>
        </w:rPr>
        <w:t>NICE Connect methods</w:t>
      </w:r>
      <w:r w:rsidR="00AE5CC7" w:rsidRPr="00AE5CC7">
        <w:rPr>
          <w:color w:val="auto"/>
        </w:rPr>
        <w:t>,</w:t>
      </w:r>
      <w:r w:rsidR="0035176E" w:rsidRPr="00AE5CC7">
        <w:rPr>
          <w:color w:val="auto"/>
        </w:rPr>
        <w:t xml:space="preserve"> process</w:t>
      </w:r>
      <w:r w:rsidR="00AE5CC7" w:rsidRPr="00AE5CC7">
        <w:rPr>
          <w:color w:val="auto"/>
        </w:rPr>
        <w:t>es and analytics</w:t>
      </w:r>
      <w:r w:rsidR="0035176E" w:rsidRPr="00AE5CC7">
        <w:rPr>
          <w:color w:val="auto"/>
        </w:rPr>
        <w:t xml:space="preserve"> expert group should consider the </w:t>
      </w:r>
      <w:r w:rsidR="00AE342B">
        <w:rPr>
          <w:color w:val="auto"/>
        </w:rPr>
        <w:t xml:space="preserve">audit </w:t>
      </w:r>
      <w:r w:rsidR="0035176E" w:rsidRPr="00AE5CC7">
        <w:rPr>
          <w:color w:val="auto"/>
        </w:rPr>
        <w:t xml:space="preserve">report </w:t>
      </w:r>
      <w:r w:rsidR="0035176E">
        <w:t>and whether the guidance development methods and processes align with the declarations of interest policy.</w:t>
      </w:r>
    </w:p>
    <w:p w14:paraId="75AFB091" w14:textId="77777777" w:rsidR="0035176E" w:rsidRDefault="0035176E" w:rsidP="0035176E">
      <w:pPr>
        <w:pStyle w:val="ListParagraph"/>
      </w:pPr>
    </w:p>
    <w:p w14:paraId="79DB85FA" w14:textId="586A2B1B" w:rsidR="0035176E" w:rsidRDefault="0035176E" w:rsidP="0035176E">
      <w:pPr>
        <w:pStyle w:val="SMTActions"/>
      </w:pPr>
      <w:r>
        <w:t>ACTION: DC/PC/MB/GL</w:t>
      </w:r>
    </w:p>
    <w:p w14:paraId="031F3B3C" w14:textId="77777777" w:rsidR="0035176E" w:rsidRDefault="0035176E" w:rsidP="0035176E">
      <w:pPr>
        <w:pStyle w:val="Numberedpara"/>
        <w:numPr>
          <w:ilvl w:val="0"/>
          <w:numId w:val="0"/>
        </w:numPr>
        <w:ind w:left="567" w:hanging="501"/>
      </w:pPr>
    </w:p>
    <w:p w14:paraId="60302AB0" w14:textId="77777777" w:rsidR="0035176E" w:rsidRDefault="0035176E" w:rsidP="0035176E">
      <w:pPr>
        <w:pStyle w:val="Heading2"/>
      </w:pPr>
      <w:r w:rsidRPr="00050204">
        <w:t>Working with Wales to implement NICE guidance</w:t>
      </w:r>
      <w:r>
        <w:t xml:space="preserve"> (item 7.5)</w:t>
      </w:r>
    </w:p>
    <w:p w14:paraId="32E27D21" w14:textId="77777777" w:rsidR="0035176E" w:rsidRDefault="0035176E" w:rsidP="0035176E">
      <w:pPr>
        <w:pStyle w:val="Numberedpara"/>
        <w:numPr>
          <w:ilvl w:val="0"/>
          <w:numId w:val="0"/>
        </w:numPr>
        <w:ind w:left="567" w:hanging="501"/>
      </w:pPr>
    </w:p>
    <w:p w14:paraId="35E727A4" w14:textId="387FA515" w:rsidR="0035176E" w:rsidRDefault="0035176E" w:rsidP="0035176E">
      <w:pPr>
        <w:pStyle w:val="Numberedpara"/>
      </w:pPr>
      <w:r w:rsidRPr="0035176E">
        <w:rPr>
          <w:color w:val="auto"/>
        </w:rPr>
        <w:t xml:space="preserve">Nicola Bent </w:t>
      </w:r>
      <w:r>
        <w:t xml:space="preserve">presented the paper for the January Board meeting that </w:t>
      </w:r>
      <w:r w:rsidRPr="002D73FA">
        <w:t>summarise</w:t>
      </w:r>
      <w:r>
        <w:t>d</w:t>
      </w:r>
      <w:r w:rsidRPr="002D73FA">
        <w:t xml:space="preserve"> </w:t>
      </w:r>
      <w:r>
        <w:t xml:space="preserve">NICE’s </w:t>
      </w:r>
      <w:r w:rsidRPr="002D73FA">
        <w:t>current engagement in the health, public health and social care sectors in Wales and future objectives</w:t>
      </w:r>
      <w:r>
        <w:t xml:space="preserve"> for this work</w:t>
      </w:r>
      <w:r w:rsidRPr="002D73FA">
        <w:t>.</w:t>
      </w:r>
      <w:r w:rsidR="007A3A2F">
        <w:t xml:space="preserve"> The paper ha</w:t>
      </w:r>
      <w:r w:rsidR="00234F90">
        <w:t>s</w:t>
      </w:r>
      <w:r w:rsidR="007A3A2F">
        <w:t xml:space="preserve"> been produced in conjunction with colleagues across NICE and shared with the Welsh Government.</w:t>
      </w:r>
    </w:p>
    <w:p w14:paraId="1DE39E10" w14:textId="77777777" w:rsidR="007A3A2F" w:rsidRDefault="007A3A2F" w:rsidP="007A3A2F">
      <w:pPr>
        <w:pStyle w:val="Numberedpara"/>
        <w:numPr>
          <w:ilvl w:val="0"/>
          <w:numId w:val="0"/>
        </w:numPr>
        <w:ind w:left="357"/>
      </w:pPr>
    </w:p>
    <w:p w14:paraId="1A3AED27" w14:textId="3870E1A0" w:rsidR="007A3A2F" w:rsidRDefault="007A3A2F" w:rsidP="0035176E">
      <w:pPr>
        <w:pStyle w:val="Numberedpara"/>
      </w:pPr>
      <w:r>
        <w:t xml:space="preserve">SMT reviewed the report and welcomed NICE’s engagement with the Welsh health and care system. Minor amendments were agreed including to </w:t>
      </w:r>
      <w:r w:rsidR="00C77857">
        <w:t xml:space="preserve">give </w:t>
      </w:r>
      <w:r w:rsidR="00624C3B">
        <w:t>greater</w:t>
      </w:r>
      <w:r w:rsidR="00C77857">
        <w:t xml:space="preserve"> prominence to NICE’s work to </w:t>
      </w:r>
      <w:r w:rsidR="00624C3B">
        <w:t>support</w:t>
      </w:r>
      <w:r w:rsidR="00C77857">
        <w:t xml:space="preserve"> access to the BNF </w:t>
      </w:r>
      <w:r w:rsidR="00187CB2">
        <w:t xml:space="preserve">by </w:t>
      </w:r>
      <w:r w:rsidR="00624C3B">
        <w:t>prescribers</w:t>
      </w:r>
      <w:r w:rsidR="00C77857">
        <w:t xml:space="preserve"> in Wales, </w:t>
      </w:r>
      <w:r w:rsidR="00234F90">
        <w:t xml:space="preserve">to amend </w:t>
      </w:r>
      <w:r w:rsidR="00C77857">
        <w:t xml:space="preserve">the terminology around the </w:t>
      </w:r>
      <w:r w:rsidR="00624C3B">
        <w:t>agreement</w:t>
      </w:r>
      <w:r w:rsidR="00C77857">
        <w:t xml:space="preserve"> with the Welsh Government, and to clarify the </w:t>
      </w:r>
      <w:r w:rsidR="00624C3B">
        <w:t>differences</w:t>
      </w:r>
      <w:r w:rsidR="00C77857">
        <w:t xml:space="preserve"> in the timescales for implementing technology </w:t>
      </w:r>
      <w:r w:rsidR="00624C3B">
        <w:t>appraisal</w:t>
      </w:r>
      <w:r w:rsidR="00C77857">
        <w:t xml:space="preserve"> and highly </w:t>
      </w:r>
      <w:r w:rsidR="00624C3B">
        <w:t>specialised</w:t>
      </w:r>
      <w:r w:rsidR="00C77857">
        <w:t xml:space="preserve"> technologies guidance in England and Wales.</w:t>
      </w:r>
    </w:p>
    <w:p w14:paraId="424483D3" w14:textId="77777777" w:rsidR="00C77857" w:rsidRDefault="00C77857" w:rsidP="00C77857">
      <w:pPr>
        <w:pStyle w:val="ListParagraph"/>
      </w:pPr>
    </w:p>
    <w:p w14:paraId="3BE45959" w14:textId="4FD3EC15" w:rsidR="00C77857" w:rsidRPr="002D73FA" w:rsidRDefault="00C77857" w:rsidP="00C77857">
      <w:pPr>
        <w:pStyle w:val="SMTActions"/>
      </w:pPr>
      <w:r>
        <w:t>ACTION: NB</w:t>
      </w:r>
    </w:p>
    <w:p w14:paraId="0D2FF038" w14:textId="3AABDEF9" w:rsidR="0035176E" w:rsidRDefault="0035176E" w:rsidP="004262B6">
      <w:pPr>
        <w:pStyle w:val="Heading2"/>
      </w:pPr>
    </w:p>
    <w:p w14:paraId="056A5984" w14:textId="77777777" w:rsidR="006D6F91" w:rsidRDefault="006D6F91" w:rsidP="006D6F91">
      <w:pPr>
        <w:pStyle w:val="Heading2"/>
      </w:pPr>
      <w:r>
        <w:t>Guideline committee chair appointment (item 7.6)</w:t>
      </w:r>
    </w:p>
    <w:p w14:paraId="5BF8D8AB" w14:textId="77777777" w:rsidR="006D6F91" w:rsidRDefault="006D6F91" w:rsidP="006D6F91">
      <w:pPr>
        <w:pStyle w:val="Numberedpara"/>
        <w:numPr>
          <w:ilvl w:val="0"/>
          <w:numId w:val="0"/>
        </w:numPr>
        <w:ind w:left="567" w:hanging="501"/>
      </w:pPr>
    </w:p>
    <w:p w14:paraId="749D0F67" w14:textId="798E4904" w:rsidR="006D6F91" w:rsidRDefault="006D6F91" w:rsidP="006D6F91">
      <w:pPr>
        <w:pStyle w:val="Numberedpara"/>
      </w:pPr>
      <w:r>
        <w:t xml:space="preserve">Paul Chrisp presented the proposal to appoint Dr Ian Bernstein to the position of chair of the NICE guideline committee that will partially update </w:t>
      </w:r>
      <w:r w:rsidR="00624C3B">
        <w:t>C</w:t>
      </w:r>
      <w:r w:rsidRPr="00210577">
        <w:t>G176: Head injury: assessment and early management.</w:t>
      </w:r>
      <w:r>
        <w:t xml:space="preserve"> Dr Bernstein is a GP </w:t>
      </w:r>
      <w:r w:rsidR="00234F90">
        <w:t xml:space="preserve">in London </w:t>
      </w:r>
      <w:r>
        <w:t xml:space="preserve">and none of his declared interests are specific to the guideline. </w:t>
      </w:r>
    </w:p>
    <w:p w14:paraId="4864E937" w14:textId="77777777" w:rsidR="006D6F91" w:rsidRDefault="006D6F91" w:rsidP="006D6F91">
      <w:pPr>
        <w:pStyle w:val="Numberedpara"/>
        <w:numPr>
          <w:ilvl w:val="0"/>
          <w:numId w:val="0"/>
        </w:numPr>
        <w:ind w:left="567"/>
      </w:pPr>
    </w:p>
    <w:p w14:paraId="6253B420" w14:textId="56B763F7" w:rsidR="006D6F91" w:rsidRDefault="006D6F91" w:rsidP="006D6F91">
      <w:pPr>
        <w:pStyle w:val="Numberedpara"/>
      </w:pPr>
      <w:r>
        <w:t>SMT approved Dr Bernstein’s appointment as chair of the guideline committee.</w:t>
      </w:r>
    </w:p>
    <w:p w14:paraId="6E95D71D" w14:textId="77777777" w:rsidR="006D6F91" w:rsidRPr="006D6F91" w:rsidRDefault="006D6F91" w:rsidP="006D6F91">
      <w:pPr>
        <w:pStyle w:val="Paragraph"/>
        <w:numPr>
          <w:ilvl w:val="0"/>
          <w:numId w:val="0"/>
        </w:numPr>
        <w:ind w:left="567" w:hanging="499"/>
      </w:pPr>
    </w:p>
    <w:p w14:paraId="22499B92" w14:textId="77777777" w:rsidR="006D6F91" w:rsidRDefault="006D6F91" w:rsidP="006D6F91">
      <w:pPr>
        <w:pStyle w:val="Heading2"/>
      </w:pPr>
      <w:r w:rsidRPr="004262B6">
        <w:lastRenderedPageBreak/>
        <w:t>Extending NICE’s position statement on CDF comparators in technology appraisals to cover all Managed Access treatments</w:t>
      </w:r>
      <w:r>
        <w:t xml:space="preserve"> (item 7.4)</w:t>
      </w:r>
    </w:p>
    <w:p w14:paraId="7CE20155" w14:textId="77777777" w:rsidR="006D6F91" w:rsidRDefault="006D6F91" w:rsidP="006D6F91">
      <w:pPr>
        <w:pStyle w:val="Numberedpara"/>
        <w:numPr>
          <w:ilvl w:val="0"/>
          <w:numId w:val="0"/>
        </w:numPr>
        <w:ind w:left="567" w:hanging="501"/>
      </w:pPr>
    </w:p>
    <w:p w14:paraId="055A1D28" w14:textId="700E6FCF" w:rsidR="006D6F91" w:rsidRDefault="006D6F91" w:rsidP="006D6F91">
      <w:pPr>
        <w:pStyle w:val="Numberedpara"/>
      </w:pPr>
      <w:r>
        <w:t>Brad Groves presented the propos</w:t>
      </w:r>
      <w:r w:rsidR="00B25929">
        <w:t xml:space="preserve">al to </w:t>
      </w:r>
      <w:r>
        <w:t xml:space="preserve">exclude all </w:t>
      </w:r>
      <w:r w:rsidRPr="003F6819">
        <w:t xml:space="preserve">technologies recommended with a </w:t>
      </w:r>
      <w:r>
        <w:t>managed access agreement (</w:t>
      </w:r>
      <w:r w:rsidRPr="003F6819">
        <w:t>MAA</w:t>
      </w:r>
      <w:r>
        <w:t>)</w:t>
      </w:r>
      <w:r w:rsidRPr="003F6819">
        <w:t xml:space="preserve"> as comparators and as prior or subsequent treatments</w:t>
      </w:r>
      <w:r>
        <w:t xml:space="preserve"> in the scopes for new technologies.</w:t>
      </w:r>
      <w:r w:rsidR="0030592E">
        <w:t xml:space="preserve"> This would extend the position </w:t>
      </w:r>
      <w:r w:rsidR="00F73602">
        <w:t xml:space="preserve">statement </w:t>
      </w:r>
      <w:r w:rsidR="0030592E">
        <w:t xml:space="preserve">currently in place for topics in the cancer drugs fund (CDF) and reflects that such </w:t>
      </w:r>
      <w:r w:rsidR="00624C3B">
        <w:t>technologies</w:t>
      </w:r>
      <w:r w:rsidR="0030592E">
        <w:t xml:space="preserve"> are not subject to routine commissioning and therefore cannot be considered as </w:t>
      </w:r>
      <w:r w:rsidR="00624C3B">
        <w:t>established</w:t>
      </w:r>
      <w:r w:rsidR="0030592E">
        <w:t xml:space="preserve"> NHS practice as they could be withdrawn if not </w:t>
      </w:r>
      <w:r w:rsidR="00624C3B">
        <w:t>found</w:t>
      </w:r>
      <w:r w:rsidR="0030592E">
        <w:t xml:space="preserve"> to be cost effective</w:t>
      </w:r>
      <w:r w:rsidR="00F73602">
        <w:t xml:space="preserve"> at the end of the managed access period</w:t>
      </w:r>
      <w:r w:rsidR="0030592E">
        <w:t xml:space="preserve">. </w:t>
      </w:r>
      <w:r w:rsidR="0000687D">
        <w:t>Also, e</w:t>
      </w:r>
      <w:r w:rsidR="0000687D" w:rsidRPr="0000687D">
        <w:t xml:space="preserve">stablishing the appropriate price that should be used for a technology that is currently available subject to an MAA is challenging because the price at which it could be recommended for routine commissioning will not be known until it exits the managed access period. </w:t>
      </w:r>
    </w:p>
    <w:p w14:paraId="7D287EE2" w14:textId="77777777" w:rsidR="0000687D" w:rsidRDefault="0000687D" w:rsidP="0000687D">
      <w:pPr>
        <w:pStyle w:val="Numberedpara"/>
        <w:numPr>
          <w:ilvl w:val="0"/>
          <w:numId w:val="0"/>
        </w:numPr>
        <w:ind w:left="357"/>
      </w:pPr>
    </w:p>
    <w:p w14:paraId="7C255FFD" w14:textId="7490D6A6" w:rsidR="0000687D" w:rsidRDefault="0000687D" w:rsidP="006D6F91">
      <w:pPr>
        <w:pStyle w:val="Numberedpara"/>
      </w:pPr>
      <w:r>
        <w:t>SMT supported the proposal and agreed it should be subject</w:t>
      </w:r>
      <w:r w:rsidR="00F73602">
        <w:t>ed</w:t>
      </w:r>
      <w:r>
        <w:t xml:space="preserve"> to a </w:t>
      </w:r>
      <w:proofErr w:type="gramStart"/>
      <w:r w:rsidR="007D440D">
        <w:t>2 week</w:t>
      </w:r>
      <w:proofErr w:type="gramEnd"/>
      <w:r w:rsidR="007D440D">
        <w:t xml:space="preserve"> </w:t>
      </w:r>
      <w:r>
        <w:t xml:space="preserve">targeted engagement with </w:t>
      </w:r>
      <w:r w:rsidR="007D440D">
        <w:t>relevant</w:t>
      </w:r>
      <w:r>
        <w:t xml:space="preserve"> stakeholders</w:t>
      </w:r>
      <w:r w:rsidR="007D440D">
        <w:t xml:space="preserve">, in line with the approach </w:t>
      </w:r>
      <w:r w:rsidR="00624C3B">
        <w:t>used</w:t>
      </w:r>
      <w:r w:rsidR="007D440D">
        <w:t xml:space="preserve"> for the current position statement on CDF topics</w:t>
      </w:r>
      <w:r>
        <w:t xml:space="preserve">. </w:t>
      </w:r>
      <w:r w:rsidR="007D440D">
        <w:t>The f</w:t>
      </w:r>
      <w:r>
        <w:t xml:space="preserve">eedback from this </w:t>
      </w:r>
      <w:r w:rsidR="007D440D">
        <w:t xml:space="preserve">engagement exercise </w:t>
      </w:r>
      <w:r>
        <w:t>should then be brought back to SMT</w:t>
      </w:r>
      <w:r w:rsidR="007D440D">
        <w:t xml:space="preserve"> for agreement to proceed. </w:t>
      </w:r>
    </w:p>
    <w:p w14:paraId="0C447E3F" w14:textId="77777777" w:rsidR="006D6F91" w:rsidRPr="006D6F91" w:rsidRDefault="006D6F91" w:rsidP="006D6F91">
      <w:pPr>
        <w:pStyle w:val="Paragraph"/>
        <w:numPr>
          <w:ilvl w:val="0"/>
          <w:numId w:val="0"/>
        </w:numPr>
        <w:ind w:left="567" w:hanging="499"/>
      </w:pPr>
    </w:p>
    <w:p w14:paraId="32C83A71" w14:textId="6F46E0EE" w:rsidR="00802815" w:rsidRDefault="004262B6" w:rsidP="004262B6">
      <w:pPr>
        <w:pStyle w:val="Heading2"/>
      </w:pPr>
      <w:r>
        <w:t>NICE at international conferences (item 7.2)</w:t>
      </w:r>
    </w:p>
    <w:p w14:paraId="58D5E25F" w14:textId="205A2C75" w:rsidR="004262B6" w:rsidRDefault="004262B6" w:rsidP="0086732E">
      <w:pPr>
        <w:pStyle w:val="Numberedpara"/>
        <w:numPr>
          <w:ilvl w:val="0"/>
          <w:numId w:val="0"/>
        </w:numPr>
        <w:ind w:left="567" w:hanging="501"/>
      </w:pPr>
    </w:p>
    <w:p w14:paraId="3E684518" w14:textId="1B5360CE" w:rsidR="004262B6" w:rsidRDefault="00050204" w:rsidP="00050204">
      <w:pPr>
        <w:pStyle w:val="Numberedpara"/>
      </w:pPr>
      <w:r>
        <w:t xml:space="preserve">Meindert Boysen </w:t>
      </w:r>
      <w:r w:rsidR="00231F8F">
        <w:t xml:space="preserve">presented the paper </w:t>
      </w:r>
      <w:r w:rsidR="00452528">
        <w:t>on NICE’s attendance at international conferences</w:t>
      </w:r>
      <w:r w:rsidR="00231F8F">
        <w:t>.</w:t>
      </w:r>
      <w:r w:rsidR="003B511D">
        <w:t xml:space="preserve"> He </w:t>
      </w:r>
      <w:r w:rsidR="00624C3B">
        <w:t>highlighted</w:t>
      </w:r>
      <w:r w:rsidR="003B511D">
        <w:t xml:space="preserve"> that such confere</w:t>
      </w:r>
      <w:r w:rsidR="00624C3B">
        <w:t>n</w:t>
      </w:r>
      <w:r w:rsidR="003B511D">
        <w:t>c</w:t>
      </w:r>
      <w:r w:rsidR="00624C3B">
        <w:t>e</w:t>
      </w:r>
      <w:r w:rsidR="003B511D">
        <w:t xml:space="preserve">s are important for maintaining and enhancing NICE’s reputation internationally, and for the income generating programmes. </w:t>
      </w:r>
    </w:p>
    <w:p w14:paraId="7FF8E5DC" w14:textId="77777777" w:rsidR="003B511D" w:rsidRDefault="003B511D" w:rsidP="003B511D">
      <w:pPr>
        <w:pStyle w:val="Numberedpara"/>
        <w:numPr>
          <w:ilvl w:val="0"/>
          <w:numId w:val="0"/>
        </w:numPr>
        <w:ind w:left="357"/>
      </w:pPr>
    </w:p>
    <w:p w14:paraId="213EE0CA" w14:textId="04296819" w:rsidR="003B511D" w:rsidRDefault="003B511D" w:rsidP="00050204">
      <w:pPr>
        <w:pStyle w:val="Numberedpara"/>
      </w:pPr>
      <w:r>
        <w:t xml:space="preserve">Meindert stated </w:t>
      </w:r>
      <w:r w:rsidR="00624C3B">
        <w:t>that</w:t>
      </w:r>
      <w:r>
        <w:t xml:space="preserve"> the paper seeks to draw the distinction between </w:t>
      </w:r>
      <w:r w:rsidR="00B15E24">
        <w:t xml:space="preserve">staff who attend </w:t>
      </w:r>
      <w:r w:rsidR="00624C3B">
        <w:t>conferences</w:t>
      </w:r>
      <w:r w:rsidR="00B15E24">
        <w:t xml:space="preserve"> for personal development, and those who attend as part of research grants, as business development for the income generating </w:t>
      </w:r>
      <w:r w:rsidR="00624C3B">
        <w:t>programmes</w:t>
      </w:r>
      <w:r w:rsidR="00B15E24">
        <w:t xml:space="preserve">, or to represent NICE corporately. He asked SMT to agree the principles around the number of staff who could </w:t>
      </w:r>
      <w:r w:rsidR="00624C3B">
        <w:t xml:space="preserve">attend </w:t>
      </w:r>
      <w:r w:rsidR="00B15E24">
        <w:t xml:space="preserve">international conferences, and for what reason. This would then inform a subsequent </w:t>
      </w:r>
      <w:r w:rsidR="00E4729E">
        <w:t xml:space="preserve">SMT </w:t>
      </w:r>
      <w:r w:rsidR="00B15E24">
        <w:t xml:space="preserve">discussion </w:t>
      </w:r>
      <w:r w:rsidR="00187CB2">
        <w:t xml:space="preserve">on </w:t>
      </w:r>
      <w:r w:rsidR="00B15E24">
        <w:t xml:space="preserve">the practical considerations </w:t>
      </w:r>
      <w:r w:rsidR="00452528">
        <w:t xml:space="preserve">such as </w:t>
      </w:r>
      <w:r w:rsidR="00084854">
        <w:t xml:space="preserve">the arrangements for funding and booking delegate registrations and </w:t>
      </w:r>
      <w:r w:rsidR="00E4729E">
        <w:t>travel.</w:t>
      </w:r>
    </w:p>
    <w:p w14:paraId="50AD332C" w14:textId="77777777" w:rsidR="00084854" w:rsidRDefault="00084854" w:rsidP="00084854">
      <w:pPr>
        <w:pStyle w:val="ListParagraph"/>
      </w:pPr>
    </w:p>
    <w:p w14:paraId="0FE91DDD" w14:textId="4936300E" w:rsidR="00CB00F0" w:rsidRDefault="00CC44E4" w:rsidP="00050204">
      <w:pPr>
        <w:pStyle w:val="Numberedpara"/>
      </w:pPr>
      <w:r>
        <w:t xml:space="preserve">SMT discussed the paper and agreed it </w:t>
      </w:r>
      <w:r w:rsidR="00B0424B">
        <w:t>is</w:t>
      </w:r>
      <w:r>
        <w:t xml:space="preserve"> appropriate to recognise the different reasons </w:t>
      </w:r>
      <w:r w:rsidR="00EA20EC">
        <w:t xml:space="preserve">staff attend international conferences and </w:t>
      </w:r>
      <w:r w:rsidR="00452528">
        <w:t xml:space="preserve">important to </w:t>
      </w:r>
      <w:r w:rsidR="00EA20EC">
        <w:t xml:space="preserve">ensure there are clear criteria for deciding which staff can attend and for what purpose. SMT reviewed the proposed </w:t>
      </w:r>
      <w:r w:rsidR="00B0424B">
        <w:t>list of</w:t>
      </w:r>
      <w:r w:rsidR="00EA20EC">
        <w:t xml:space="preserve"> rea</w:t>
      </w:r>
      <w:r w:rsidR="00B0424B">
        <w:t>s</w:t>
      </w:r>
      <w:r w:rsidR="00EA20EC">
        <w:t xml:space="preserve">ons staff </w:t>
      </w:r>
      <w:r w:rsidR="00452528">
        <w:t xml:space="preserve">could </w:t>
      </w:r>
      <w:r w:rsidR="00EA20EC">
        <w:t xml:space="preserve">attend </w:t>
      </w:r>
      <w:r w:rsidR="00B0424B">
        <w:t xml:space="preserve">conferences and </w:t>
      </w:r>
      <w:r w:rsidR="00EA20EC">
        <w:t xml:space="preserve">noted </w:t>
      </w:r>
      <w:r w:rsidR="00F15595">
        <w:t>that a prime consideration is whether someone is attending a conference to speak</w:t>
      </w:r>
      <w:r w:rsidR="00B0424B">
        <w:t>. I</w:t>
      </w:r>
      <w:r w:rsidR="00F15595">
        <w:t xml:space="preserve">f they are not, then reasons for attendance would be as part of research grant, as a business development </w:t>
      </w:r>
      <w:r w:rsidR="00624C3B">
        <w:t>opportunity</w:t>
      </w:r>
      <w:r w:rsidR="00F15595">
        <w:t xml:space="preserve"> for the income generati</w:t>
      </w:r>
      <w:r w:rsidR="00187CB2">
        <w:t xml:space="preserve">ng </w:t>
      </w:r>
      <w:r w:rsidR="00F15595">
        <w:t xml:space="preserve">programmes, to represent NICE corporately, to bring learning back to NICE, or as </w:t>
      </w:r>
      <w:r w:rsidR="00624C3B">
        <w:t>communications</w:t>
      </w:r>
      <w:r w:rsidR="00F15595">
        <w:t xml:space="preserve"> team support.</w:t>
      </w:r>
    </w:p>
    <w:p w14:paraId="7D2B4F4B" w14:textId="77777777" w:rsidR="00CB00F0" w:rsidRDefault="00CB00F0" w:rsidP="00CB00F0">
      <w:pPr>
        <w:pStyle w:val="ListParagraph"/>
      </w:pPr>
    </w:p>
    <w:p w14:paraId="53BB3A02" w14:textId="27452FA9" w:rsidR="00084854" w:rsidRDefault="00CB00F0" w:rsidP="00050204">
      <w:pPr>
        <w:pStyle w:val="Numberedpara"/>
      </w:pPr>
      <w:r>
        <w:t xml:space="preserve">Catherine Wilkinson highlighted the cost </w:t>
      </w:r>
      <w:r w:rsidR="00624C3B">
        <w:t>implications</w:t>
      </w:r>
      <w:r>
        <w:t xml:space="preserve"> of the proposals in the paper, and the importance of retaining sufficient </w:t>
      </w:r>
      <w:r w:rsidR="00624C3B">
        <w:t>central</w:t>
      </w:r>
      <w:r>
        <w:t xml:space="preserve"> oversight of attendance at international conferences. </w:t>
      </w:r>
    </w:p>
    <w:p w14:paraId="4DC88ADC" w14:textId="77777777" w:rsidR="00CB00F0" w:rsidRDefault="00CB00F0" w:rsidP="00CB00F0">
      <w:pPr>
        <w:pStyle w:val="ListParagraph"/>
      </w:pPr>
    </w:p>
    <w:p w14:paraId="3BA54157" w14:textId="66B511BE" w:rsidR="00CB00F0" w:rsidRDefault="006C7B86" w:rsidP="00050204">
      <w:pPr>
        <w:pStyle w:val="Numberedpara"/>
      </w:pPr>
      <w:r>
        <w:t>Following discussion, i</w:t>
      </w:r>
      <w:r w:rsidR="00156295">
        <w:t xml:space="preserve">t was agreed that Meindert Boysen, Paul Chrisp and Catherine Wilkinson should bring a revised paper back to SMT that clarifies the link between the international conferences and NICE’s strategic </w:t>
      </w:r>
      <w:r w:rsidR="00624C3B">
        <w:t>objectives</w:t>
      </w:r>
      <w:r w:rsidR="00156295">
        <w:t xml:space="preserve">, and </w:t>
      </w:r>
      <w:r>
        <w:t xml:space="preserve">more fully </w:t>
      </w:r>
      <w:r w:rsidR="00156295">
        <w:t xml:space="preserve">reflects the international </w:t>
      </w:r>
      <w:r w:rsidR="00624C3B">
        <w:t>conferences</w:t>
      </w:r>
      <w:r w:rsidR="00156295">
        <w:t xml:space="preserve"> relevant to the guidelines programme</w:t>
      </w:r>
      <w:r w:rsidR="003B20A2">
        <w:t>s</w:t>
      </w:r>
      <w:r w:rsidR="004D1458">
        <w:t xml:space="preserve">. </w:t>
      </w:r>
      <w:r w:rsidR="003B20A2">
        <w:t xml:space="preserve">It was agreed that the categories for the reasons for attending international </w:t>
      </w:r>
      <w:r w:rsidR="00624C3B">
        <w:t>conferences</w:t>
      </w:r>
      <w:r w:rsidR="003B20A2">
        <w:t xml:space="preserve"> should also be reviewed and refined in response to the SMT discussio</w:t>
      </w:r>
      <w:r>
        <w:t xml:space="preserve">n. The financial implications of the proposals should also be considered, with the budget allocation </w:t>
      </w:r>
      <w:r w:rsidR="004D1458">
        <w:t xml:space="preserve">providing flexibility for </w:t>
      </w:r>
      <w:r>
        <w:t xml:space="preserve">additional conferences </w:t>
      </w:r>
      <w:r w:rsidR="004D1458">
        <w:t xml:space="preserve">that </w:t>
      </w:r>
      <w:r>
        <w:t xml:space="preserve">may be identified </w:t>
      </w:r>
      <w:r w:rsidR="004D1458">
        <w:t>during the year as strategically important.</w:t>
      </w:r>
    </w:p>
    <w:p w14:paraId="27599049" w14:textId="77777777" w:rsidR="003B20A2" w:rsidRDefault="003B20A2" w:rsidP="003B20A2">
      <w:pPr>
        <w:pStyle w:val="ListParagraph"/>
      </w:pPr>
    </w:p>
    <w:p w14:paraId="3A248D9D" w14:textId="71F5F8B6" w:rsidR="003B20A2" w:rsidRDefault="003B20A2" w:rsidP="003B20A2">
      <w:pPr>
        <w:pStyle w:val="SMTActions"/>
      </w:pPr>
      <w:r>
        <w:lastRenderedPageBreak/>
        <w:t>ACTION: MB/PC/CW</w:t>
      </w:r>
    </w:p>
    <w:p w14:paraId="1D39E7C9" w14:textId="517DBDCB" w:rsidR="003F6819" w:rsidRDefault="003F6819" w:rsidP="004262B6">
      <w:pPr>
        <w:pStyle w:val="Numberedpara"/>
        <w:numPr>
          <w:ilvl w:val="0"/>
          <w:numId w:val="0"/>
        </w:numPr>
        <w:ind w:left="567" w:hanging="501"/>
      </w:pPr>
    </w:p>
    <w:p w14:paraId="76FE573E" w14:textId="5124E369" w:rsidR="00802815" w:rsidRDefault="004262B6" w:rsidP="004262B6">
      <w:pPr>
        <w:pStyle w:val="Heading2"/>
      </w:pPr>
      <w:r>
        <w:t>E</w:t>
      </w:r>
      <w:r w:rsidR="00802815">
        <w:t>U exit (item 8)</w:t>
      </w:r>
    </w:p>
    <w:p w14:paraId="1665E32E" w14:textId="77777777" w:rsidR="00802815" w:rsidRDefault="00802815" w:rsidP="00802815">
      <w:pPr>
        <w:pStyle w:val="Heading2"/>
      </w:pPr>
    </w:p>
    <w:p w14:paraId="5DC926B6" w14:textId="77777777" w:rsidR="00802815" w:rsidRPr="002715FE" w:rsidRDefault="00802815" w:rsidP="00802815">
      <w:pPr>
        <w:pStyle w:val="Numberedpara"/>
      </w:pPr>
      <w:r>
        <w:t xml:space="preserve">No further update. </w:t>
      </w:r>
    </w:p>
    <w:p w14:paraId="3511628C" w14:textId="77777777" w:rsidR="00802815" w:rsidRPr="0086732E" w:rsidRDefault="00802815" w:rsidP="0086732E">
      <w:pPr>
        <w:pStyle w:val="Numberedpara"/>
        <w:numPr>
          <w:ilvl w:val="0"/>
          <w:numId w:val="0"/>
        </w:numPr>
        <w:ind w:left="567" w:hanging="501"/>
      </w:pPr>
    </w:p>
    <w:p w14:paraId="6014ABC9" w14:textId="69B192E2" w:rsidR="006F3BE2" w:rsidRDefault="006F3BE2" w:rsidP="00FF68A5">
      <w:pPr>
        <w:pStyle w:val="Heading2"/>
      </w:pPr>
      <w:r>
        <w:t xml:space="preserve">NICE Connect project (item </w:t>
      </w:r>
      <w:r w:rsidR="009E0AB7">
        <w:t>9</w:t>
      </w:r>
      <w:r>
        <w:t>)</w:t>
      </w:r>
    </w:p>
    <w:p w14:paraId="140F2AE5" w14:textId="77777777" w:rsidR="006F3BE2" w:rsidRDefault="006F3BE2" w:rsidP="00FF68A5">
      <w:pPr>
        <w:pStyle w:val="Numberedpara"/>
        <w:numPr>
          <w:ilvl w:val="0"/>
          <w:numId w:val="0"/>
        </w:numPr>
        <w:ind w:left="360"/>
      </w:pPr>
    </w:p>
    <w:p w14:paraId="251496A1" w14:textId="0D8F457F" w:rsidR="00C85C50" w:rsidRDefault="003B20A2" w:rsidP="009E0AB7">
      <w:pPr>
        <w:pStyle w:val="Numberedpara"/>
      </w:pPr>
      <w:r>
        <w:t xml:space="preserve">Gill Leng noted that Guy Butler started as the new programme </w:t>
      </w:r>
      <w:r w:rsidR="00624C3B">
        <w:t>director</w:t>
      </w:r>
      <w:r>
        <w:t xml:space="preserve"> for transformation this week</w:t>
      </w:r>
      <w:r w:rsidR="0022038A">
        <w:t xml:space="preserve">, and highlighted the </w:t>
      </w:r>
      <w:r w:rsidR="004D1458">
        <w:t xml:space="preserve">NICE Connect </w:t>
      </w:r>
      <w:r w:rsidR="0022038A">
        <w:t xml:space="preserve">planning </w:t>
      </w:r>
      <w:r w:rsidR="00624C3B">
        <w:t>session</w:t>
      </w:r>
      <w:r w:rsidR="0022038A">
        <w:t xml:space="preserve"> with </w:t>
      </w:r>
      <w:r w:rsidR="00624C3B">
        <w:t>senior</w:t>
      </w:r>
      <w:r w:rsidR="0022038A">
        <w:t xml:space="preserve"> staff on 9 January</w:t>
      </w:r>
      <w:r>
        <w:t xml:space="preserve">. </w:t>
      </w:r>
    </w:p>
    <w:p w14:paraId="3D4CC4D6" w14:textId="77777777" w:rsidR="006F3BE2" w:rsidRDefault="006F3BE2" w:rsidP="00FF68A5">
      <w:pPr>
        <w:pStyle w:val="Numberedpara"/>
        <w:numPr>
          <w:ilvl w:val="0"/>
          <w:numId w:val="0"/>
        </w:numPr>
        <w:ind w:left="360"/>
      </w:pPr>
    </w:p>
    <w:p w14:paraId="45282666" w14:textId="6412E02E" w:rsidR="006F3BE2" w:rsidRDefault="006F3BE2" w:rsidP="006F3BE2">
      <w:pPr>
        <w:pStyle w:val="Heading2"/>
      </w:pPr>
      <w:r>
        <w:t xml:space="preserve">London office move (item </w:t>
      </w:r>
      <w:r w:rsidR="009E0AB7">
        <w:t>10</w:t>
      </w:r>
      <w:r>
        <w:t>)</w:t>
      </w:r>
    </w:p>
    <w:p w14:paraId="3055FD09" w14:textId="77777777" w:rsidR="006F3BE2" w:rsidRDefault="006F3BE2" w:rsidP="00FF68A5">
      <w:pPr>
        <w:pStyle w:val="Numberedpara"/>
        <w:numPr>
          <w:ilvl w:val="0"/>
          <w:numId w:val="0"/>
        </w:numPr>
        <w:ind w:left="360"/>
      </w:pPr>
    </w:p>
    <w:p w14:paraId="196DB473" w14:textId="1AAFC470" w:rsidR="009E0AB7" w:rsidRDefault="0022038A" w:rsidP="00802815">
      <w:pPr>
        <w:pStyle w:val="Numberedpara"/>
      </w:pPr>
      <w:r>
        <w:t xml:space="preserve">Catherine Wilkinson noted that the </w:t>
      </w:r>
      <w:r w:rsidR="004D1458">
        <w:t xml:space="preserve">office move </w:t>
      </w:r>
      <w:r>
        <w:t xml:space="preserve">project manager is developing a presentation for </w:t>
      </w:r>
      <w:r w:rsidR="00624C3B">
        <w:t>each</w:t>
      </w:r>
      <w:r>
        <w:t xml:space="preserve"> of the ALBs</w:t>
      </w:r>
      <w:r w:rsidR="004D1458">
        <w:t>’</w:t>
      </w:r>
      <w:r>
        <w:t xml:space="preserve"> Audit and Risk Committees, </w:t>
      </w:r>
      <w:r w:rsidR="004D1458">
        <w:t xml:space="preserve">which </w:t>
      </w:r>
      <w:r>
        <w:t xml:space="preserve">she would bring to NICE’s SMT for prior review. </w:t>
      </w:r>
    </w:p>
    <w:p w14:paraId="2F973661" w14:textId="570DF6D0" w:rsidR="0022038A" w:rsidRDefault="0022038A" w:rsidP="0022038A">
      <w:pPr>
        <w:pStyle w:val="Numberedpara"/>
        <w:numPr>
          <w:ilvl w:val="0"/>
          <w:numId w:val="0"/>
        </w:numPr>
        <w:ind w:left="357" w:hanging="357"/>
      </w:pPr>
    </w:p>
    <w:p w14:paraId="4DC25FA8" w14:textId="43D972C7" w:rsidR="0022038A" w:rsidRDefault="0022038A" w:rsidP="0022038A">
      <w:pPr>
        <w:pStyle w:val="SMTActions"/>
      </w:pPr>
      <w:r>
        <w:t>ACTION: CW</w:t>
      </w:r>
    </w:p>
    <w:p w14:paraId="0FFAB1FC" w14:textId="77777777" w:rsidR="00802815" w:rsidRDefault="00802815" w:rsidP="00802815">
      <w:pPr>
        <w:pStyle w:val="Numberedpara"/>
        <w:numPr>
          <w:ilvl w:val="0"/>
          <w:numId w:val="0"/>
        </w:numPr>
        <w:ind w:left="357"/>
      </w:pPr>
    </w:p>
    <w:p w14:paraId="52E37C7A" w14:textId="06992083" w:rsidR="005C7D5B" w:rsidRDefault="005C7D5B" w:rsidP="00FF68A5">
      <w:pPr>
        <w:pStyle w:val="Heading2"/>
      </w:pPr>
      <w:r>
        <w:t xml:space="preserve">Chair and </w:t>
      </w:r>
      <w:r w:rsidRPr="00FF68A5">
        <w:t>Chief</w:t>
      </w:r>
      <w:r>
        <w:t xml:space="preserve"> Executive appointments (item 1</w:t>
      </w:r>
      <w:r w:rsidR="009E0AB7">
        <w:t>1</w:t>
      </w:r>
      <w:r w:rsidR="00207F4A">
        <w:t>)</w:t>
      </w:r>
    </w:p>
    <w:p w14:paraId="24054830" w14:textId="77777777" w:rsidR="00FF68A5" w:rsidRDefault="00FF68A5" w:rsidP="00FF68A5">
      <w:pPr>
        <w:pStyle w:val="Numberedpara"/>
        <w:numPr>
          <w:ilvl w:val="0"/>
          <w:numId w:val="0"/>
        </w:numPr>
        <w:ind w:left="357"/>
      </w:pPr>
    </w:p>
    <w:p w14:paraId="79D0AB7E" w14:textId="162AC21C" w:rsidR="00802815" w:rsidRDefault="0022038A" w:rsidP="00802815">
      <w:pPr>
        <w:pStyle w:val="Numberedpara"/>
      </w:pPr>
      <w:r>
        <w:t>No further update.</w:t>
      </w:r>
    </w:p>
    <w:p w14:paraId="09600504" w14:textId="77777777" w:rsidR="004422AC" w:rsidRPr="004422AC" w:rsidRDefault="004422AC" w:rsidP="004422AC">
      <w:pPr>
        <w:pStyle w:val="Paragraph"/>
        <w:numPr>
          <w:ilvl w:val="0"/>
          <w:numId w:val="0"/>
        </w:numPr>
        <w:ind w:left="567"/>
      </w:pPr>
    </w:p>
    <w:p w14:paraId="05252A9A" w14:textId="5E2694C2" w:rsidR="006F3BE2" w:rsidRDefault="006F3BE2" w:rsidP="006F3BE2">
      <w:pPr>
        <w:pStyle w:val="Heading2"/>
      </w:pPr>
      <w:r>
        <w:t>Weekly staff SMT updates (item 1</w:t>
      </w:r>
      <w:r w:rsidR="009E0AB7">
        <w:t>2</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36A54C28" w:rsidR="006F3BE2" w:rsidRPr="00FA4D12" w:rsidRDefault="004E7E52" w:rsidP="00FF68A5">
      <w:pPr>
        <w:pStyle w:val="Heading2"/>
      </w:pPr>
      <w:r>
        <w:t>O</w:t>
      </w:r>
      <w:r w:rsidR="006F3BE2">
        <w:t>ther business (</w:t>
      </w:r>
      <w:r w:rsidR="006F3BE2" w:rsidRPr="00FF68A5">
        <w:t>item</w:t>
      </w:r>
      <w:r w:rsidR="006F3BE2">
        <w:t xml:space="preserve"> 1</w:t>
      </w:r>
      <w:r w:rsidR="009E0AB7">
        <w:t>3</w:t>
      </w:r>
      <w:r w:rsidR="006F3BE2">
        <w:t>)</w:t>
      </w:r>
    </w:p>
    <w:p w14:paraId="5F62CEA1" w14:textId="77777777" w:rsidR="00FF68A5" w:rsidRDefault="00FF68A5" w:rsidP="00FF68A5">
      <w:pPr>
        <w:pStyle w:val="Numberedpara"/>
        <w:numPr>
          <w:ilvl w:val="0"/>
          <w:numId w:val="0"/>
        </w:numPr>
        <w:ind w:left="357"/>
      </w:pPr>
    </w:p>
    <w:p w14:paraId="673027E4" w14:textId="75620D69" w:rsidR="009D7BCF" w:rsidRDefault="00A41C24" w:rsidP="00C653B2">
      <w:pPr>
        <w:pStyle w:val="Numberedpara"/>
      </w:pPr>
      <w:r>
        <w:t xml:space="preserve">Gill Leng </w:t>
      </w:r>
      <w:r w:rsidR="000566B0">
        <w:t xml:space="preserve">asked directors to inform their senior teams that </w:t>
      </w:r>
      <w:r>
        <w:t xml:space="preserve">Ben Bennett </w:t>
      </w:r>
      <w:r w:rsidR="000566B0">
        <w:t xml:space="preserve">is on </w:t>
      </w:r>
      <w:r>
        <w:t>special leave until 31 March 2020</w:t>
      </w:r>
      <w:r w:rsidR="000566B0">
        <w:t xml:space="preserve">, and to cascade this and the acting up arrangements as </w:t>
      </w:r>
      <w:r>
        <w:t xml:space="preserve">appropriate. </w:t>
      </w:r>
    </w:p>
    <w:p w14:paraId="5CA85C6E" w14:textId="02D50163" w:rsidR="000566B0" w:rsidRDefault="000566B0" w:rsidP="000566B0">
      <w:pPr>
        <w:pStyle w:val="Numberedpara"/>
        <w:numPr>
          <w:ilvl w:val="0"/>
          <w:numId w:val="0"/>
        </w:numPr>
        <w:ind w:left="357"/>
      </w:pPr>
    </w:p>
    <w:p w14:paraId="09B40392" w14:textId="663D7CCA" w:rsidR="000566B0" w:rsidRDefault="00DB6D1A" w:rsidP="00C653B2">
      <w:pPr>
        <w:pStyle w:val="Numberedpara"/>
      </w:pPr>
      <w:r>
        <w:t xml:space="preserve">Nick Crabb stated that Andrew Dillon is keen </w:t>
      </w:r>
      <w:r w:rsidR="00B66A77">
        <w:t xml:space="preserve">for NICE </w:t>
      </w:r>
      <w:r>
        <w:t xml:space="preserve">to host a meeting with HAS and </w:t>
      </w:r>
      <w:proofErr w:type="spellStart"/>
      <w:r>
        <w:t>IQWiG</w:t>
      </w:r>
      <w:proofErr w:type="spellEnd"/>
      <w:r>
        <w:t>, the French and German health technology assessment agencies, to discuss collaboration with European colleagues</w:t>
      </w:r>
      <w:r w:rsidR="00187CB2">
        <w:t xml:space="preserve">. </w:t>
      </w:r>
      <w:r>
        <w:t xml:space="preserve">The main cost to NICE would be to host a dinner the night before the meeting, with the </w:t>
      </w:r>
      <w:r w:rsidR="00624C3B">
        <w:t>agencies</w:t>
      </w:r>
      <w:r>
        <w:t xml:space="preserve"> funding their own travel and accommodation as has happened previously.</w:t>
      </w:r>
      <w:r w:rsidR="00B66A77">
        <w:t xml:space="preserve"> Nick stated that he</w:t>
      </w:r>
      <w:r w:rsidR="001E0085">
        <w:t xml:space="preserve"> has discussed the issue with the finance team, and it is proposed to fund this through underspend in the grant in aid funded </w:t>
      </w:r>
      <w:r w:rsidR="00187CB2">
        <w:t xml:space="preserve">element of </w:t>
      </w:r>
      <w:r w:rsidR="001E0085">
        <w:t xml:space="preserve">science policy and </w:t>
      </w:r>
      <w:r w:rsidR="00624C3B">
        <w:t>research</w:t>
      </w:r>
      <w:r w:rsidR="001E0085">
        <w:t xml:space="preserve"> </w:t>
      </w:r>
      <w:r w:rsidR="00187CB2">
        <w:t>budget.</w:t>
      </w:r>
      <w:r w:rsidR="001E0085">
        <w:t xml:space="preserve"> SMT supported the </w:t>
      </w:r>
      <w:r w:rsidR="00375CA6">
        <w:t>proposals</w:t>
      </w:r>
      <w:r w:rsidR="001E0085">
        <w:t xml:space="preserve"> and agreed that Andrew Dillon or Gill Leng would sign-off the costs of the meal on behalf of SMT. </w:t>
      </w:r>
    </w:p>
    <w:p w14:paraId="197C2FD5" w14:textId="77777777" w:rsidR="001E0085" w:rsidRDefault="001E0085" w:rsidP="001E0085">
      <w:pPr>
        <w:pStyle w:val="ListParagraph"/>
      </w:pPr>
    </w:p>
    <w:p w14:paraId="75FA2C23" w14:textId="66D383DF" w:rsidR="001E0085" w:rsidRDefault="001E0085" w:rsidP="00C653B2">
      <w:pPr>
        <w:pStyle w:val="Numberedpara"/>
      </w:pPr>
      <w:r>
        <w:t xml:space="preserve">Paul Chrisp noted that NICE has a received a letter before claim </w:t>
      </w:r>
      <w:r w:rsidR="00B64DB5">
        <w:t xml:space="preserve">which threatens </w:t>
      </w:r>
      <w:r>
        <w:t xml:space="preserve">judicial review </w:t>
      </w:r>
      <w:r w:rsidR="00B64DB5">
        <w:t>proceedings about NICE’s guidance on statins</w:t>
      </w:r>
      <w:r w:rsidR="00187CB2">
        <w:t xml:space="preserve">; </w:t>
      </w:r>
      <w:r w:rsidR="00B64DB5">
        <w:t xml:space="preserve">Beachcroft </w:t>
      </w:r>
      <w:r w:rsidR="00187CB2">
        <w:t xml:space="preserve">are advising on </w:t>
      </w:r>
      <w:r w:rsidR="00B64DB5">
        <w:t>a response.</w:t>
      </w:r>
    </w:p>
    <w:sectPr w:rsidR="001E0085"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B59E8" w14:textId="77777777" w:rsidR="004D1F8B" w:rsidRDefault="004D1F8B" w:rsidP="00446BEE">
      <w:r>
        <w:separator/>
      </w:r>
    </w:p>
  </w:endnote>
  <w:endnote w:type="continuationSeparator" w:id="0">
    <w:p w14:paraId="2BD09596" w14:textId="77777777" w:rsidR="004D1F8B" w:rsidRDefault="004D1F8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3962084F" w:rsidR="0022038A" w:rsidRDefault="0022038A">
    <w:pPr>
      <w:pStyle w:val="Footer"/>
    </w:pPr>
    <w:r>
      <w:tab/>
    </w:r>
    <w:r>
      <w:tab/>
    </w:r>
    <w:r>
      <w:fldChar w:fldCharType="begin"/>
    </w:r>
    <w:r>
      <w:instrText xml:space="preserve"> PAGE </w:instrText>
    </w:r>
    <w:r>
      <w:fldChar w:fldCharType="separate"/>
    </w:r>
    <w:r>
      <w:rPr>
        <w:noProof/>
      </w:rPr>
      <w:t>1</w:t>
    </w:r>
    <w:r>
      <w:fldChar w:fldCharType="end"/>
    </w:r>
    <w:r>
      <w:t xml:space="preserve"> of </w:t>
    </w:r>
    <w:r w:rsidR="004D1F8B">
      <w:fldChar w:fldCharType="begin"/>
    </w:r>
    <w:r w:rsidR="004D1F8B">
      <w:instrText xml:space="preserve"> NUMPAGES  </w:instrText>
    </w:r>
    <w:r w:rsidR="004D1F8B">
      <w:fldChar w:fldCharType="separate"/>
    </w:r>
    <w:r>
      <w:rPr>
        <w:noProof/>
      </w:rPr>
      <w:t>1</w:t>
    </w:r>
    <w:r w:rsidR="004D1F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E9F23" w14:textId="77777777" w:rsidR="004D1F8B" w:rsidRDefault="004D1F8B" w:rsidP="00446BEE">
      <w:r>
        <w:separator/>
      </w:r>
    </w:p>
  </w:footnote>
  <w:footnote w:type="continuationSeparator" w:id="0">
    <w:p w14:paraId="056E3C8D" w14:textId="77777777" w:rsidR="004D1F8B" w:rsidRDefault="004D1F8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07AE7C86" w:rsidR="0022038A" w:rsidRPr="007D0457" w:rsidRDefault="0022038A"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8"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0"/>
  </w:num>
  <w:num w:numId="21">
    <w:abstractNumId w:val="14"/>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 w:numId="26">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12"/>
    <w:rsid w:val="000053F8"/>
    <w:rsid w:val="0000687D"/>
    <w:rsid w:val="00010AAB"/>
    <w:rsid w:val="00012355"/>
    <w:rsid w:val="00020D14"/>
    <w:rsid w:val="00021245"/>
    <w:rsid w:val="00022932"/>
    <w:rsid w:val="00024B3D"/>
    <w:rsid w:val="00024D0A"/>
    <w:rsid w:val="000253C0"/>
    <w:rsid w:val="000376CB"/>
    <w:rsid w:val="00042D75"/>
    <w:rsid w:val="000472DC"/>
    <w:rsid w:val="00050204"/>
    <w:rsid w:val="00053B5D"/>
    <w:rsid w:val="000566B0"/>
    <w:rsid w:val="00056F21"/>
    <w:rsid w:val="0006260D"/>
    <w:rsid w:val="00070065"/>
    <w:rsid w:val="00070B7D"/>
    <w:rsid w:val="0007247B"/>
    <w:rsid w:val="0007277C"/>
    <w:rsid w:val="00075572"/>
    <w:rsid w:val="000809D2"/>
    <w:rsid w:val="000836B1"/>
    <w:rsid w:val="00083F12"/>
    <w:rsid w:val="00084854"/>
    <w:rsid w:val="00090B63"/>
    <w:rsid w:val="000966AB"/>
    <w:rsid w:val="000A1E6D"/>
    <w:rsid w:val="000A4279"/>
    <w:rsid w:val="000A4FEE"/>
    <w:rsid w:val="000A6E1A"/>
    <w:rsid w:val="000B0FF9"/>
    <w:rsid w:val="000B2792"/>
    <w:rsid w:val="000B3EA3"/>
    <w:rsid w:val="000B5939"/>
    <w:rsid w:val="000C0341"/>
    <w:rsid w:val="000C368A"/>
    <w:rsid w:val="000C5DBA"/>
    <w:rsid w:val="000C7EF5"/>
    <w:rsid w:val="000D53A2"/>
    <w:rsid w:val="000D6D85"/>
    <w:rsid w:val="000E121F"/>
    <w:rsid w:val="000E654C"/>
    <w:rsid w:val="000E7DE1"/>
    <w:rsid w:val="000E7E12"/>
    <w:rsid w:val="000F1617"/>
    <w:rsid w:val="00100AC1"/>
    <w:rsid w:val="00103740"/>
    <w:rsid w:val="00111CCE"/>
    <w:rsid w:val="001131C4"/>
    <w:rsid w:val="001134E7"/>
    <w:rsid w:val="00116344"/>
    <w:rsid w:val="001302A2"/>
    <w:rsid w:val="00130A69"/>
    <w:rsid w:val="001311CD"/>
    <w:rsid w:val="001343BC"/>
    <w:rsid w:val="00134510"/>
    <w:rsid w:val="001505E0"/>
    <w:rsid w:val="00153771"/>
    <w:rsid w:val="0015444A"/>
    <w:rsid w:val="00154E94"/>
    <w:rsid w:val="00156295"/>
    <w:rsid w:val="00160E15"/>
    <w:rsid w:val="00161EC0"/>
    <w:rsid w:val="00166602"/>
    <w:rsid w:val="00170075"/>
    <w:rsid w:val="0017149E"/>
    <w:rsid w:val="0017169E"/>
    <w:rsid w:val="00171DB1"/>
    <w:rsid w:val="00173639"/>
    <w:rsid w:val="001739DA"/>
    <w:rsid w:val="001753D5"/>
    <w:rsid w:val="00177B91"/>
    <w:rsid w:val="00180AE3"/>
    <w:rsid w:val="0018188C"/>
    <w:rsid w:val="00181A4A"/>
    <w:rsid w:val="00184F4B"/>
    <w:rsid w:val="00187CB2"/>
    <w:rsid w:val="00191BEA"/>
    <w:rsid w:val="001931EE"/>
    <w:rsid w:val="00196622"/>
    <w:rsid w:val="001A2F9F"/>
    <w:rsid w:val="001A38AF"/>
    <w:rsid w:val="001A397D"/>
    <w:rsid w:val="001B0EE9"/>
    <w:rsid w:val="001B1610"/>
    <w:rsid w:val="001B2A5C"/>
    <w:rsid w:val="001B65B3"/>
    <w:rsid w:val="001C1A9F"/>
    <w:rsid w:val="001C202F"/>
    <w:rsid w:val="001C2B2C"/>
    <w:rsid w:val="001C301A"/>
    <w:rsid w:val="001C4767"/>
    <w:rsid w:val="001C4F0E"/>
    <w:rsid w:val="001D7881"/>
    <w:rsid w:val="001E0085"/>
    <w:rsid w:val="001E2F52"/>
    <w:rsid w:val="001E6205"/>
    <w:rsid w:val="001F0405"/>
    <w:rsid w:val="001F0F6E"/>
    <w:rsid w:val="002029A6"/>
    <w:rsid w:val="00205B1E"/>
    <w:rsid w:val="00207F4A"/>
    <w:rsid w:val="00210577"/>
    <w:rsid w:val="002118F8"/>
    <w:rsid w:val="002200AA"/>
    <w:rsid w:val="0022038A"/>
    <w:rsid w:val="00227B50"/>
    <w:rsid w:val="0023081D"/>
    <w:rsid w:val="00231F8F"/>
    <w:rsid w:val="00234F90"/>
    <w:rsid w:val="00236928"/>
    <w:rsid w:val="002408EA"/>
    <w:rsid w:val="0024105B"/>
    <w:rsid w:val="00241118"/>
    <w:rsid w:val="00242A10"/>
    <w:rsid w:val="00242DC5"/>
    <w:rsid w:val="00246266"/>
    <w:rsid w:val="002464E5"/>
    <w:rsid w:val="002515E9"/>
    <w:rsid w:val="00254C33"/>
    <w:rsid w:val="0025681F"/>
    <w:rsid w:val="0026728F"/>
    <w:rsid w:val="002715FE"/>
    <w:rsid w:val="00274313"/>
    <w:rsid w:val="00274962"/>
    <w:rsid w:val="00280973"/>
    <w:rsid w:val="00280CF4"/>
    <w:rsid w:val="002819D7"/>
    <w:rsid w:val="00286CC1"/>
    <w:rsid w:val="00292A9E"/>
    <w:rsid w:val="002B4299"/>
    <w:rsid w:val="002C1A7E"/>
    <w:rsid w:val="002C4B0C"/>
    <w:rsid w:val="002C5C7E"/>
    <w:rsid w:val="002D0A7C"/>
    <w:rsid w:val="002D2616"/>
    <w:rsid w:val="002D3376"/>
    <w:rsid w:val="002D3D24"/>
    <w:rsid w:val="002D4BEF"/>
    <w:rsid w:val="002D6B0B"/>
    <w:rsid w:val="002D73FA"/>
    <w:rsid w:val="002D75B8"/>
    <w:rsid w:val="002E137B"/>
    <w:rsid w:val="002E3E34"/>
    <w:rsid w:val="002E41F8"/>
    <w:rsid w:val="002E47A0"/>
    <w:rsid w:val="002E57C5"/>
    <w:rsid w:val="002F72E7"/>
    <w:rsid w:val="002F7527"/>
    <w:rsid w:val="003033D5"/>
    <w:rsid w:val="0030592E"/>
    <w:rsid w:val="00305AC5"/>
    <w:rsid w:val="0031003B"/>
    <w:rsid w:val="00311ED0"/>
    <w:rsid w:val="00323D33"/>
    <w:rsid w:val="00327AC3"/>
    <w:rsid w:val="00331D51"/>
    <w:rsid w:val="00333503"/>
    <w:rsid w:val="00334ED8"/>
    <w:rsid w:val="00341876"/>
    <w:rsid w:val="003503B7"/>
    <w:rsid w:val="00350C3C"/>
    <w:rsid w:val="0035176E"/>
    <w:rsid w:val="003544E5"/>
    <w:rsid w:val="003644C9"/>
    <w:rsid w:val="003648C5"/>
    <w:rsid w:val="00367922"/>
    <w:rsid w:val="003722FA"/>
    <w:rsid w:val="003730E6"/>
    <w:rsid w:val="00374A27"/>
    <w:rsid w:val="00374D36"/>
    <w:rsid w:val="00375CA6"/>
    <w:rsid w:val="003775CC"/>
    <w:rsid w:val="00377773"/>
    <w:rsid w:val="003861FB"/>
    <w:rsid w:val="00396B70"/>
    <w:rsid w:val="003A2699"/>
    <w:rsid w:val="003A58BD"/>
    <w:rsid w:val="003B20A2"/>
    <w:rsid w:val="003B2108"/>
    <w:rsid w:val="003B3294"/>
    <w:rsid w:val="003B3606"/>
    <w:rsid w:val="003B423C"/>
    <w:rsid w:val="003B511D"/>
    <w:rsid w:val="003C120C"/>
    <w:rsid w:val="003C7AAF"/>
    <w:rsid w:val="003D03A8"/>
    <w:rsid w:val="003D20F7"/>
    <w:rsid w:val="003E12C9"/>
    <w:rsid w:val="003E4F5A"/>
    <w:rsid w:val="003E6C12"/>
    <w:rsid w:val="003F0601"/>
    <w:rsid w:val="003F0E44"/>
    <w:rsid w:val="003F5829"/>
    <w:rsid w:val="003F603D"/>
    <w:rsid w:val="003F6819"/>
    <w:rsid w:val="00402F33"/>
    <w:rsid w:val="004075B6"/>
    <w:rsid w:val="00410E3E"/>
    <w:rsid w:val="00416285"/>
    <w:rsid w:val="00420952"/>
    <w:rsid w:val="00421613"/>
    <w:rsid w:val="0042354F"/>
    <w:rsid w:val="004262B6"/>
    <w:rsid w:val="00431382"/>
    <w:rsid w:val="004337EE"/>
    <w:rsid w:val="00433EFF"/>
    <w:rsid w:val="0043409F"/>
    <w:rsid w:val="004422AC"/>
    <w:rsid w:val="00443081"/>
    <w:rsid w:val="00446BEE"/>
    <w:rsid w:val="00452528"/>
    <w:rsid w:val="00465139"/>
    <w:rsid w:val="00465D00"/>
    <w:rsid w:val="00477CBD"/>
    <w:rsid w:val="00480E8D"/>
    <w:rsid w:val="00482B20"/>
    <w:rsid w:val="004830A9"/>
    <w:rsid w:val="004867C3"/>
    <w:rsid w:val="00486F94"/>
    <w:rsid w:val="00497F9E"/>
    <w:rsid w:val="004A302A"/>
    <w:rsid w:val="004B08D9"/>
    <w:rsid w:val="004B3FDC"/>
    <w:rsid w:val="004B482D"/>
    <w:rsid w:val="004B549D"/>
    <w:rsid w:val="004B7F86"/>
    <w:rsid w:val="004C64D9"/>
    <w:rsid w:val="004D1458"/>
    <w:rsid w:val="004D1F8B"/>
    <w:rsid w:val="004E2898"/>
    <w:rsid w:val="004E30CE"/>
    <w:rsid w:val="004E7E52"/>
    <w:rsid w:val="004F3AB8"/>
    <w:rsid w:val="004F524D"/>
    <w:rsid w:val="005025A1"/>
    <w:rsid w:val="00507F86"/>
    <w:rsid w:val="00510AEE"/>
    <w:rsid w:val="0051256D"/>
    <w:rsid w:val="00521143"/>
    <w:rsid w:val="00524E32"/>
    <w:rsid w:val="005252FD"/>
    <w:rsid w:val="005255D3"/>
    <w:rsid w:val="005326BE"/>
    <w:rsid w:val="005360F2"/>
    <w:rsid w:val="00545319"/>
    <w:rsid w:val="00545EDE"/>
    <w:rsid w:val="00554A37"/>
    <w:rsid w:val="00554CD8"/>
    <w:rsid w:val="00557CC9"/>
    <w:rsid w:val="00570930"/>
    <w:rsid w:val="005712CF"/>
    <w:rsid w:val="00572AC0"/>
    <w:rsid w:val="00584273"/>
    <w:rsid w:val="00584D0B"/>
    <w:rsid w:val="0058754B"/>
    <w:rsid w:val="005A16D5"/>
    <w:rsid w:val="005A6E4F"/>
    <w:rsid w:val="005B0BD6"/>
    <w:rsid w:val="005B29C3"/>
    <w:rsid w:val="005C428C"/>
    <w:rsid w:val="005C7D5B"/>
    <w:rsid w:val="005D605B"/>
    <w:rsid w:val="005E16E9"/>
    <w:rsid w:val="005F12C3"/>
    <w:rsid w:val="00601D97"/>
    <w:rsid w:val="0061632B"/>
    <w:rsid w:val="00616705"/>
    <w:rsid w:val="00620984"/>
    <w:rsid w:val="0062151F"/>
    <w:rsid w:val="00624C3B"/>
    <w:rsid w:val="00632D1D"/>
    <w:rsid w:val="0063337A"/>
    <w:rsid w:val="00646A63"/>
    <w:rsid w:val="006478F0"/>
    <w:rsid w:val="0065082A"/>
    <w:rsid w:val="00654978"/>
    <w:rsid w:val="00654AAE"/>
    <w:rsid w:val="00665542"/>
    <w:rsid w:val="00666647"/>
    <w:rsid w:val="00677830"/>
    <w:rsid w:val="0068087E"/>
    <w:rsid w:val="006831E0"/>
    <w:rsid w:val="006837A8"/>
    <w:rsid w:val="006900FC"/>
    <w:rsid w:val="00690502"/>
    <w:rsid w:val="006921E1"/>
    <w:rsid w:val="006928CF"/>
    <w:rsid w:val="0069653C"/>
    <w:rsid w:val="006A27D0"/>
    <w:rsid w:val="006A55B2"/>
    <w:rsid w:val="006B1325"/>
    <w:rsid w:val="006B2D63"/>
    <w:rsid w:val="006B30D4"/>
    <w:rsid w:val="006B7882"/>
    <w:rsid w:val="006C1746"/>
    <w:rsid w:val="006C214B"/>
    <w:rsid w:val="006C2E23"/>
    <w:rsid w:val="006C35A0"/>
    <w:rsid w:val="006C3658"/>
    <w:rsid w:val="006C4D7B"/>
    <w:rsid w:val="006C6AA7"/>
    <w:rsid w:val="006C7B86"/>
    <w:rsid w:val="006D50CB"/>
    <w:rsid w:val="006D5F11"/>
    <w:rsid w:val="006D6F91"/>
    <w:rsid w:val="006E0F91"/>
    <w:rsid w:val="006E1B3F"/>
    <w:rsid w:val="006E2856"/>
    <w:rsid w:val="006E4665"/>
    <w:rsid w:val="006E5881"/>
    <w:rsid w:val="006E6F4A"/>
    <w:rsid w:val="006F3BE2"/>
    <w:rsid w:val="006F4B25"/>
    <w:rsid w:val="006F6496"/>
    <w:rsid w:val="0070165B"/>
    <w:rsid w:val="00702817"/>
    <w:rsid w:val="00702C06"/>
    <w:rsid w:val="007058E4"/>
    <w:rsid w:val="0071055D"/>
    <w:rsid w:val="00715492"/>
    <w:rsid w:val="00716659"/>
    <w:rsid w:val="007245C0"/>
    <w:rsid w:val="00726869"/>
    <w:rsid w:val="00732A4C"/>
    <w:rsid w:val="007342EF"/>
    <w:rsid w:val="00736348"/>
    <w:rsid w:val="00740321"/>
    <w:rsid w:val="00744336"/>
    <w:rsid w:val="00744BF0"/>
    <w:rsid w:val="00745C8D"/>
    <w:rsid w:val="007571FD"/>
    <w:rsid w:val="00760908"/>
    <w:rsid w:val="00763944"/>
    <w:rsid w:val="007677FC"/>
    <w:rsid w:val="00776CBA"/>
    <w:rsid w:val="00776F5B"/>
    <w:rsid w:val="00777395"/>
    <w:rsid w:val="00780F99"/>
    <w:rsid w:val="00793439"/>
    <w:rsid w:val="00794922"/>
    <w:rsid w:val="0079661C"/>
    <w:rsid w:val="007A222B"/>
    <w:rsid w:val="007A3A2F"/>
    <w:rsid w:val="007B2A9F"/>
    <w:rsid w:val="007B4D14"/>
    <w:rsid w:val="007B7DC1"/>
    <w:rsid w:val="007D0457"/>
    <w:rsid w:val="007D440D"/>
    <w:rsid w:val="007D4D20"/>
    <w:rsid w:val="007D68FE"/>
    <w:rsid w:val="007E05DE"/>
    <w:rsid w:val="007E72A1"/>
    <w:rsid w:val="007F238D"/>
    <w:rsid w:val="007F361A"/>
    <w:rsid w:val="007F4ED3"/>
    <w:rsid w:val="00802815"/>
    <w:rsid w:val="008057D9"/>
    <w:rsid w:val="0080602B"/>
    <w:rsid w:val="00806FAA"/>
    <w:rsid w:val="00813EED"/>
    <w:rsid w:val="008159B5"/>
    <w:rsid w:val="00816677"/>
    <w:rsid w:val="00816FCD"/>
    <w:rsid w:val="00826930"/>
    <w:rsid w:val="00826D99"/>
    <w:rsid w:val="008456A8"/>
    <w:rsid w:val="008517C8"/>
    <w:rsid w:val="0085566B"/>
    <w:rsid w:val="00857B3A"/>
    <w:rsid w:val="00861B92"/>
    <w:rsid w:val="00865647"/>
    <w:rsid w:val="00867244"/>
    <w:rsid w:val="0086732E"/>
    <w:rsid w:val="00872361"/>
    <w:rsid w:val="0087729F"/>
    <w:rsid w:val="008814FB"/>
    <w:rsid w:val="00881BCD"/>
    <w:rsid w:val="0088342D"/>
    <w:rsid w:val="00892B11"/>
    <w:rsid w:val="008953F9"/>
    <w:rsid w:val="00896DF2"/>
    <w:rsid w:val="008A5002"/>
    <w:rsid w:val="008B35AB"/>
    <w:rsid w:val="008B7D27"/>
    <w:rsid w:val="008C3629"/>
    <w:rsid w:val="008C44B9"/>
    <w:rsid w:val="008D3551"/>
    <w:rsid w:val="008D4136"/>
    <w:rsid w:val="008D6013"/>
    <w:rsid w:val="008E0982"/>
    <w:rsid w:val="008E2D87"/>
    <w:rsid w:val="008E393E"/>
    <w:rsid w:val="008E4437"/>
    <w:rsid w:val="008F5743"/>
    <w:rsid w:val="008F5E30"/>
    <w:rsid w:val="008F73FA"/>
    <w:rsid w:val="00902B72"/>
    <w:rsid w:val="00910388"/>
    <w:rsid w:val="00913737"/>
    <w:rsid w:val="0091378D"/>
    <w:rsid w:val="009141A9"/>
    <w:rsid w:val="00914D7F"/>
    <w:rsid w:val="00921E2F"/>
    <w:rsid w:val="009255C0"/>
    <w:rsid w:val="00927154"/>
    <w:rsid w:val="009272DC"/>
    <w:rsid w:val="009332F5"/>
    <w:rsid w:val="0093341E"/>
    <w:rsid w:val="0094046F"/>
    <w:rsid w:val="0094228F"/>
    <w:rsid w:val="00942FB4"/>
    <w:rsid w:val="009436F4"/>
    <w:rsid w:val="00944C76"/>
    <w:rsid w:val="00945396"/>
    <w:rsid w:val="00945641"/>
    <w:rsid w:val="0094642D"/>
    <w:rsid w:val="00951014"/>
    <w:rsid w:val="009514BA"/>
    <w:rsid w:val="0095652C"/>
    <w:rsid w:val="0097530B"/>
    <w:rsid w:val="00975C12"/>
    <w:rsid w:val="00985AC0"/>
    <w:rsid w:val="00996E66"/>
    <w:rsid w:val="009A13D9"/>
    <w:rsid w:val="009A3E07"/>
    <w:rsid w:val="009A7421"/>
    <w:rsid w:val="009B0F41"/>
    <w:rsid w:val="009B5FDA"/>
    <w:rsid w:val="009C45FE"/>
    <w:rsid w:val="009C5DD5"/>
    <w:rsid w:val="009D3E0D"/>
    <w:rsid w:val="009D7BCF"/>
    <w:rsid w:val="009E05DE"/>
    <w:rsid w:val="009E0AB7"/>
    <w:rsid w:val="009E43B4"/>
    <w:rsid w:val="009E680B"/>
    <w:rsid w:val="009E7BD3"/>
    <w:rsid w:val="00A0005D"/>
    <w:rsid w:val="00A014FE"/>
    <w:rsid w:val="00A04A21"/>
    <w:rsid w:val="00A04F99"/>
    <w:rsid w:val="00A1276C"/>
    <w:rsid w:val="00A15A1F"/>
    <w:rsid w:val="00A248F6"/>
    <w:rsid w:val="00A26641"/>
    <w:rsid w:val="00A30C6D"/>
    <w:rsid w:val="00A32BC1"/>
    <w:rsid w:val="00A3325A"/>
    <w:rsid w:val="00A33BD6"/>
    <w:rsid w:val="00A404E4"/>
    <w:rsid w:val="00A41C24"/>
    <w:rsid w:val="00A43013"/>
    <w:rsid w:val="00A44DC0"/>
    <w:rsid w:val="00A45563"/>
    <w:rsid w:val="00A5355C"/>
    <w:rsid w:val="00A63F06"/>
    <w:rsid w:val="00A65071"/>
    <w:rsid w:val="00A701A7"/>
    <w:rsid w:val="00A71CCE"/>
    <w:rsid w:val="00A836CD"/>
    <w:rsid w:val="00A9007A"/>
    <w:rsid w:val="00A90CB3"/>
    <w:rsid w:val="00A91492"/>
    <w:rsid w:val="00A9682D"/>
    <w:rsid w:val="00AA5E26"/>
    <w:rsid w:val="00AB1356"/>
    <w:rsid w:val="00AB74C7"/>
    <w:rsid w:val="00AD7456"/>
    <w:rsid w:val="00AE2162"/>
    <w:rsid w:val="00AE342B"/>
    <w:rsid w:val="00AE5692"/>
    <w:rsid w:val="00AE5CC7"/>
    <w:rsid w:val="00AE7C78"/>
    <w:rsid w:val="00AF108A"/>
    <w:rsid w:val="00AF6295"/>
    <w:rsid w:val="00B01B8C"/>
    <w:rsid w:val="00B02E55"/>
    <w:rsid w:val="00B036C1"/>
    <w:rsid w:val="00B0424B"/>
    <w:rsid w:val="00B071B3"/>
    <w:rsid w:val="00B07A8B"/>
    <w:rsid w:val="00B12D48"/>
    <w:rsid w:val="00B15E24"/>
    <w:rsid w:val="00B25929"/>
    <w:rsid w:val="00B30E92"/>
    <w:rsid w:val="00B3136A"/>
    <w:rsid w:val="00B374AF"/>
    <w:rsid w:val="00B435A5"/>
    <w:rsid w:val="00B506FF"/>
    <w:rsid w:val="00B5431F"/>
    <w:rsid w:val="00B54B85"/>
    <w:rsid w:val="00B57013"/>
    <w:rsid w:val="00B60821"/>
    <w:rsid w:val="00B62510"/>
    <w:rsid w:val="00B64DB5"/>
    <w:rsid w:val="00B66A77"/>
    <w:rsid w:val="00B904D9"/>
    <w:rsid w:val="00B919DE"/>
    <w:rsid w:val="00B95724"/>
    <w:rsid w:val="00BA5BD5"/>
    <w:rsid w:val="00BA6418"/>
    <w:rsid w:val="00BA7CBD"/>
    <w:rsid w:val="00BB332F"/>
    <w:rsid w:val="00BB73BD"/>
    <w:rsid w:val="00BC57BA"/>
    <w:rsid w:val="00BC6548"/>
    <w:rsid w:val="00BC778E"/>
    <w:rsid w:val="00BD5636"/>
    <w:rsid w:val="00BE0CDA"/>
    <w:rsid w:val="00BF24FA"/>
    <w:rsid w:val="00BF7FE0"/>
    <w:rsid w:val="00C12890"/>
    <w:rsid w:val="00C12B6F"/>
    <w:rsid w:val="00C133C0"/>
    <w:rsid w:val="00C237D5"/>
    <w:rsid w:val="00C25808"/>
    <w:rsid w:val="00C313D9"/>
    <w:rsid w:val="00C3153A"/>
    <w:rsid w:val="00C3165C"/>
    <w:rsid w:val="00C35241"/>
    <w:rsid w:val="00C35431"/>
    <w:rsid w:val="00C35E2E"/>
    <w:rsid w:val="00C40673"/>
    <w:rsid w:val="00C50107"/>
    <w:rsid w:val="00C52BA8"/>
    <w:rsid w:val="00C653B2"/>
    <w:rsid w:val="00C67829"/>
    <w:rsid w:val="00C712BA"/>
    <w:rsid w:val="00C75CEC"/>
    <w:rsid w:val="00C77857"/>
    <w:rsid w:val="00C77B03"/>
    <w:rsid w:val="00C803F0"/>
    <w:rsid w:val="00C81104"/>
    <w:rsid w:val="00C82E86"/>
    <w:rsid w:val="00C85C50"/>
    <w:rsid w:val="00C92216"/>
    <w:rsid w:val="00C92EF2"/>
    <w:rsid w:val="00C96411"/>
    <w:rsid w:val="00CA0F75"/>
    <w:rsid w:val="00CA5CAE"/>
    <w:rsid w:val="00CA688D"/>
    <w:rsid w:val="00CB00F0"/>
    <w:rsid w:val="00CB0EDC"/>
    <w:rsid w:val="00CB1BF4"/>
    <w:rsid w:val="00CB1FCF"/>
    <w:rsid w:val="00CB21AF"/>
    <w:rsid w:val="00CB3435"/>
    <w:rsid w:val="00CB3438"/>
    <w:rsid w:val="00CB4817"/>
    <w:rsid w:val="00CB5671"/>
    <w:rsid w:val="00CB6AEB"/>
    <w:rsid w:val="00CC0827"/>
    <w:rsid w:val="00CC44E4"/>
    <w:rsid w:val="00CD0466"/>
    <w:rsid w:val="00CD0901"/>
    <w:rsid w:val="00CD0949"/>
    <w:rsid w:val="00CD36D0"/>
    <w:rsid w:val="00CD5A69"/>
    <w:rsid w:val="00CD6104"/>
    <w:rsid w:val="00CE0F32"/>
    <w:rsid w:val="00CE1793"/>
    <w:rsid w:val="00CE1D2A"/>
    <w:rsid w:val="00CF3D88"/>
    <w:rsid w:val="00CF456A"/>
    <w:rsid w:val="00CF4ABC"/>
    <w:rsid w:val="00CF58B7"/>
    <w:rsid w:val="00D234A6"/>
    <w:rsid w:val="00D24375"/>
    <w:rsid w:val="00D25739"/>
    <w:rsid w:val="00D3031B"/>
    <w:rsid w:val="00D312A1"/>
    <w:rsid w:val="00D34250"/>
    <w:rsid w:val="00D351C1"/>
    <w:rsid w:val="00D353A4"/>
    <w:rsid w:val="00D35EFB"/>
    <w:rsid w:val="00D449B5"/>
    <w:rsid w:val="00D504B3"/>
    <w:rsid w:val="00D5077D"/>
    <w:rsid w:val="00D520A7"/>
    <w:rsid w:val="00D57721"/>
    <w:rsid w:val="00D61193"/>
    <w:rsid w:val="00D64853"/>
    <w:rsid w:val="00D72A75"/>
    <w:rsid w:val="00D72AAB"/>
    <w:rsid w:val="00D86BF0"/>
    <w:rsid w:val="00DA01CB"/>
    <w:rsid w:val="00DA476B"/>
    <w:rsid w:val="00DB0B35"/>
    <w:rsid w:val="00DB47FE"/>
    <w:rsid w:val="00DB6D1A"/>
    <w:rsid w:val="00DC72B8"/>
    <w:rsid w:val="00DD09D8"/>
    <w:rsid w:val="00DD0F2D"/>
    <w:rsid w:val="00DD1611"/>
    <w:rsid w:val="00DD1F43"/>
    <w:rsid w:val="00DD36B8"/>
    <w:rsid w:val="00DD551B"/>
    <w:rsid w:val="00DE1116"/>
    <w:rsid w:val="00DE728A"/>
    <w:rsid w:val="00DF1576"/>
    <w:rsid w:val="00DF60B9"/>
    <w:rsid w:val="00E0638A"/>
    <w:rsid w:val="00E065B2"/>
    <w:rsid w:val="00E145AE"/>
    <w:rsid w:val="00E21490"/>
    <w:rsid w:val="00E22737"/>
    <w:rsid w:val="00E27E75"/>
    <w:rsid w:val="00E30D7F"/>
    <w:rsid w:val="00E44923"/>
    <w:rsid w:val="00E46DB1"/>
    <w:rsid w:val="00E4729E"/>
    <w:rsid w:val="00E51920"/>
    <w:rsid w:val="00E53A4A"/>
    <w:rsid w:val="00E5615E"/>
    <w:rsid w:val="00E5758A"/>
    <w:rsid w:val="00E6116C"/>
    <w:rsid w:val="00E64120"/>
    <w:rsid w:val="00E660A1"/>
    <w:rsid w:val="00E660CB"/>
    <w:rsid w:val="00E8008B"/>
    <w:rsid w:val="00E93D40"/>
    <w:rsid w:val="00E94B35"/>
    <w:rsid w:val="00E95412"/>
    <w:rsid w:val="00EA20EC"/>
    <w:rsid w:val="00EA3CCF"/>
    <w:rsid w:val="00EA436F"/>
    <w:rsid w:val="00EA6C04"/>
    <w:rsid w:val="00EB4D32"/>
    <w:rsid w:val="00ED63D6"/>
    <w:rsid w:val="00ED7D03"/>
    <w:rsid w:val="00EE5D18"/>
    <w:rsid w:val="00EE6387"/>
    <w:rsid w:val="00EF5B9C"/>
    <w:rsid w:val="00F055F1"/>
    <w:rsid w:val="00F065B9"/>
    <w:rsid w:val="00F068CB"/>
    <w:rsid w:val="00F104D3"/>
    <w:rsid w:val="00F15595"/>
    <w:rsid w:val="00F2175D"/>
    <w:rsid w:val="00F265A8"/>
    <w:rsid w:val="00F33965"/>
    <w:rsid w:val="00F34E43"/>
    <w:rsid w:val="00F40DA6"/>
    <w:rsid w:val="00F44607"/>
    <w:rsid w:val="00F44E7C"/>
    <w:rsid w:val="00F46C18"/>
    <w:rsid w:val="00F50A3A"/>
    <w:rsid w:val="00F55204"/>
    <w:rsid w:val="00F610AF"/>
    <w:rsid w:val="00F6153A"/>
    <w:rsid w:val="00F62E20"/>
    <w:rsid w:val="00F63DC1"/>
    <w:rsid w:val="00F65375"/>
    <w:rsid w:val="00F662F4"/>
    <w:rsid w:val="00F67C74"/>
    <w:rsid w:val="00F7050E"/>
    <w:rsid w:val="00F73602"/>
    <w:rsid w:val="00F84A9B"/>
    <w:rsid w:val="00F85A62"/>
    <w:rsid w:val="00F91823"/>
    <w:rsid w:val="00F96560"/>
    <w:rsid w:val="00F97060"/>
    <w:rsid w:val="00FA2A2F"/>
    <w:rsid w:val="00FA2C5A"/>
    <w:rsid w:val="00FA4D12"/>
    <w:rsid w:val="00FB476C"/>
    <w:rsid w:val="00FB63A0"/>
    <w:rsid w:val="00FB683D"/>
    <w:rsid w:val="00FB70D5"/>
    <w:rsid w:val="00FC22E4"/>
    <w:rsid w:val="00FC2D11"/>
    <w:rsid w:val="00FC6230"/>
    <w:rsid w:val="00FD22CB"/>
    <w:rsid w:val="00FD549F"/>
    <w:rsid w:val="00FE0DFC"/>
    <w:rsid w:val="00FE2FCE"/>
    <w:rsid w:val="00FE4DAF"/>
    <w:rsid w:val="00FE7994"/>
    <w:rsid w:val="00FF333C"/>
    <w:rsid w:val="00FF3434"/>
    <w:rsid w:val="00FF4771"/>
    <w:rsid w:val="00FF61E7"/>
    <w:rsid w:val="00FF638F"/>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2020-07-09T08:55:00Z</dcterms:created>
  <dcterms:modified xsi:type="dcterms:W3CDTF">2020-07-09T08:55:00Z</dcterms:modified>
</cp:coreProperties>
</file>