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1ACDA667" w:rsidR="00975C12" w:rsidRPr="00F40D3F" w:rsidRDefault="00975C12" w:rsidP="00975C12">
      <w:pPr>
        <w:pStyle w:val="Heading1"/>
        <w:jc w:val="center"/>
      </w:pPr>
      <w:r w:rsidRPr="00F40D3F">
        <w:t xml:space="preserve">Minutes of the meeting held on </w:t>
      </w:r>
      <w:r w:rsidR="002F1539">
        <w:t>4 February</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F07697F" w14:textId="46ECD694" w:rsidR="005F5EF6" w:rsidRDefault="005F5EF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5BE30291" w14:textId="55B51210" w:rsidR="002F1539" w:rsidRDefault="002F1539"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7BB11027" w14:textId="5E757A55"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7CC600BB" w14:textId="66F3E06C" w:rsidR="00C53D17" w:rsidRDefault="00C53D17" w:rsidP="005F5EF6">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20CB1BFE" w14:textId="3EE9F7B6" w:rsidR="005F5EF6" w:rsidRPr="002D6B0B" w:rsidRDefault="005F5EF6" w:rsidP="005F5EF6">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Gill Leng</w:t>
      </w:r>
      <w:r w:rsidRPr="002D6B0B">
        <w:rPr>
          <w:rFonts w:cs="Arial"/>
          <w:color w:val="000000" w:themeColor="text1"/>
          <w:sz w:val="22"/>
          <w:szCs w:val="22"/>
          <w:lang w:val="en-GB"/>
        </w:rPr>
        <w:tab/>
        <w:t xml:space="preserve">Director – Health and Social Care </w:t>
      </w:r>
    </w:p>
    <w:p w14:paraId="7ADF7393" w14:textId="06E7F810" w:rsidR="00777395" w:rsidRPr="002D6B0B"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Alexia Tonnel</w:t>
      </w:r>
      <w:r w:rsidRPr="002D6B0B">
        <w:rPr>
          <w:rFonts w:cs="Arial"/>
          <w:color w:val="000000" w:themeColor="text1"/>
          <w:sz w:val="22"/>
          <w:szCs w:val="22"/>
          <w:lang w:val="en-GB"/>
        </w:rPr>
        <w:tab/>
        <w:t>Director – Evidence Resources</w:t>
      </w:r>
      <w:r w:rsidR="005360F2" w:rsidRPr="002D6B0B">
        <w:rPr>
          <w:rFonts w:cs="Arial"/>
          <w:color w:val="000000" w:themeColor="text1"/>
          <w:sz w:val="22"/>
          <w:szCs w:val="22"/>
          <w:lang w:val="en-GB"/>
        </w:rPr>
        <w:t xml:space="preserve"> </w:t>
      </w:r>
    </w:p>
    <w:p w14:paraId="5081CA70" w14:textId="535B8FCF"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505B088E" w14:textId="30D0CBF9" w:rsidR="00B3136A" w:rsidRPr="00744033"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Coombs</w:t>
      </w:r>
      <w:r w:rsidRPr="00744033">
        <w:rPr>
          <w:rFonts w:cs="Arial"/>
          <w:color w:val="000000" w:themeColor="text1"/>
          <w:sz w:val="22"/>
          <w:szCs w:val="22"/>
          <w:lang w:val="en-GB"/>
        </w:rPr>
        <w:tab/>
        <w:t>Associate Director – Corporate Office (minutes)</w:t>
      </w:r>
    </w:p>
    <w:p w14:paraId="33ADA97E" w14:textId="75A7D13D" w:rsidR="005F5EF6" w:rsidRPr="00095BEC" w:rsidRDefault="002F1539" w:rsidP="00F46C18">
      <w:pPr>
        <w:ind w:left="2160" w:hanging="2160"/>
        <w:rPr>
          <w:rFonts w:ascii="Arial" w:hAnsi="Arial" w:cs="Arial"/>
          <w:sz w:val="22"/>
          <w:szCs w:val="22"/>
        </w:rPr>
      </w:pPr>
      <w:r w:rsidRPr="00095BEC">
        <w:rPr>
          <w:rFonts w:ascii="Arial" w:hAnsi="Arial" w:cs="Arial"/>
          <w:sz w:val="22"/>
          <w:szCs w:val="22"/>
        </w:rPr>
        <w:t>Phil Hemmings</w:t>
      </w:r>
      <w:r w:rsidRPr="00095BEC">
        <w:rPr>
          <w:rFonts w:ascii="Arial" w:hAnsi="Arial" w:cs="Arial"/>
          <w:sz w:val="22"/>
          <w:szCs w:val="22"/>
        </w:rPr>
        <w:tab/>
        <w:t xml:space="preserve">Associate Director – </w:t>
      </w:r>
      <w:r w:rsidR="00D6755A" w:rsidRPr="00095BEC">
        <w:rPr>
          <w:rFonts w:ascii="Arial" w:hAnsi="Arial" w:cs="Arial"/>
          <w:sz w:val="22"/>
          <w:szCs w:val="22"/>
        </w:rPr>
        <w:t xml:space="preserve">Editorial and </w:t>
      </w:r>
      <w:r w:rsidRPr="00095BEC">
        <w:rPr>
          <w:rFonts w:ascii="Arial" w:hAnsi="Arial" w:cs="Arial"/>
          <w:sz w:val="22"/>
          <w:szCs w:val="22"/>
        </w:rPr>
        <w:t>Publishing (item 7.1)</w:t>
      </w:r>
    </w:p>
    <w:p w14:paraId="519955F3" w14:textId="2B6B1D19" w:rsidR="00D91589" w:rsidRDefault="00D91589" w:rsidP="00D91589">
      <w:pPr>
        <w:ind w:left="2160" w:hanging="2160"/>
        <w:rPr>
          <w:rFonts w:ascii="Arial" w:hAnsi="Arial" w:cs="Arial"/>
          <w:sz w:val="22"/>
          <w:szCs w:val="22"/>
        </w:rPr>
      </w:pPr>
      <w:r w:rsidRPr="00095BEC">
        <w:rPr>
          <w:rFonts w:ascii="Arial" w:hAnsi="Arial" w:cs="Arial"/>
          <w:sz w:val="22"/>
          <w:szCs w:val="22"/>
        </w:rPr>
        <w:t>Jeanette Kusel</w:t>
      </w:r>
      <w:r w:rsidRPr="00095BEC">
        <w:rPr>
          <w:rFonts w:ascii="Arial" w:hAnsi="Arial" w:cs="Arial"/>
          <w:sz w:val="22"/>
          <w:szCs w:val="22"/>
        </w:rPr>
        <w:tab/>
        <w:t>Director – NICE Scientific Advice (item 7.5)</w:t>
      </w:r>
    </w:p>
    <w:p w14:paraId="32BC1042" w14:textId="7232DBFD" w:rsidR="00095BEC" w:rsidRDefault="00095BEC" w:rsidP="00D91589">
      <w:pPr>
        <w:ind w:left="2160" w:hanging="2160"/>
        <w:rPr>
          <w:rFonts w:ascii="Arial" w:hAnsi="Arial" w:cs="Arial"/>
          <w:sz w:val="22"/>
          <w:szCs w:val="22"/>
        </w:rPr>
      </w:pPr>
      <w:r>
        <w:rPr>
          <w:rFonts w:ascii="Arial" w:hAnsi="Arial" w:cs="Arial"/>
          <w:sz w:val="22"/>
          <w:szCs w:val="22"/>
        </w:rPr>
        <w:t>Deborah Lee</w:t>
      </w:r>
      <w:r>
        <w:rPr>
          <w:rFonts w:ascii="Arial" w:hAnsi="Arial" w:cs="Arial"/>
          <w:sz w:val="22"/>
          <w:szCs w:val="22"/>
        </w:rPr>
        <w:tab/>
        <w:t>Senior Project Manager – NICE Scientific Advice (item 7.5)</w:t>
      </w:r>
    </w:p>
    <w:p w14:paraId="47480D9E" w14:textId="242E7585" w:rsidR="00095BEC" w:rsidRDefault="00095BEC" w:rsidP="00D91589">
      <w:pPr>
        <w:ind w:left="2160" w:hanging="2160"/>
        <w:rPr>
          <w:rFonts w:ascii="Arial" w:hAnsi="Arial" w:cs="Arial"/>
          <w:sz w:val="22"/>
          <w:szCs w:val="22"/>
        </w:rPr>
      </w:pPr>
      <w:r>
        <w:rPr>
          <w:rFonts w:ascii="Arial" w:hAnsi="Arial" w:cs="Arial"/>
          <w:sz w:val="22"/>
          <w:szCs w:val="22"/>
        </w:rPr>
        <w:t>John Pegington</w:t>
      </w:r>
      <w:r>
        <w:rPr>
          <w:rFonts w:ascii="Arial" w:hAnsi="Arial" w:cs="Arial"/>
          <w:sz w:val="22"/>
          <w:szCs w:val="22"/>
        </w:rPr>
        <w:tab/>
        <w:t>Senior Management Accountant (item 7.2)</w:t>
      </w:r>
    </w:p>
    <w:p w14:paraId="255F257E" w14:textId="6773E4EA" w:rsidR="00095BEC" w:rsidRPr="00095BEC" w:rsidRDefault="00DA0D2A" w:rsidP="00D91589">
      <w:pPr>
        <w:ind w:left="2160" w:hanging="2160"/>
        <w:rPr>
          <w:rFonts w:ascii="Arial" w:hAnsi="Arial" w:cs="Arial"/>
          <w:sz w:val="22"/>
          <w:szCs w:val="22"/>
        </w:rPr>
      </w:pPr>
      <w:proofErr w:type="spellStart"/>
      <w:r>
        <w:rPr>
          <w:rFonts w:ascii="Arial" w:hAnsi="Arial" w:cs="Arial"/>
          <w:sz w:val="22"/>
          <w:szCs w:val="22"/>
        </w:rPr>
        <w:t>Nwamaka</w:t>
      </w:r>
      <w:proofErr w:type="spellEnd"/>
      <w:r>
        <w:rPr>
          <w:rFonts w:ascii="Arial" w:hAnsi="Arial" w:cs="Arial"/>
          <w:sz w:val="22"/>
          <w:szCs w:val="22"/>
        </w:rPr>
        <w:t xml:space="preserve"> </w:t>
      </w:r>
      <w:proofErr w:type="spellStart"/>
      <w:r>
        <w:rPr>
          <w:rFonts w:ascii="Arial" w:hAnsi="Arial" w:cs="Arial"/>
          <w:sz w:val="22"/>
          <w:szCs w:val="22"/>
        </w:rPr>
        <w:t>Umeweni</w:t>
      </w:r>
      <w:proofErr w:type="spellEnd"/>
      <w:r>
        <w:rPr>
          <w:rFonts w:ascii="Arial" w:hAnsi="Arial" w:cs="Arial"/>
          <w:sz w:val="22"/>
          <w:szCs w:val="22"/>
        </w:rPr>
        <w:tab/>
        <w:t>Senior Market Access Adviser</w:t>
      </w:r>
      <w:r w:rsidR="00E33340">
        <w:rPr>
          <w:rFonts w:ascii="Arial" w:hAnsi="Arial" w:cs="Arial"/>
          <w:sz w:val="22"/>
          <w:szCs w:val="22"/>
        </w:rPr>
        <w:t xml:space="preserve"> –</w:t>
      </w:r>
      <w:r>
        <w:rPr>
          <w:rFonts w:ascii="Arial" w:hAnsi="Arial" w:cs="Arial"/>
          <w:sz w:val="22"/>
          <w:szCs w:val="22"/>
        </w:rPr>
        <w:t xml:space="preserve"> OMA and AAC Secretariat (item 7.4)</w:t>
      </w:r>
    </w:p>
    <w:p w14:paraId="3FE3275A" w14:textId="77777777" w:rsidR="002F1539" w:rsidRDefault="002F1539"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02EC2AF7" w:rsidR="006F3BE2" w:rsidRDefault="002F1539" w:rsidP="00FF68A5">
      <w:pPr>
        <w:pStyle w:val="Numberedpara"/>
      </w:pPr>
      <w:r>
        <w:t>None.</w:t>
      </w:r>
    </w:p>
    <w:p w14:paraId="3FD4EA6A" w14:textId="38F48581"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194DF676" w:rsidR="003503B7" w:rsidRDefault="006F3BE2" w:rsidP="00FF68A5">
      <w:pPr>
        <w:pStyle w:val="Numberedpara"/>
      </w:pPr>
      <w:r>
        <w:t xml:space="preserve">The minutes of the meeting held on </w:t>
      </w:r>
      <w:r w:rsidR="00541F74">
        <w:t>2</w:t>
      </w:r>
      <w:r w:rsidR="00D91589">
        <w:t>8</w:t>
      </w:r>
      <w:r w:rsidR="00C119E1">
        <w:t xml:space="preserve"> </w:t>
      </w:r>
      <w:r w:rsidR="005F5EF6">
        <w:t>January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6D30423B" w:rsidR="006F3BE2" w:rsidRDefault="006F3BE2" w:rsidP="00FF68A5">
      <w:pPr>
        <w:pStyle w:val="Numberedpara"/>
      </w:pPr>
      <w:r>
        <w:t xml:space="preserve">The actions from the meeting held on </w:t>
      </w:r>
      <w:r w:rsidR="00541F74">
        <w:t>2</w:t>
      </w:r>
      <w:r w:rsidR="00D91589">
        <w:t>8</w:t>
      </w:r>
      <w:r w:rsidR="00457915">
        <w:t xml:space="preserve"> January 2020</w:t>
      </w:r>
      <w:r>
        <w:t xml:space="preserve"> were noted as complete or in hand. </w:t>
      </w:r>
    </w:p>
    <w:p w14:paraId="6F69CBA4" w14:textId="77777777" w:rsidR="00443C46" w:rsidRDefault="00443C46" w:rsidP="00443C46">
      <w:pPr>
        <w:pStyle w:val="Numberedpara"/>
        <w:numPr>
          <w:ilvl w:val="0"/>
          <w:numId w:val="0"/>
        </w:numPr>
        <w:ind w:left="357"/>
      </w:pPr>
    </w:p>
    <w:p w14:paraId="288764BC" w14:textId="0A73EC79" w:rsidR="00443C46" w:rsidRDefault="00443C46" w:rsidP="00FF68A5">
      <w:pPr>
        <w:pStyle w:val="Numberedpara"/>
      </w:pPr>
      <w:r>
        <w:t>Alexia Tonnel noted that laptop</w:t>
      </w:r>
      <w:r w:rsidR="00B64867">
        <w:t xml:space="preserve"> option</w:t>
      </w:r>
      <w:r>
        <w:t xml:space="preserve">s for the </w:t>
      </w:r>
      <w:r w:rsidR="00B64867">
        <w:t xml:space="preserve">different staff </w:t>
      </w:r>
      <w:r w:rsidR="00BA55F5">
        <w:t xml:space="preserve">user groups </w:t>
      </w:r>
      <w:r w:rsidR="00B64867">
        <w:t xml:space="preserve">are being tested, and proposals will be brought to SMT </w:t>
      </w:r>
      <w:r w:rsidR="00BA55F5">
        <w:t xml:space="preserve">with a view to </w:t>
      </w:r>
      <w:r w:rsidR="00B64867">
        <w:t xml:space="preserve">placing orders by </w:t>
      </w:r>
      <w:proofErr w:type="spellStart"/>
      <w:r w:rsidR="00B64867">
        <w:t>mid February</w:t>
      </w:r>
      <w:proofErr w:type="spellEnd"/>
      <w:r w:rsidR="00B64867">
        <w:t xml:space="preserve">. </w:t>
      </w:r>
    </w:p>
    <w:p w14:paraId="78A07E1F" w14:textId="77777777" w:rsidR="00B64867" w:rsidRDefault="00B64867" w:rsidP="00B64867">
      <w:pPr>
        <w:pStyle w:val="ListParagraph"/>
      </w:pPr>
    </w:p>
    <w:p w14:paraId="54A27CF4" w14:textId="1C43957B" w:rsidR="00B64867" w:rsidRDefault="00B64867" w:rsidP="00FF68A5">
      <w:pPr>
        <w:pStyle w:val="Numberedpara"/>
      </w:pPr>
      <w:r>
        <w:t xml:space="preserve">Paul Chrisp noted </w:t>
      </w:r>
      <w:r w:rsidR="00060E93">
        <w:t xml:space="preserve">there is possibility of 1 London based member of staff </w:t>
      </w:r>
      <w:r w:rsidR="004E1C69">
        <w:t>supporting the Department of Health and Social Care (DHSC) with the response to Coronavirus</w:t>
      </w:r>
      <w:r w:rsidR="00060E93">
        <w:t>, if required</w:t>
      </w:r>
      <w:r w:rsidR="004E1C69">
        <w:t xml:space="preserve">. </w:t>
      </w:r>
      <w:r w:rsidR="00060E93">
        <w:t xml:space="preserve">The backfill </w:t>
      </w:r>
      <w:r w:rsidR="00630EF1">
        <w:t>implications</w:t>
      </w:r>
      <w:r w:rsidR="00060E93">
        <w:t xml:space="preserve"> are currently being explored. </w:t>
      </w:r>
    </w:p>
    <w:p w14:paraId="09DC1633" w14:textId="41CEEB1A" w:rsidR="001E192F" w:rsidRDefault="001E192F" w:rsidP="001E192F">
      <w:pPr>
        <w:pStyle w:val="Numberedpara"/>
        <w:numPr>
          <w:ilvl w:val="0"/>
          <w:numId w:val="0"/>
        </w:numPr>
        <w:ind w:left="357"/>
      </w:pPr>
    </w:p>
    <w:p w14:paraId="3A1E1FEF" w14:textId="6556AA00" w:rsidR="00EC03FA" w:rsidRDefault="00EC03FA" w:rsidP="00EC03FA">
      <w:pPr>
        <w:pStyle w:val="Heading2"/>
      </w:pPr>
      <w:r>
        <w:lastRenderedPageBreak/>
        <w:t>Board meeting</w:t>
      </w:r>
      <w:r w:rsidR="00D91589">
        <w:t>s</w:t>
      </w:r>
      <w:r>
        <w:t xml:space="preserve"> (item 6)</w:t>
      </w:r>
    </w:p>
    <w:p w14:paraId="335A52C9" w14:textId="2881754A" w:rsidR="00EC03FA" w:rsidRDefault="00EC03FA" w:rsidP="001E192F">
      <w:pPr>
        <w:pStyle w:val="Numberedpara"/>
        <w:numPr>
          <w:ilvl w:val="0"/>
          <w:numId w:val="0"/>
        </w:numPr>
        <w:ind w:left="357"/>
      </w:pPr>
    </w:p>
    <w:p w14:paraId="40C8480D" w14:textId="1423D444" w:rsidR="009C1056" w:rsidRDefault="00EC03FA" w:rsidP="007A7370">
      <w:pPr>
        <w:pStyle w:val="Numberedpara"/>
      </w:pPr>
      <w:r>
        <w:t xml:space="preserve">SMT noted </w:t>
      </w:r>
      <w:r w:rsidR="00D91589">
        <w:t>the actions from the Board meetings on 29 January 2020</w:t>
      </w:r>
      <w:r w:rsidR="00060E93">
        <w:t xml:space="preserve"> and agreed the </w:t>
      </w:r>
      <w:r w:rsidR="00D91589">
        <w:t>agenda items for the Board Strategy meeting on 26 Februar</w:t>
      </w:r>
      <w:r w:rsidR="00F213AA">
        <w:t>y</w:t>
      </w:r>
      <w:r w:rsidR="00D91589">
        <w:t xml:space="preserve"> 2020.</w:t>
      </w:r>
      <w:r w:rsidR="00060E93">
        <w:t xml:space="preserve"> Andrew Dillon </w:t>
      </w:r>
      <w:r w:rsidR="00E33340">
        <w:t xml:space="preserve">stated that he </w:t>
      </w:r>
      <w:r w:rsidR="00060E93">
        <w:t xml:space="preserve">would </w:t>
      </w:r>
      <w:r w:rsidR="00F213AA">
        <w:t>include an update on the approach taken to purchasing laptops in his presentation to</w:t>
      </w:r>
      <w:r w:rsidR="00060E93">
        <w:t xml:space="preserve"> </w:t>
      </w:r>
      <w:r w:rsidR="00F213AA">
        <w:t xml:space="preserve">the February </w:t>
      </w:r>
      <w:r w:rsidR="00060E93">
        <w:t xml:space="preserve">Board </w:t>
      </w:r>
      <w:r w:rsidR="00F213AA">
        <w:t>Strategy meeting</w:t>
      </w:r>
      <w:r w:rsidR="009C1056">
        <w:t xml:space="preserve"> and asked Alexia Tonnel to provide </w:t>
      </w:r>
      <w:r w:rsidR="00E33340">
        <w:t xml:space="preserve">1 or 2 </w:t>
      </w:r>
      <w:r w:rsidR="00630EF1">
        <w:t>PowerPoint</w:t>
      </w:r>
      <w:r w:rsidR="009C1056">
        <w:t xml:space="preserve"> slides. </w:t>
      </w:r>
    </w:p>
    <w:p w14:paraId="15E521EC" w14:textId="125323A5" w:rsidR="009C1056" w:rsidRDefault="009C1056" w:rsidP="009C1056">
      <w:pPr>
        <w:pStyle w:val="Numberedpara"/>
        <w:numPr>
          <w:ilvl w:val="0"/>
          <w:numId w:val="0"/>
        </w:numPr>
        <w:ind w:left="357"/>
      </w:pPr>
    </w:p>
    <w:p w14:paraId="1A8B1A4E" w14:textId="3980F8DD" w:rsidR="009C1056" w:rsidRDefault="009C1056" w:rsidP="009C1056">
      <w:pPr>
        <w:pStyle w:val="SMTActions"/>
      </w:pPr>
      <w:r>
        <w:t>ACTION: AT/AD</w:t>
      </w:r>
    </w:p>
    <w:p w14:paraId="02AA4CA6" w14:textId="77777777" w:rsidR="009C1056" w:rsidRDefault="009C1056" w:rsidP="009C1056">
      <w:pPr>
        <w:pStyle w:val="Numberedpara"/>
        <w:numPr>
          <w:ilvl w:val="0"/>
          <w:numId w:val="0"/>
        </w:numPr>
        <w:ind w:left="357"/>
      </w:pPr>
    </w:p>
    <w:p w14:paraId="173B408B" w14:textId="4227CAD1" w:rsidR="00D91589" w:rsidRDefault="009C1056" w:rsidP="007A7370">
      <w:pPr>
        <w:pStyle w:val="Numberedpara"/>
      </w:pPr>
      <w:r>
        <w:t xml:space="preserve">Given the new </w:t>
      </w:r>
      <w:r w:rsidR="00630EF1">
        <w:t>Chair</w:t>
      </w:r>
      <w:r>
        <w:t xml:space="preserve"> has yet to be appointed it was noted that the Board will </w:t>
      </w:r>
      <w:r w:rsidR="005B3916">
        <w:t xml:space="preserve">likely </w:t>
      </w:r>
      <w:r>
        <w:t xml:space="preserve">need to </w:t>
      </w:r>
      <w:r w:rsidR="005B3916">
        <w:t xml:space="preserve">pass the resolution to </w:t>
      </w:r>
      <w:r w:rsidR="00630EF1">
        <w:t>delegate</w:t>
      </w:r>
      <w:r>
        <w:t xml:space="preserve"> its powers to a committee at the March </w:t>
      </w:r>
      <w:r w:rsidR="00630EF1">
        <w:t>public</w:t>
      </w:r>
      <w:r>
        <w:t xml:space="preserve"> Board meeting. It was agreed that it </w:t>
      </w:r>
      <w:r w:rsidR="00630EF1">
        <w:t>would</w:t>
      </w:r>
      <w:r>
        <w:t xml:space="preserve"> be helpful to review the paper at the February Board strategy meeting.</w:t>
      </w:r>
    </w:p>
    <w:p w14:paraId="2957CDAC" w14:textId="287A1953" w:rsidR="009C1056" w:rsidRDefault="009C1056" w:rsidP="009C1056">
      <w:pPr>
        <w:pStyle w:val="Numberedpara"/>
        <w:numPr>
          <w:ilvl w:val="0"/>
          <w:numId w:val="0"/>
        </w:numPr>
        <w:ind w:left="357" w:hanging="357"/>
      </w:pPr>
    </w:p>
    <w:p w14:paraId="6F2A56D2" w14:textId="13B2FE84" w:rsidR="009C1056" w:rsidRDefault="009C1056" w:rsidP="009C1056">
      <w:pPr>
        <w:pStyle w:val="SMTActions"/>
      </w:pPr>
      <w:r>
        <w:t>ACTION: DC/AD</w:t>
      </w:r>
    </w:p>
    <w:p w14:paraId="088CE96B" w14:textId="35970875" w:rsidR="00EC03FA" w:rsidRDefault="00EC03FA" w:rsidP="001E192F">
      <w:pPr>
        <w:pStyle w:val="Numberedpara"/>
        <w:numPr>
          <w:ilvl w:val="0"/>
          <w:numId w:val="0"/>
        </w:numPr>
        <w:ind w:left="357"/>
      </w:pPr>
    </w:p>
    <w:p w14:paraId="7A1B60C8" w14:textId="0C48994B" w:rsidR="004C57CE" w:rsidRDefault="004C57CE" w:rsidP="004262B6">
      <w:pPr>
        <w:pStyle w:val="Heading2"/>
      </w:pPr>
      <w:r>
        <w:t>Annual report and accounts 2019/20 (item 7.1)</w:t>
      </w:r>
    </w:p>
    <w:p w14:paraId="75A8A126" w14:textId="613B3766" w:rsidR="004C57CE" w:rsidRDefault="004C57CE" w:rsidP="004C57CE">
      <w:pPr>
        <w:pStyle w:val="Paragraph"/>
        <w:numPr>
          <w:ilvl w:val="0"/>
          <w:numId w:val="0"/>
        </w:numPr>
        <w:ind w:left="567" w:hanging="499"/>
      </w:pPr>
    </w:p>
    <w:p w14:paraId="19D7106C" w14:textId="2AD2500E" w:rsidR="00A41268" w:rsidRDefault="00383DC8" w:rsidP="004C57CE">
      <w:pPr>
        <w:pStyle w:val="Numberedpara"/>
      </w:pPr>
      <w:r>
        <w:t xml:space="preserve">Phil Hemmings presented the report that provided an update on the production of the 2019/20 annual report and </w:t>
      </w:r>
      <w:proofErr w:type="gramStart"/>
      <w:r>
        <w:t>accounts</w:t>
      </w:r>
      <w:r w:rsidR="00A41268">
        <w:t>, and</w:t>
      </w:r>
      <w:proofErr w:type="gramEnd"/>
      <w:r w:rsidR="00A41268">
        <w:t xml:space="preserve"> summarised the proposed </w:t>
      </w:r>
      <w:r w:rsidR="00630EF1">
        <w:t>topics</w:t>
      </w:r>
      <w:r w:rsidR="00A41268">
        <w:t xml:space="preserve"> to be covered in the ‘highlights’ section</w:t>
      </w:r>
      <w:r>
        <w:t>.</w:t>
      </w:r>
    </w:p>
    <w:p w14:paraId="3F7BDAAD" w14:textId="77777777" w:rsidR="00A41268" w:rsidRDefault="00A41268" w:rsidP="00A41268">
      <w:pPr>
        <w:pStyle w:val="Numberedpara"/>
        <w:numPr>
          <w:ilvl w:val="0"/>
          <w:numId w:val="0"/>
        </w:numPr>
        <w:ind w:left="357"/>
      </w:pPr>
    </w:p>
    <w:p w14:paraId="37C922FD" w14:textId="7A823BA7" w:rsidR="004C57CE" w:rsidRDefault="00A41268" w:rsidP="004C57CE">
      <w:pPr>
        <w:pStyle w:val="Numberedpara"/>
      </w:pPr>
      <w:r>
        <w:t>SMT noted the timeline</w:t>
      </w:r>
      <w:r w:rsidR="00E33340">
        <w:t xml:space="preserve"> for producing the report and </w:t>
      </w:r>
      <w:r w:rsidR="004D593F">
        <w:t>supported</w:t>
      </w:r>
      <w:r>
        <w:t xml:space="preserve"> the proposals for the highlights </w:t>
      </w:r>
      <w:r w:rsidR="004D593F">
        <w:t>section</w:t>
      </w:r>
      <w:r w:rsidR="005B3916">
        <w:t xml:space="preserve">. It was </w:t>
      </w:r>
      <w:r w:rsidR="00E33340">
        <w:t xml:space="preserve">agreed that </w:t>
      </w:r>
      <w:r>
        <w:t>th</w:t>
      </w:r>
      <w:r w:rsidR="005B3916">
        <w:t xml:space="preserve">e report should also </w:t>
      </w:r>
      <w:r w:rsidR="004D593F">
        <w:t>reference NICE’s support for the life sciences</w:t>
      </w:r>
      <w:r w:rsidR="005B3916">
        <w:t xml:space="preserve"> industry</w:t>
      </w:r>
      <w:r w:rsidR="004D593F">
        <w:t xml:space="preserve">, including </w:t>
      </w:r>
      <w:r w:rsidR="005B3916">
        <w:t xml:space="preserve">through </w:t>
      </w:r>
      <w:r w:rsidR="004D593F">
        <w:t xml:space="preserve">the Accelerated Access Collaborative, and </w:t>
      </w:r>
      <w:r w:rsidR="005B3916">
        <w:t xml:space="preserve">note </w:t>
      </w:r>
      <w:r w:rsidR="00E33340">
        <w:t xml:space="preserve">the </w:t>
      </w:r>
      <w:r w:rsidR="004D593F">
        <w:t xml:space="preserve">work with partners to </w:t>
      </w:r>
      <w:r w:rsidR="000602E2">
        <w:t xml:space="preserve">support </w:t>
      </w:r>
      <w:r w:rsidR="00630EF1">
        <w:t>deliver</w:t>
      </w:r>
      <w:r w:rsidR="000602E2">
        <w:t>y of</w:t>
      </w:r>
      <w:r w:rsidR="004D593F">
        <w:t xml:space="preserve"> the NHS Long Term Plan.</w:t>
      </w:r>
    </w:p>
    <w:p w14:paraId="7C04CA5F" w14:textId="77777777" w:rsidR="004D593F" w:rsidRDefault="004D593F" w:rsidP="004D593F">
      <w:pPr>
        <w:pStyle w:val="ListParagraph"/>
      </w:pPr>
    </w:p>
    <w:p w14:paraId="02C288BF" w14:textId="2C01D77C" w:rsidR="004D593F" w:rsidRDefault="004D593F" w:rsidP="004D593F">
      <w:pPr>
        <w:pStyle w:val="SMTActions"/>
      </w:pPr>
      <w:r>
        <w:t>ACTION: PH</w:t>
      </w:r>
    </w:p>
    <w:p w14:paraId="30277775" w14:textId="77777777" w:rsidR="00A41268" w:rsidRDefault="00A41268" w:rsidP="004C57CE">
      <w:pPr>
        <w:pStyle w:val="Heading2"/>
      </w:pPr>
    </w:p>
    <w:p w14:paraId="10A2FEA1" w14:textId="5EC46A1B" w:rsidR="004C57CE" w:rsidRPr="004C57CE" w:rsidRDefault="004C57CE" w:rsidP="004C57CE">
      <w:pPr>
        <w:pStyle w:val="Heading2"/>
      </w:pPr>
      <w:r>
        <w:t>Annual report and accounts 2019/20: provisions, contingent liabilities and related party disclosures (item 7.2)</w:t>
      </w:r>
    </w:p>
    <w:p w14:paraId="11906F4F" w14:textId="6C678C4C" w:rsidR="004C57CE" w:rsidRDefault="004C57CE" w:rsidP="004262B6">
      <w:pPr>
        <w:pStyle w:val="Heading2"/>
      </w:pPr>
    </w:p>
    <w:p w14:paraId="5B7E20F1" w14:textId="5719B938" w:rsidR="004C57CE" w:rsidRDefault="008F0292" w:rsidP="004C57CE">
      <w:pPr>
        <w:pStyle w:val="Numberedpara"/>
      </w:pPr>
      <w:r>
        <w:t>John Pegington</w:t>
      </w:r>
      <w:r w:rsidR="00C009E1">
        <w:t xml:space="preserve"> presented the paper that set out the </w:t>
      </w:r>
      <w:r w:rsidR="00EB3BDE">
        <w:t>types of information that will need to be disclosed in the 2019/20 annual report and accounts</w:t>
      </w:r>
      <w:r>
        <w:t xml:space="preserve"> as a contingent liability, provision, or related party transaction</w:t>
      </w:r>
      <w:r w:rsidR="00EB3BDE">
        <w:t xml:space="preserve">. </w:t>
      </w:r>
    </w:p>
    <w:p w14:paraId="6B4600A1" w14:textId="77777777" w:rsidR="008F0292" w:rsidRDefault="008F0292" w:rsidP="008F0292">
      <w:pPr>
        <w:pStyle w:val="Numberedpara"/>
        <w:numPr>
          <w:ilvl w:val="0"/>
          <w:numId w:val="0"/>
        </w:numPr>
        <w:ind w:left="357"/>
      </w:pPr>
    </w:p>
    <w:p w14:paraId="2A438F25" w14:textId="55CCE7EA" w:rsidR="008F0292" w:rsidRDefault="008F0292" w:rsidP="004C57CE">
      <w:pPr>
        <w:pStyle w:val="Numberedpara"/>
      </w:pPr>
      <w:r>
        <w:t xml:space="preserve">SMT discussed the disclosure </w:t>
      </w:r>
      <w:r w:rsidR="00630EF1">
        <w:t>requirements</w:t>
      </w:r>
      <w:r>
        <w:t xml:space="preserve"> and noted the need to inform the finance team</w:t>
      </w:r>
      <w:r w:rsidR="002237AA">
        <w:t xml:space="preserve"> of any event in 2019/20 that could lead to a cost pressure in 2020/21, </w:t>
      </w:r>
      <w:r w:rsidR="00630EF1">
        <w:t>including</w:t>
      </w:r>
      <w:r w:rsidR="002237AA">
        <w:t xml:space="preserve"> any management of change exercises or judicial reviews.</w:t>
      </w:r>
    </w:p>
    <w:p w14:paraId="7A1C90B8" w14:textId="77777777" w:rsidR="002237AA" w:rsidRDefault="002237AA" w:rsidP="002237AA">
      <w:pPr>
        <w:pStyle w:val="ListParagraph"/>
      </w:pPr>
    </w:p>
    <w:p w14:paraId="7FA1B7FE" w14:textId="4BA38A40" w:rsidR="002237AA" w:rsidRDefault="002237AA" w:rsidP="002237AA">
      <w:pPr>
        <w:pStyle w:val="SMTActions"/>
      </w:pPr>
      <w:r>
        <w:t>ACTION: ALL</w:t>
      </w:r>
    </w:p>
    <w:p w14:paraId="5884CBB0" w14:textId="77777777" w:rsidR="004C57CE" w:rsidRPr="004C57CE" w:rsidRDefault="004C57CE" w:rsidP="004C57CE">
      <w:pPr>
        <w:pStyle w:val="Paragraph"/>
        <w:numPr>
          <w:ilvl w:val="0"/>
          <w:numId w:val="0"/>
        </w:numPr>
        <w:ind w:left="567" w:hanging="499"/>
      </w:pPr>
    </w:p>
    <w:p w14:paraId="54583E94" w14:textId="24EE7E14" w:rsidR="004C57CE" w:rsidRDefault="004C57CE" w:rsidP="004262B6">
      <w:pPr>
        <w:pStyle w:val="Heading2"/>
      </w:pPr>
      <w:r>
        <w:t>High and medium risks for 2020/21 (item 7.3)</w:t>
      </w:r>
    </w:p>
    <w:p w14:paraId="4CF2731A" w14:textId="36D70D74" w:rsidR="004C57CE" w:rsidRDefault="004C57CE" w:rsidP="004C57CE">
      <w:pPr>
        <w:pStyle w:val="Paragraph"/>
        <w:numPr>
          <w:ilvl w:val="0"/>
          <w:numId w:val="0"/>
        </w:numPr>
        <w:ind w:left="567" w:hanging="499"/>
      </w:pPr>
    </w:p>
    <w:p w14:paraId="732BFE31" w14:textId="7BC9141E" w:rsidR="004C57CE" w:rsidRDefault="00EB3BDE" w:rsidP="004C57CE">
      <w:pPr>
        <w:pStyle w:val="Numberedpara"/>
      </w:pPr>
      <w:r>
        <w:t>David Coombs presented the</w:t>
      </w:r>
      <w:r w:rsidR="00E33340">
        <w:t xml:space="preserve"> updated </w:t>
      </w:r>
      <w:r>
        <w:t xml:space="preserve">risk register to reflect the 2020-24 strategic ambitions and objectives in the </w:t>
      </w:r>
      <w:r w:rsidR="00E33340">
        <w:t xml:space="preserve">draft </w:t>
      </w:r>
      <w:r>
        <w:t>2020/21 business plan.</w:t>
      </w:r>
    </w:p>
    <w:p w14:paraId="43E0975D" w14:textId="77777777" w:rsidR="00F21783" w:rsidRDefault="00F21783" w:rsidP="00F21783">
      <w:pPr>
        <w:pStyle w:val="Numberedpara"/>
        <w:numPr>
          <w:ilvl w:val="0"/>
          <w:numId w:val="0"/>
        </w:numPr>
        <w:ind w:left="357"/>
      </w:pPr>
    </w:p>
    <w:p w14:paraId="60C678C3" w14:textId="299DCBAF" w:rsidR="00F21783" w:rsidRDefault="00F21783" w:rsidP="004C57CE">
      <w:pPr>
        <w:pStyle w:val="Numberedpara"/>
      </w:pPr>
      <w:r>
        <w:t>SMT reviewed the risk register and agreed:</w:t>
      </w:r>
    </w:p>
    <w:p w14:paraId="644EB06A" w14:textId="2BBF35FF" w:rsidR="00F21783" w:rsidRPr="00920EDE" w:rsidRDefault="00F21783" w:rsidP="00F21783">
      <w:pPr>
        <w:pStyle w:val="ListParagraph"/>
        <w:numPr>
          <w:ilvl w:val="0"/>
          <w:numId w:val="27"/>
        </w:numPr>
      </w:pPr>
      <w:r>
        <w:rPr>
          <w:rFonts w:ascii="Arial" w:hAnsi="Arial" w:cs="Arial"/>
          <w:sz w:val="22"/>
          <w:szCs w:val="22"/>
        </w:rPr>
        <w:t xml:space="preserve">The mitigations for risk 12/20, which relates to </w:t>
      </w:r>
      <w:r w:rsidR="00630EF1">
        <w:rPr>
          <w:rFonts w:ascii="Arial" w:hAnsi="Arial" w:cs="Arial"/>
          <w:sz w:val="22"/>
          <w:szCs w:val="22"/>
        </w:rPr>
        <w:t>failing</w:t>
      </w:r>
      <w:r>
        <w:rPr>
          <w:rFonts w:ascii="Arial" w:hAnsi="Arial" w:cs="Arial"/>
          <w:sz w:val="22"/>
          <w:szCs w:val="22"/>
        </w:rPr>
        <w:t xml:space="preserve"> to maintain NICE’s global reputation, should b</w:t>
      </w:r>
      <w:r w:rsidR="00920EDE">
        <w:rPr>
          <w:rFonts w:ascii="Arial" w:hAnsi="Arial" w:cs="Arial"/>
          <w:sz w:val="22"/>
          <w:szCs w:val="22"/>
        </w:rPr>
        <w:t>e expanded to refer to the robust methods and processes for guidance development, and NICE’s centrality to the health and care system in the UK.</w:t>
      </w:r>
    </w:p>
    <w:p w14:paraId="1DCE53CF" w14:textId="7F7D7FD9" w:rsidR="00920EDE" w:rsidRPr="00CB4064" w:rsidRDefault="00920EDE" w:rsidP="00F21783">
      <w:pPr>
        <w:pStyle w:val="ListParagraph"/>
        <w:numPr>
          <w:ilvl w:val="0"/>
          <w:numId w:val="27"/>
        </w:numPr>
      </w:pPr>
      <w:r>
        <w:rPr>
          <w:rFonts w:ascii="Arial" w:hAnsi="Arial" w:cs="Arial"/>
          <w:sz w:val="22"/>
          <w:szCs w:val="22"/>
        </w:rPr>
        <w:t xml:space="preserve">Risk 14/20 </w:t>
      </w:r>
      <w:r w:rsidR="00CB4064">
        <w:rPr>
          <w:rFonts w:ascii="Arial" w:hAnsi="Arial" w:cs="Arial"/>
          <w:sz w:val="22"/>
          <w:szCs w:val="22"/>
        </w:rPr>
        <w:t xml:space="preserve">should be </w:t>
      </w:r>
      <w:r w:rsidR="00630EF1">
        <w:rPr>
          <w:rFonts w:ascii="Arial" w:hAnsi="Arial" w:cs="Arial"/>
          <w:sz w:val="22"/>
          <w:szCs w:val="22"/>
        </w:rPr>
        <w:t>refocused</w:t>
      </w:r>
      <w:r w:rsidR="00CB4064">
        <w:rPr>
          <w:rFonts w:ascii="Arial" w:hAnsi="Arial" w:cs="Arial"/>
          <w:sz w:val="22"/>
          <w:szCs w:val="22"/>
        </w:rPr>
        <w:t xml:space="preserve"> on the risk to the provision of a </w:t>
      </w:r>
      <w:r w:rsidR="00630EF1">
        <w:rPr>
          <w:rFonts w:ascii="Arial" w:hAnsi="Arial" w:cs="Arial"/>
          <w:sz w:val="22"/>
          <w:szCs w:val="22"/>
        </w:rPr>
        <w:t>secure</w:t>
      </w:r>
      <w:r w:rsidR="00CB4064">
        <w:rPr>
          <w:rFonts w:ascii="Arial" w:hAnsi="Arial" w:cs="Arial"/>
          <w:sz w:val="22"/>
          <w:szCs w:val="22"/>
        </w:rPr>
        <w:t xml:space="preserve"> and </w:t>
      </w:r>
      <w:r w:rsidR="00BA55F5">
        <w:rPr>
          <w:rFonts w:ascii="Arial" w:hAnsi="Arial" w:cs="Arial"/>
          <w:sz w:val="22"/>
          <w:szCs w:val="22"/>
        </w:rPr>
        <w:t>effective</w:t>
      </w:r>
      <w:r w:rsidR="00CB4064">
        <w:rPr>
          <w:rFonts w:ascii="Arial" w:hAnsi="Arial" w:cs="Arial"/>
          <w:sz w:val="22"/>
          <w:szCs w:val="22"/>
        </w:rPr>
        <w:t xml:space="preserve"> IT network and telephony </w:t>
      </w:r>
      <w:r w:rsidR="00630EF1">
        <w:rPr>
          <w:rFonts w:ascii="Arial" w:hAnsi="Arial" w:cs="Arial"/>
          <w:sz w:val="22"/>
          <w:szCs w:val="22"/>
        </w:rPr>
        <w:t>infrastructure</w:t>
      </w:r>
      <w:r w:rsidR="00CB4064">
        <w:rPr>
          <w:rFonts w:ascii="Arial" w:hAnsi="Arial" w:cs="Arial"/>
          <w:sz w:val="22"/>
          <w:szCs w:val="22"/>
        </w:rPr>
        <w:t xml:space="preserve"> due to limited internal capacity </w:t>
      </w:r>
      <w:r w:rsidR="00CB4064">
        <w:rPr>
          <w:rFonts w:ascii="Arial" w:hAnsi="Arial" w:cs="Arial"/>
          <w:sz w:val="22"/>
          <w:szCs w:val="22"/>
        </w:rPr>
        <w:lastRenderedPageBreak/>
        <w:t xml:space="preserve">and </w:t>
      </w:r>
      <w:r w:rsidR="00CB4064" w:rsidRPr="00CB4064">
        <w:rPr>
          <w:rFonts w:ascii="Arial" w:hAnsi="Arial" w:cs="Arial"/>
          <w:sz w:val="22"/>
          <w:szCs w:val="22"/>
        </w:rPr>
        <w:t xml:space="preserve">time to plan and deliver a comprehensive hand-over from </w:t>
      </w:r>
      <w:r w:rsidR="00CB4064">
        <w:rPr>
          <w:rFonts w:ascii="Arial" w:hAnsi="Arial" w:cs="Arial"/>
          <w:sz w:val="22"/>
          <w:szCs w:val="22"/>
        </w:rPr>
        <w:t>the</w:t>
      </w:r>
      <w:r w:rsidR="00CB4064" w:rsidRPr="00CB4064">
        <w:rPr>
          <w:rFonts w:ascii="Arial" w:hAnsi="Arial" w:cs="Arial"/>
          <w:sz w:val="22"/>
          <w:szCs w:val="22"/>
        </w:rPr>
        <w:t xml:space="preserve"> outgoing IT outsourced supplier</w:t>
      </w:r>
      <w:r w:rsidR="00CB4064">
        <w:rPr>
          <w:rFonts w:ascii="Arial" w:hAnsi="Arial" w:cs="Arial"/>
          <w:sz w:val="22"/>
          <w:szCs w:val="22"/>
        </w:rPr>
        <w:t xml:space="preserve">. </w:t>
      </w:r>
    </w:p>
    <w:p w14:paraId="74160D53" w14:textId="4CD8EE2E" w:rsidR="00CB4064" w:rsidRPr="00577489" w:rsidRDefault="00CB4064" w:rsidP="00F21783">
      <w:pPr>
        <w:pStyle w:val="ListParagraph"/>
        <w:numPr>
          <w:ilvl w:val="0"/>
          <w:numId w:val="27"/>
        </w:numPr>
      </w:pPr>
      <w:r>
        <w:rPr>
          <w:rFonts w:ascii="Arial" w:hAnsi="Arial" w:cs="Arial"/>
          <w:sz w:val="22"/>
          <w:szCs w:val="22"/>
        </w:rPr>
        <w:t xml:space="preserve">Risk 15/20 should be </w:t>
      </w:r>
      <w:r w:rsidR="00630EF1">
        <w:rPr>
          <w:rFonts w:ascii="Arial" w:hAnsi="Arial" w:cs="Arial"/>
          <w:sz w:val="22"/>
          <w:szCs w:val="22"/>
        </w:rPr>
        <w:t>refocused</w:t>
      </w:r>
      <w:r>
        <w:rPr>
          <w:rFonts w:ascii="Arial" w:hAnsi="Arial" w:cs="Arial"/>
          <w:sz w:val="22"/>
          <w:szCs w:val="22"/>
        </w:rPr>
        <w:t xml:space="preserve"> beyond IT to </w:t>
      </w:r>
      <w:r w:rsidR="00630EF1">
        <w:rPr>
          <w:rFonts w:ascii="Arial" w:hAnsi="Arial" w:cs="Arial"/>
          <w:sz w:val="22"/>
          <w:szCs w:val="22"/>
        </w:rPr>
        <w:t>reflect</w:t>
      </w:r>
      <w:r>
        <w:rPr>
          <w:rFonts w:ascii="Arial" w:hAnsi="Arial" w:cs="Arial"/>
          <w:sz w:val="22"/>
          <w:szCs w:val="22"/>
        </w:rPr>
        <w:t xml:space="preserve"> the wider risks arising from the London office move. </w:t>
      </w:r>
    </w:p>
    <w:p w14:paraId="6866284E" w14:textId="77777777" w:rsidR="00577489" w:rsidRDefault="00577489" w:rsidP="00577489">
      <w:pPr>
        <w:pStyle w:val="ListParagraph"/>
        <w:ind w:left="1440"/>
      </w:pPr>
    </w:p>
    <w:p w14:paraId="259BC7DA" w14:textId="768DA11A" w:rsidR="00F21783" w:rsidRDefault="00577489" w:rsidP="004C57CE">
      <w:pPr>
        <w:pStyle w:val="Numberedpara"/>
      </w:pPr>
      <w:r>
        <w:t xml:space="preserve">Subject to these changes, SMT agreed the revised register for submission to the </w:t>
      </w:r>
      <w:r w:rsidR="000602E2">
        <w:t xml:space="preserve">February </w:t>
      </w:r>
      <w:r>
        <w:t xml:space="preserve">Board </w:t>
      </w:r>
      <w:r w:rsidR="000602E2">
        <w:t>Strategy meeting</w:t>
      </w:r>
      <w:r>
        <w:t>.</w:t>
      </w:r>
    </w:p>
    <w:p w14:paraId="5AD3979C" w14:textId="026C1EE2" w:rsidR="00577489" w:rsidRDefault="00577489" w:rsidP="00577489">
      <w:pPr>
        <w:pStyle w:val="Numberedpara"/>
        <w:numPr>
          <w:ilvl w:val="0"/>
          <w:numId w:val="0"/>
        </w:numPr>
        <w:ind w:left="357" w:hanging="357"/>
      </w:pPr>
    </w:p>
    <w:p w14:paraId="08E9641A" w14:textId="493F26EA" w:rsidR="00577489" w:rsidRDefault="00577489" w:rsidP="00577489">
      <w:pPr>
        <w:pStyle w:val="SMTActions"/>
      </w:pPr>
      <w:r>
        <w:t>ACTION: DC</w:t>
      </w:r>
    </w:p>
    <w:p w14:paraId="2429206A" w14:textId="3D44F4F6" w:rsidR="004C57CE" w:rsidRDefault="004C57CE" w:rsidP="004C57CE">
      <w:pPr>
        <w:pStyle w:val="Paragraph"/>
        <w:numPr>
          <w:ilvl w:val="0"/>
          <w:numId w:val="0"/>
        </w:numPr>
        <w:ind w:left="567" w:hanging="499"/>
      </w:pPr>
    </w:p>
    <w:p w14:paraId="19765F54" w14:textId="02C1E1AD" w:rsidR="004C57CE" w:rsidRDefault="004C57CE" w:rsidP="0041431E">
      <w:pPr>
        <w:pStyle w:val="Heading2"/>
      </w:pPr>
      <w:r>
        <w:t xml:space="preserve">Utility of </w:t>
      </w:r>
      <w:r w:rsidR="0041431E">
        <w:t>EAMS data for NICE decision-making (item 7.4)</w:t>
      </w:r>
    </w:p>
    <w:p w14:paraId="7BC40A78" w14:textId="62FB6710" w:rsidR="004C57CE" w:rsidRDefault="004C57CE" w:rsidP="004C57CE">
      <w:pPr>
        <w:pStyle w:val="Paragraph"/>
        <w:numPr>
          <w:ilvl w:val="0"/>
          <w:numId w:val="0"/>
        </w:numPr>
        <w:ind w:left="567" w:hanging="499"/>
      </w:pPr>
    </w:p>
    <w:p w14:paraId="61ADBA03" w14:textId="564E8487" w:rsidR="0041431E" w:rsidRDefault="00EA0767" w:rsidP="0041431E">
      <w:pPr>
        <w:pStyle w:val="Numberedpara"/>
      </w:pPr>
      <w:r w:rsidRPr="00EA0767">
        <w:rPr>
          <w:color w:val="auto"/>
        </w:rPr>
        <w:t xml:space="preserve">Meindert Boysen </w:t>
      </w:r>
      <w:r w:rsidR="000439B6">
        <w:t xml:space="preserve">presented the proposal to publish a formal position statement on the role of </w:t>
      </w:r>
      <w:r w:rsidR="00E33340">
        <w:t>the early access to medicines scheme (</w:t>
      </w:r>
      <w:r w:rsidR="000439B6">
        <w:t>EAMS</w:t>
      </w:r>
      <w:r w:rsidR="00E33340">
        <w:t>)</w:t>
      </w:r>
      <w:r w:rsidR="000439B6">
        <w:t xml:space="preserve"> in NICE’s health technology assessment</w:t>
      </w:r>
      <w:r w:rsidR="00562605">
        <w:t xml:space="preserve">s (HTA). </w:t>
      </w:r>
    </w:p>
    <w:p w14:paraId="62EE4F43" w14:textId="77777777" w:rsidR="00AF7542" w:rsidRDefault="00AF7542" w:rsidP="00AF7542">
      <w:pPr>
        <w:pStyle w:val="Numberedpara"/>
        <w:numPr>
          <w:ilvl w:val="0"/>
          <w:numId w:val="0"/>
        </w:numPr>
        <w:ind w:left="357"/>
      </w:pPr>
    </w:p>
    <w:p w14:paraId="57B3F065" w14:textId="2CA5A01E" w:rsidR="00AF7542" w:rsidRDefault="00AE4AD5" w:rsidP="0041431E">
      <w:pPr>
        <w:pStyle w:val="Numberedpara"/>
      </w:pPr>
      <w:r>
        <w:t>SMT discussed the current EAMS and noted the current work to develop th</w:t>
      </w:r>
      <w:r w:rsidR="0017624C">
        <w:t xml:space="preserve">e scheme </w:t>
      </w:r>
      <w:r>
        <w:t xml:space="preserve">further. It was agreed that it might be helpful to defer publishing a position statement until this work has completed and there is </w:t>
      </w:r>
      <w:r w:rsidR="00BF3CC7">
        <w:t xml:space="preserve">also </w:t>
      </w:r>
      <w:r>
        <w:t xml:space="preserve">greater clarity on the changes to the </w:t>
      </w:r>
      <w:r w:rsidR="00630EF1">
        <w:t>regulatory</w:t>
      </w:r>
      <w:r>
        <w:t xml:space="preserve"> </w:t>
      </w:r>
      <w:r w:rsidR="00630EF1">
        <w:t>landscape</w:t>
      </w:r>
      <w:r>
        <w:t xml:space="preserve"> arising from EU exit</w:t>
      </w:r>
      <w:r w:rsidR="0017624C">
        <w:t xml:space="preserve">. It was agreed that Meindert would raise this suggestion with the Office for Life Sciences and </w:t>
      </w:r>
      <w:r w:rsidR="00630EF1">
        <w:t>explore</w:t>
      </w:r>
      <w:r w:rsidR="0017624C">
        <w:t xml:space="preserve"> whether in the interim </w:t>
      </w:r>
      <w:r w:rsidR="00630EF1">
        <w:t>there</w:t>
      </w:r>
      <w:r w:rsidR="0017624C">
        <w:t xml:space="preserve"> could be an alternative approach for publishing the information in the paper</w:t>
      </w:r>
      <w:r w:rsidR="00562605">
        <w:t xml:space="preserve"> on the relationship between EAMS and NICE’s HTA</w:t>
      </w:r>
      <w:r w:rsidR="0017624C">
        <w:t>.</w:t>
      </w:r>
    </w:p>
    <w:p w14:paraId="02D07BBF" w14:textId="77777777" w:rsidR="0017624C" w:rsidRDefault="0017624C" w:rsidP="0017624C">
      <w:pPr>
        <w:pStyle w:val="ListParagraph"/>
      </w:pPr>
    </w:p>
    <w:p w14:paraId="04E93CDC" w14:textId="655702A1" w:rsidR="0017624C" w:rsidRDefault="0017624C" w:rsidP="0017624C">
      <w:pPr>
        <w:pStyle w:val="SMTActions"/>
      </w:pPr>
      <w:r>
        <w:t>ACTION: MB</w:t>
      </w:r>
    </w:p>
    <w:p w14:paraId="259B18E1" w14:textId="04AC4CB4" w:rsidR="0041431E" w:rsidRDefault="0041431E" w:rsidP="004C57CE">
      <w:pPr>
        <w:pStyle w:val="Paragraph"/>
        <w:numPr>
          <w:ilvl w:val="0"/>
          <w:numId w:val="0"/>
        </w:numPr>
        <w:ind w:left="567" w:hanging="499"/>
      </w:pPr>
    </w:p>
    <w:p w14:paraId="61074E7C" w14:textId="37D3A5F2" w:rsidR="0041431E" w:rsidRDefault="0041431E" w:rsidP="0041431E">
      <w:pPr>
        <w:pStyle w:val="Heading2"/>
      </w:pPr>
      <w:r>
        <w:t xml:space="preserve">META Tool progress and </w:t>
      </w:r>
      <w:proofErr w:type="gramStart"/>
      <w:r>
        <w:t>future plans</w:t>
      </w:r>
      <w:proofErr w:type="gramEnd"/>
      <w:r>
        <w:t xml:space="preserve"> (item 7.5)</w:t>
      </w:r>
    </w:p>
    <w:p w14:paraId="4D91FAE6" w14:textId="45E44F0F" w:rsidR="0041431E" w:rsidRDefault="0041431E" w:rsidP="004C57CE">
      <w:pPr>
        <w:pStyle w:val="Paragraph"/>
        <w:numPr>
          <w:ilvl w:val="0"/>
          <w:numId w:val="0"/>
        </w:numPr>
        <w:ind w:left="567" w:hanging="499"/>
      </w:pPr>
    </w:p>
    <w:p w14:paraId="32820262" w14:textId="5C7E31EC" w:rsidR="0041431E" w:rsidRDefault="000439B6" w:rsidP="0041431E">
      <w:pPr>
        <w:pStyle w:val="Numberedpara"/>
      </w:pPr>
      <w:r>
        <w:t xml:space="preserve">Jeanette Kusel presented the </w:t>
      </w:r>
      <w:r w:rsidR="002E2146">
        <w:t xml:space="preserve">paper that set out </w:t>
      </w:r>
      <w:r>
        <w:t>options for th</w:t>
      </w:r>
      <w:r w:rsidR="002E2146">
        <w:t>e future direction for the META tool</w:t>
      </w:r>
      <w:r w:rsidR="0017624C">
        <w:t xml:space="preserve">, </w:t>
      </w:r>
      <w:r w:rsidR="00BF3CC7">
        <w:t>which seeks to help</w:t>
      </w:r>
      <w:r w:rsidR="0017624C" w:rsidRPr="0017624C">
        <w:t xml:space="preserve"> </w:t>
      </w:r>
      <w:r w:rsidR="00630EF1" w:rsidRPr="0017624C">
        <w:t>MedTech</w:t>
      </w:r>
      <w:r w:rsidR="0017624C" w:rsidRPr="0017624C">
        <w:t xml:space="preserve"> developers plan their value proposition and evidence generation</w:t>
      </w:r>
      <w:r w:rsidR="005C7EB6">
        <w:t xml:space="preserve">. </w:t>
      </w:r>
    </w:p>
    <w:p w14:paraId="7DEAA72B" w14:textId="77777777" w:rsidR="005C7EB6" w:rsidRDefault="005C7EB6" w:rsidP="005C7EB6">
      <w:pPr>
        <w:pStyle w:val="Numberedpara"/>
        <w:numPr>
          <w:ilvl w:val="0"/>
          <w:numId w:val="0"/>
        </w:numPr>
        <w:ind w:left="357"/>
      </w:pPr>
    </w:p>
    <w:p w14:paraId="363E19F8" w14:textId="736B76BF" w:rsidR="005C7EB6" w:rsidRDefault="005C7EB6" w:rsidP="0041431E">
      <w:pPr>
        <w:pStyle w:val="Numberedpara"/>
      </w:pPr>
      <w:r>
        <w:t xml:space="preserve">Jeanette </w:t>
      </w:r>
      <w:r w:rsidR="00562605">
        <w:t>noted the</w:t>
      </w:r>
      <w:r>
        <w:t xml:space="preserve"> steady increase in </w:t>
      </w:r>
      <w:r w:rsidR="00C77570">
        <w:t xml:space="preserve">the tool’s </w:t>
      </w:r>
      <w:r>
        <w:t xml:space="preserve">uptake since </w:t>
      </w:r>
      <w:r w:rsidR="00630EF1">
        <w:t>its</w:t>
      </w:r>
      <w:r>
        <w:t xml:space="preserve"> inception in </w:t>
      </w:r>
      <w:proofErr w:type="gramStart"/>
      <w:r>
        <w:t>July 2017</w:t>
      </w:r>
      <w:r w:rsidR="00C77570">
        <w:t xml:space="preserve">, </w:t>
      </w:r>
      <w:r w:rsidR="00BF3CC7">
        <w:t>and</w:t>
      </w:r>
      <w:proofErr w:type="gramEnd"/>
      <w:r w:rsidR="00BF3CC7">
        <w:t xml:space="preserve"> </w:t>
      </w:r>
      <w:r w:rsidR="00C77570">
        <w:t>highlighted that</w:t>
      </w:r>
      <w:r>
        <w:t xml:space="preserve"> a </w:t>
      </w:r>
      <w:r w:rsidRPr="005C7EB6">
        <w:t xml:space="preserve">structured stakeholder engagement exercise has demonstrated strong support for </w:t>
      </w:r>
      <w:r>
        <w:t xml:space="preserve">its </w:t>
      </w:r>
      <w:r w:rsidRPr="005C7EB6">
        <w:t>continuation as an online platform</w:t>
      </w:r>
      <w:r w:rsidR="00C77570">
        <w:t xml:space="preserve">. </w:t>
      </w:r>
      <w:r w:rsidRPr="005C7EB6">
        <w:t xml:space="preserve">The requirement for an accessibility audit and the need for further development work based on user feedback has </w:t>
      </w:r>
      <w:r w:rsidR="00C77570">
        <w:t xml:space="preserve">though </w:t>
      </w:r>
      <w:r w:rsidRPr="005C7EB6">
        <w:t xml:space="preserve">prompted the team to explore different options for the </w:t>
      </w:r>
      <w:r w:rsidR="00C77570">
        <w:t xml:space="preserve">tool’s </w:t>
      </w:r>
      <w:r w:rsidRPr="005C7EB6">
        <w:t>continued development</w:t>
      </w:r>
      <w:r w:rsidR="00C77570">
        <w:t xml:space="preserve">. </w:t>
      </w:r>
    </w:p>
    <w:p w14:paraId="09DD245A" w14:textId="77777777" w:rsidR="007D69E6" w:rsidRDefault="007D69E6" w:rsidP="007D69E6">
      <w:pPr>
        <w:pStyle w:val="ListParagraph"/>
      </w:pPr>
    </w:p>
    <w:p w14:paraId="67C960B5" w14:textId="167498D0" w:rsidR="00E91FFB" w:rsidRDefault="007D69E6" w:rsidP="00E91FFB">
      <w:pPr>
        <w:pStyle w:val="Numberedpara"/>
      </w:pPr>
      <w:r>
        <w:t xml:space="preserve">SMT discussed the options set out in the paper. </w:t>
      </w:r>
      <w:r w:rsidR="00657ED3">
        <w:t>W</w:t>
      </w:r>
      <w:r>
        <w:t xml:space="preserve">hile </w:t>
      </w:r>
      <w:r w:rsidR="00E000C5">
        <w:t>decommissioning</w:t>
      </w:r>
      <w:r>
        <w:t xml:space="preserve"> the on</w:t>
      </w:r>
      <w:r w:rsidR="00E000C5">
        <w:t>l</w:t>
      </w:r>
      <w:r>
        <w:t>ine version and converting this to a Word-based tool is the least expensive</w:t>
      </w:r>
      <w:r w:rsidR="00BF3CC7">
        <w:t xml:space="preserve"> option</w:t>
      </w:r>
      <w:r w:rsidR="00E000C5">
        <w:t xml:space="preserve">, </w:t>
      </w:r>
      <w:r w:rsidR="00657ED3">
        <w:t xml:space="preserve">SMT noted </w:t>
      </w:r>
      <w:r w:rsidR="00E91FFB">
        <w:t xml:space="preserve">this would represent a loss of functionality and have </w:t>
      </w:r>
      <w:r w:rsidR="00E000C5">
        <w:t>adverse reputational impacts. SMT noted the merits of the recommended o</w:t>
      </w:r>
      <w:r w:rsidR="000C0211">
        <w:t>ption – recoding the META tool into the same format as HealthTech</w:t>
      </w:r>
      <w:r w:rsidR="00630EF1">
        <w:t xml:space="preserve"> </w:t>
      </w:r>
      <w:r w:rsidR="000C0211">
        <w:t xml:space="preserve">Connect (HTC) and linking the 2 </w:t>
      </w:r>
      <w:r w:rsidR="00630EF1">
        <w:t xml:space="preserve">systems </w:t>
      </w:r>
      <w:r w:rsidR="00E91FFB">
        <w:t xml:space="preserve">– </w:t>
      </w:r>
      <w:r w:rsidR="00630EF1">
        <w:t>but</w:t>
      </w:r>
      <w:r w:rsidR="000C0211">
        <w:t xml:space="preserve"> were mindful of the potential risks</w:t>
      </w:r>
      <w:r w:rsidR="00E91FFB">
        <w:t xml:space="preserve"> around this</w:t>
      </w:r>
      <w:r w:rsidR="000C0211">
        <w:t xml:space="preserve">. In </w:t>
      </w:r>
      <w:r w:rsidR="00630EF1">
        <w:t>particular</w:t>
      </w:r>
      <w:r w:rsidR="00E91FFB">
        <w:t>,</w:t>
      </w:r>
      <w:r w:rsidR="000C0211">
        <w:t xml:space="preserve"> the </w:t>
      </w:r>
      <w:r w:rsidR="00630EF1">
        <w:t>potential</w:t>
      </w:r>
      <w:r w:rsidR="000C0211">
        <w:t xml:space="preserve"> uncertainty about the future of HTC in the context of the </w:t>
      </w:r>
      <w:r w:rsidR="00630EF1">
        <w:t>Accelerated</w:t>
      </w:r>
      <w:r w:rsidR="000C0211">
        <w:t xml:space="preserve"> Access </w:t>
      </w:r>
      <w:r w:rsidR="00630EF1">
        <w:t>Collaborative’s</w:t>
      </w:r>
      <w:r w:rsidR="000C0211">
        <w:t xml:space="preserve"> </w:t>
      </w:r>
      <w:r w:rsidR="008C52C2">
        <w:t xml:space="preserve">(AAC) </w:t>
      </w:r>
      <w:r w:rsidR="000C0211">
        <w:t>innovation portal.</w:t>
      </w:r>
    </w:p>
    <w:p w14:paraId="338FF8BA" w14:textId="77777777" w:rsidR="00E91FFB" w:rsidRDefault="00E91FFB" w:rsidP="00E91FFB">
      <w:pPr>
        <w:pStyle w:val="ListParagraph"/>
      </w:pPr>
    </w:p>
    <w:p w14:paraId="193B0FE3" w14:textId="266D7E0E" w:rsidR="007D69E6" w:rsidRDefault="000C0211" w:rsidP="00E91FFB">
      <w:pPr>
        <w:pStyle w:val="Numberedpara"/>
      </w:pPr>
      <w:r>
        <w:t xml:space="preserve">SMT therefore agreed to defer a decision on </w:t>
      </w:r>
      <w:r w:rsidR="00A610C9">
        <w:t xml:space="preserve">META’s </w:t>
      </w:r>
      <w:r>
        <w:t xml:space="preserve">long-term future </w:t>
      </w:r>
      <w:r w:rsidR="00A610C9">
        <w:t xml:space="preserve">to </w:t>
      </w:r>
      <w:r w:rsidR="008C52C2">
        <w:t xml:space="preserve">enable further discussions to take place with the AAC and the HTC board, </w:t>
      </w:r>
      <w:proofErr w:type="gramStart"/>
      <w:r w:rsidR="008C52C2">
        <w:t>and also</w:t>
      </w:r>
      <w:proofErr w:type="gramEnd"/>
      <w:r w:rsidR="008C52C2">
        <w:t xml:space="preserve"> to </w:t>
      </w:r>
      <w:r w:rsidR="00A610C9">
        <w:t xml:space="preserve">discuss with the Government Digital Service (GDS) </w:t>
      </w:r>
      <w:r w:rsidR="00646546">
        <w:t xml:space="preserve">the </w:t>
      </w:r>
      <w:r w:rsidR="00630EF1">
        <w:t>implications</w:t>
      </w:r>
      <w:r w:rsidR="00646546">
        <w:t xml:space="preserve"> of </w:t>
      </w:r>
      <w:r w:rsidR="00303115">
        <w:t>integrating META and HTC</w:t>
      </w:r>
      <w:r w:rsidR="00646546">
        <w:t xml:space="preserve">. </w:t>
      </w:r>
      <w:r w:rsidR="00CB7462">
        <w:t xml:space="preserve">This </w:t>
      </w:r>
      <w:r w:rsidR="00BF3CC7">
        <w:t xml:space="preserve">pause </w:t>
      </w:r>
      <w:r w:rsidR="00CB7462">
        <w:t xml:space="preserve">would also </w:t>
      </w:r>
      <w:r w:rsidR="00630EF1">
        <w:t>provide</w:t>
      </w:r>
      <w:r w:rsidR="00CB7462">
        <w:t xml:space="preserve"> further </w:t>
      </w:r>
      <w:r w:rsidR="00630EF1">
        <w:t>opportunity</w:t>
      </w:r>
      <w:r w:rsidR="00CB7462">
        <w:t xml:space="preserve"> to </w:t>
      </w:r>
      <w:r w:rsidR="00630EF1">
        <w:t>review</w:t>
      </w:r>
      <w:r w:rsidR="00CB7462">
        <w:t xml:space="preserve"> the financial projections. </w:t>
      </w:r>
      <w:r w:rsidR="003D3F0E">
        <w:t xml:space="preserve">In the interim, it was </w:t>
      </w:r>
      <w:r w:rsidR="00630EF1">
        <w:t>agreed</w:t>
      </w:r>
      <w:r w:rsidR="003D3F0E">
        <w:t xml:space="preserve"> that the </w:t>
      </w:r>
      <w:r w:rsidR="00630EF1">
        <w:t>accessibility</w:t>
      </w:r>
      <w:r w:rsidR="003D3F0E">
        <w:t xml:space="preserve"> audit should take </w:t>
      </w:r>
      <w:r w:rsidR="00630EF1">
        <w:t>place</w:t>
      </w:r>
      <w:r w:rsidR="003D3F0E">
        <w:t xml:space="preserve"> to identify any required changes</w:t>
      </w:r>
      <w:r w:rsidR="00646546">
        <w:t xml:space="preserve"> that </w:t>
      </w:r>
      <w:r w:rsidR="00630EF1">
        <w:t>could</w:t>
      </w:r>
      <w:r w:rsidR="00646546">
        <w:t xml:space="preserve"> be made </w:t>
      </w:r>
      <w:r w:rsidR="00630EF1">
        <w:t>once</w:t>
      </w:r>
      <w:r w:rsidR="00646546">
        <w:t xml:space="preserve"> the long-term model is agreed</w:t>
      </w:r>
      <w:r w:rsidR="003D3F0E">
        <w:t>.</w:t>
      </w:r>
    </w:p>
    <w:p w14:paraId="16037EB8" w14:textId="77777777" w:rsidR="003D3F0E" w:rsidRDefault="003D3F0E" w:rsidP="003D3F0E">
      <w:pPr>
        <w:pStyle w:val="ListParagraph"/>
      </w:pPr>
    </w:p>
    <w:p w14:paraId="3270373A" w14:textId="1A4801D1" w:rsidR="003D3F0E" w:rsidRDefault="003D3F0E" w:rsidP="003D3F0E">
      <w:pPr>
        <w:pStyle w:val="SMTActions"/>
      </w:pPr>
      <w:r>
        <w:t>ACTION: JK</w:t>
      </w:r>
    </w:p>
    <w:p w14:paraId="6E555D56" w14:textId="77777777" w:rsidR="004C57CE" w:rsidRPr="004C57CE" w:rsidRDefault="004C57CE" w:rsidP="004C57CE">
      <w:pPr>
        <w:pStyle w:val="Paragraph"/>
        <w:numPr>
          <w:ilvl w:val="0"/>
          <w:numId w:val="0"/>
        </w:numPr>
        <w:ind w:left="567" w:hanging="499"/>
      </w:pPr>
    </w:p>
    <w:p w14:paraId="76FE573E" w14:textId="6D0AD9F3" w:rsidR="00802815" w:rsidRDefault="004262B6" w:rsidP="004262B6">
      <w:pPr>
        <w:pStyle w:val="Heading2"/>
      </w:pPr>
      <w:r>
        <w:t>E</w:t>
      </w:r>
      <w:r w:rsidR="00802815">
        <w:t xml:space="preserve">U exit (item </w:t>
      </w:r>
      <w:r w:rsidR="00EC03FA">
        <w:t>8</w:t>
      </w:r>
      <w:r w:rsidR="00802815">
        <w:t>)</w:t>
      </w:r>
    </w:p>
    <w:p w14:paraId="1665E32E" w14:textId="77777777" w:rsidR="00802815" w:rsidRDefault="00802815" w:rsidP="00802815">
      <w:pPr>
        <w:pStyle w:val="Heading2"/>
      </w:pPr>
    </w:p>
    <w:p w14:paraId="3D4CC4D6" w14:textId="28FA45B6" w:rsidR="006F3BE2" w:rsidRDefault="00303E66" w:rsidP="009255C3">
      <w:pPr>
        <w:pStyle w:val="Numberedpara"/>
      </w:pPr>
      <w:r>
        <w:t xml:space="preserve">Meindert Boysen noted that </w:t>
      </w:r>
      <w:r w:rsidR="00D9534F">
        <w:t>NICE will continue to seek guidance from DHSC about the Institute’s</w:t>
      </w:r>
      <w:r>
        <w:t xml:space="preserve"> engagement in European meetings. </w:t>
      </w:r>
    </w:p>
    <w:p w14:paraId="42AD5E2C" w14:textId="77777777" w:rsidR="00303E66" w:rsidRDefault="00303E66" w:rsidP="00303E66">
      <w:pPr>
        <w:pStyle w:val="Numberedpara"/>
        <w:numPr>
          <w:ilvl w:val="0"/>
          <w:numId w:val="0"/>
        </w:numPr>
        <w:ind w:left="357"/>
      </w:pPr>
    </w:p>
    <w:p w14:paraId="4CE8994F" w14:textId="3CE1D568" w:rsidR="00EC03FA" w:rsidRDefault="00EC03FA" w:rsidP="006F3BE2">
      <w:pPr>
        <w:pStyle w:val="Heading2"/>
      </w:pPr>
      <w:r>
        <w:t>NICE Connect (item 9)</w:t>
      </w:r>
    </w:p>
    <w:p w14:paraId="3EC4D498" w14:textId="77777777" w:rsidR="00D61BFC" w:rsidRPr="00D61BFC" w:rsidRDefault="00D61BFC" w:rsidP="00D61BFC">
      <w:pPr>
        <w:pStyle w:val="Paragraph"/>
        <w:numPr>
          <w:ilvl w:val="0"/>
          <w:numId w:val="0"/>
        </w:numPr>
        <w:ind w:left="567"/>
      </w:pPr>
    </w:p>
    <w:p w14:paraId="410A6734" w14:textId="72AF27A3" w:rsidR="00EC03FA" w:rsidRDefault="00303E66" w:rsidP="00D61BFC">
      <w:pPr>
        <w:pStyle w:val="Numberedpara"/>
      </w:pPr>
      <w:r>
        <w:t xml:space="preserve">Gill Leng highlighted the positive work undertaken </w:t>
      </w:r>
      <w:r w:rsidR="00D9534F">
        <w:t xml:space="preserve">on </w:t>
      </w:r>
      <w:r>
        <w:t xml:space="preserve">benefits </w:t>
      </w:r>
      <w:r w:rsidR="00630EF1">
        <w:t>realisation</w:t>
      </w:r>
      <w:r>
        <w:t xml:space="preserve"> and proposed </w:t>
      </w:r>
      <w:r w:rsidR="00D9534F">
        <w:t xml:space="preserve">briefing the Board on this at the </w:t>
      </w:r>
      <w:r w:rsidR="009008B8">
        <w:t>morning session in March.</w:t>
      </w:r>
    </w:p>
    <w:p w14:paraId="0D9DAEAD" w14:textId="7542D51F" w:rsidR="009008B8" w:rsidRDefault="009008B8" w:rsidP="009008B8">
      <w:pPr>
        <w:pStyle w:val="Numberedpara"/>
        <w:numPr>
          <w:ilvl w:val="0"/>
          <w:numId w:val="0"/>
        </w:numPr>
        <w:ind w:left="357" w:hanging="357"/>
      </w:pPr>
    </w:p>
    <w:p w14:paraId="1FF701E5" w14:textId="3A81B41D" w:rsidR="009008B8" w:rsidRPr="00EC03FA" w:rsidRDefault="009008B8" w:rsidP="009008B8">
      <w:pPr>
        <w:pStyle w:val="SMTActions"/>
      </w:pPr>
      <w:r>
        <w:t>ACTION: GL</w:t>
      </w:r>
    </w:p>
    <w:p w14:paraId="41ECC1FD" w14:textId="77777777" w:rsidR="00EC03FA" w:rsidRDefault="00EC03FA" w:rsidP="006F3BE2">
      <w:pPr>
        <w:pStyle w:val="Heading2"/>
      </w:pPr>
    </w:p>
    <w:p w14:paraId="45282666" w14:textId="68DB2173" w:rsidR="006F3BE2" w:rsidRDefault="006F3BE2" w:rsidP="006F3BE2">
      <w:pPr>
        <w:pStyle w:val="Heading2"/>
      </w:pPr>
      <w:r>
        <w:t xml:space="preserve">London office move (item </w:t>
      </w:r>
      <w:r w:rsidR="00D61BFC">
        <w:t>10</w:t>
      </w:r>
      <w:r>
        <w:t>)</w:t>
      </w:r>
    </w:p>
    <w:p w14:paraId="3055FD09" w14:textId="77777777" w:rsidR="006F3BE2" w:rsidRDefault="006F3BE2" w:rsidP="00FF68A5">
      <w:pPr>
        <w:pStyle w:val="Numberedpara"/>
        <w:numPr>
          <w:ilvl w:val="0"/>
          <w:numId w:val="0"/>
        </w:numPr>
        <w:ind w:left="360"/>
      </w:pPr>
    </w:p>
    <w:p w14:paraId="66F5B048" w14:textId="0453D793" w:rsidR="00AD45C1" w:rsidRDefault="00D91589" w:rsidP="00D91589">
      <w:pPr>
        <w:pStyle w:val="Numberedpara"/>
      </w:pPr>
      <w:r>
        <w:t xml:space="preserve">Catherine Wilkinson presented the risk register for the London office </w:t>
      </w:r>
      <w:r w:rsidR="004C57CE">
        <w:t>move</w:t>
      </w:r>
      <w:r w:rsidR="002C3209">
        <w:t xml:space="preserve">, which has been developed for NICE’s internal use to accompany the joint-ALB risk register produced for the joint </w:t>
      </w:r>
      <w:r w:rsidR="00630EF1">
        <w:t>programme</w:t>
      </w:r>
      <w:r w:rsidR="002C3209">
        <w:t xml:space="preserve"> board.</w:t>
      </w:r>
    </w:p>
    <w:p w14:paraId="58F5AFB1" w14:textId="77777777" w:rsidR="002C3209" w:rsidRDefault="002C3209" w:rsidP="002C3209">
      <w:pPr>
        <w:pStyle w:val="Numberedpara"/>
        <w:numPr>
          <w:ilvl w:val="0"/>
          <w:numId w:val="0"/>
        </w:numPr>
        <w:ind w:left="357"/>
      </w:pPr>
    </w:p>
    <w:p w14:paraId="1597AAA8" w14:textId="480D8DC7" w:rsidR="002C3209" w:rsidRDefault="002C3209" w:rsidP="00D91589">
      <w:pPr>
        <w:pStyle w:val="Numberedpara"/>
      </w:pPr>
      <w:r>
        <w:t xml:space="preserve">SMT </w:t>
      </w:r>
      <w:r w:rsidR="00630EF1">
        <w:t>reviewed</w:t>
      </w:r>
      <w:r>
        <w:t xml:space="preserve"> the risk </w:t>
      </w:r>
      <w:r w:rsidR="00630EF1">
        <w:t>register.</w:t>
      </w:r>
      <w:r>
        <w:t xml:space="preserve"> It was noted that </w:t>
      </w:r>
      <w:r w:rsidR="008F7D10">
        <w:t xml:space="preserve">while the ALBs are currently working well together, risk 4 has been included to reflect issues of cultural incongruence </w:t>
      </w:r>
      <w:r w:rsidR="009A7CDC">
        <w:t xml:space="preserve">which </w:t>
      </w:r>
      <w:r w:rsidR="008F7D10">
        <w:t xml:space="preserve">may arise once work to </w:t>
      </w:r>
      <w:r w:rsidR="00630EF1">
        <w:t>develop</w:t>
      </w:r>
      <w:r w:rsidR="008F7D10">
        <w:t xml:space="preserve"> </w:t>
      </w:r>
      <w:r w:rsidR="00630EF1">
        <w:t>shared</w:t>
      </w:r>
      <w:r w:rsidR="008F7D10">
        <w:t xml:space="preserve"> office </w:t>
      </w:r>
      <w:r w:rsidR="00630EF1">
        <w:t>protocols</w:t>
      </w:r>
      <w:r w:rsidR="008F7D10">
        <w:t xml:space="preserve"> commences. In relation to </w:t>
      </w:r>
      <w:r w:rsidR="00892CCE">
        <w:t>risk 8</w:t>
      </w:r>
      <w:r w:rsidR="008F7D10">
        <w:t xml:space="preserve">, Catherine stated that regular monitoring </w:t>
      </w:r>
      <w:r w:rsidR="003B67D7">
        <w:t xml:space="preserve">of current occupancy levels in London </w:t>
      </w:r>
      <w:r w:rsidR="008F7D10">
        <w:t xml:space="preserve">has indicated there will be sufficient capacity in the new office despite the </w:t>
      </w:r>
      <w:r w:rsidR="00630EF1">
        <w:t>reduction</w:t>
      </w:r>
      <w:r w:rsidR="00892CCE">
        <w:t xml:space="preserve"> in desks</w:t>
      </w:r>
      <w:r w:rsidR="003B67D7">
        <w:t xml:space="preserve"> from the current office</w:t>
      </w:r>
      <w:r w:rsidR="00892CCE">
        <w:t xml:space="preserve">. </w:t>
      </w:r>
    </w:p>
    <w:p w14:paraId="41C68E6E" w14:textId="77777777" w:rsidR="006F1CD8" w:rsidRDefault="006F1CD8" w:rsidP="006F1CD8">
      <w:pPr>
        <w:pStyle w:val="ListParagraph"/>
      </w:pPr>
    </w:p>
    <w:p w14:paraId="3F552DB0" w14:textId="02553F3E" w:rsidR="006F1CD8" w:rsidRDefault="006F1CD8" w:rsidP="00D91589">
      <w:pPr>
        <w:pStyle w:val="Numberedpara"/>
      </w:pPr>
      <w:r>
        <w:t xml:space="preserve">SMT agreed the risk </w:t>
      </w:r>
      <w:r w:rsidR="00630EF1">
        <w:t>register</w:t>
      </w:r>
      <w:r>
        <w:t xml:space="preserve"> </w:t>
      </w:r>
      <w:r w:rsidR="00630EF1">
        <w:t>subject</w:t>
      </w:r>
      <w:r>
        <w:t xml:space="preserve"> to:</w:t>
      </w:r>
    </w:p>
    <w:p w14:paraId="58827945" w14:textId="2AA0546C" w:rsidR="006F1CD8" w:rsidRPr="006F1CD8" w:rsidRDefault="006F1CD8" w:rsidP="006F1CD8">
      <w:pPr>
        <w:pStyle w:val="ListParagraph"/>
        <w:numPr>
          <w:ilvl w:val="0"/>
          <w:numId w:val="28"/>
        </w:numPr>
      </w:pPr>
      <w:r>
        <w:rPr>
          <w:rFonts w:ascii="Arial" w:hAnsi="Arial" w:cs="Arial"/>
          <w:sz w:val="22"/>
          <w:szCs w:val="22"/>
        </w:rPr>
        <w:t xml:space="preserve">Amending the rating of risk 11, </w:t>
      </w:r>
      <w:r w:rsidR="003B67D7">
        <w:rPr>
          <w:rFonts w:ascii="Arial" w:hAnsi="Arial" w:cs="Arial"/>
          <w:sz w:val="22"/>
          <w:szCs w:val="22"/>
        </w:rPr>
        <w:t xml:space="preserve">that relates </w:t>
      </w:r>
      <w:r>
        <w:rPr>
          <w:rFonts w:ascii="Arial" w:hAnsi="Arial" w:cs="Arial"/>
          <w:sz w:val="22"/>
          <w:szCs w:val="22"/>
        </w:rPr>
        <w:t>to the loss of staff, to ‘2’ for both likelihood and impact.</w:t>
      </w:r>
    </w:p>
    <w:p w14:paraId="0C9FE7B5" w14:textId="78584F64" w:rsidR="006F1CD8" w:rsidRPr="006F1CD8" w:rsidRDefault="006F1CD8" w:rsidP="006F1CD8">
      <w:pPr>
        <w:pStyle w:val="ListParagraph"/>
        <w:numPr>
          <w:ilvl w:val="0"/>
          <w:numId w:val="28"/>
        </w:numPr>
      </w:pPr>
      <w:r>
        <w:rPr>
          <w:rFonts w:ascii="Arial" w:hAnsi="Arial" w:cs="Arial"/>
          <w:sz w:val="22"/>
          <w:szCs w:val="22"/>
        </w:rPr>
        <w:t xml:space="preserve">Strengthening the </w:t>
      </w:r>
      <w:r w:rsidR="00630EF1">
        <w:rPr>
          <w:rFonts w:ascii="Arial" w:hAnsi="Arial" w:cs="Arial"/>
          <w:sz w:val="22"/>
          <w:szCs w:val="22"/>
        </w:rPr>
        <w:t>mitigations</w:t>
      </w:r>
      <w:r>
        <w:rPr>
          <w:rFonts w:ascii="Arial" w:hAnsi="Arial" w:cs="Arial"/>
          <w:sz w:val="22"/>
          <w:szCs w:val="22"/>
        </w:rPr>
        <w:t xml:space="preserve"> for risk 14 to note the intention to bring in additional IT capacity.</w:t>
      </w:r>
    </w:p>
    <w:p w14:paraId="178DC4A2" w14:textId="286748B7" w:rsidR="006F1CD8" w:rsidRDefault="006F1CD8" w:rsidP="006F1CD8"/>
    <w:p w14:paraId="1D5D51D9" w14:textId="2E8256F2" w:rsidR="006F1CD8" w:rsidRDefault="006F1CD8" w:rsidP="006F1CD8">
      <w:pPr>
        <w:pStyle w:val="SMTActions"/>
      </w:pPr>
      <w:r>
        <w:t>ACTION: ER/CW</w:t>
      </w:r>
    </w:p>
    <w:p w14:paraId="594E609F" w14:textId="77777777" w:rsidR="006F1CD8" w:rsidRDefault="006F1CD8" w:rsidP="006F1CD8">
      <w:pPr>
        <w:pStyle w:val="SMTActions"/>
      </w:pPr>
    </w:p>
    <w:p w14:paraId="7B6478FD" w14:textId="3B03D5AC" w:rsidR="006F1CD8" w:rsidRDefault="006F1CD8" w:rsidP="00D91589">
      <w:pPr>
        <w:pStyle w:val="Numberedpara"/>
      </w:pPr>
      <w:r>
        <w:t xml:space="preserve">SMT expressed a strong </w:t>
      </w:r>
      <w:r w:rsidR="00630EF1">
        <w:t>preference</w:t>
      </w:r>
      <w:r>
        <w:t xml:space="preserve"> for numbering the meeting rooms, noting this requires discussion with the other ALBs.</w:t>
      </w:r>
    </w:p>
    <w:p w14:paraId="5BA055D1" w14:textId="0D2E634F" w:rsidR="00457915" w:rsidRDefault="00457915" w:rsidP="00457915">
      <w:pPr>
        <w:pStyle w:val="Numberedpara"/>
        <w:numPr>
          <w:ilvl w:val="0"/>
          <w:numId w:val="0"/>
        </w:numPr>
        <w:ind w:left="357"/>
      </w:pPr>
    </w:p>
    <w:p w14:paraId="47A47809" w14:textId="1ED316CD" w:rsidR="006F1CD8" w:rsidRDefault="006F1CD8" w:rsidP="006F1CD8">
      <w:pPr>
        <w:pStyle w:val="SMTActions"/>
      </w:pPr>
      <w:r>
        <w:t>ACTION: CW</w:t>
      </w:r>
    </w:p>
    <w:p w14:paraId="3D60BB8C" w14:textId="77777777" w:rsidR="006F1CD8" w:rsidRDefault="006F1CD8" w:rsidP="00457915">
      <w:pPr>
        <w:pStyle w:val="Numberedpara"/>
        <w:numPr>
          <w:ilvl w:val="0"/>
          <w:numId w:val="0"/>
        </w:numPr>
        <w:ind w:left="357"/>
      </w:pPr>
    </w:p>
    <w:p w14:paraId="52E37C7A" w14:textId="6CBB0EF6" w:rsidR="005C7D5B" w:rsidRDefault="005C7D5B" w:rsidP="00FF68A5">
      <w:pPr>
        <w:pStyle w:val="Heading2"/>
      </w:pPr>
      <w:r>
        <w:t xml:space="preserve">Chair and </w:t>
      </w:r>
      <w:r w:rsidRPr="00FF68A5">
        <w:t>Chief</w:t>
      </w:r>
      <w:r>
        <w:t xml:space="preserve"> Executive appointments (item 1</w:t>
      </w:r>
      <w:r w:rsidR="00D61BFC">
        <w:t>1</w:t>
      </w:r>
      <w:r w:rsidR="00207F4A">
        <w:t>)</w:t>
      </w:r>
    </w:p>
    <w:p w14:paraId="24054830" w14:textId="77777777" w:rsidR="00FF68A5" w:rsidRDefault="00FF68A5" w:rsidP="00FF68A5">
      <w:pPr>
        <w:pStyle w:val="Numberedpara"/>
        <w:numPr>
          <w:ilvl w:val="0"/>
          <w:numId w:val="0"/>
        </w:numPr>
        <w:ind w:left="357"/>
      </w:pPr>
    </w:p>
    <w:p w14:paraId="1BB6115A" w14:textId="77777777" w:rsidR="004C57CE" w:rsidRPr="00EC03FA" w:rsidRDefault="004C57CE" w:rsidP="004C57CE">
      <w:pPr>
        <w:pStyle w:val="Numberedpara"/>
      </w:pPr>
      <w:r>
        <w:t xml:space="preserve">No further update. </w:t>
      </w:r>
    </w:p>
    <w:p w14:paraId="09600504" w14:textId="20F76D8E" w:rsidR="004422AC" w:rsidRDefault="004422AC" w:rsidP="004422AC">
      <w:pPr>
        <w:pStyle w:val="Paragraph"/>
        <w:numPr>
          <w:ilvl w:val="0"/>
          <w:numId w:val="0"/>
        </w:numPr>
        <w:ind w:left="567"/>
      </w:pPr>
    </w:p>
    <w:p w14:paraId="4F3298A2" w14:textId="77777777" w:rsidR="00E634B5" w:rsidRPr="004422AC" w:rsidRDefault="00E634B5" w:rsidP="004422AC">
      <w:pPr>
        <w:pStyle w:val="Paragraph"/>
        <w:numPr>
          <w:ilvl w:val="0"/>
          <w:numId w:val="0"/>
        </w:numPr>
        <w:ind w:left="567"/>
      </w:pPr>
    </w:p>
    <w:p w14:paraId="05252A9A" w14:textId="67A33D01" w:rsidR="006F3BE2" w:rsidRDefault="006F3BE2" w:rsidP="006F3BE2">
      <w:pPr>
        <w:pStyle w:val="Heading2"/>
      </w:pPr>
      <w:r>
        <w:t>Weekly staff SMT updates (item 1</w:t>
      </w:r>
      <w:r w:rsidR="00856596">
        <w:t>2</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43B0D9AC" w:rsidR="006F3BE2" w:rsidRPr="00FA4D12" w:rsidRDefault="004E7E52" w:rsidP="00FF68A5">
      <w:pPr>
        <w:pStyle w:val="Heading2"/>
      </w:pPr>
      <w:r>
        <w:t>O</w:t>
      </w:r>
      <w:r w:rsidR="006F3BE2">
        <w:t>ther business (</w:t>
      </w:r>
      <w:r w:rsidR="006F3BE2" w:rsidRPr="00FF68A5">
        <w:t>item</w:t>
      </w:r>
      <w:r w:rsidR="006F3BE2">
        <w:t xml:space="preserve"> 1</w:t>
      </w:r>
      <w:r w:rsidR="00856596">
        <w:t>3</w:t>
      </w:r>
      <w:r w:rsidR="006F3BE2">
        <w:t>)</w:t>
      </w:r>
    </w:p>
    <w:p w14:paraId="5F62CEA1" w14:textId="77777777" w:rsidR="00FF68A5" w:rsidRDefault="00FF68A5" w:rsidP="00FF68A5">
      <w:pPr>
        <w:pStyle w:val="Numberedpara"/>
        <w:numPr>
          <w:ilvl w:val="0"/>
          <w:numId w:val="0"/>
        </w:numPr>
        <w:ind w:left="357"/>
      </w:pPr>
    </w:p>
    <w:p w14:paraId="655DB4C3" w14:textId="7ECC871E" w:rsidR="00426435" w:rsidRDefault="006B1553" w:rsidP="004C57CE">
      <w:pPr>
        <w:pStyle w:val="Numberedpara"/>
      </w:pPr>
      <w:r>
        <w:t xml:space="preserve">SMT considered whether to proceed with booking delegate places and travel for the </w:t>
      </w:r>
      <w:proofErr w:type="spellStart"/>
      <w:r>
        <w:t>HTAi</w:t>
      </w:r>
      <w:proofErr w:type="spellEnd"/>
      <w:r>
        <w:t xml:space="preserve"> conference in Beijing in June. </w:t>
      </w:r>
      <w:r w:rsidR="005A6290">
        <w:t xml:space="preserve">Given the uncertainty about Coronavirus and the travel advice that might be in place at the time of the conference, it was agreed to hold off booking any conference places and travel. </w:t>
      </w:r>
    </w:p>
    <w:sectPr w:rsidR="00426435"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C40CE" w14:textId="77777777" w:rsidR="000A005A" w:rsidRDefault="000A005A" w:rsidP="00446BEE">
      <w:r>
        <w:separator/>
      </w:r>
    </w:p>
  </w:endnote>
  <w:endnote w:type="continuationSeparator" w:id="0">
    <w:p w14:paraId="5A9F6153" w14:textId="77777777" w:rsidR="000A005A" w:rsidRDefault="000A005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1C510D" w:rsidRDefault="001C510D">
    <w:pPr>
      <w:pStyle w:val="Footer"/>
    </w:pPr>
    <w:r>
      <w:tab/>
    </w:r>
    <w:r>
      <w:tab/>
    </w:r>
    <w:r>
      <w:fldChar w:fldCharType="begin"/>
    </w:r>
    <w:r>
      <w:instrText xml:space="preserve"> PAGE </w:instrText>
    </w:r>
    <w:r>
      <w:fldChar w:fldCharType="separate"/>
    </w:r>
    <w:r w:rsidR="00245C95">
      <w:rPr>
        <w:noProof/>
      </w:rPr>
      <w:t>1</w:t>
    </w:r>
    <w:r>
      <w:fldChar w:fldCharType="end"/>
    </w:r>
    <w:r>
      <w:t xml:space="preserve"> of </w:t>
    </w:r>
    <w:r w:rsidR="000A005A">
      <w:fldChar w:fldCharType="begin"/>
    </w:r>
    <w:r w:rsidR="000A005A">
      <w:instrText xml:space="preserve"> NUMPAGES  </w:instrText>
    </w:r>
    <w:r w:rsidR="000A005A">
      <w:fldChar w:fldCharType="separate"/>
    </w:r>
    <w:r w:rsidR="00245C95">
      <w:rPr>
        <w:noProof/>
      </w:rPr>
      <w:t>5</w:t>
    </w:r>
    <w:r w:rsidR="000A00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23CC9" w14:textId="77777777" w:rsidR="000A005A" w:rsidRDefault="000A005A" w:rsidP="00446BEE">
      <w:r>
        <w:separator/>
      </w:r>
    </w:p>
  </w:footnote>
  <w:footnote w:type="continuationSeparator" w:id="0">
    <w:p w14:paraId="6A0E3234" w14:textId="77777777" w:rsidR="000A005A" w:rsidRDefault="000A005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01241EAE" w:rsidR="001C510D" w:rsidRPr="007D0457" w:rsidRDefault="001C510D"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0"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0"/>
  </w:num>
  <w:num w:numId="21">
    <w:abstractNumId w:val="16"/>
  </w:num>
  <w:num w:numId="22">
    <w:abstractNumId w:val="1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16"/>
    <w:lvlOverride w:ilvl="0">
      <w:startOverride w:val="1"/>
    </w:lvlOverride>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2355"/>
    <w:rsid w:val="00020D14"/>
    <w:rsid w:val="00021245"/>
    <w:rsid w:val="00022932"/>
    <w:rsid w:val="00023F0E"/>
    <w:rsid w:val="00024B3D"/>
    <w:rsid w:val="00024D0A"/>
    <w:rsid w:val="000253C0"/>
    <w:rsid w:val="00030581"/>
    <w:rsid w:val="000376CB"/>
    <w:rsid w:val="00042D75"/>
    <w:rsid w:val="000439B6"/>
    <w:rsid w:val="000472DC"/>
    <w:rsid w:val="00050204"/>
    <w:rsid w:val="00053B5D"/>
    <w:rsid w:val="00054CC7"/>
    <w:rsid w:val="000566B0"/>
    <w:rsid w:val="00056F21"/>
    <w:rsid w:val="000602E2"/>
    <w:rsid w:val="00060E93"/>
    <w:rsid w:val="0006260D"/>
    <w:rsid w:val="00070065"/>
    <w:rsid w:val="00070B7D"/>
    <w:rsid w:val="0007247B"/>
    <w:rsid w:val="0007277C"/>
    <w:rsid w:val="00075572"/>
    <w:rsid w:val="00076A9C"/>
    <w:rsid w:val="000809D2"/>
    <w:rsid w:val="000836B1"/>
    <w:rsid w:val="00083F12"/>
    <w:rsid w:val="00084854"/>
    <w:rsid w:val="00085650"/>
    <w:rsid w:val="00090B63"/>
    <w:rsid w:val="00091C40"/>
    <w:rsid w:val="00092B46"/>
    <w:rsid w:val="0009594E"/>
    <w:rsid w:val="00095BEC"/>
    <w:rsid w:val="000966AB"/>
    <w:rsid w:val="000979CE"/>
    <w:rsid w:val="000A005A"/>
    <w:rsid w:val="000A1E6D"/>
    <w:rsid w:val="000A4279"/>
    <w:rsid w:val="000A4FEE"/>
    <w:rsid w:val="000A6E1A"/>
    <w:rsid w:val="000B0FF9"/>
    <w:rsid w:val="000B1394"/>
    <w:rsid w:val="000B2792"/>
    <w:rsid w:val="000B3EA3"/>
    <w:rsid w:val="000B5939"/>
    <w:rsid w:val="000C0211"/>
    <w:rsid w:val="000C1A68"/>
    <w:rsid w:val="000C368A"/>
    <w:rsid w:val="000C5DBA"/>
    <w:rsid w:val="000C7EF5"/>
    <w:rsid w:val="000D53A2"/>
    <w:rsid w:val="000D6D85"/>
    <w:rsid w:val="000E121F"/>
    <w:rsid w:val="000E654C"/>
    <w:rsid w:val="000E7DE1"/>
    <w:rsid w:val="000E7E12"/>
    <w:rsid w:val="000F1617"/>
    <w:rsid w:val="00100AC1"/>
    <w:rsid w:val="00103740"/>
    <w:rsid w:val="00111CCE"/>
    <w:rsid w:val="001131C4"/>
    <w:rsid w:val="001134E7"/>
    <w:rsid w:val="00116344"/>
    <w:rsid w:val="001302A2"/>
    <w:rsid w:val="00130A69"/>
    <w:rsid w:val="001311CD"/>
    <w:rsid w:val="001343BC"/>
    <w:rsid w:val="00134510"/>
    <w:rsid w:val="001505E0"/>
    <w:rsid w:val="00153771"/>
    <w:rsid w:val="0015444A"/>
    <w:rsid w:val="00154E94"/>
    <w:rsid w:val="00156295"/>
    <w:rsid w:val="00160E15"/>
    <w:rsid w:val="00161EC0"/>
    <w:rsid w:val="00166602"/>
    <w:rsid w:val="00170075"/>
    <w:rsid w:val="0017149E"/>
    <w:rsid w:val="0017169E"/>
    <w:rsid w:val="00171DB1"/>
    <w:rsid w:val="00173639"/>
    <w:rsid w:val="001739DA"/>
    <w:rsid w:val="001753D5"/>
    <w:rsid w:val="0017624C"/>
    <w:rsid w:val="00177B91"/>
    <w:rsid w:val="00180AE3"/>
    <w:rsid w:val="0018188C"/>
    <w:rsid w:val="00181A4A"/>
    <w:rsid w:val="00182C58"/>
    <w:rsid w:val="00184F4B"/>
    <w:rsid w:val="00187CB2"/>
    <w:rsid w:val="00191BEA"/>
    <w:rsid w:val="001931EE"/>
    <w:rsid w:val="00196622"/>
    <w:rsid w:val="00197C29"/>
    <w:rsid w:val="001A2F9F"/>
    <w:rsid w:val="001A38AF"/>
    <w:rsid w:val="001A397D"/>
    <w:rsid w:val="001A6E40"/>
    <w:rsid w:val="001B0EE9"/>
    <w:rsid w:val="001B1610"/>
    <w:rsid w:val="001B2A5C"/>
    <w:rsid w:val="001B65B3"/>
    <w:rsid w:val="001C1562"/>
    <w:rsid w:val="001C1A9F"/>
    <w:rsid w:val="001C202F"/>
    <w:rsid w:val="001C2B2C"/>
    <w:rsid w:val="001C301A"/>
    <w:rsid w:val="001C3E9B"/>
    <w:rsid w:val="001C448B"/>
    <w:rsid w:val="001C4767"/>
    <w:rsid w:val="001C4F0E"/>
    <w:rsid w:val="001C510D"/>
    <w:rsid w:val="001D7284"/>
    <w:rsid w:val="001D7881"/>
    <w:rsid w:val="001E0085"/>
    <w:rsid w:val="001E192F"/>
    <w:rsid w:val="001E2F52"/>
    <w:rsid w:val="001E6205"/>
    <w:rsid w:val="001F0405"/>
    <w:rsid w:val="001F0F6E"/>
    <w:rsid w:val="00200BCD"/>
    <w:rsid w:val="002029A6"/>
    <w:rsid w:val="00205B1E"/>
    <w:rsid w:val="00207F4A"/>
    <w:rsid w:val="00210577"/>
    <w:rsid w:val="002118F8"/>
    <w:rsid w:val="00211BEC"/>
    <w:rsid w:val="002200AA"/>
    <w:rsid w:val="0022038A"/>
    <w:rsid w:val="00223165"/>
    <w:rsid w:val="002237AA"/>
    <w:rsid w:val="00227B50"/>
    <w:rsid w:val="0023081D"/>
    <w:rsid w:val="0023140B"/>
    <w:rsid w:val="00231F8F"/>
    <w:rsid w:val="00234F90"/>
    <w:rsid w:val="00236928"/>
    <w:rsid w:val="002408EA"/>
    <w:rsid w:val="0024105B"/>
    <w:rsid w:val="00241118"/>
    <w:rsid w:val="002419F1"/>
    <w:rsid w:val="00242A10"/>
    <w:rsid w:val="00242DC5"/>
    <w:rsid w:val="00245C95"/>
    <w:rsid w:val="00246266"/>
    <w:rsid w:val="002464E5"/>
    <w:rsid w:val="002515E9"/>
    <w:rsid w:val="00254C33"/>
    <w:rsid w:val="0025681F"/>
    <w:rsid w:val="0026728F"/>
    <w:rsid w:val="002715FE"/>
    <w:rsid w:val="00272AC2"/>
    <w:rsid w:val="00274313"/>
    <w:rsid w:val="00274962"/>
    <w:rsid w:val="00280973"/>
    <w:rsid w:val="00280CF4"/>
    <w:rsid w:val="002816F2"/>
    <w:rsid w:val="002819D7"/>
    <w:rsid w:val="00286CC1"/>
    <w:rsid w:val="00292A9E"/>
    <w:rsid w:val="00292BB8"/>
    <w:rsid w:val="002B4299"/>
    <w:rsid w:val="002C1A7E"/>
    <w:rsid w:val="002C3209"/>
    <w:rsid w:val="002C4B0C"/>
    <w:rsid w:val="002C5C7E"/>
    <w:rsid w:val="002D0A7C"/>
    <w:rsid w:val="002D2616"/>
    <w:rsid w:val="002D3376"/>
    <w:rsid w:val="002D3D24"/>
    <w:rsid w:val="002D4BEF"/>
    <w:rsid w:val="002D6B0B"/>
    <w:rsid w:val="002D73FA"/>
    <w:rsid w:val="002D75B8"/>
    <w:rsid w:val="002E137B"/>
    <w:rsid w:val="002E2146"/>
    <w:rsid w:val="002E3E34"/>
    <w:rsid w:val="002E41F8"/>
    <w:rsid w:val="002E47A0"/>
    <w:rsid w:val="002E57C5"/>
    <w:rsid w:val="002F1539"/>
    <w:rsid w:val="002F72E7"/>
    <w:rsid w:val="002F7527"/>
    <w:rsid w:val="00303115"/>
    <w:rsid w:val="003033D5"/>
    <w:rsid w:val="00303E66"/>
    <w:rsid w:val="003047B2"/>
    <w:rsid w:val="0030592E"/>
    <w:rsid w:val="00305AC5"/>
    <w:rsid w:val="0031003B"/>
    <w:rsid w:val="00310530"/>
    <w:rsid w:val="00311ED0"/>
    <w:rsid w:val="00323D33"/>
    <w:rsid w:val="00327625"/>
    <w:rsid w:val="00327AC3"/>
    <w:rsid w:val="003315DC"/>
    <w:rsid w:val="00331D51"/>
    <w:rsid w:val="00333503"/>
    <w:rsid w:val="00334ED8"/>
    <w:rsid w:val="00341876"/>
    <w:rsid w:val="003503B7"/>
    <w:rsid w:val="00350C3C"/>
    <w:rsid w:val="0035176E"/>
    <w:rsid w:val="003544E5"/>
    <w:rsid w:val="003644C9"/>
    <w:rsid w:val="003648C5"/>
    <w:rsid w:val="00364D68"/>
    <w:rsid w:val="0036765B"/>
    <w:rsid w:val="00367922"/>
    <w:rsid w:val="003722FA"/>
    <w:rsid w:val="003730E6"/>
    <w:rsid w:val="00374A27"/>
    <w:rsid w:val="00374D36"/>
    <w:rsid w:val="00375CA6"/>
    <w:rsid w:val="003775CC"/>
    <w:rsid w:val="00383DC8"/>
    <w:rsid w:val="003861FB"/>
    <w:rsid w:val="00390BA5"/>
    <w:rsid w:val="00396B70"/>
    <w:rsid w:val="003A2699"/>
    <w:rsid w:val="003A576C"/>
    <w:rsid w:val="003A58BD"/>
    <w:rsid w:val="003A7FCD"/>
    <w:rsid w:val="003B20A2"/>
    <w:rsid w:val="003B2108"/>
    <w:rsid w:val="003B3294"/>
    <w:rsid w:val="003B3606"/>
    <w:rsid w:val="003B423C"/>
    <w:rsid w:val="003B511D"/>
    <w:rsid w:val="003B67D7"/>
    <w:rsid w:val="003C120C"/>
    <w:rsid w:val="003C37F6"/>
    <w:rsid w:val="003C73D4"/>
    <w:rsid w:val="003C7AAF"/>
    <w:rsid w:val="003D03A8"/>
    <w:rsid w:val="003D20F7"/>
    <w:rsid w:val="003D3F0E"/>
    <w:rsid w:val="003E12C9"/>
    <w:rsid w:val="003E4F5A"/>
    <w:rsid w:val="003E68FB"/>
    <w:rsid w:val="003E6C12"/>
    <w:rsid w:val="003F0601"/>
    <w:rsid w:val="003F0E44"/>
    <w:rsid w:val="003F2268"/>
    <w:rsid w:val="003F5829"/>
    <w:rsid w:val="003F603D"/>
    <w:rsid w:val="003F6819"/>
    <w:rsid w:val="00402F33"/>
    <w:rsid w:val="00403439"/>
    <w:rsid w:val="00405A7D"/>
    <w:rsid w:val="004075B6"/>
    <w:rsid w:val="00410E3E"/>
    <w:rsid w:val="0041431E"/>
    <w:rsid w:val="00416285"/>
    <w:rsid w:val="0041724A"/>
    <w:rsid w:val="00420952"/>
    <w:rsid w:val="00421613"/>
    <w:rsid w:val="0042354F"/>
    <w:rsid w:val="004262B6"/>
    <w:rsid w:val="00426435"/>
    <w:rsid w:val="00431382"/>
    <w:rsid w:val="00433538"/>
    <w:rsid w:val="004337EE"/>
    <w:rsid w:val="00433EFF"/>
    <w:rsid w:val="0043409F"/>
    <w:rsid w:val="004422AC"/>
    <w:rsid w:val="00443081"/>
    <w:rsid w:val="00443C46"/>
    <w:rsid w:val="004449BE"/>
    <w:rsid w:val="00446BEE"/>
    <w:rsid w:val="00451411"/>
    <w:rsid w:val="00452528"/>
    <w:rsid w:val="00457915"/>
    <w:rsid w:val="00465139"/>
    <w:rsid w:val="00465D00"/>
    <w:rsid w:val="00477CBD"/>
    <w:rsid w:val="00480E8D"/>
    <w:rsid w:val="00482B20"/>
    <w:rsid w:val="004830A9"/>
    <w:rsid w:val="00484BBD"/>
    <w:rsid w:val="004867C3"/>
    <w:rsid w:val="00486F94"/>
    <w:rsid w:val="00497F9E"/>
    <w:rsid w:val="004A302A"/>
    <w:rsid w:val="004A3FD7"/>
    <w:rsid w:val="004A3FD9"/>
    <w:rsid w:val="004B08D9"/>
    <w:rsid w:val="004B130A"/>
    <w:rsid w:val="004B3FDC"/>
    <w:rsid w:val="004B482D"/>
    <w:rsid w:val="004B549D"/>
    <w:rsid w:val="004B7F86"/>
    <w:rsid w:val="004C57CE"/>
    <w:rsid w:val="004C57DC"/>
    <w:rsid w:val="004C64D9"/>
    <w:rsid w:val="004D1458"/>
    <w:rsid w:val="004D593F"/>
    <w:rsid w:val="004E1C69"/>
    <w:rsid w:val="004E2898"/>
    <w:rsid w:val="004E30CE"/>
    <w:rsid w:val="004E7E52"/>
    <w:rsid w:val="004F3AB8"/>
    <w:rsid w:val="004F47F5"/>
    <w:rsid w:val="004F524D"/>
    <w:rsid w:val="005025A1"/>
    <w:rsid w:val="00507F86"/>
    <w:rsid w:val="00510AEE"/>
    <w:rsid w:val="0051256D"/>
    <w:rsid w:val="0051305A"/>
    <w:rsid w:val="00515086"/>
    <w:rsid w:val="00521143"/>
    <w:rsid w:val="00524E32"/>
    <w:rsid w:val="005252FD"/>
    <w:rsid w:val="005255D3"/>
    <w:rsid w:val="005326BE"/>
    <w:rsid w:val="0053493B"/>
    <w:rsid w:val="005360F2"/>
    <w:rsid w:val="005362E1"/>
    <w:rsid w:val="005377D0"/>
    <w:rsid w:val="00541F74"/>
    <w:rsid w:val="00545319"/>
    <w:rsid w:val="00545EDE"/>
    <w:rsid w:val="00554A37"/>
    <w:rsid w:val="00554CD8"/>
    <w:rsid w:val="00557CC9"/>
    <w:rsid w:val="00561EBC"/>
    <w:rsid w:val="00562605"/>
    <w:rsid w:val="00570930"/>
    <w:rsid w:val="005712CF"/>
    <w:rsid w:val="00572AC0"/>
    <w:rsid w:val="00577489"/>
    <w:rsid w:val="00584273"/>
    <w:rsid w:val="00584D0B"/>
    <w:rsid w:val="0058754B"/>
    <w:rsid w:val="005A16D5"/>
    <w:rsid w:val="005A6290"/>
    <w:rsid w:val="005A6E4F"/>
    <w:rsid w:val="005B0BD6"/>
    <w:rsid w:val="005B29C3"/>
    <w:rsid w:val="005B3916"/>
    <w:rsid w:val="005B4CCC"/>
    <w:rsid w:val="005C428C"/>
    <w:rsid w:val="005C7D5B"/>
    <w:rsid w:val="005C7EB6"/>
    <w:rsid w:val="005D013A"/>
    <w:rsid w:val="005D605B"/>
    <w:rsid w:val="005E16E9"/>
    <w:rsid w:val="005F12C3"/>
    <w:rsid w:val="005F5EF6"/>
    <w:rsid w:val="00601D97"/>
    <w:rsid w:val="0060217D"/>
    <w:rsid w:val="00606F91"/>
    <w:rsid w:val="0061632B"/>
    <w:rsid w:val="00616705"/>
    <w:rsid w:val="006170F6"/>
    <w:rsid w:val="00620984"/>
    <w:rsid w:val="0062151F"/>
    <w:rsid w:val="00622FB4"/>
    <w:rsid w:val="00624C3B"/>
    <w:rsid w:val="00630987"/>
    <w:rsid w:val="00630EF1"/>
    <w:rsid w:val="00632D1D"/>
    <w:rsid w:val="0063337A"/>
    <w:rsid w:val="00640E39"/>
    <w:rsid w:val="00646546"/>
    <w:rsid w:val="00646A63"/>
    <w:rsid w:val="006478F0"/>
    <w:rsid w:val="0065082A"/>
    <w:rsid w:val="00654978"/>
    <w:rsid w:val="00654AAE"/>
    <w:rsid w:val="00657ED3"/>
    <w:rsid w:val="00665542"/>
    <w:rsid w:val="00666647"/>
    <w:rsid w:val="00677830"/>
    <w:rsid w:val="0068087E"/>
    <w:rsid w:val="006831E0"/>
    <w:rsid w:val="006837A8"/>
    <w:rsid w:val="00684D80"/>
    <w:rsid w:val="006900FC"/>
    <w:rsid w:val="00690502"/>
    <w:rsid w:val="006921E1"/>
    <w:rsid w:val="006928CF"/>
    <w:rsid w:val="0069653C"/>
    <w:rsid w:val="006A1AE8"/>
    <w:rsid w:val="006A27D0"/>
    <w:rsid w:val="006A55B2"/>
    <w:rsid w:val="006B1325"/>
    <w:rsid w:val="006B1553"/>
    <w:rsid w:val="006B2D63"/>
    <w:rsid w:val="006B30D4"/>
    <w:rsid w:val="006B7882"/>
    <w:rsid w:val="006C1746"/>
    <w:rsid w:val="006C214B"/>
    <w:rsid w:val="006C2E23"/>
    <w:rsid w:val="006C35A0"/>
    <w:rsid w:val="006C3658"/>
    <w:rsid w:val="006C4D7B"/>
    <w:rsid w:val="006C6AA7"/>
    <w:rsid w:val="006C7B86"/>
    <w:rsid w:val="006D2446"/>
    <w:rsid w:val="006D50CB"/>
    <w:rsid w:val="006D5F11"/>
    <w:rsid w:val="006D68EF"/>
    <w:rsid w:val="006D6F91"/>
    <w:rsid w:val="006E0F91"/>
    <w:rsid w:val="006E1B3F"/>
    <w:rsid w:val="006E2856"/>
    <w:rsid w:val="006E4665"/>
    <w:rsid w:val="006E5881"/>
    <w:rsid w:val="006E6F4A"/>
    <w:rsid w:val="006F1CD8"/>
    <w:rsid w:val="006F3BE2"/>
    <w:rsid w:val="006F4B25"/>
    <w:rsid w:val="006F6496"/>
    <w:rsid w:val="0070165B"/>
    <w:rsid w:val="00702817"/>
    <w:rsid w:val="00702C06"/>
    <w:rsid w:val="00704A6A"/>
    <w:rsid w:val="007058E4"/>
    <w:rsid w:val="00705D6E"/>
    <w:rsid w:val="00707352"/>
    <w:rsid w:val="0071055D"/>
    <w:rsid w:val="00715492"/>
    <w:rsid w:val="00716659"/>
    <w:rsid w:val="00717C37"/>
    <w:rsid w:val="007245C0"/>
    <w:rsid w:val="00726869"/>
    <w:rsid w:val="00732A4C"/>
    <w:rsid w:val="007342EF"/>
    <w:rsid w:val="00736348"/>
    <w:rsid w:val="00736912"/>
    <w:rsid w:val="00740321"/>
    <w:rsid w:val="00744033"/>
    <w:rsid w:val="00744336"/>
    <w:rsid w:val="00744BF0"/>
    <w:rsid w:val="00745C8D"/>
    <w:rsid w:val="00750DF5"/>
    <w:rsid w:val="007516F7"/>
    <w:rsid w:val="007571FD"/>
    <w:rsid w:val="00760908"/>
    <w:rsid w:val="00763944"/>
    <w:rsid w:val="007677FC"/>
    <w:rsid w:val="00772004"/>
    <w:rsid w:val="00776CBA"/>
    <w:rsid w:val="00776F5B"/>
    <w:rsid w:val="00777395"/>
    <w:rsid w:val="00780F99"/>
    <w:rsid w:val="0079159A"/>
    <w:rsid w:val="00793439"/>
    <w:rsid w:val="00794922"/>
    <w:rsid w:val="0079661C"/>
    <w:rsid w:val="007A222B"/>
    <w:rsid w:val="007A3A2F"/>
    <w:rsid w:val="007B2A9F"/>
    <w:rsid w:val="007B4D14"/>
    <w:rsid w:val="007B7DC1"/>
    <w:rsid w:val="007C5FAB"/>
    <w:rsid w:val="007D0457"/>
    <w:rsid w:val="007D1BFE"/>
    <w:rsid w:val="007D440D"/>
    <w:rsid w:val="007D4D20"/>
    <w:rsid w:val="007D68FE"/>
    <w:rsid w:val="007D69E6"/>
    <w:rsid w:val="007E05DE"/>
    <w:rsid w:val="007E72A1"/>
    <w:rsid w:val="007F238D"/>
    <w:rsid w:val="007F361A"/>
    <w:rsid w:val="007F4ED3"/>
    <w:rsid w:val="0080266C"/>
    <w:rsid w:val="00802815"/>
    <w:rsid w:val="008057D9"/>
    <w:rsid w:val="0080602B"/>
    <w:rsid w:val="00806FAA"/>
    <w:rsid w:val="00813EED"/>
    <w:rsid w:val="0081490E"/>
    <w:rsid w:val="008159B5"/>
    <w:rsid w:val="00816677"/>
    <w:rsid w:val="00816FCD"/>
    <w:rsid w:val="00822179"/>
    <w:rsid w:val="00826444"/>
    <w:rsid w:val="00826930"/>
    <w:rsid w:val="00826B2A"/>
    <w:rsid w:val="00826D99"/>
    <w:rsid w:val="008456A8"/>
    <w:rsid w:val="008517C8"/>
    <w:rsid w:val="0085566B"/>
    <w:rsid w:val="00856596"/>
    <w:rsid w:val="00857B3A"/>
    <w:rsid w:val="00861B92"/>
    <w:rsid w:val="00862B23"/>
    <w:rsid w:val="00865647"/>
    <w:rsid w:val="00867244"/>
    <w:rsid w:val="0086732E"/>
    <w:rsid w:val="00870F5D"/>
    <w:rsid w:val="00872361"/>
    <w:rsid w:val="0087623B"/>
    <w:rsid w:val="0087729F"/>
    <w:rsid w:val="008814FB"/>
    <w:rsid w:val="00881BCD"/>
    <w:rsid w:val="0088342D"/>
    <w:rsid w:val="00886165"/>
    <w:rsid w:val="00892B11"/>
    <w:rsid w:val="00892CCE"/>
    <w:rsid w:val="008953F9"/>
    <w:rsid w:val="00896DF2"/>
    <w:rsid w:val="008A5002"/>
    <w:rsid w:val="008B2909"/>
    <w:rsid w:val="008B35AB"/>
    <w:rsid w:val="008B7D27"/>
    <w:rsid w:val="008C3629"/>
    <w:rsid w:val="008C44B9"/>
    <w:rsid w:val="008C52C2"/>
    <w:rsid w:val="008C5E96"/>
    <w:rsid w:val="008D3551"/>
    <w:rsid w:val="008D4136"/>
    <w:rsid w:val="008D6013"/>
    <w:rsid w:val="008E0982"/>
    <w:rsid w:val="008E2D87"/>
    <w:rsid w:val="008E393E"/>
    <w:rsid w:val="008E4437"/>
    <w:rsid w:val="008F0292"/>
    <w:rsid w:val="008F2DB6"/>
    <w:rsid w:val="008F5743"/>
    <w:rsid w:val="008F5E30"/>
    <w:rsid w:val="008F73FA"/>
    <w:rsid w:val="008F7D10"/>
    <w:rsid w:val="009008B8"/>
    <w:rsid w:val="00902B72"/>
    <w:rsid w:val="00910388"/>
    <w:rsid w:val="00913737"/>
    <w:rsid w:val="0091378D"/>
    <w:rsid w:val="009141A9"/>
    <w:rsid w:val="00914D7F"/>
    <w:rsid w:val="00916C1D"/>
    <w:rsid w:val="00920EDE"/>
    <w:rsid w:val="00921E2F"/>
    <w:rsid w:val="0092201A"/>
    <w:rsid w:val="009255C0"/>
    <w:rsid w:val="009255C3"/>
    <w:rsid w:val="00927154"/>
    <w:rsid w:val="009272DC"/>
    <w:rsid w:val="009332F5"/>
    <w:rsid w:val="0093341E"/>
    <w:rsid w:val="0093375A"/>
    <w:rsid w:val="0094046F"/>
    <w:rsid w:val="0094228F"/>
    <w:rsid w:val="00942FB4"/>
    <w:rsid w:val="009436F4"/>
    <w:rsid w:val="00944C76"/>
    <w:rsid w:val="00945396"/>
    <w:rsid w:val="00945641"/>
    <w:rsid w:val="0094642D"/>
    <w:rsid w:val="00951014"/>
    <w:rsid w:val="009514BA"/>
    <w:rsid w:val="0095652C"/>
    <w:rsid w:val="0097530B"/>
    <w:rsid w:val="00975C12"/>
    <w:rsid w:val="00977522"/>
    <w:rsid w:val="00985AC0"/>
    <w:rsid w:val="00996E66"/>
    <w:rsid w:val="009A13D9"/>
    <w:rsid w:val="009A3E07"/>
    <w:rsid w:val="009A7421"/>
    <w:rsid w:val="009A7CDC"/>
    <w:rsid w:val="009B0F41"/>
    <w:rsid w:val="009B5FDA"/>
    <w:rsid w:val="009C1056"/>
    <w:rsid w:val="009C45FE"/>
    <w:rsid w:val="009C5DD5"/>
    <w:rsid w:val="009D3E0D"/>
    <w:rsid w:val="009D7BCF"/>
    <w:rsid w:val="009E05DE"/>
    <w:rsid w:val="009E0AB7"/>
    <w:rsid w:val="009E43B4"/>
    <w:rsid w:val="009E680B"/>
    <w:rsid w:val="009E6DD9"/>
    <w:rsid w:val="009E7BD3"/>
    <w:rsid w:val="009F1C75"/>
    <w:rsid w:val="00A0005D"/>
    <w:rsid w:val="00A014FE"/>
    <w:rsid w:val="00A01CC9"/>
    <w:rsid w:val="00A04630"/>
    <w:rsid w:val="00A04A21"/>
    <w:rsid w:val="00A04F99"/>
    <w:rsid w:val="00A1276C"/>
    <w:rsid w:val="00A15408"/>
    <w:rsid w:val="00A15A1F"/>
    <w:rsid w:val="00A248F6"/>
    <w:rsid w:val="00A26641"/>
    <w:rsid w:val="00A30C6D"/>
    <w:rsid w:val="00A32BC1"/>
    <w:rsid w:val="00A3325A"/>
    <w:rsid w:val="00A3365E"/>
    <w:rsid w:val="00A33BD6"/>
    <w:rsid w:val="00A404E4"/>
    <w:rsid w:val="00A41268"/>
    <w:rsid w:val="00A41C24"/>
    <w:rsid w:val="00A43013"/>
    <w:rsid w:val="00A44DC0"/>
    <w:rsid w:val="00A45563"/>
    <w:rsid w:val="00A5355C"/>
    <w:rsid w:val="00A6091A"/>
    <w:rsid w:val="00A610C9"/>
    <w:rsid w:val="00A63F06"/>
    <w:rsid w:val="00A65071"/>
    <w:rsid w:val="00A654FC"/>
    <w:rsid w:val="00A701A7"/>
    <w:rsid w:val="00A71CCE"/>
    <w:rsid w:val="00A81221"/>
    <w:rsid w:val="00A836CD"/>
    <w:rsid w:val="00A8751F"/>
    <w:rsid w:val="00A9007A"/>
    <w:rsid w:val="00A91492"/>
    <w:rsid w:val="00A9397D"/>
    <w:rsid w:val="00A9682D"/>
    <w:rsid w:val="00AA5E26"/>
    <w:rsid w:val="00AB1356"/>
    <w:rsid w:val="00AB74C7"/>
    <w:rsid w:val="00AC3CD2"/>
    <w:rsid w:val="00AD45C1"/>
    <w:rsid w:val="00AD7456"/>
    <w:rsid w:val="00AE2162"/>
    <w:rsid w:val="00AE342B"/>
    <w:rsid w:val="00AE40E9"/>
    <w:rsid w:val="00AE4AD5"/>
    <w:rsid w:val="00AE5692"/>
    <w:rsid w:val="00AE5CC7"/>
    <w:rsid w:val="00AE7C78"/>
    <w:rsid w:val="00AF108A"/>
    <w:rsid w:val="00AF6295"/>
    <w:rsid w:val="00AF7542"/>
    <w:rsid w:val="00B01B8C"/>
    <w:rsid w:val="00B02E55"/>
    <w:rsid w:val="00B036C1"/>
    <w:rsid w:val="00B0424B"/>
    <w:rsid w:val="00B0555C"/>
    <w:rsid w:val="00B071B3"/>
    <w:rsid w:val="00B07A8B"/>
    <w:rsid w:val="00B1173D"/>
    <w:rsid w:val="00B12D48"/>
    <w:rsid w:val="00B14F04"/>
    <w:rsid w:val="00B15E24"/>
    <w:rsid w:val="00B167B5"/>
    <w:rsid w:val="00B2442D"/>
    <w:rsid w:val="00B25929"/>
    <w:rsid w:val="00B2628B"/>
    <w:rsid w:val="00B26323"/>
    <w:rsid w:val="00B30E92"/>
    <w:rsid w:val="00B3136A"/>
    <w:rsid w:val="00B374AF"/>
    <w:rsid w:val="00B435A5"/>
    <w:rsid w:val="00B506FF"/>
    <w:rsid w:val="00B52F67"/>
    <w:rsid w:val="00B53AAA"/>
    <w:rsid w:val="00B5431F"/>
    <w:rsid w:val="00B54B85"/>
    <w:rsid w:val="00B57013"/>
    <w:rsid w:val="00B60821"/>
    <w:rsid w:val="00B62510"/>
    <w:rsid w:val="00B64867"/>
    <w:rsid w:val="00B64DB5"/>
    <w:rsid w:val="00B66A77"/>
    <w:rsid w:val="00B70B16"/>
    <w:rsid w:val="00B7565B"/>
    <w:rsid w:val="00B904D9"/>
    <w:rsid w:val="00B919DE"/>
    <w:rsid w:val="00B95724"/>
    <w:rsid w:val="00BA07FD"/>
    <w:rsid w:val="00BA49F0"/>
    <w:rsid w:val="00BA55F5"/>
    <w:rsid w:val="00BA5BD5"/>
    <w:rsid w:val="00BA5C54"/>
    <w:rsid w:val="00BA6418"/>
    <w:rsid w:val="00BA7CBD"/>
    <w:rsid w:val="00BB332F"/>
    <w:rsid w:val="00BB73BD"/>
    <w:rsid w:val="00BC57BA"/>
    <w:rsid w:val="00BC620C"/>
    <w:rsid w:val="00BC6548"/>
    <w:rsid w:val="00BC778E"/>
    <w:rsid w:val="00BD5636"/>
    <w:rsid w:val="00BE0CDA"/>
    <w:rsid w:val="00BF24FA"/>
    <w:rsid w:val="00BF3CC7"/>
    <w:rsid w:val="00BF43A2"/>
    <w:rsid w:val="00BF7FE0"/>
    <w:rsid w:val="00C009E1"/>
    <w:rsid w:val="00C037E8"/>
    <w:rsid w:val="00C10CA3"/>
    <w:rsid w:val="00C119E1"/>
    <w:rsid w:val="00C12890"/>
    <w:rsid w:val="00C12B6F"/>
    <w:rsid w:val="00C133C0"/>
    <w:rsid w:val="00C237D5"/>
    <w:rsid w:val="00C25808"/>
    <w:rsid w:val="00C271B9"/>
    <w:rsid w:val="00C313D9"/>
    <w:rsid w:val="00C3153A"/>
    <w:rsid w:val="00C3165C"/>
    <w:rsid w:val="00C35241"/>
    <w:rsid w:val="00C35431"/>
    <w:rsid w:val="00C35E2E"/>
    <w:rsid w:val="00C375C7"/>
    <w:rsid w:val="00C403E7"/>
    <w:rsid w:val="00C40673"/>
    <w:rsid w:val="00C446FD"/>
    <w:rsid w:val="00C50107"/>
    <w:rsid w:val="00C52BA8"/>
    <w:rsid w:val="00C53D17"/>
    <w:rsid w:val="00C653B2"/>
    <w:rsid w:val="00C67829"/>
    <w:rsid w:val="00C712BA"/>
    <w:rsid w:val="00C75CEC"/>
    <w:rsid w:val="00C77570"/>
    <w:rsid w:val="00C77857"/>
    <w:rsid w:val="00C77B03"/>
    <w:rsid w:val="00C803F0"/>
    <w:rsid w:val="00C81104"/>
    <w:rsid w:val="00C82E86"/>
    <w:rsid w:val="00C85C50"/>
    <w:rsid w:val="00C92216"/>
    <w:rsid w:val="00C92EF2"/>
    <w:rsid w:val="00C96411"/>
    <w:rsid w:val="00C97ECC"/>
    <w:rsid w:val="00CA0F75"/>
    <w:rsid w:val="00CA1F93"/>
    <w:rsid w:val="00CA5CAE"/>
    <w:rsid w:val="00CA688D"/>
    <w:rsid w:val="00CA74E4"/>
    <w:rsid w:val="00CB00F0"/>
    <w:rsid w:val="00CB0EDC"/>
    <w:rsid w:val="00CB1BF4"/>
    <w:rsid w:val="00CB1FCF"/>
    <w:rsid w:val="00CB21AF"/>
    <w:rsid w:val="00CB3435"/>
    <w:rsid w:val="00CB3438"/>
    <w:rsid w:val="00CB4064"/>
    <w:rsid w:val="00CB4817"/>
    <w:rsid w:val="00CB5671"/>
    <w:rsid w:val="00CB6AEB"/>
    <w:rsid w:val="00CB7462"/>
    <w:rsid w:val="00CC0827"/>
    <w:rsid w:val="00CC1DBE"/>
    <w:rsid w:val="00CC44E4"/>
    <w:rsid w:val="00CD0466"/>
    <w:rsid w:val="00CD0901"/>
    <w:rsid w:val="00CD0949"/>
    <w:rsid w:val="00CD36D0"/>
    <w:rsid w:val="00CD5A69"/>
    <w:rsid w:val="00CD6104"/>
    <w:rsid w:val="00CD6F77"/>
    <w:rsid w:val="00CE0F32"/>
    <w:rsid w:val="00CE1793"/>
    <w:rsid w:val="00CE1B46"/>
    <w:rsid w:val="00CE1D2A"/>
    <w:rsid w:val="00CE651C"/>
    <w:rsid w:val="00CF3D88"/>
    <w:rsid w:val="00CF456A"/>
    <w:rsid w:val="00CF4ABC"/>
    <w:rsid w:val="00CF58B7"/>
    <w:rsid w:val="00D234A6"/>
    <w:rsid w:val="00D24375"/>
    <w:rsid w:val="00D25739"/>
    <w:rsid w:val="00D3031B"/>
    <w:rsid w:val="00D312A1"/>
    <w:rsid w:val="00D322B9"/>
    <w:rsid w:val="00D34250"/>
    <w:rsid w:val="00D351C1"/>
    <w:rsid w:val="00D353A4"/>
    <w:rsid w:val="00D35EFB"/>
    <w:rsid w:val="00D41F2C"/>
    <w:rsid w:val="00D449B5"/>
    <w:rsid w:val="00D504B3"/>
    <w:rsid w:val="00D5077D"/>
    <w:rsid w:val="00D520A7"/>
    <w:rsid w:val="00D57721"/>
    <w:rsid w:val="00D61193"/>
    <w:rsid w:val="00D61BFC"/>
    <w:rsid w:val="00D642BA"/>
    <w:rsid w:val="00D64853"/>
    <w:rsid w:val="00D6755A"/>
    <w:rsid w:val="00D72A75"/>
    <w:rsid w:val="00D72AAB"/>
    <w:rsid w:val="00D7744A"/>
    <w:rsid w:val="00D84F30"/>
    <w:rsid w:val="00D86BF0"/>
    <w:rsid w:val="00D91589"/>
    <w:rsid w:val="00D9534F"/>
    <w:rsid w:val="00DA01CB"/>
    <w:rsid w:val="00DA0D2A"/>
    <w:rsid w:val="00DA476B"/>
    <w:rsid w:val="00DB0B35"/>
    <w:rsid w:val="00DB47FE"/>
    <w:rsid w:val="00DB6D1A"/>
    <w:rsid w:val="00DC0570"/>
    <w:rsid w:val="00DC72B8"/>
    <w:rsid w:val="00DD09D8"/>
    <w:rsid w:val="00DD0F2D"/>
    <w:rsid w:val="00DD1611"/>
    <w:rsid w:val="00DD1F43"/>
    <w:rsid w:val="00DD36B8"/>
    <w:rsid w:val="00DD5398"/>
    <w:rsid w:val="00DD551B"/>
    <w:rsid w:val="00DE1116"/>
    <w:rsid w:val="00DE33D0"/>
    <w:rsid w:val="00DE728A"/>
    <w:rsid w:val="00DF1576"/>
    <w:rsid w:val="00DF60B9"/>
    <w:rsid w:val="00E000C5"/>
    <w:rsid w:val="00E0638A"/>
    <w:rsid w:val="00E065B2"/>
    <w:rsid w:val="00E145AE"/>
    <w:rsid w:val="00E21490"/>
    <w:rsid w:val="00E22737"/>
    <w:rsid w:val="00E27E75"/>
    <w:rsid w:val="00E30D7F"/>
    <w:rsid w:val="00E33340"/>
    <w:rsid w:val="00E44923"/>
    <w:rsid w:val="00E46DB1"/>
    <w:rsid w:val="00E4729E"/>
    <w:rsid w:val="00E51920"/>
    <w:rsid w:val="00E53A4A"/>
    <w:rsid w:val="00E5615E"/>
    <w:rsid w:val="00E5758A"/>
    <w:rsid w:val="00E6116C"/>
    <w:rsid w:val="00E634B5"/>
    <w:rsid w:val="00E64120"/>
    <w:rsid w:val="00E660A1"/>
    <w:rsid w:val="00E660CB"/>
    <w:rsid w:val="00E8008B"/>
    <w:rsid w:val="00E834F2"/>
    <w:rsid w:val="00E91FFB"/>
    <w:rsid w:val="00E93D40"/>
    <w:rsid w:val="00E94B35"/>
    <w:rsid w:val="00E95412"/>
    <w:rsid w:val="00EA0767"/>
    <w:rsid w:val="00EA20EC"/>
    <w:rsid w:val="00EA2619"/>
    <w:rsid w:val="00EA3CCF"/>
    <w:rsid w:val="00EA436F"/>
    <w:rsid w:val="00EA6949"/>
    <w:rsid w:val="00EA6C04"/>
    <w:rsid w:val="00EB3BDE"/>
    <w:rsid w:val="00EB4D32"/>
    <w:rsid w:val="00EC03FA"/>
    <w:rsid w:val="00ED63D6"/>
    <w:rsid w:val="00ED7D03"/>
    <w:rsid w:val="00EE5D18"/>
    <w:rsid w:val="00EE6387"/>
    <w:rsid w:val="00EF5B9C"/>
    <w:rsid w:val="00F055F1"/>
    <w:rsid w:val="00F065B9"/>
    <w:rsid w:val="00F104D3"/>
    <w:rsid w:val="00F15595"/>
    <w:rsid w:val="00F213AA"/>
    <w:rsid w:val="00F2175D"/>
    <w:rsid w:val="00F21783"/>
    <w:rsid w:val="00F265A8"/>
    <w:rsid w:val="00F33965"/>
    <w:rsid w:val="00F34A1A"/>
    <w:rsid w:val="00F34E43"/>
    <w:rsid w:val="00F40DA6"/>
    <w:rsid w:val="00F44607"/>
    <w:rsid w:val="00F44E7C"/>
    <w:rsid w:val="00F46C18"/>
    <w:rsid w:val="00F50A3A"/>
    <w:rsid w:val="00F55204"/>
    <w:rsid w:val="00F610AF"/>
    <w:rsid w:val="00F6153A"/>
    <w:rsid w:val="00F62E20"/>
    <w:rsid w:val="00F63DC1"/>
    <w:rsid w:val="00F65375"/>
    <w:rsid w:val="00F662F4"/>
    <w:rsid w:val="00F67C74"/>
    <w:rsid w:val="00F7050E"/>
    <w:rsid w:val="00F73602"/>
    <w:rsid w:val="00F84A9B"/>
    <w:rsid w:val="00F85A62"/>
    <w:rsid w:val="00F90C02"/>
    <w:rsid w:val="00F91823"/>
    <w:rsid w:val="00F93988"/>
    <w:rsid w:val="00F96560"/>
    <w:rsid w:val="00F967F7"/>
    <w:rsid w:val="00F97060"/>
    <w:rsid w:val="00FA2A2F"/>
    <w:rsid w:val="00FA2C5A"/>
    <w:rsid w:val="00FA2C85"/>
    <w:rsid w:val="00FA4D12"/>
    <w:rsid w:val="00FA5CDF"/>
    <w:rsid w:val="00FB476C"/>
    <w:rsid w:val="00FB63A0"/>
    <w:rsid w:val="00FB683D"/>
    <w:rsid w:val="00FB70D5"/>
    <w:rsid w:val="00FC22E4"/>
    <w:rsid w:val="00FC2D11"/>
    <w:rsid w:val="00FC32E0"/>
    <w:rsid w:val="00FC6230"/>
    <w:rsid w:val="00FD22CB"/>
    <w:rsid w:val="00FD549F"/>
    <w:rsid w:val="00FE0DFC"/>
    <w:rsid w:val="00FE2417"/>
    <w:rsid w:val="00FE2FCE"/>
    <w:rsid w:val="00FE4DAF"/>
    <w:rsid w:val="00FE7994"/>
    <w:rsid w:val="00FF333C"/>
    <w:rsid w:val="00FF3434"/>
    <w:rsid w:val="00FF4771"/>
    <w:rsid w:val="00FF61E7"/>
    <w:rsid w:val="00FF638F"/>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2020-08-03T11:06:00Z</dcterms:created>
  <dcterms:modified xsi:type="dcterms:W3CDTF">2020-08-03T11:06:00Z</dcterms:modified>
</cp:coreProperties>
</file>