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0836B1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4C6E6C4A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705573">
        <w:t>7 April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092FC64F" w14:textId="4990EA8F" w:rsidR="009E1DB5" w:rsidRDefault="009E1DB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7BB11027" w14:textId="38F424AD" w:rsidR="003E12C9" w:rsidRPr="002D6B0B" w:rsidRDefault="003E12C9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2D6B0B">
        <w:rPr>
          <w:rFonts w:cs="Arial"/>
          <w:color w:val="000000" w:themeColor="text1"/>
          <w:sz w:val="22"/>
          <w:szCs w:val="22"/>
          <w:lang w:val="en-GB"/>
        </w:rPr>
        <w:t>Paul Chrisp</w:t>
      </w:r>
      <w:r w:rsidRPr="002D6B0B"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2712EC92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2F5C950B" w14:textId="015E53C8" w:rsidR="001350F7" w:rsidRPr="001350F7" w:rsidRDefault="001350F7" w:rsidP="00892B11">
      <w:pPr>
        <w:ind w:left="2160" w:hanging="2160"/>
        <w:rPr>
          <w:rFonts w:ascii="Arial" w:hAnsi="Arial" w:cs="Arial"/>
          <w:sz w:val="22"/>
          <w:szCs w:val="22"/>
        </w:rPr>
      </w:pPr>
      <w:r w:rsidRPr="001350F7">
        <w:rPr>
          <w:rFonts w:ascii="Arial" w:hAnsi="Arial" w:cs="Arial"/>
          <w:sz w:val="22"/>
          <w:szCs w:val="22"/>
        </w:rPr>
        <w:t>Judith Richardson</w:t>
      </w:r>
      <w:r w:rsidRPr="001350F7">
        <w:rPr>
          <w:rFonts w:ascii="Arial" w:hAnsi="Arial" w:cs="Arial"/>
          <w:sz w:val="22"/>
          <w:szCs w:val="22"/>
        </w:rPr>
        <w:tab/>
        <w:t>Acting Director – Health and Social Care</w:t>
      </w:r>
    </w:p>
    <w:p w14:paraId="5FBD0EC9" w14:textId="77777777" w:rsidR="007D0457" w:rsidRPr="002D6B0B" w:rsidRDefault="007D0457" w:rsidP="007D0457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2ED13A7" w14:textId="77777777" w:rsidR="007D0457" w:rsidRPr="002D6B0B" w:rsidRDefault="007D0457" w:rsidP="006F3BE2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In attendance</w:t>
      </w:r>
    </w:p>
    <w:p w14:paraId="505B088E" w14:textId="1A6992E1" w:rsidR="00B3136A" w:rsidRPr="00727C3D" w:rsidRDefault="00B3136A" w:rsidP="003033D5">
      <w:pPr>
        <w:pStyle w:val="NICEnormal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744033">
        <w:rPr>
          <w:rFonts w:cs="Arial"/>
          <w:color w:val="000000" w:themeColor="text1"/>
          <w:sz w:val="22"/>
          <w:szCs w:val="22"/>
          <w:lang w:val="en-GB"/>
        </w:rPr>
        <w:t>David Co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>ombs</w:t>
      </w:r>
      <w:r w:rsidRPr="00727C3D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3B613E7B" w14:textId="1AA48394" w:rsidR="00307868" w:rsidRDefault="00307868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727C3D">
        <w:rPr>
          <w:rFonts w:cs="Arial"/>
          <w:sz w:val="22"/>
          <w:szCs w:val="22"/>
          <w:lang w:val="en-GB"/>
        </w:rPr>
        <w:t>Nick Crabb</w:t>
      </w:r>
      <w:r w:rsidRPr="00727C3D">
        <w:rPr>
          <w:rFonts w:cs="Arial"/>
          <w:sz w:val="22"/>
          <w:szCs w:val="22"/>
          <w:lang w:val="en-GB"/>
        </w:rPr>
        <w:tab/>
      </w:r>
      <w:r w:rsidRPr="00727C3D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  <w:r w:rsidR="00682AB9">
        <w:rPr>
          <w:rFonts w:cs="Arial"/>
          <w:sz w:val="22"/>
          <w:szCs w:val="22"/>
          <w:lang w:val="en-GB"/>
        </w:rPr>
        <w:t>(items 1 to 7.6)</w:t>
      </w:r>
    </w:p>
    <w:p w14:paraId="1CE916EC" w14:textId="0B567A83" w:rsidR="006747FD" w:rsidRPr="00682AB9" w:rsidRDefault="006747FD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682AB9">
        <w:rPr>
          <w:rFonts w:ascii="Arial" w:hAnsi="Arial" w:cs="Arial"/>
          <w:sz w:val="22"/>
          <w:szCs w:val="22"/>
        </w:rPr>
        <w:t>Philip Hemmings</w:t>
      </w:r>
      <w:r w:rsidRPr="00682AB9">
        <w:rPr>
          <w:rFonts w:ascii="Arial" w:hAnsi="Arial" w:cs="Arial"/>
          <w:sz w:val="22"/>
          <w:szCs w:val="22"/>
        </w:rPr>
        <w:tab/>
        <w:t xml:space="preserve">Associate Director – </w:t>
      </w:r>
      <w:r w:rsidR="00EF49A6" w:rsidRPr="00682AB9">
        <w:rPr>
          <w:rFonts w:ascii="Arial" w:hAnsi="Arial" w:cs="Arial"/>
          <w:sz w:val="22"/>
          <w:szCs w:val="22"/>
        </w:rPr>
        <w:t xml:space="preserve">Editorial </w:t>
      </w:r>
      <w:r w:rsidR="00B37B02" w:rsidRPr="00682AB9">
        <w:rPr>
          <w:rFonts w:ascii="Arial" w:hAnsi="Arial" w:cs="Arial"/>
          <w:sz w:val="22"/>
          <w:szCs w:val="22"/>
        </w:rPr>
        <w:t xml:space="preserve">and </w:t>
      </w:r>
      <w:r w:rsidRPr="00682AB9">
        <w:rPr>
          <w:rFonts w:ascii="Arial" w:hAnsi="Arial" w:cs="Arial"/>
          <w:sz w:val="22"/>
          <w:szCs w:val="22"/>
        </w:rPr>
        <w:t>Publishing (item 7.1)</w:t>
      </w:r>
    </w:p>
    <w:p w14:paraId="3A866F6F" w14:textId="2D05DF6E" w:rsidR="00CB7F5A" w:rsidRDefault="00CB7F5A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Lee</w:t>
      </w:r>
      <w:r>
        <w:rPr>
          <w:rFonts w:ascii="Arial" w:hAnsi="Arial" w:cs="Arial"/>
          <w:sz w:val="22"/>
          <w:szCs w:val="22"/>
        </w:rPr>
        <w:tab/>
        <w:t>Senior Project Manager – NICE Scientific Advice (item 7.6)</w:t>
      </w:r>
    </w:p>
    <w:p w14:paraId="55D28994" w14:textId="6A8990D7" w:rsidR="004A323C" w:rsidRPr="00682AB9" w:rsidRDefault="004A323C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682AB9">
        <w:rPr>
          <w:rFonts w:ascii="Arial" w:hAnsi="Arial" w:cs="Arial"/>
          <w:sz w:val="22"/>
          <w:szCs w:val="22"/>
        </w:rPr>
        <w:t xml:space="preserve">Grace Marguerie </w:t>
      </w:r>
      <w:r w:rsidRPr="00682AB9">
        <w:rPr>
          <w:rFonts w:ascii="Arial" w:hAnsi="Arial" w:cs="Arial"/>
          <w:sz w:val="22"/>
          <w:szCs w:val="22"/>
        </w:rPr>
        <w:tab/>
        <w:t xml:space="preserve">Associate Director – Human Resources </w:t>
      </w:r>
    </w:p>
    <w:p w14:paraId="321D3389" w14:textId="77777777" w:rsidR="00CB7F5A" w:rsidRDefault="00CB7F5A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Pilar Pinilla-</w:t>
      </w:r>
    </w:p>
    <w:p w14:paraId="5E74505E" w14:textId="4F27F2B3" w:rsidR="00CB7F5A" w:rsidRDefault="00CB7F5A" w:rsidP="00F46C18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Dominguez</w:t>
      </w:r>
      <w:r>
        <w:rPr>
          <w:rFonts w:ascii="Arial" w:hAnsi="Arial" w:cs="Arial"/>
          <w:sz w:val="22"/>
          <w:szCs w:val="22"/>
        </w:rPr>
        <w:tab/>
        <w:t>Principal Scientific Adviser – NICE Scientific Advice (item 7.6)</w:t>
      </w:r>
    </w:p>
    <w:p w14:paraId="13AD2B81" w14:textId="5559508F" w:rsidR="007B43A1" w:rsidRPr="00682AB9" w:rsidRDefault="007B43A1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682AB9">
        <w:rPr>
          <w:rFonts w:ascii="Arial" w:hAnsi="Arial" w:cs="Arial"/>
          <w:sz w:val="22"/>
          <w:szCs w:val="22"/>
        </w:rPr>
        <w:t>Elaine Repton</w:t>
      </w:r>
      <w:r w:rsidRPr="00682AB9">
        <w:rPr>
          <w:rFonts w:ascii="Arial" w:hAnsi="Arial" w:cs="Arial"/>
          <w:sz w:val="22"/>
          <w:szCs w:val="22"/>
        </w:rPr>
        <w:tab/>
        <w:t>Corporate Governance and Risk Manager (items 7.2 to 7.4)</w:t>
      </w:r>
    </w:p>
    <w:p w14:paraId="6C4BB8CA" w14:textId="62DB5733" w:rsidR="001B2A26" w:rsidRPr="001350F7" w:rsidRDefault="001350F7" w:rsidP="00F46C18">
      <w:pPr>
        <w:ind w:left="2160" w:hanging="2160"/>
        <w:rPr>
          <w:rFonts w:ascii="Arial" w:hAnsi="Arial" w:cs="Arial"/>
          <w:sz w:val="22"/>
          <w:szCs w:val="22"/>
        </w:rPr>
      </w:pPr>
      <w:r w:rsidRPr="001350F7">
        <w:rPr>
          <w:rFonts w:ascii="Arial" w:hAnsi="Arial" w:cs="Arial"/>
          <w:sz w:val="22"/>
          <w:szCs w:val="22"/>
        </w:rPr>
        <w:t>Mark Salmon</w:t>
      </w:r>
      <w:r w:rsidRPr="001350F7">
        <w:rPr>
          <w:rFonts w:ascii="Arial" w:hAnsi="Arial" w:cs="Arial"/>
          <w:sz w:val="22"/>
          <w:szCs w:val="22"/>
        </w:rPr>
        <w:tab/>
        <w:t xml:space="preserve">Programme Director and Deputy Evidence Resources Director </w:t>
      </w:r>
    </w:p>
    <w:p w14:paraId="433C3555" w14:textId="77777777" w:rsidR="001350F7" w:rsidRDefault="001350F7" w:rsidP="00F46C18">
      <w:pPr>
        <w:ind w:left="2160" w:hanging="2160"/>
      </w:pPr>
    </w:p>
    <w:p w14:paraId="69758137" w14:textId="7777777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Default="006F3BE2" w:rsidP="006F3BE2"/>
    <w:p w14:paraId="649B95F6" w14:textId="3E527794" w:rsidR="006F3BE2" w:rsidRDefault="009A5473" w:rsidP="00FF68A5">
      <w:pPr>
        <w:pStyle w:val="Numberedpara"/>
      </w:pPr>
      <w:r>
        <w:t xml:space="preserve">Apologies were received from </w:t>
      </w:r>
      <w:r w:rsidR="001350F7">
        <w:t xml:space="preserve">Alexia Tonnel </w:t>
      </w:r>
      <w:r w:rsidR="004A323C">
        <w:t xml:space="preserve">and Catherine Wilkinson </w:t>
      </w:r>
      <w:r w:rsidR="001350F7">
        <w:t>who w</w:t>
      </w:r>
      <w:r w:rsidR="004A323C">
        <w:t>ere</w:t>
      </w:r>
      <w:r w:rsidR="001350F7">
        <w:t xml:space="preserve"> represented by Mark Salmon</w:t>
      </w:r>
      <w:r w:rsidR="004A323C">
        <w:t xml:space="preserve"> and Grace Marguerie respectively</w:t>
      </w:r>
      <w:r w:rsidR="001350F7">
        <w:t>.</w:t>
      </w:r>
      <w:r w:rsidR="00BE683F">
        <w:t xml:space="preserve">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31BB7F" w14:textId="77777777" w:rsidR="006F3BE2" w:rsidRDefault="006F3BE2" w:rsidP="006F3BE2">
      <w:pPr>
        <w:pStyle w:val="Heading2"/>
      </w:pPr>
      <w:r>
        <w:t>Freedom of Information and publication scheme (item 2)</w:t>
      </w:r>
    </w:p>
    <w:p w14:paraId="1CF2F2EC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2F5DFDE9" w14:textId="21B02A3A" w:rsidR="006F3BE2" w:rsidRDefault="006F3BE2" w:rsidP="00FF68A5">
      <w:pPr>
        <w:pStyle w:val="Numberedpara"/>
      </w:pPr>
      <w:r>
        <w:t>The final minutes will be made available on the NICE website</w:t>
      </w:r>
      <w:r w:rsidR="007F361A">
        <w:t xml:space="preserve"> subject to the redaction of </w:t>
      </w:r>
      <w:r w:rsidR="003503B7">
        <w:t xml:space="preserve">any </w:t>
      </w:r>
      <w:r w:rsidR="007F361A">
        <w:t>exempt material.</w:t>
      </w:r>
      <w:r>
        <w:t xml:space="preserve"> </w:t>
      </w:r>
    </w:p>
    <w:p w14:paraId="43E293A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77777777" w:rsidR="006F3BE2" w:rsidRDefault="006F3BE2" w:rsidP="006F3BE2">
      <w:pPr>
        <w:pStyle w:val="Heading2"/>
      </w:pPr>
      <w:r>
        <w:t>Declarations of interest (item 3)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716144E9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EEE96A1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157615" w14:textId="77777777" w:rsidR="006F3BE2" w:rsidRDefault="006F3BE2" w:rsidP="006F3BE2">
      <w:pPr>
        <w:pStyle w:val="Heading2"/>
      </w:pPr>
      <w:r>
        <w:t>Notes of the previous meeting (item 4)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6748E2" w14:textId="638954F6" w:rsidR="003503B7" w:rsidRDefault="006F3BE2" w:rsidP="00FF68A5">
      <w:pPr>
        <w:pStyle w:val="Numberedpara"/>
      </w:pPr>
      <w:r>
        <w:t xml:space="preserve">The minutes of the meeting held on </w:t>
      </w:r>
      <w:r w:rsidR="001350F7">
        <w:t>31</w:t>
      </w:r>
      <w:r w:rsidR="001B2A26">
        <w:t xml:space="preserve"> </w:t>
      </w:r>
      <w:r w:rsidR="00BF162C">
        <w:t>March</w:t>
      </w:r>
      <w:r w:rsidR="005F5EF6">
        <w:t xml:space="preserve"> 2020</w:t>
      </w:r>
      <w:r>
        <w:t xml:space="preserve"> were agreed</w:t>
      </w:r>
      <w:r w:rsidR="003503B7">
        <w:t xml:space="preserve"> as a correct record</w:t>
      </w:r>
      <w:r w:rsidR="00665542">
        <w:t xml:space="preserve">. </w:t>
      </w:r>
    </w:p>
    <w:p w14:paraId="0E130F56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6E8FA985" w:rsidR="006F3BE2" w:rsidRDefault="006F3BE2" w:rsidP="003503B7">
      <w:pPr>
        <w:pStyle w:val="Heading2"/>
      </w:pPr>
      <w:r>
        <w:t>Matters arising (item 5)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6C259160" w:rsidR="006F3BE2" w:rsidRDefault="006F3BE2" w:rsidP="00FF68A5">
      <w:pPr>
        <w:pStyle w:val="Numberedpara"/>
      </w:pPr>
      <w:r>
        <w:t xml:space="preserve">The actions from the meeting held on </w:t>
      </w:r>
      <w:r w:rsidR="001350F7">
        <w:t xml:space="preserve">31 </w:t>
      </w:r>
      <w:r w:rsidR="00BF162C">
        <w:t>March</w:t>
      </w:r>
      <w:r w:rsidR="00457915">
        <w:t xml:space="preserve"> 2020</w:t>
      </w:r>
      <w:r>
        <w:t xml:space="preserve"> were noted as complete or in hand. </w:t>
      </w:r>
    </w:p>
    <w:p w14:paraId="7846F660" w14:textId="77777777" w:rsidR="00E045E1" w:rsidRDefault="00E045E1" w:rsidP="00E045E1">
      <w:pPr>
        <w:pStyle w:val="Numberedpara"/>
        <w:numPr>
          <w:ilvl w:val="0"/>
          <w:numId w:val="0"/>
        </w:numPr>
        <w:ind w:left="357"/>
      </w:pPr>
    </w:p>
    <w:p w14:paraId="5D0D8EA1" w14:textId="479CC730" w:rsidR="00E045E1" w:rsidRDefault="00E045E1" w:rsidP="00FF68A5">
      <w:pPr>
        <w:pStyle w:val="Numberedpara"/>
      </w:pPr>
      <w:r>
        <w:t xml:space="preserve">Judith Richardson stated that she had discussed with Victoria Thomas, Head of Public Involvement, whether </w:t>
      </w:r>
      <w:r w:rsidR="00A946A9">
        <w:t>someone from the public involvement programme should in future attend</w:t>
      </w:r>
      <w:r>
        <w:t xml:space="preserve"> Guidance Executive (GE). They both agreed that given the </w:t>
      </w:r>
      <w:r w:rsidR="00B465E1">
        <w:t>opportunities</w:t>
      </w:r>
      <w:r>
        <w:t xml:space="preserve"> for public and patient </w:t>
      </w:r>
      <w:r w:rsidR="00B465E1">
        <w:t>involvement</w:t>
      </w:r>
      <w:r>
        <w:t xml:space="preserve"> throughout the guidance development process this would not add value. SMT noted that the terms of reference for GE and SMT had otherwise been update</w:t>
      </w:r>
      <w:r w:rsidR="00087ABD">
        <w:t xml:space="preserve">d and approved by Gill Leng. The requirement for a </w:t>
      </w:r>
      <w:r w:rsidR="00B465E1">
        <w:t>financially</w:t>
      </w:r>
      <w:r w:rsidR="00087ABD">
        <w:t xml:space="preserve"> qualified attendee at GE would be covered by the existing </w:t>
      </w:r>
      <w:r w:rsidR="00B465E1">
        <w:t>statement</w:t>
      </w:r>
      <w:r w:rsidR="00087ABD">
        <w:t xml:space="preserve"> in the terms of reference that </w:t>
      </w:r>
      <w:r w:rsidR="00B465E1">
        <w:t>deputies</w:t>
      </w:r>
      <w:r w:rsidR="00087ABD">
        <w:t xml:space="preserve"> are chosen to reflect the areas of expertise brought by the core membe</w:t>
      </w:r>
      <w:r w:rsidR="003B4207">
        <w:t>r.</w:t>
      </w:r>
    </w:p>
    <w:p w14:paraId="0B4D67B6" w14:textId="385DB83F" w:rsidR="00CA7DB0" w:rsidRDefault="00CA7DB0" w:rsidP="00CA7DB0">
      <w:pPr>
        <w:pStyle w:val="SMTActions"/>
      </w:pPr>
    </w:p>
    <w:p w14:paraId="0F45C691" w14:textId="27898C31" w:rsidR="003D4FE4" w:rsidRDefault="003D4FE4" w:rsidP="003D4FE4">
      <w:pPr>
        <w:pStyle w:val="Heading2"/>
      </w:pPr>
      <w:r>
        <w:t>Coronavirus (item 6)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1BE22F87" w14:textId="0FB720F5" w:rsidR="0070531C" w:rsidRDefault="00317697" w:rsidP="00812C36">
      <w:pPr>
        <w:pStyle w:val="Numberedpara"/>
      </w:pPr>
      <w:r>
        <w:t>SMT reviewed</w:t>
      </w:r>
      <w:r w:rsidR="00E12B41">
        <w:t xml:space="preserve"> </w:t>
      </w:r>
      <w:r>
        <w:t xml:space="preserve">the actions from the daily </w:t>
      </w:r>
      <w:r w:rsidR="007A5086">
        <w:t xml:space="preserve">gold group </w:t>
      </w:r>
      <w:r>
        <w:t>meetings</w:t>
      </w:r>
      <w:r w:rsidR="00E12B41">
        <w:t xml:space="preserve"> and noted which were complete or in hand</w:t>
      </w:r>
      <w:r w:rsidR="00812C36">
        <w:t xml:space="preserve">. </w:t>
      </w:r>
      <w:r w:rsidR="00E12B41">
        <w:t xml:space="preserve">SMT reviewed and confirmed the </w:t>
      </w:r>
      <w:r w:rsidR="0070531C">
        <w:t xml:space="preserve">following </w:t>
      </w:r>
      <w:r w:rsidR="00812C36">
        <w:t xml:space="preserve">decisions set out in the </w:t>
      </w:r>
      <w:r w:rsidR="00274980">
        <w:t xml:space="preserve">decision </w:t>
      </w:r>
      <w:r w:rsidR="00812C36">
        <w:t>log</w:t>
      </w:r>
      <w:r w:rsidR="0070531C">
        <w:t>:</w:t>
      </w:r>
    </w:p>
    <w:p w14:paraId="05459B08" w14:textId="6634FF22" w:rsidR="004A323C" w:rsidRDefault="003B4207" w:rsidP="004A323C">
      <w:pPr>
        <w:pStyle w:val="Numberedpara"/>
        <w:numPr>
          <w:ilvl w:val="0"/>
          <w:numId w:val="32"/>
        </w:numPr>
      </w:pPr>
      <w:r>
        <w:t>The new staff l</w:t>
      </w:r>
      <w:r w:rsidR="004A323C">
        <w:t xml:space="preserve">aptops </w:t>
      </w:r>
      <w:r>
        <w:t xml:space="preserve">are </w:t>
      </w:r>
      <w:r w:rsidR="004A323C">
        <w:t xml:space="preserve">to be delivered to the Manchester office. A small number of staff </w:t>
      </w:r>
      <w:r>
        <w:t xml:space="preserve">will </w:t>
      </w:r>
      <w:r w:rsidR="004A323C">
        <w:t xml:space="preserve">attend </w:t>
      </w:r>
      <w:r>
        <w:t xml:space="preserve">the </w:t>
      </w:r>
      <w:r w:rsidR="004A323C">
        <w:t xml:space="preserve">office to take delivery while observing social distancing, with the precise logistical arrangements to be </w:t>
      </w:r>
      <w:r w:rsidR="0043193C">
        <w:t>worked out</w:t>
      </w:r>
      <w:r w:rsidR="004A323C">
        <w:t xml:space="preserve">. </w:t>
      </w:r>
    </w:p>
    <w:p w14:paraId="5A5925A5" w14:textId="6FCA26E2" w:rsidR="004A323C" w:rsidRDefault="004A323C" w:rsidP="004A323C">
      <w:pPr>
        <w:pStyle w:val="Numberedpara"/>
        <w:numPr>
          <w:ilvl w:val="0"/>
          <w:numId w:val="32"/>
        </w:numPr>
      </w:pPr>
      <w:r>
        <w:t>Information for the public (IFPs) will not be produced</w:t>
      </w:r>
      <w:r w:rsidR="003B4207">
        <w:t xml:space="preserve"> for the COVID-19 rapid guidelines</w:t>
      </w:r>
      <w:r>
        <w:t>. Instead</w:t>
      </w:r>
      <w:r w:rsidR="003B4207">
        <w:t xml:space="preserve">, the approach is to </w:t>
      </w:r>
      <w:r>
        <w:t xml:space="preserve">seek to reference </w:t>
      </w:r>
      <w:r w:rsidR="003B4207">
        <w:t xml:space="preserve">the </w:t>
      </w:r>
      <w:r>
        <w:t xml:space="preserve">guidelines on </w:t>
      </w:r>
      <w:r w:rsidR="0043193C">
        <w:t>www.</w:t>
      </w:r>
      <w:r>
        <w:t>nhs.uk as a means of providing patient facing version</w:t>
      </w:r>
      <w:r w:rsidR="003B4207">
        <w:t>s</w:t>
      </w:r>
      <w:r>
        <w:t xml:space="preserve"> of the guidance</w:t>
      </w:r>
      <w:r w:rsidR="00EB3BD6">
        <w:t>.</w:t>
      </w:r>
    </w:p>
    <w:p w14:paraId="29061D6F" w14:textId="6841B4DF" w:rsidR="004A323C" w:rsidRDefault="004A323C" w:rsidP="004A323C">
      <w:pPr>
        <w:pStyle w:val="Numberedpara"/>
        <w:numPr>
          <w:ilvl w:val="0"/>
          <w:numId w:val="32"/>
        </w:numPr>
      </w:pPr>
      <w:r>
        <w:t xml:space="preserve">Any publications over and above those presented to the Board as the outcome of the </w:t>
      </w:r>
      <w:r w:rsidR="00A946A9">
        <w:t xml:space="preserve">guidance </w:t>
      </w:r>
      <w:r>
        <w:t>prioritisation exercise should be agreed by G</w:t>
      </w:r>
      <w:r w:rsidR="003B4207">
        <w:t xml:space="preserve">E </w:t>
      </w:r>
      <w:r w:rsidR="001A587B">
        <w:t xml:space="preserve">on a case by case basis </w:t>
      </w:r>
      <w:r>
        <w:t xml:space="preserve">along with the rationale </w:t>
      </w:r>
      <w:r w:rsidR="001A587B">
        <w:t xml:space="preserve">of </w:t>
      </w:r>
      <w:r>
        <w:t>why they meet the criteria for publication</w:t>
      </w:r>
      <w:r w:rsidR="00EB3BD6">
        <w:t>.</w:t>
      </w:r>
    </w:p>
    <w:p w14:paraId="6AA3F3C7" w14:textId="54CC05FD" w:rsidR="004A323C" w:rsidRDefault="003B4207" w:rsidP="003B4207">
      <w:pPr>
        <w:pStyle w:val="Numberedpara"/>
        <w:numPr>
          <w:ilvl w:val="0"/>
          <w:numId w:val="32"/>
        </w:numPr>
      </w:pPr>
      <w:r>
        <w:t>NICE will o</w:t>
      </w:r>
      <w:r w:rsidR="004A323C">
        <w:t xml:space="preserve">nly endorse COVID-19 resources that are based on NICE's guidance and (1) where this would add value beyond what is already on the NHS website, and (2) </w:t>
      </w:r>
      <w:r>
        <w:t xml:space="preserve">where </w:t>
      </w:r>
      <w:r w:rsidR="004A323C">
        <w:t xml:space="preserve">the 3rd party can guarantee to keep the product up to date </w:t>
      </w:r>
      <w:r>
        <w:t>–</w:t>
      </w:r>
      <w:r w:rsidR="004A323C">
        <w:t xml:space="preserve"> if it is</w:t>
      </w:r>
      <w:r w:rsidR="00EB3BD6">
        <w:t xml:space="preserve"> not </w:t>
      </w:r>
      <w:r w:rsidR="004A323C">
        <w:t xml:space="preserve">kept up to date then NICE reserves the right to remove the endorsement. Co-badging </w:t>
      </w:r>
      <w:r w:rsidR="00EB3BD6">
        <w:t xml:space="preserve">will only be appropriate </w:t>
      </w:r>
      <w:r w:rsidR="004A323C">
        <w:t>where NICE has been involved in developing the product.</w:t>
      </w:r>
    </w:p>
    <w:p w14:paraId="7926CE4D" w14:textId="18AF84AF" w:rsidR="0070531C" w:rsidRDefault="0045646C" w:rsidP="004A323C">
      <w:pPr>
        <w:pStyle w:val="Numberedpara"/>
        <w:numPr>
          <w:ilvl w:val="0"/>
          <w:numId w:val="32"/>
        </w:numPr>
      </w:pPr>
      <w:r>
        <w:t>The p</w:t>
      </w:r>
      <w:r w:rsidR="004A323C">
        <w:t>eriod for taking TOIL</w:t>
      </w:r>
      <w:r>
        <w:t xml:space="preserve"> is </w:t>
      </w:r>
      <w:r w:rsidR="004A323C">
        <w:t>to be extended to 6 months</w:t>
      </w:r>
      <w:r w:rsidR="00EB3BD6">
        <w:t>.</w:t>
      </w:r>
    </w:p>
    <w:p w14:paraId="542095F2" w14:textId="3BDAF84A" w:rsidR="00812C36" w:rsidRDefault="00812C36" w:rsidP="001B7C63">
      <w:pPr>
        <w:pStyle w:val="Numberedpara"/>
        <w:numPr>
          <w:ilvl w:val="0"/>
          <w:numId w:val="0"/>
        </w:numPr>
        <w:ind w:left="357"/>
      </w:pPr>
    </w:p>
    <w:p w14:paraId="5A741310" w14:textId="5671CE8B" w:rsidR="001B7C63" w:rsidRDefault="001B7C63" w:rsidP="006747FD">
      <w:pPr>
        <w:pStyle w:val="Numberedpara"/>
      </w:pPr>
      <w:r>
        <w:t>Meindert Boysen presented the updated coronavirus response plan</w:t>
      </w:r>
      <w:r w:rsidR="007B43A1">
        <w:t xml:space="preserve"> and terms of </w:t>
      </w:r>
      <w:r w:rsidR="006747FD">
        <w:t>reference</w:t>
      </w:r>
      <w:r w:rsidR="007B43A1">
        <w:t xml:space="preserve"> for the coronavirus response group (CRG).</w:t>
      </w:r>
    </w:p>
    <w:p w14:paraId="670D8DC6" w14:textId="77777777" w:rsidR="0045646C" w:rsidRDefault="0045646C" w:rsidP="0045646C">
      <w:pPr>
        <w:pStyle w:val="Numberedpara"/>
        <w:numPr>
          <w:ilvl w:val="0"/>
          <w:numId w:val="0"/>
        </w:numPr>
        <w:ind w:left="357"/>
      </w:pPr>
    </w:p>
    <w:p w14:paraId="3491BFA4" w14:textId="00FAEE68" w:rsidR="0045646C" w:rsidRDefault="0045646C" w:rsidP="006747FD">
      <w:pPr>
        <w:pStyle w:val="Numberedpara"/>
      </w:pPr>
      <w:r>
        <w:t xml:space="preserve">SMT reviewed the response plan and agreed that it should </w:t>
      </w:r>
      <w:r w:rsidR="001A587B">
        <w:t xml:space="preserve">be </w:t>
      </w:r>
      <w:r w:rsidR="008338EB">
        <w:t xml:space="preserve">amended to </w:t>
      </w:r>
      <w:r w:rsidR="00B465E1">
        <w:t>reflect</w:t>
      </w:r>
      <w:r w:rsidR="008338EB">
        <w:t xml:space="preserve"> it is </w:t>
      </w:r>
      <w:r w:rsidR="001A587B">
        <w:t>a</w:t>
      </w:r>
      <w:r w:rsidR="008338EB">
        <w:t xml:space="preserve"> response plan for the current pandemic</w:t>
      </w:r>
      <w:r w:rsidR="001A587B">
        <w:t xml:space="preserve"> </w:t>
      </w:r>
      <w:r w:rsidR="008338EB">
        <w:t>that is now underway</w:t>
      </w:r>
      <w:r w:rsidR="001A587B">
        <w:t xml:space="preserve"> rather than a generic document for future use</w:t>
      </w:r>
      <w:r w:rsidR="008338EB">
        <w:t xml:space="preserve">. SMT agreed </w:t>
      </w:r>
      <w:proofErr w:type="gramStart"/>
      <w:r w:rsidR="008338EB">
        <w:t>a number of</w:t>
      </w:r>
      <w:proofErr w:type="gramEnd"/>
      <w:r w:rsidR="008338EB">
        <w:t xml:space="preserve"> amendments including:</w:t>
      </w:r>
    </w:p>
    <w:p w14:paraId="77385B43" w14:textId="7D02E0B5" w:rsidR="00BF2CE5" w:rsidRDefault="00BF2CE5" w:rsidP="00BF2CE5">
      <w:pPr>
        <w:pStyle w:val="Numberedpara"/>
        <w:numPr>
          <w:ilvl w:val="1"/>
          <w:numId w:val="21"/>
        </w:numPr>
      </w:pPr>
      <w:r>
        <w:t xml:space="preserve">To further </w:t>
      </w:r>
      <w:r w:rsidR="00B465E1">
        <w:t>outline</w:t>
      </w:r>
      <w:r>
        <w:t xml:space="preserve"> the Business Planning and Resources </w:t>
      </w:r>
      <w:r w:rsidR="00A94B77">
        <w:t>Director’s</w:t>
      </w:r>
      <w:r>
        <w:t xml:space="preserve"> key responsibilities in relation to </w:t>
      </w:r>
      <w:r w:rsidR="00A94B77">
        <w:t>maintaining</w:t>
      </w:r>
      <w:r>
        <w:t xml:space="preserve"> the finance function.</w:t>
      </w:r>
    </w:p>
    <w:p w14:paraId="11FBEDC5" w14:textId="7F842FF3" w:rsidR="00BF2CE5" w:rsidRDefault="00BF2CE5" w:rsidP="00BF2CE5">
      <w:pPr>
        <w:pStyle w:val="Numberedpara"/>
        <w:numPr>
          <w:ilvl w:val="1"/>
          <w:numId w:val="21"/>
        </w:numPr>
      </w:pPr>
      <w:r>
        <w:t xml:space="preserve">To expand the information on the </w:t>
      </w:r>
      <w:r w:rsidR="00A94B77">
        <w:t>workforce</w:t>
      </w:r>
      <w:r>
        <w:t xml:space="preserve"> </w:t>
      </w:r>
      <w:r w:rsidR="00A94B77">
        <w:t>implications</w:t>
      </w:r>
      <w:r>
        <w:t xml:space="preserve"> of </w:t>
      </w:r>
      <w:r w:rsidR="00A94B77">
        <w:t>moving</w:t>
      </w:r>
      <w:r>
        <w:t xml:space="preserve"> to full home working, and </w:t>
      </w:r>
      <w:r w:rsidR="00A94B77">
        <w:t>to</w:t>
      </w:r>
      <w:r>
        <w:t xml:space="preserve"> note that the health and safety group will develop guidance on the rare instances </w:t>
      </w:r>
      <w:r w:rsidR="0043193C">
        <w:t>when</w:t>
      </w:r>
      <w:r>
        <w:t xml:space="preserve"> staff attend the offices during the closures.</w:t>
      </w:r>
    </w:p>
    <w:p w14:paraId="60F7FDBF" w14:textId="69BB8AB5" w:rsidR="00F221AD" w:rsidRDefault="00BF2CE5" w:rsidP="00F221AD">
      <w:pPr>
        <w:pStyle w:val="Numberedpara"/>
        <w:numPr>
          <w:ilvl w:val="1"/>
          <w:numId w:val="21"/>
        </w:numPr>
      </w:pPr>
      <w:r>
        <w:t xml:space="preserve">To note the </w:t>
      </w:r>
      <w:r w:rsidR="00F221AD">
        <w:t>work required to develop a plan for resuming ‘business as usual’ when the pandemic eases.</w:t>
      </w:r>
    </w:p>
    <w:p w14:paraId="3B1EFDF5" w14:textId="77777777" w:rsidR="0043193C" w:rsidRDefault="0043193C" w:rsidP="0043193C">
      <w:pPr>
        <w:pStyle w:val="Numberedpara"/>
        <w:numPr>
          <w:ilvl w:val="1"/>
          <w:numId w:val="21"/>
        </w:numPr>
      </w:pPr>
      <w:r>
        <w:t xml:space="preserve">To clarify the relationship between, and respective roles of, SMT (gold group) and CRG (silver group). </w:t>
      </w:r>
      <w:proofErr w:type="gramStart"/>
      <w:r>
        <w:t>In particular that</w:t>
      </w:r>
      <w:proofErr w:type="gramEnd"/>
      <w:r>
        <w:t xml:space="preserve"> the approval of communications sits with SMT, rather than the CRG; decisions on the prioritisation of work programmes sit with SMT; and the CRG will collect data to inform decisions by SMT on resource planning. </w:t>
      </w:r>
    </w:p>
    <w:p w14:paraId="5AC52EFF" w14:textId="77777777" w:rsidR="00F221AD" w:rsidRDefault="00F221AD" w:rsidP="00F221AD">
      <w:pPr>
        <w:pStyle w:val="Numberedpara"/>
        <w:numPr>
          <w:ilvl w:val="0"/>
          <w:numId w:val="0"/>
        </w:numPr>
        <w:ind w:left="938"/>
      </w:pPr>
    </w:p>
    <w:p w14:paraId="70A93B3C" w14:textId="5A247A5D" w:rsidR="00F221AD" w:rsidRDefault="00F221AD" w:rsidP="00F221AD">
      <w:pPr>
        <w:pStyle w:val="Numberedpara"/>
      </w:pPr>
      <w:r>
        <w:t xml:space="preserve">It was agreed that the </w:t>
      </w:r>
      <w:r w:rsidR="00825A03">
        <w:t xml:space="preserve">CRG’s </w:t>
      </w:r>
      <w:r>
        <w:t xml:space="preserve">terms of reference should be amended to reflect the above </w:t>
      </w:r>
      <w:r w:rsidR="0043193C">
        <w:t>point</w:t>
      </w:r>
      <w:r>
        <w:t xml:space="preserve">s, </w:t>
      </w:r>
      <w:proofErr w:type="gramStart"/>
      <w:r>
        <w:t xml:space="preserve">and </w:t>
      </w:r>
      <w:r w:rsidR="00A94B77">
        <w:t>also</w:t>
      </w:r>
      <w:proofErr w:type="gramEnd"/>
      <w:r w:rsidR="00A94B77">
        <w:t xml:space="preserve"> to </w:t>
      </w:r>
      <w:r>
        <w:t xml:space="preserve">note that </w:t>
      </w:r>
      <w:r w:rsidR="00825A03">
        <w:t xml:space="preserve">the group’s primary aim is to maintain business continuity and ensure delivery of </w:t>
      </w:r>
      <w:r w:rsidR="00A94B77">
        <w:t>therapeutically</w:t>
      </w:r>
      <w:r w:rsidR="00825A03">
        <w:t xml:space="preserve"> critical guidance. Its responsibility for implementing the </w:t>
      </w:r>
      <w:r w:rsidR="00A94B77">
        <w:t>decisions</w:t>
      </w:r>
      <w:r w:rsidR="00825A03">
        <w:t xml:space="preserve"> and actions from </w:t>
      </w:r>
      <w:r w:rsidR="00B27D91">
        <w:t xml:space="preserve">the </w:t>
      </w:r>
      <w:r w:rsidR="00825A03">
        <w:t>gold group should also be noted</w:t>
      </w:r>
      <w:r w:rsidR="0043193C">
        <w:t xml:space="preserve"> in the terms of reference</w:t>
      </w:r>
      <w:r w:rsidR="00825A03">
        <w:t xml:space="preserve">. </w:t>
      </w:r>
    </w:p>
    <w:p w14:paraId="214667DC" w14:textId="77777777" w:rsidR="00601420" w:rsidRDefault="00601420" w:rsidP="00601420">
      <w:pPr>
        <w:pStyle w:val="Numberedpara"/>
        <w:numPr>
          <w:ilvl w:val="0"/>
          <w:numId w:val="0"/>
        </w:numPr>
        <w:ind w:left="357"/>
      </w:pPr>
    </w:p>
    <w:p w14:paraId="07C96E82" w14:textId="407E0044" w:rsidR="00601420" w:rsidRDefault="00601420" w:rsidP="00F221AD">
      <w:pPr>
        <w:pStyle w:val="Numberedpara"/>
      </w:pPr>
      <w:r>
        <w:t xml:space="preserve">SMT </w:t>
      </w:r>
      <w:r w:rsidR="0043193C">
        <w:t xml:space="preserve">agreed that </w:t>
      </w:r>
      <w:r w:rsidR="00A94B77">
        <w:t>Meindert</w:t>
      </w:r>
      <w:r>
        <w:t xml:space="preserve"> Boysen and Judith Richardson</w:t>
      </w:r>
      <w:r w:rsidR="0043193C">
        <w:t>, as chair and deputy chair of the CRG,</w:t>
      </w:r>
      <w:r>
        <w:t xml:space="preserve"> should review </w:t>
      </w:r>
      <w:r w:rsidR="0043193C">
        <w:t>the group’s membership</w:t>
      </w:r>
      <w:r w:rsidR="00104BD6">
        <w:t xml:space="preserve">. </w:t>
      </w:r>
      <w:r>
        <w:t>It was agreed that Guy Butler</w:t>
      </w:r>
      <w:r w:rsidR="00104BD6">
        <w:t>, Programme Director, Transformation,</w:t>
      </w:r>
      <w:r w:rsidR="004136FF">
        <w:t xml:space="preserve"> should be invited when appropriate to the agenda </w:t>
      </w:r>
      <w:r>
        <w:t xml:space="preserve">to help ensure </w:t>
      </w:r>
      <w:r w:rsidR="00A94B77">
        <w:t>alignment</w:t>
      </w:r>
      <w:r>
        <w:t xml:space="preserve"> with the NICE Connect </w:t>
      </w:r>
      <w:r w:rsidR="00A94B77">
        <w:t>reprioritisation</w:t>
      </w:r>
      <w:r>
        <w:t xml:space="preserve">. It was agreed that the CRG should also be mindful of the need to involve the trade union in </w:t>
      </w:r>
      <w:r w:rsidR="00A94B77">
        <w:t>discussions</w:t>
      </w:r>
      <w:r>
        <w:t xml:space="preserve"> relating to </w:t>
      </w:r>
      <w:r w:rsidR="00A94B77">
        <w:t>workforce</w:t>
      </w:r>
      <w:r>
        <w:t xml:space="preserve"> matters.</w:t>
      </w:r>
    </w:p>
    <w:p w14:paraId="14CAFD9B" w14:textId="77777777" w:rsidR="00601420" w:rsidRDefault="00601420" w:rsidP="00601420">
      <w:pPr>
        <w:pStyle w:val="ListParagraph"/>
      </w:pPr>
    </w:p>
    <w:p w14:paraId="6C68B8B6" w14:textId="77777777" w:rsidR="00104BD6" w:rsidRDefault="00104BD6" w:rsidP="00C47774">
      <w:pPr>
        <w:pStyle w:val="Numberedpara"/>
        <w:numPr>
          <w:ilvl w:val="0"/>
          <w:numId w:val="0"/>
        </w:numPr>
        <w:ind w:left="357"/>
      </w:pPr>
    </w:p>
    <w:p w14:paraId="165C100B" w14:textId="4CC2E8C5" w:rsidR="001B7C63" w:rsidRDefault="00601420" w:rsidP="00104BD6">
      <w:pPr>
        <w:pStyle w:val="Numberedpara"/>
      </w:pPr>
      <w:r>
        <w:t xml:space="preserve">Subject to these </w:t>
      </w:r>
      <w:r w:rsidR="00A67180">
        <w:t xml:space="preserve">and other minor </w:t>
      </w:r>
      <w:r>
        <w:t xml:space="preserve">amendments, the terms </w:t>
      </w:r>
      <w:r w:rsidR="00A67180">
        <w:t xml:space="preserve">of reference and </w:t>
      </w:r>
      <w:r w:rsidR="00A94B77">
        <w:t>response</w:t>
      </w:r>
      <w:r w:rsidR="00A67180">
        <w:t xml:space="preserve"> plan were agreed. It</w:t>
      </w:r>
      <w:r w:rsidR="00A94B77">
        <w:t xml:space="preserve"> </w:t>
      </w:r>
      <w:r w:rsidR="00A67180">
        <w:t>was agreed that the plan should be updated throughout the pandemic as required, with appropriate version control.</w:t>
      </w:r>
    </w:p>
    <w:p w14:paraId="7496B64A" w14:textId="54DC2D4B" w:rsidR="00A67180" w:rsidRDefault="00A67180" w:rsidP="00C47774">
      <w:pPr>
        <w:pStyle w:val="Numberedpara"/>
        <w:numPr>
          <w:ilvl w:val="0"/>
          <w:numId w:val="0"/>
        </w:numPr>
        <w:ind w:left="357"/>
      </w:pPr>
    </w:p>
    <w:p w14:paraId="1DC26C31" w14:textId="27EDC478" w:rsidR="00A67180" w:rsidRDefault="00A67180" w:rsidP="00A67180">
      <w:pPr>
        <w:pStyle w:val="SMTActions"/>
      </w:pPr>
      <w:r>
        <w:t>ACTON: MB/JR</w:t>
      </w:r>
    </w:p>
    <w:p w14:paraId="685B49D5" w14:textId="77777777" w:rsidR="00A67180" w:rsidRDefault="00A67180" w:rsidP="00C47774">
      <w:pPr>
        <w:pStyle w:val="Numberedpara"/>
        <w:numPr>
          <w:ilvl w:val="0"/>
          <w:numId w:val="0"/>
        </w:numPr>
        <w:ind w:left="357"/>
      </w:pPr>
    </w:p>
    <w:p w14:paraId="6169BB04" w14:textId="6256DB2B" w:rsidR="006747FD" w:rsidRDefault="00EF49A6" w:rsidP="004214ED">
      <w:pPr>
        <w:pStyle w:val="Heading2"/>
      </w:pPr>
      <w:r>
        <w:t>Annual report and accounts (item 7.1)</w:t>
      </w:r>
    </w:p>
    <w:p w14:paraId="3922E7F3" w14:textId="405DAD83" w:rsidR="00EF49A6" w:rsidRDefault="00EF49A6" w:rsidP="00EF49A6">
      <w:pPr>
        <w:pStyle w:val="Paragraph"/>
        <w:numPr>
          <w:ilvl w:val="0"/>
          <w:numId w:val="0"/>
        </w:numPr>
        <w:ind w:left="567" w:hanging="499"/>
      </w:pPr>
    </w:p>
    <w:p w14:paraId="64D6533A" w14:textId="2A94EE60" w:rsidR="00EF49A6" w:rsidRDefault="00EF49A6" w:rsidP="00EF49A6">
      <w:pPr>
        <w:pStyle w:val="Numberedpara"/>
      </w:pPr>
      <w:r>
        <w:t xml:space="preserve">Phil Hemmings presented the </w:t>
      </w:r>
      <w:r w:rsidR="00B37B02">
        <w:t xml:space="preserve">update on the production of the 2019/20 annual report and accounts, </w:t>
      </w:r>
      <w:r w:rsidR="00104BD6">
        <w:t xml:space="preserve">together with a </w:t>
      </w:r>
      <w:r w:rsidR="00B37B02">
        <w:t>draft of the highlights section</w:t>
      </w:r>
      <w:r w:rsidR="00104BD6">
        <w:t xml:space="preserve">. </w:t>
      </w:r>
      <w:r w:rsidR="006A64FD">
        <w:t>He noted that while t</w:t>
      </w:r>
      <w:r w:rsidR="00E67E07">
        <w:t xml:space="preserve">he timescale for laying the </w:t>
      </w:r>
      <w:r w:rsidR="00A94B77">
        <w:t>annual</w:t>
      </w:r>
      <w:r w:rsidR="00E67E07">
        <w:t xml:space="preserve"> report and accounts before Parliament may be </w:t>
      </w:r>
      <w:r w:rsidR="00104BD6">
        <w:t xml:space="preserve">deferred </w:t>
      </w:r>
      <w:r w:rsidR="00E67E07">
        <w:t xml:space="preserve">to September, the team </w:t>
      </w:r>
      <w:r w:rsidR="00104BD6">
        <w:t xml:space="preserve">remain </w:t>
      </w:r>
      <w:r w:rsidR="00E67E07">
        <w:t xml:space="preserve">on track for the original </w:t>
      </w:r>
      <w:r w:rsidR="00A94B77">
        <w:t>timescale</w:t>
      </w:r>
      <w:r w:rsidR="00E67E07">
        <w:t xml:space="preserve"> of laying in July. </w:t>
      </w:r>
    </w:p>
    <w:p w14:paraId="4B29A9CE" w14:textId="77777777" w:rsidR="00E67E07" w:rsidRDefault="00E67E07" w:rsidP="00E67E07">
      <w:pPr>
        <w:pStyle w:val="Numberedpara"/>
        <w:numPr>
          <w:ilvl w:val="0"/>
          <w:numId w:val="0"/>
        </w:numPr>
        <w:ind w:left="357"/>
      </w:pPr>
    </w:p>
    <w:p w14:paraId="6B836377" w14:textId="3C792418" w:rsidR="00E67E07" w:rsidRDefault="00E67E07" w:rsidP="00EF49A6">
      <w:pPr>
        <w:pStyle w:val="Numberedpara"/>
      </w:pPr>
      <w:r>
        <w:t xml:space="preserve">SMT reviewed the draft and identified </w:t>
      </w:r>
      <w:proofErr w:type="gramStart"/>
      <w:r w:rsidR="00A169B1">
        <w:t>a number of</w:t>
      </w:r>
      <w:proofErr w:type="gramEnd"/>
      <w:r w:rsidR="00A169B1">
        <w:t xml:space="preserve"> amendments in terms of content and presentation. It was agreed that SMT </w:t>
      </w:r>
      <w:r w:rsidR="00A94B77">
        <w:t>members</w:t>
      </w:r>
      <w:r w:rsidR="00A169B1">
        <w:t xml:space="preserve"> should send any further amendments to Phil in order that an updated draft can be presented to the Board </w:t>
      </w:r>
      <w:r w:rsidR="00A94B77">
        <w:t>Strategy</w:t>
      </w:r>
      <w:r w:rsidR="00A169B1">
        <w:t xml:space="preserve"> and Audit and Risk Committee meetings on 22 April.</w:t>
      </w:r>
    </w:p>
    <w:p w14:paraId="5A514B05" w14:textId="77777777" w:rsidR="00A169B1" w:rsidRDefault="00A169B1" w:rsidP="00A169B1">
      <w:pPr>
        <w:pStyle w:val="ListParagraph"/>
      </w:pPr>
    </w:p>
    <w:p w14:paraId="1D22C7A2" w14:textId="60B22D19" w:rsidR="00A169B1" w:rsidRDefault="00A169B1" w:rsidP="00A169B1">
      <w:pPr>
        <w:pStyle w:val="SMTActions"/>
      </w:pPr>
      <w:r>
        <w:t>ACTION: PH/SMT</w:t>
      </w:r>
    </w:p>
    <w:p w14:paraId="4307A5D7" w14:textId="17721468" w:rsidR="00EF49A6" w:rsidRDefault="00EF49A6" w:rsidP="00EF49A6">
      <w:pPr>
        <w:pStyle w:val="Paragraph"/>
        <w:numPr>
          <w:ilvl w:val="0"/>
          <w:numId w:val="0"/>
        </w:numPr>
        <w:ind w:left="567" w:hanging="499"/>
      </w:pPr>
    </w:p>
    <w:p w14:paraId="0E859175" w14:textId="12DF01F0" w:rsidR="00EF49A6" w:rsidRDefault="00EF49A6" w:rsidP="00EF49A6">
      <w:pPr>
        <w:pStyle w:val="Heading2"/>
      </w:pPr>
      <w:r>
        <w:t>Risk register (item 7.2)</w:t>
      </w:r>
    </w:p>
    <w:p w14:paraId="105A0CC3" w14:textId="64F2CBA8" w:rsidR="00EF49A6" w:rsidRDefault="00EF49A6" w:rsidP="00EF49A6">
      <w:pPr>
        <w:pStyle w:val="Heading2"/>
      </w:pPr>
    </w:p>
    <w:p w14:paraId="517BC678" w14:textId="40C8DC3C" w:rsidR="00B37B02" w:rsidRDefault="00B37B02" w:rsidP="00B37B02">
      <w:pPr>
        <w:pStyle w:val="Numberedpara"/>
      </w:pPr>
      <w:r>
        <w:t xml:space="preserve">Elaine Repton presented the </w:t>
      </w:r>
      <w:r w:rsidR="00104BD6">
        <w:t xml:space="preserve">latest draft of the </w:t>
      </w:r>
      <w:r w:rsidR="0021712A">
        <w:t>risk register which ha</w:t>
      </w:r>
      <w:r w:rsidR="006A64FD">
        <w:t>d</w:t>
      </w:r>
      <w:r w:rsidR="0021712A">
        <w:t xml:space="preserve"> been updated to reflect the impact of the COVID-19 pandemic.</w:t>
      </w:r>
    </w:p>
    <w:p w14:paraId="70DF6950" w14:textId="77777777" w:rsidR="00C7491B" w:rsidRDefault="00C7491B" w:rsidP="00C7491B">
      <w:pPr>
        <w:pStyle w:val="Numberedpara"/>
        <w:numPr>
          <w:ilvl w:val="0"/>
          <w:numId w:val="0"/>
        </w:numPr>
        <w:ind w:left="357"/>
      </w:pPr>
    </w:p>
    <w:p w14:paraId="43625C83" w14:textId="74B5D2EB" w:rsidR="00C7491B" w:rsidRDefault="00C7491B" w:rsidP="00B37B02">
      <w:pPr>
        <w:pStyle w:val="Numberedpara"/>
      </w:pPr>
      <w:r>
        <w:t xml:space="preserve">SMT noted </w:t>
      </w:r>
      <w:r w:rsidR="00451925">
        <w:t xml:space="preserve">and supported the proposed approach of updating the risk </w:t>
      </w:r>
      <w:r w:rsidR="00A94B77">
        <w:t>register</w:t>
      </w:r>
      <w:r w:rsidR="00451925">
        <w:t xml:space="preserve"> to capture the </w:t>
      </w:r>
      <w:r w:rsidR="00A94B77">
        <w:t>wide-ranging</w:t>
      </w:r>
      <w:r w:rsidR="00451925">
        <w:t xml:space="preserve"> impact of COVID-19 both in terms of exacerbating </w:t>
      </w:r>
      <w:r w:rsidR="00A94B77">
        <w:t>existing</w:t>
      </w:r>
      <w:r w:rsidR="00451925">
        <w:t xml:space="preserve"> risks and </w:t>
      </w:r>
      <w:r w:rsidR="00A94B77">
        <w:t>creating</w:t>
      </w:r>
      <w:r w:rsidR="00451925">
        <w:t xml:space="preserve"> new risks. It was agreed that the overarching risk of </w:t>
      </w:r>
      <w:r w:rsidR="00A94B77">
        <w:t>disruption</w:t>
      </w:r>
      <w:r w:rsidR="00451925">
        <w:t xml:space="preserve"> </w:t>
      </w:r>
      <w:r w:rsidR="00A94B77">
        <w:t>to</w:t>
      </w:r>
      <w:r w:rsidR="00451925">
        <w:t xml:space="preserve"> business </w:t>
      </w:r>
      <w:r w:rsidR="00A94B77">
        <w:t>continuity</w:t>
      </w:r>
      <w:r w:rsidR="00451925">
        <w:t xml:space="preserve"> should be moved to the start of the risk register given this is in effect the overriding </w:t>
      </w:r>
      <w:r w:rsidR="00A94B77">
        <w:t>current</w:t>
      </w:r>
      <w:r w:rsidR="00451925">
        <w:t xml:space="preserve"> priority. The </w:t>
      </w:r>
      <w:r w:rsidR="00A94B77">
        <w:t>mitigations</w:t>
      </w:r>
      <w:r w:rsidR="00451925">
        <w:t xml:space="preserve"> for this risk would note the response p</w:t>
      </w:r>
      <w:r w:rsidR="00A94B77">
        <w:t>lan</w:t>
      </w:r>
      <w:r w:rsidR="00451925">
        <w:t xml:space="preserve"> and the governance structure of the gold and silver groups. </w:t>
      </w:r>
    </w:p>
    <w:p w14:paraId="4BA2F2C5" w14:textId="77777777" w:rsidR="0021356B" w:rsidRDefault="0021356B" w:rsidP="0021356B">
      <w:pPr>
        <w:pStyle w:val="ListParagraph"/>
      </w:pPr>
    </w:p>
    <w:p w14:paraId="31314EA6" w14:textId="403F411F" w:rsidR="0021356B" w:rsidRDefault="0021356B" w:rsidP="00B37B02">
      <w:pPr>
        <w:pStyle w:val="Numberedpara"/>
      </w:pPr>
      <w:r>
        <w:t xml:space="preserve">It was agreed that following the above amendment the register would be </w:t>
      </w:r>
      <w:r w:rsidR="00A94B77">
        <w:t>circulated</w:t>
      </w:r>
      <w:r>
        <w:t xml:space="preserve"> to SMT </w:t>
      </w:r>
      <w:r w:rsidR="00A94B77">
        <w:t>members</w:t>
      </w:r>
      <w:r>
        <w:t xml:space="preserve"> for review and updating. Gill Leng would </w:t>
      </w:r>
      <w:r w:rsidR="00A94B77">
        <w:t>then</w:t>
      </w:r>
      <w:r>
        <w:t xml:space="preserve"> sign-off </w:t>
      </w:r>
      <w:r w:rsidR="006A64FD">
        <w:t xml:space="preserve">the register </w:t>
      </w:r>
      <w:r>
        <w:t xml:space="preserve">for submission to the Audit and Risk </w:t>
      </w:r>
      <w:r w:rsidR="00A94B77">
        <w:t>Committee</w:t>
      </w:r>
      <w:r>
        <w:t xml:space="preserve"> on 22 April.</w:t>
      </w:r>
    </w:p>
    <w:p w14:paraId="0AAF2FF3" w14:textId="77777777" w:rsidR="0021356B" w:rsidRDefault="0021356B" w:rsidP="0021356B">
      <w:pPr>
        <w:pStyle w:val="ListParagraph"/>
      </w:pPr>
    </w:p>
    <w:p w14:paraId="4EC22FC3" w14:textId="7468F898" w:rsidR="0021356B" w:rsidRPr="00B37B02" w:rsidRDefault="0021356B" w:rsidP="0021356B">
      <w:pPr>
        <w:pStyle w:val="SMTActions"/>
      </w:pPr>
      <w:r>
        <w:t>ACTION: ER/SMT</w:t>
      </w:r>
    </w:p>
    <w:p w14:paraId="78B733EA" w14:textId="655501D7" w:rsidR="00EF49A6" w:rsidRDefault="00EF49A6" w:rsidP="00EF49A6">
      <w:pPr>
        <w:pStyle w:val="Heading2"/>
      </w:pPr>
    </w:p>
    <w:p w14:paraId="2FE32B94" w14:textId="31EE1795" w:rsidR="00EF49A6" w:rsidRDefault="00EF49A6" w:rsidP="00EF49A6">
      <w:pPr>
        <w:pStyle w:val="Heading2"/>
      </w:pPr>
      <w:r>
        <w:t xml:space="preserve">Risk </w:t>
      </w:r>
      <w:r w:rsidR="0021712A">
        <w:t>management</w:t>
      </w:r>
      <w:r>
        <w:t xml:space="preserve"> policy (item 7.3)</w:t>
      </w:r>
    </w:p>
    <w:p w14:paraId="5C31719A" w14:textId="0723A2E6" w:rsidR="00EF49A6" w:rsidRDefault="00EF49A6" w:rsidP="00EF49A6">
      <w:pPr>
        <w:pStyle w:val="Heading2"/>
      </w:pPr>
    </w:p>
    <w:p w14:paraId="7D2D08B3" w14:textId="0310E011" w:rsidR="0021712A" w:rsidRDefault="0021712A" w:rsidP="0021712A">
      <w:pPr>
        <w:pStyle w:val="Numberedpara"/>
      </w:pPr>
      <w:r>
        <w:t>Elaine Repton presented the proposed updated risk management policy following its periodic review.</w:t>
      </w:r>
    </w:p>
    <w:p w14:paraId="3970AF3D" w14:textId="77777777" w:rsidR="00F13285" w:rsidRDefault="00F13285" w:rsidP="00F13285">
      <w:pPr>
        <w:pStyle w:val="Numberedpara"/>
        <w:numPr>
          <w:ilvl w:val="0"/>
          <w:numId w:val="0"/>
        </w:numPr>
        <w:ind w:left="357"/>
      </w:pPr>
    </w:p>
    <w:p w14:paraId="0341817A" w14:textId="3A57DD0E" w:rsidR="00F13285" w:rsidRDefault="00F13285" w:rsidP="0021712A">
      <w:pPr>
        <w:pStyle w:val="Numberedpara"/>
      </w:pPr>
      <w:r>
        <w:t xml:space="preserve">SMT </w:t>
      </w:r>
      <w:r w:rsidR="00A94B77">
        <w:t>reviewed</w:t>
      </w:r>
      <w:r>
        <w:t xml:space="preserve"> the policy and discussed the risk appetite, </w:t>
      </w:r>
      <w:proofErr w:type="gramStart"/>
      <w:r>
        <w:t>in particular with</w:t>
      </w:r>
      <w:proofErr w:type="gramEnd"/>
      <w:r>
        <w:t xml:space="preserve"> </w:t>
      </w:r>
      <w:r w:rsidR="00A94B77">
        <w:t>reference</w:t>
      </w:r>
      <w:r>
        <w:t xml:space="preserve"> </w:t>
      </w:r>
      <w:r w:rsidR="00A94B77">
        <w:t>to</w:t>
      </w:r>
      <w:r>
        <w:t xml:space="preserve"> the recent decision to </w:t>
      </w:r>
      <w:r w:rsidR="00104BD6">
        <w:t xml:space="preserve">rapidly </w:t>
      </w:r>
      <w:r>
        <w:t xml:space="preserve">develop guidance on COVID-19. </w:t>
      </w:r>
      <w:r w:rsidR="00104BD6">
        <w:t xml:space="preserve">While this speed of this work presented a high risk, </w:t>
      </w:r>
      <w:r w:rsidR="00213DD5">
        <w:t xml:space="preserve">this was lower than the risk of not producing guidance on this issue. </w:t>
      </w:r>
      <w:r>
        <w:t>It was agreed that the policy should note that the risk appetite may need to vary according to th</w:t>
      </w:r>
      <w:r w:rsidR="0032535C">
        <w:t>e</w:t>
      </w:r>
      <w:r w:rsidR="00AE0D2A">
        <w:t xml:space="preserve"> </w:t>
      </w:r>
      <w:r w:rsidR="00A94B77">
        <w:t>circumstances</w:t>
      </w:r>
      <w:r w:rsidR="0032535C">
        <w:t xml:space="preserve"> facing NICE</w:t>
      </w:r>
      <w:r>
        <w:t xml:space="preserve">, </w:t>
      </w:r>
      <w:r w:rsidR="00A94B77">
        <w:t>which</w:t>
      </w:r>
      <w:r>
        <w:t xml:space="preserve"> at times, may justify a higher risk appetite.</w:t>
      </w:r>
    </w:p>
    <w:p w14:paraId="62965A81" w14:textId="77777777" w:rsidR="00E9794C" w:rsidRDefault="00E9794C" w:rsidP="00E9794C">
      <w:pPr>
        <w:pStyle w:val="ListParagraph"/>
      </w:pPr>
    </w:p>
    <w:p w14:paraId="64AD2CA3" w14:textId="197C11BB" w:rsidR="00E9794C" w:rsidRDefault="00E9794C" w:rsidP="00E9794C">
      <w:pPr>
        <w:pStyle w:val="SMTActions"/>
      </w:pPr>
      <w:r>
        <w:t>ACTION: ER</w:t>
      </w:r>
    </w:p>
    <w:p w14:paraId="4EDA00A5" w14:textId="646870EF" w:rsidR="00E9794C" w:rsidRDefault="00E9794C" w:rsidP="00E9794C">
      <w:pPr>
        <w:pStyle w:val="Numberedpara"/>
        <w:numPr>
          <w:ilvl w:val="0"/>
          <w:numId w:val="0"/>
        </w:numPr>
        <w:ind w:left="357" w:hanging="357"/>
      </w:pPr>
    </w:p>
    <w:p w14:paraId="15C160CF" w14:textId="36A27E00" w:rsidR="00E9794C" w:rsidRDefault="00E9794C" w:rsidP="00E9794C">
      <w:pPr>
        <w:pStyle w:val="Numberedpara"/>
      </w:pPr>
      <w:r>
        <w:t xml:space="preserve">Meindert Boysen noted </w:t>
      </w:r>
      <w:r w:rsidR="0032535C">
        <w:t>the</w:t>
      </w:r>
      <w:r>
        <w:t xml:space="preserve"> need to consider the risk appetite in terms of guidance development and the advice that is provided to the advisory committees on how to </w:t>
      </w:r>
      <w:r>
        <w:lastRenderedPageBreak/>
        <w:t xml:space="preserve">handle uncertainty and risk. It was agreed this was an important </w:t>
      </w:r>
      <w:proofErr w:type="gramStart"/>
      <w:r w:rsidR="00A94B77">
        <w:t>issue</w:t>
      </w:r>
      <w:proofErr w:type="gramEnd"/>
      <w:r w:rsidR="00A94B77">
        <w:t xml:space="preserve"> but</w:t>
      </w:r>
      <w:r>
        <w:t xml:space="preserve"> </w:t>
      </w:r>
      <w:r w:rsidR="0032535C">
        <w:t xml:space="preserve">it </w:t>
      </w:r>
      <w:r>
        <w:t>sat outside of this risk management policy. Instead, it should be discussed further through the processes, methods and analytics expert group.</w:t>
      </w:r>
    </w:p>
    <w:p w14:paraId="3179B2BC" w14:textId="24CAADD1" w:rsidR="00E9794C" w:rsidRDefault="00E9794C" w:rsidP="00E9794C">
      <w:pPr>
        <w:pStyle w:val="Numberedpara"/>
        <w:numPr>
          <w:ilvl w:val="0"/>
          <w:numId w:val="0"/>
        </w:numPr>
        <w:ind w:left="357" w:hanging="357"/>
      </w:pPr>
    </w:p>
    <w:p w14:paraId="0E7AE466" w14:textId="71237D9C" w:rsidR="00E9794C" w:rsidRPr="0021712A" w:rsidRDefault="00E9794C" w:rsidP="00E9794C">
      <w:pPr>
        <w:pStyle w:val="SMTActions"/>
      </w:pPr>
      <w:r>
        <w:t>ACTION: MB/PC</w:t>
      </w:r>
    </w:p>
    <w:p w14:paraId="7DFB2A51" w14:textId="74408913" w:rsidR="00EF49A6" w:rsidRDefault="00EF49A6" w:rsidP="00EF49A6">
      <w:pPr>
        <w:pStyle w:val="Heading2"/>
      </w:pPr>
    </w:p>
    <w:p w14:paraId="5E918D82" w14:textId="082C522C" w:rsidR="00EF49A6" w:rsidRDefault="00EF49A6" w:rsidP="00EF49A6">
      <w:pPr>
        <w:pStyle w:val="Heading2"/>
      </w:pPr>
      <w:r>
        <w:t>Declarations of interest breach report (item 7.4)</w:t>
      </w:r>
    </w:p>
    <w:p w14:paraId="275926C5" w14:textId="4189F2D1" w:rsidR="00EF49A6" w:rsidRDefault="00EF49A6" w:rsidP="00EF49A6">
      <w:pPr>
        <w:pStyle w:val="Heading2"/>
      </w:pPr>
    </w:p>
    <w:p w14:paraId="64350D99" w14:textId="3F58B5AA" w:rsidR="0021712A" w:rsidRDefault="0021712A" w:rsidP="0021712A">
      <w:pPr>
        <w:pStyle w:val="Numberedpara"/>
      </w:pPr>
      <w:r>
        <w:t xml:space="preserve">Elaine Repton presented the </w:t>
      </w:r>
      <w:r w:rsidR="00E219E8">
        <w:t>annual report on breaches of the declarations of interest policies in 2019/20. One breach was reported – relating to a member of the Interventional Procedures Advisory Committee.</w:t>
      </w:r>
      <w:r w:rsidR="00213DD5">
        <w:t xml:space="preserve"> As outlined in the report, t</w:t>
      </w:r>
      <w:r w:rsidR="00E219E8">
        <w:t>he risk to guidance development was felt to be low.</w:t>
      </w:r>
    </w:p>
    <w:p w14:paraId="581ECFBA" w14:textId="77777777" w:rsidR="0012725C" w:rsidRDefault="0012725C" w:rsidP="0012725C">
      <w:pPr>
        <w:pStyle w:val="Numberedpara"/>
        <w:numPr>
          <w:ilvl w:val="0"/>
          <w:numId w:val="0"/>
        </w:numPr>
        <w:ind w:left="357"/>
      </w:pPr>
    </w:p>
    <w:p w14:paraId="78C0EA8D" w14:textId="6C583AE5" w:rsidR="0012725C" w:rsidRDefault="0012725C" w:rsidP="0021712A">
      <w:pPr>
        <w:pStyle w:val="Numberedpara"/>
      </w:pPr>
      <w:r>
        <w:t xml:space="preserve">SMT discussed the breach and agreed that the report should be amended to note the opportunities to prevent the breach that were missed due to </w:t>
      </w:r>
      <w:r w:rsidR="00A94B77">
        <w:t>the</w:t>
      </w:r>
      <w:r>
        <w:t xml:space="preserve"> policy not being followed.</w:t>
      </w:r>
    </w:p>
    <w:p w14:paraId="4B41A341" w14:textId="1EBA80A8" w:rsidR="001F09FA" w:rsidRDefault="001F09FA" w:rsidP="001F09FA">
      <w:pPr>
        <w:pStyle w:val="ListParagraph"/>
      </w:pPr>
    </w:p>
    <w:p w14:paraId="73E66B4B" w14:textId="02B1A2F3" w:rsidR="001F09FA" w:rsidRDefault="001F09FA" w:rsidP="001F09FA">
      <w:pPr>
        <w:pStyle w:val="SMTActions"/>
      </w:pPr>
      <w:r>
        <w:t>ACTION: ER</w:t>
      </w:r>
    </w:p>
    <w:p w14:paraId="75216F5F" w14:textId="77777777" w:rsidR="001F09FA" w:rsidRDefault="001F09FA" w:rsidP="001F09FA">
      <w:pPr>
        <w:pStyle w:val="ListParagraph"/>
      </w:pPr>
    </w:p>
    <w:p w14:paraId="295F620F" w14:textId="10A897BE" w:rsidR="001F09FA" w:rsidRDefault="001F09FA" w:rsidP="0021712A">
      <w:pPr>
        <w:pStyle w:val="Numberedpara"/>
      </w:pPr>
      <w:r>
        <w:t>SMT noted the areas identified for further improvement in the recent internal audit report on declarations of interest. It was agreed that</w:t>
      </w:r>
      <w:r w:rsidR="0032535C">
        <w:t xml:space="preserve"> the pausing of some guidance development </w:t>
      </w:r>
      <w:r>
        <w:t xml:space="preserve">may </w:t>
      </w:r>
      <w:r w:rsidR="00A94B77">
        <w:t>provide</w:t>
      </w:r>
      <w:r>
        <w:t xml:space="preserve"> capacity for teams to ensure the declarations on the </w:t>
      </w:r>
      <w:r w:rsidR="00A94B77">
        <w:t>website</w:t>
      </w:r>
      <w:r>
        <w:t xml:space="preserve"> </w:t>
      </w:r>
      <w:r w:rsidR="00320118">
        <w:t>are complete.</w:t>
      </w:r>
    </w:p>
    <w:p w14:paraId="3D42434E" w14:textId="321CDB68" w:rsidR="00320118" w:rsidRDefault="00320118" w:rsidP="00320118">
      <w:pPr>
        <w:pStyle w:val="Numberedpara"/>
        <w:numPr>
          <w:ilvl w:val="0"/>
          <w:numId w:val="0"/>
        </w:numPr>
        <w:ind w:left="357" w:hanging="357"/>
      </w:pPr>
    </w:p>
    <w:p w14:paraId="1819F6FB" w14:textId="2F2AF8CF" w:rsidR="00320118" w:rsidRPr="0021712A" w:rsidRDefault="00320118" w:rsidP="00320118">
      <w:pPr>
        <w:pStyle w:val="SMTActions"/>
      </w:pPr>
      <w:r>
        <w:t>ACTION: MB/PC/JR</w:t>
      </w:r>
    </w:p>
    <w:p w14:paraId="52321144" w14:textId="65CD35BE" w:rsidR="00EF49A6" w:rsidRDefault="00EF49A6" w:rsidP="00EF49A6">
      <w:pPr>
        <w:pStyle w:val="Heading2"/>
      </w:pPr>
    </w:p>
    <w:p w14:paraId="0C93A446" w14:textId="0A17A071" w:rsidR="00EF49A6" w:rsidRDefault="00EF49A6" w:rsidP="00EF49A6">
      <w:pPr>
        <w:pStyle w:val="Heading2"/>
      </w:pPr>
      <w:r>
        <w:t>NICE Connect internal audit report (item 7.5)</w:t>
      </w:r>
    </w:p>
    <w:p w14:paraId="4772C0A7" w14:textId="1855A9F3" w:rsidR="00EF49A6" w:rsidRDefault="00EF49A6" w:rsidP="00EF49A6">
      <w:pPr>
        <w:pStyle w:val="Heading2"/>
      </w:pPr>
    </w:p>
    <w:p w14:paraId="29659C9B" w14:textId="21AC6A3B" w:rsidR="00EF49A6" w:rsidRDefault="00320118" w:rsidP="00E219E8">
      <w:pPr>
        <w:pStyle w:val="Numberedpara"/>
      </w:pPr>
      <w:r>
        <w:t>Gill Leng</w:t>
      </w:r>
      <w:r w:rsidR="00E219E8">
        <w:t xml:space="preserve"> presented the internal audit report on NICE Connect. The audit opinion was substantial assurance and no recommendations were made.</w:t>
      </w:r>
    </w:p>
    <w:p w14:paraId="6E74282E" w14:textId="77777777" w:rsidR="00320118" w:rsidRDefault="00320118" w:rsidP="00320118">
      <w:pPr>
        <w:pStyle w:val="Numberedpara"/>
        <w:numPr>
          <w:ilvl w:val="0"/>
          <w:numId w:val="0"/>
        </w:numPr>
        <w:ind w:left="357"/>
      </w:pPr>
    </w:p>
    <w:p w14:paraId="6BB1DE5C" w14:textId="715433EE" w:rsidR="00320118" w:rsidRDefault="00320118" w:rsidP="00E219E8">
      <w:pPr>
        <w:pStyle w:val="Numberedpara"/>
      </w:pPr>
      <w:r>
        <w:t xml:space="preserve">SMT were pleased to note the </w:t>
      </w:r>
      <w:r w:rsidR="00213DD5">
        <w:t xml:space="preserve">audit’s </w:t>
      </w:r>
      <w:r>
        <w:t xml:space="preserve">positive conclusions. It was noted that the moderate conclusion on </w:t>
      </w:r>
      <w:r w:rsidR="00A94B77">
        <w:t>stakeholder</w:t>
      </w:r>
      <w:r w:rsidR="001136BD">
        <w:t xml:space="preserve"> management and </w:t>
      </w:r>
      <w:r w:rsidR="00ED7E9D">
        <w:t>communications</w:t>
      </w:r>
      <w:r w:rsidR="001136BD">
        <w:t xml:space="preserve"> was due to the audit taking </w:t>
      </w:r>
      <w:r w:rsidR="00A94B77">
        <w:t>place</w:t>
      </w:r>
      <w:r w:rsidR="001136BD">
        <w:t xml:space="preserve"> at an early stage in the project.</w:t>
      </w:r>
    </w:p>
    <w:p w14:paraId="63DD00B4" w14:textId="77777777" w:rsidR="00E219E8" w:rsidRPr="00E219E8" w:rsidRDefault="00E219E8" w:rsidP="00E219E8">
      <w:pPr>
        <w:pStyle w:val="Paragraph"/>
        <w:numPr>
          <w:ilvl w:val="0"/>
          <w:numId w:val="0"/>
        </w:numPr>
        <w:ind w:left="567" w:hanging="499"/>
      </w:pPr>
    </w:p>
    <w:p w14:paraId="37F467B0" w14:textId="3343F3B4" w:rsidR="00EF49A6" w:rsidRDefault="00EF49A6" w:rsidP="00EF49A6">
      <w:pPr>
        <w:pStyle w:val="Heading2"/>
      </w:pPr>
      <w:r>
        <w:t>NICE International progress report (item 7.6)</w:t>
      </w:r>
    </w:p>
    <w:p w14:paraId="45AAF680" w14:textId="4ABF5C73" w:rsidR="00EF49A6" w:rsidRDefault="00EF49A6" w:rsidP="00EF49A6">
      <w:pPr>
        <w:pStyle w:val="Paragraph"/>
        <w:numPr>
          <w:ilvl w:val="0"/>
          <w:numId w:val="0"/>
        </w:numPr>
        <w:ind w:left="567" w:hanging="499"/>
      </w:pPr>
    </w:p>
    <w:p w14:paraId="2A4A7A5A" w14:textId="4659156A" w:rsidR="00EF49A6" w:rsidRDefault="006B6EBF" w:rsidP="00E219E8">
      <w:pPr>
        <w:pStyle w:val="Numberedpara"/>
      </w:pPr>
      <w:r>
        <w:t>Pilar Pinilla-Dominguez and Deborah Lee</w:t>
      </w:r>
      <w:r w:rsidR="00873502">
        <w:t xml:space="preserve"> presented the </w:t>
      </w:r>
      <w:r w:rsidR="00873502" w:rsidRPr="00873502">
        <w:t>update on the progress of NICE International since it</w:t>
      </w:r>
      <w:r>
        <w:t xml:space="preserve">s relaunch in November 2019. </w:t>
      </w:r>
      <w:r w:rsidR="00697A5B">
        <w:t xml:space="preserve">Work is underway on an international strategic engagement plan and a small financial surplus is forecast for 2019/20. </w:t>
      </w:r>
      <w:r w:rsidR="000C3422">
        <w:t xml:space="preserve">Pilar noted that it is </w:t>
      </w:r>
      <w:r w:rsidR="00697A5B">
        <w:t xml:space="preserve">difficult to </w:t>
      </w:r>
      <w:r w:rsidR="00A94B77">
        <w:t>accurately</w:t>
      </w:r>
      <w:r w:rsidR="00697A5B">
        <w:t xml:space="preserve"> forecast the financial position for 2020/21 </w:t>
      </w:r>
      <w:proofErr w:type="gramStart"/>
      <w:r w:rsidR="00697A5B">
        <w:t xml:space="preserve">in </w:t>
      </w:r>
      <w:r w:rsidR="00A94B77">
        <w:t>light</w:t>
      </w:r>
      <w:r w:rsidR="00697A5B">
        <w:t xml:space="preserve"> of</w:t>
      </w:r>
      <w:proofErr w:type="gramEnd"/>
      <w:r w:rsidR="00697A5B">
        <w:t xml:space="preserve"> the COVID-19 </w:t>
      </w:r>
      <w:r w:rsidR="00A94B77">
        <w:t>pandemic</w:t>
      </w:r>
      <w:r w:rsidR="00697A5B">
        <w:t xml:space="preserve"> which will </w:t>
      </w:r>
      <w:r w:rsidR="00A94B77">
        <w:t>disproportionately</w:t>
      </w:r>
      <w:r w:rsidR="00697A5B">
        <w:t xml:space="preserve"> impact </w:t>
      </w:r>
      <w:r w:rsidR="00855E40">
        <w:t xml:space="preserve">the team due to the inability </w:t>
      </w:r>
      <w:r w:rsidR="00A94B77">
        <w:t>to</w:t>
      </w:r>
      <w:r w:rsidR="00855E40">
        <w:t xml:space="preserve"> </w:t>
      </w:r>
      <w:r w:rsidR="00A94B77">
        <w:t>travel</w:t>
      </w:r>
      <w:r w:rsidR="00855E40">
        <w:t xml:space="preserve"> </w:t>
      </w:r>
      <w:r w:rsidR="00A94B77">
        <w:t>and</w:t>
      </w:r>
      <w:r w:rsidR="00855E40">
        <w:t xml:space="preserve"> engage with international partners. A deficit is likely, </w:t>
      </w:r>
      <w:r w:rsidR="000C3422">
        <w:t xml:space="preserve">which </w:t>
      </w:r>
      <w:r w:rsidR="00855E40">
        <w:t xml:space="preserve">the </w:t>
      </w:r>
      <w:r w:rsidR="00855E40" w:rsidRPr="00855E40">
        <w:t xml:space="preserve">NICE Scientific Advice Strategy Forum </w:t>
      </w:r>
      <w:r w:rsidR="00855E40">
        <w:t xml:space="preserve">have agreed would be covered </w:t>
      </w:r>
      <w:r w:rsidR="00A94B77">
        <w:t>by</w:t>
      </w:r>
      <w:r w:rsidR="00855E40">
        <w:t xml:space="preserve"> </w:t>
      </w:r>
      <w:r w:rsidR="00855E40" w:rsidRPr="00855E40">
        <w:t>the scientific advice surplus or reserves</w:t>
      </w:r>
      <w:r w:rsidR="00855E40">
        <w:t>.</w:t>
      </w:r>
    </w:p>
    <w:p w14:paraId="2AD5126E" w14:textId="77777777" w:rsidR="00855E40" w:rsidRDefault="00855E40" w:rsidP="00855E40">
      <w:pPr>
        <w:pStyle w:val="Numberedpara"/>
        <w:numPr>
          <w:ilvl w:val="0"/>
          <w:numId w:val="0"/>
        </w:numPr>
        <w:ind w:left="357"/>
      </w:pPr>
    </w:p>
    <w:p w14:paraId="7DD8EE92" w14:textId="589CEE65" w:rsidR="00855E40" w:rsidRDefault="00264480" w:rsidP="00E219E8">
      <w:pPr>
        <w:pStyle w:val="Numberedpara"/>
      </w:pPr>
      <w:r>
        <w:t xml:space="preserve">SMT discussed the impact of COVID-19 on the pipeline and welcomed the </w:t>
      </w:r>
      <w:r w:rsidR="00A166CF">
        <w:t>planned</w:t>
      </w:r>
      <w:r>
        <w:t xml:space="preserve"> </w:t>
      </w:r>
      <w:r w:rsidR="00A166CF">
        <w:t>mitigations</w:t>
      </w:r>
      <w:r>
        <w:t xml:space="preserve">, </w:t>
      </w:r>
      <w:r w:rsidR="00A166CF">
        <w:t>including</w:t>
      </w:r>
      <w:r>
        <w:t xml:space="preserve"> </w:t>
      </w:r>
      <w:r w:rsidR="00055EB1">
        <w:t xml:space="preserve">looking at the scope to deliver </w:t>
      </w:r>
      <w:r w:rsidR="00A166CF">
        <w:t>existing</w:t>
      </w:r>
      <w:r w:rsidR="00055EB1">
        <w:t xml:space="preserve"> projects virtually and develop</w:t>
      </w:r>
      <w:r w:rsidR="00213DD5">
        <w:t>ing</w:t>
      </w:r>
      <w:r w:rsidR="00055EB1">
        <w:t xml:space="preserve"> an </w:t>
      </w:r>
      <w:r w:rsidR="00A166CF">
        <w:t>attractive</w:t>
      </w:r>
      <w:r w:rsidR="00055EB1">
        <w:t xml:space="preserve"> virtual service to clients. </w:t>
      </w:r>
      <w:r w:rsidR="00A166CF">
        <w:t xml:space="preserve">It was agreed that the scope for providing webinars on the rapid guidelines, including how these were developed at pace, should be explored. </w:t>
      </w:r>
      <w:r w:rsidR="00C47774">
        <w:t xml:space="preserve">In addition, the team should consider how to adapt their business development </w:t>
      </w:r>
      <w:r w:rsidR="00A94B77">
        <w:t>activities</w:t>
      </w:r>
      <w:r w:rsidR="00C47774">
        <w:t xml:space="preserve"> to </w:t>
      </w:r>
      <w:r w:rsidR="00A94B77">
        <w:t>reflect</w:t>
      </w:r>
      <w:r w:rsidR="00C47774">
        <w:t xml:space="preserve"> that the large </w:t>
      </w:r>
      <w:r w:rsidR="00A94B77">
        <w:t>international</w:t>
      </w:r>
      <w:r w:rsidR="00C47774">
        <w:t xml:space="preserve"> </w:t>
      </w:r>
      <w:r w:rsidR="00A94B77">
        <w:t>conferences</w:t>
      </w:r>
      <w:r w:rsidR="00C47774">
        <w:t xml:space="preserve"> will instead take place virtually. </w:t>
      </w:r>
    </w:p>
    <w:p w14:paraId="3126BB2D" w14:textId="35E774D5" w:rsidR="00BE0DC5" w:rsidRDefault="00BE0DC5" w:rsidP="00BE0DC5">
      <w:pPr>
        <w:pStyle w:val="ListParagraph"/>
      </w:pPr>
    </w:p>
    <w:p w14:paraId="0B79CDCC" w14:textId="255BA1A5" w:rsidR="00BE0DC5" w:rsidRDefault="00BE0DC5" w:rsidP="00BE0DC5">
      <w:pPr>
        <w:pStyle w:val="SMTActions"/>
      </w:pPr>
      <w:r>
        <w:t>ACTION: PPD/DL</w:t>
      </w:r>
    </w:p>
    <w:p w14:paraId="49D79DDC" w14:textId="5C7A5A40" w:rsidR="00BE0DC5" w:rsidRDefault="00BE0DC5" w:rsidP="00BE0DC5">
      <w:pPr>
        <w:pStyle w:val="ListParagraph"/>
      </w:pPr>
    </w:p>
    <w:p w14:paraId="3E99E659" w14:textId="20A88EA7" w:rsidR="00BE0DC5" w:rsidRDefault="00BE0DC5" w:rsidP="00E219E8">
      <w:pPr>
        <w:pStyle w:val="Numberedpara"/>
      </w:pPr>
      <w:r>
        <w:t xml:space="preserve">Paul Chrisp noted an </w:t>
      </w:r>
      <w:r w:rsidR="00A94B77">
        <w:t>upcoming</w:t>
      </w:r>
      <w:r>
        <w:t xml:space="preserve"> paper to SMT on the </w:t>
      </w:r>
      <w:r w:rsidR="00A94B77">
        <w:t>inclusion</w:t>
      </w:r>
      <w:r>
        <w:t xml:space="preserve"> </w:t>
      </w:r>
      <w:r w:rsidRPr="00BE0DC5">
        <w:t>of NICE content in international non-commercial guidance research repositories</w:t>
      </w:r>
      <w:r w:rsidR="001804ED">
        <w:t xml:space="preserve">, which may be relevant to NICE Scientific Advice’s work. He suggested the NICE </w:t>
      </w:r>
      <w:r w:rsidR="00A94B77">
        <w:t>International</w:t>
      </w:r>
      <w:r w:rsidR="001804ED">
        <w:t xml:space="preserve"> team </w:t>
      </w:r>
      <w:r w:rsidR="00480FEC">
        <w:t>discuss</w:t>
      </w:r>
      <w:r w:rsidR="001804ED">
        <w:t xml:space="preserve"> this further with the colleagues in Centre for Guidelines who developed these proposals, following the </w:t>
      </w:r>
      <w:r w:rsidR="00480FEC">
        <w:t>upcoming</w:t>
      </w:r>
      <w:r w:rsidR="001804ED">
        <w:t xml:space="preserve"> SMT discussion. </w:t>
      </w:r>
    </w:p>
    <w:p w14:paraId="14441D10" w14:textId="141BA8F6" w:rsidR="001804ED" w:rsidRDefault="001804ED" w:rsidP="001804ED">
      <w:pPr>
        <w:pStyle w:val="Numberedpara"/>
        <w:numPr>
          <w:ilvl w:val="0"/>
          <w:numId w:val="0"/>
        </w:numPr>
        <w:ind w:left="357" w:hanging="357"/>
      </w:pPr>
    </w:p>
    <w:p w14:paraId="042D970C" w14:textId="5E91FDEB" w:rsidR="001804ED" w:rsidRDefault="001804ED" w:rsidP="001804ED">
      <w:pPr>
        <w:pStyle w:val="SMTActions"/>
      </w:pPr>
      <w:r>
        <w:t>ACTION: PPD/DL</w:t>
      </w:r>
    </w:p>
    <w:p w14:paraId="4E7EA31F" w14:textId="4682C474" w:rsidR="00E219E8" w:rsidRDefault="00E219E8" w:rsidP="00EF49A6">
      <w:pPr>
        <w:pStyle w:val="Paragraph"/>
        <w:numPr>
          <w:ilvl w:val="0"/>
          <w:numId w:val="0"/>
        </w:numPr>
        <w:ind w:left="567" w:hanging="499"/>
      </w:pPr>
    </w:p>
    <w:p w14:paraId="21B76CAF" w14:textId="094B6BAD" w:rsidR="001804ED" w:rsidRDefault="001804ED" w:rsidP="000F24AA">
      <w:pPr>
        <w:pStyle w:val="Numberedpara"/>
      </w:pPr>
      <w:r>
        <w:t xml:space="preserve">SMT noted and </w:t>
      </w:r>
      <w:r w:rsidR="00480FEC">
        <w:t>welcomed</w:t>
      </w:r>
      <w:r>
        <w:t xml:space="preserve"> the update. It was agreed that the</w:t>
      </w:r>
      <w:r w:rsidR="000F24AA">
        <w:t xml:space="preserve"> international strategic engagement plan should be brought to the Board, along with a progress </w:t>
      </w:r>
      <w:r w:rsidR="00480FEC">
        <w:t>update</w:t>
      </w:r>
      <w:r w:rsidR="000F24AA">
        <w:t xml:space="preserve"> on NICE International’s work. This would likely </w:t>
      </w:r>
      <w:r w:rsidR="00B465E1">
        <w:t>be</w:t>
      </w:r>
      <w:r w:rsidR="000F24AA">
        <w:t xml:space="preserve"> ready for the November public Board meeting.</w:t>
      </w:r>
    </w:p>
    <w:p w14:paraId="197EAE8C" w14:textId="2BFAE157" w:rsidR="000F24AA" w:rsidRDefault="000F24AA" w:rsidP="00EF49A6">
      <w:pPr>
        <w:pStyle w:val="Paragraph"/>
        <w:numPr>
          <w:ilvl w:val="0"/>
          <w:numId w:val="0"/>
        </w:numPr>
        <w:ind w:left="567" w:hanging="499"/>
      </w:pPr>
    </w:p>
    <w:p w14:paraId="52A38E16" w14:textId="4BACE13E" w:rsidR="000F24AA" w:rsidRDefault="000F24AA" w:rsidP="000F24AA">
      <w:pPr>
        <w:pStyle w:val="SMTActions"/>
      </w:pPr>
      <w:r>
        <w:t>ACTION: MB</w:t>
      </w:r>
    </w:p>
    <w:p w14:paraId="46FC4A41" w14:textId="77777777" w:rsidR="00E219E8" w:rsidRPr="00EF49A6" w:rsidRDefault="00E219E8" w:rsidP="00EF49A6">
      <w:pPr>
        <w:pStyle w:val="Paragraph"/>
        <w:numPr>
          <w:ilvl w:val="0"/>
          <w:numId w:val="0"/>
        </w:numPr>
        <w:ind w:left="567" w:hanging="499"/>
      </w:pPr>
    </w:p>
    <w:p w14:paraId="1E59B3D5" w14:textId="375C0CF4" w:rsidR="004214ED" w:rsidRDefault="004214ED" w:rsidP="004214ED">
      <w:pPr>
        <w:pStyle w:val="Heading2"/>
      </w:pPr>
      <w:r>
        <w:t xml:space="preserve">EU exit (item </w:t>
      </w:r>
      <w:r w:rsidR="006747FD">
        <w:t>8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5D01C661" w14:textId="237FF4A5" w:rsidR="006B6EBF" w:rsidRDefault="001136BD" w:rsidP="00213DD5">
      <w:pPr>
        <w:pStyle w:val="Numberedpara"/>
      </w:pPr>
      <w:r>
        <w:t xml:space="preserve">Meindert Boysen noted that the Department for Health and Social Care (DHSC) have established 7 workstreams to consider aspects of </w:t>
      </w:r>
      <w:r w:rsidR="00ED7E9D">
        <w:t>the</w:t>
      </w:r>
      <w:r>
        <w:t xml:space="preserve"> transition and </w:t>
      </w:r>
      <w:r w:rsidR="00ED7E9D">
        <w:t>trade</w:t>
      </w:r>
      <w:r>
        <w:t xml:space="preserve"> </w:t>
      </w:r>
      <w:r w:rsidR="00ED7E9D">
        <w:t>negotiations</w:t>
      </w:r>
      <w:r w:rsidR="009D7EAA">
        <w:t xml:space="preserve">, and he would raise the need for NICE’s involvement in these. </w:t>
      </w:r>
      <w:r w:rsidR="006B6EBF">
        <w:t xml:space="preserve">Meindert </w:t>
      </w:r>
      <w:r w:rsidR="00B465E1">
        <w:t>confirmed</w:t>
      </w:r>
      <w:r w:rsidR="006B6EBF">
        <w:t xml:space="preserve"> that he will be provid</w:t>
      </w:r>
      <w:r w:rsidR="009D7EAA">
        <w:t xml:space="preserve">ing </w:t>
      </w:r>
      <w:r w:rsidR="006B6EBF">
        <w:t>a short verbal briefing for the April Board Strategy meeting.</w:t>
      </w:r>
    </w:p>
    <w:p w14:paraId="49E53A2C" w14:textId="79F5908F" w:rsidR="001136BD" w:rsidRDefault="001136BD" w:rsidP="001136BD">
      <w:pPr>
        <w:pStyle w:val="Numberedpara"/>
        <w:numPr>
          <w:ilvl w:val="0"/>
          <w:numId w:val="0"/>
        </w:numPr>
        <w:ind w:left="357" w:hanging="357"/>
      </w:pPr>
    </w:p>
    <w:p w14:paraId="5CB7B156" w14:textId="1E02BD4A" w:rsidR="001136BD" w:rsidRDefault="001136BD" w:rsidP="00ED7E9D">
      <w:pPr>
        <w:pStyle w:val="SMTActions"/>
      </w:pPr>
      <w:r>
        <w:t>ACTION:</w:t>
      </w:r>
      <w:r w:rsidR="00ED7E9D">
        <w:t xml:space="preserve"> MB</w:t>
      </w:r>
    </w:p>
    <w:p w14:paraId="77A88F44" w14:textId="188D1380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7731C946" w14:textId="7EE15408" w:rsidR="004214ED" w:rsidRDefault="004214ED" w:rsidP="004214ED">
      <w:pPr>
        <w:pStyle w:val="Heading2"/>
      </w:pPr>
      <w:r>
        <w:t xml:space="preserve">NICE Connect (item </w:t>
      </w:r>
      <w:r w:rsidR="006747FD">
        <w:t>9</w:t>
      </w:r>
      <w:r>
        <w:t>)</w:t>
      </w:r>
    </w:p>
    <w:p w14:paraId="76169639" w14:textId="5B8DF966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23A4C7B2" w14:textId="7ED92173" w:rsidR="003C670F" w:rsidRDefault="00AB1417" w:rsidP="003C670F">
      <w:pPr>
        <w:pStyle w:val="Numberedpara"/>
      </w:pPr>
      <w:r>
        <w:t>Gill Leng noted that the current focus is</w:t>
      </w:r>
      <w:r w:rsidR="009D7EAA">
        <w:t xml:space="preserve"> to agree </w:t>
      </w:r>
      <w:r>
        <w:t xml:space="preserve">which </w:t>
      </w:r>
      <w:r w:rsidR="00B465E1">
        <w:t>aspect</w:t>
      </w:r>
      <w:r w:rsidR="00213DD5">
        <w:t>s</w:t>
      </w:r>
      <w:r>
        <w:t xml:space="preserve"> of the </w:t>
      </w:r>
      <w:r w:rsidR="00480FEC">
        <w:t>transformation</w:t>
      </w:r>
      <w:r>
        <w:t xml:space="preserve"> should be taken forward in the coming months and which should be paused</w:t>
      </w:r>
      <w:r w:rsidR="009D7EAA">
        <w:t xml:space="preserve"> </w:t>
      </w:r>
      <w:proofErr w:type="gramStart"/>
      <w:r w:rsidR="009D7EAA">
        <w:t>in light of</w:t>
      </w:r>
      <w:proofErr w:type="gramEnd"/>
      <w:r w:rsidR="009D7EAA">
        <w:t xml:space="preserve"> the COVID-19 disruption</w:t>
      </w:r>
      <w:r>
        <w:t xml:space="preserve">. The aim is to agree this at the next steering group and </w:t>
      </w:r>
      <w:r w:rsidR="00B465E1">
        <w:t>include</w:t>
      </w:r>
      <w:r>
        <w:t xml:space="preserve"> </w:t>
      </w:r>
      <w:r w:rsidR="00E109BB">
        <w:t xml:space="preserve">it in </w:t>
      </w:r>
      <w:r>
        <w:t>the COVID-19 progress report to the April Board Strategy meeting.</w:t>
      </w:r>
    </w:p>
    <w:p w14:paraId="3AEB92E0" w14:textId="77777777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385C86D6" w14:textId="0A71A28B" w:rsidR="004214ED" w:rsidRDefault="004214ED" w:rsidP="004214ED">
      <w:pPr>
        <w:pStyle w:val="Heading2"/>
      </w:pPr>
      <w:r>
        <w:t>London office move (item 1</w:t>
      </w:r>
      <w:r w:rsidR="006747FD">
        <w:t>0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05EFFC4D" w14:textId="6C8A1C32" w:rsidR="004214ED" w:rsidRPr="003C670F" w:rsidRDefault="006747FD" w:rsidP="004214ED">
      <w:pPr>
        <w:pStyle w:val="Numberedpara"/>
        <w:rPr>
          <w:color w:val="000000" w:themeColor="text1"/>
        </w:rPr>
      </w:pPr>
      <w:r>
        <w:rPr>
          <w:color w:val="000000" w:themeColor="text1"/>
        </w:rPr>
        <w:t>No further update.</w:t>
      </w:r>
    </w:p>
    <w:p w14:paraId="64F04F60" w14:textId="77777777" w:rsidR="004214ED" w:rsidRPr="003A436B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05252A9A" w14:textId="67813083" w:rsidR="006F3BE2" w:rsidRDefault="006F3BE2" w:rsidP="006F3BE2">
      <w:pPr>
        <w:pStyle w:val="Heading2"/>
      </w:pPr>
      <w:r>
        <w:t>Weekly staff SMT updates (item</w:t>
      </w:r>
      <w:r w:rsidR="00683288">
        <w:t xml:space="preserve"> </w:t>
      </w:r>
      <w:r w:rsidR="004214ED">
        <w:t>1</w:t>
      </w:r>
      <w:r w:rsidR="006747FD">
        <w:t>1</w:t>
      </w:r>
      <w:r>
        <w:t>)</w:t>
      </w:r>
    </w:p>
    <w:p w14:paraId="7DE011CF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856A12A" w14:textId="11823126" w:rsidR="006F3BE2" w:rsidRDefault="006F3BE2" w:rsidP="00FF68A5">
      <w:pPr>
        <w:pStyle w:val="Numberedpara"/>
      </w:pPr>
      <w:r>
        <w:t xml:space="preserve">SMT agreed the staff updates. </w:t>
      </w:r>
    </w:p>
    <w:p w14:paraId="47A81F15" w14:textId="49059D69" w:rsidR="00646A63" w:rsidRDefault="00207F4A" w:rsidP="00FF68A5">
      <w:pPr>
        <w:pStyle w:val="SMTActions"/>
      </w:pPr>
      <w:r w:rsidRPr="00207F4A">
        <w:t xml:space="preserve">ACTION: </w:t>
      </w:r>
      <w:r w:rsidR="00FF68A5">
        <w:t>DC</w:t>
      </w:r>
    </w:p>
    <w:p w14:paraId="77749DC8" w14:textId="77777777" w:rsidR="00FF68A5" w:rsidRPr="00FA4D12" w:rsidRDefault="00FF68A5" w:rsidP="00FF68A5">
      <w:pPr>
        <w:pStyle w:val="SMTActions"/>
      </w:pPr>
    </w:p>
    <w:p w14:paraId="4816FA64" w14:textId="41ED1460" w:rsidR="006F3BE2" w:rsidRPr="00FA4D12" w:rsidRDefault="004E7E52" w:rsidP="00FF68A5">
      <w:pPr>
        <w:pStyle w:val="Heading2"/>
      </w:pPr>
      <w:r>
        <w:t>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4214ED">
        <w:t>1</w:t>
      </w:r>
      <w:r w:rsidR="006747FD">
        <w:t>2</w:t>
      </w:r>
      <w:r w:rsidR="006F3BE2">
        <w:t>)</w:t>
      </w:r>
    </w:p>
    <w:p w14:paraId="5F62CEA1" w14:textId="77FCD22F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768CCF0D" w14:textId="61C9BA15" w:rsidR="00A46EBB" w:rsidRDefault="000A5E67" w:rsidP="00A46EBB">
      <w:pPr>
        <w:pStyle w:val="Numberedpara"/>
      </w:pPr>
      <w:r>
        <w:t>N</w:t>
      </w:r>
      <w:r w:rsidR="00A46EBB">
        <w:t>one.</w:t>
      </w:r>
    </w:p>
    <w:p w14:paraId="6A3A22F4" w14:textId="6A3DC352" w:rsidR="00234D13" w:rsidRDefault="00234D13" w:rsidP="00A46EBB">
      <w:pPr>
        <w:pStyle w:val="Numberedpara"/>
        <w:numPr>
          <w:ilvl w:val="0"/>
          <w:numId w:val="0"/>
        </w:numPr>
      </w:pPr>
    </w:p>
    <w:sectPr w:rsidR="00234D13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6071F" w14:textId="77777777" w:rsidR="00C47774" w:rsidRDefault="00C47774" w:rsidP="00446BEE">
      <w:r>
        <w:separator/>
      </w:r>
    </w:p>
  </w:endnote>
  <w:endnote w:type="continuationSeparator" w:id="0">
    <w:p w14:paraId="55164441" w14:textId="77777777" w:rsidR="00C47774" w:rsidRDefault="00C4777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C47774" w:rsidRDefault="00C4777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C00640">
      <w:fldChar w:fldCharType="begin"/>
    </w:r>
    <w:r w:rsidR="00C00640">
      <w:instrText xml:space="preserve"> NUMPAGES  </w:instrText>
    </w:r>
    <w:r w:rsidR="00C00640">
      <w:fldChar w:fldCharType="separate"/>
    </w:r>
    <w:r>
      <w:rPr>
        <w:noProof/>
      </w:rPr>
      <w:t>5</w:t>
    </w:r>
    <w:r w:rsidR="00C006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9E7DF" w14:textId="77777777" w:rsidR="00C47774" w:rsidRDefault="00C47774" w:rsidP="00446BEE">
      <w:r>
        <w:separator/>
      </w:r>
    </w:p>
  </w:footnote>
  <w:footnote w:type="continuationSeparator" w:id="0">
    <w:p w14:paraId="32417506" w14:textId="77777777" w:rsidR="00C47774" w:rsidRDefault="00C4777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62EE6ED9" w:rsidR="00C47774" w:rsidRPr="007D0457" w:rsidRDefault="00C47774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19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20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</w:num>
  <w:num w:numId="27">
    <w:abstractNumId w:val="16"/>
  </w:num>
  <w:num w:numId="28">
    <w:abstractNumId w:val="14"/>
  </w:num>
  <w:num w:numId="29">
    <w:abstractNumId w:val="0"/>
  </w:num>
  <w:num w:numId="30">
    <w:abstractNumId w:val="19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2355"/>
    <w:rsid w:val="00020D14"/>
    <w:rsid w:val="00020EBA"/>
    <w:rsid w:val="00021245"/>
    <w:rsid w:val="00022932"/>
    <w:rsid w:val="000232F2"/>
    <w:rsid w:val="00023F0E"/>
    <w:rsid w:val="00024B3D"/>
    <w:rsid w:val="00024D0A"/>
    <w:rsid w:val="000253C0"/>
    <w:rsid w:val="00032073"/>
    <w:rsid w:val="000376CB"/>
    <w:rsid w:val="00042D75"/>
    <w:rsid w:val="000439B6"/>
    <w:rsid w:val="000472DC"/>
    <w:rsid w:val="00050204"/>
    <w:rsid w:val="00053B5D"/>
    <w:rsid w:val="00054CC7"/>
    <w:rsid w:val="00055EB1"/>
    <w:rsid w:val="000566B0"/>
    <w:rsid w:val="00056F21"/>
    <w:rsid w:val="000602E2"/>
    <w:rsid w:val="00060E93"/>
    <w:rsid w:val="0006260D"/>
    <w:rsid w:val="00070065"/>
    <w:rsid w:val="00070B7D"/>
    <w:rsid w:val="00070F8F"/>
    <w:rsid w:val="0007247B"/>
    <w:rsid w:val="0007277C"/>
    <w:rsid w:val="00074991"/>
    <w:rsid w:val="00075572"/>
    <w:rsid w:val="00076A9C"/>
    <w:rsid w:val="00076FD5"/>
    <w:rsid w:val="000809D2"/>
    <w:rsid w:val="0008183C"/>
    <w:rsid w:val="000836B1"/>
    <w:rsid w:val="00083F12"/>
    <w:rsid w:val="00084854"/>
    <w:rsid w:val="00084B80"/>
    <w:rsid w:val="00085650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A0395"/>
    <w:rsid w:val="000A1E6D"/>
    <w:rsid w:val="000A4279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C0211"/>
    <w:rsid w:val="000C04CF"/>
    <w:rsid w:val="000C1A68"/>
    <w:rsid w:val="000C1FDB"/>
    <w:rsid w:val="000C3422"/>
    <w:rsid w:val="000C368A"/>
    <w:rsid w:val="000C46EF"/>
    <w:rsid w:val="000C541C"/>
    <w:rsid w:val="000C542C"/>
    <w:rsid w:val="000C5DBA"/>
    <w:rsid w:val="000C63EA"/>
    <w:rsid w:val="000C7EF5"/>
    <w:rsid w:val="000D2C42"/>
    <w:rsid w:val="000D3277"/>
    <w:rsid w:val="000D53A2"/>
    <w:rsid w:val="000D6D85"/>
    <w:rsid w:val="000E121F"/>
    <w:rsid w:val="000E5656"/>
    <w:rsid w:val="000E654C"/>
    <w:rsid w:val="000E7DE1"/>
    <w:rsid w:val="000E7E12"/>
    <w:rsid w:val="000F1617"/>
    <w:rsid w:val="000F24AA"/>
    <w:rsid w:val="00100AC1"/>
    <w:rsid w:val="00103740"/>
    <w:rsid w:val="00104BD6"/>
    <w:rsid w:val="001077E0"/>
    <w:rsid w:val="0011018F"/>
    <w:rsid w:val="00111CCE"/>
    <w:rsid w:val="001131C4"/>
    <w:rsid w:val="001134E7"/>
    <w:rsid w:val="001136BD"/>
    <w:rsid w:val="00116108"/>
    <w:rsid w:val="00116344"/>
    <w:rsid w:val="00116872"/>
    <w:rsid w:val="00116CD8"/>
    <w:rsid w:val="0012725C"/>
    <w:rsid w:val="001302A2"/>
    <w:rsid w:val="00130A69"/>
    <w:rsid w:val="00130B6E"/>
    <w:rsid w:val="001311CD"/>
    <w:rsid w:val="001343BC"/>
    <w:rsid w:val="00134510"/>
    <w:rsid w:val="001350F7"/>
    <w:rsid w:val="00145C4B"/>
    <w:rsid w:val="00146349"/>
    <w:rsid w:val="001505E0"/>
    <w:rsid w:val="00153771"/>
    <w:rsid w:val="0015444A"/>
    <w:rsid w:val="00154E94"/>
    <w:rsid w:val="00156295"/>
    <w:rsid w:val="00160E15"/>
    <w:rsid w:val="00161EC0"/>
    <w:rsid w:val="00166602"/>
    <w:rsid w:val="00170075"/>
    <w:rsid w:val="001702EA"/>
    <w:rsid w:val="0017149E"/>
    <w:rsid w:val="0017169E"/>
    <w:rsid w:val="00171DB1"/>
    <w:rsid w:val="00173639"/>
    <w:rsid w:val="001739DA"/>
    <w:rsid w:val="001747A6"/>
    <w:rsid w:val="001753D5"/>
    <w:rsid w:val="001754DD"/>
    <w:rsid w:val="0017624C"/>
    <w:rsid w:val="00177B91"/>
    <w:rsid w:val="001804ED"/>
    <w:rsid w:val="00180AE3"/>
    <w:rsid w:val="0018188C"/>
    <w:rsid w:val="00181A4A"/>
    <w:rsid w:val="00182C58"/>
    <w:rsid w:val="00184F4B"/>
    <w:rsid w:val="00187CB2"/>
    <w:rsid w:val="00191BEA"/>
    <w:rsid w:val="001931EE"/>
    <w:rsid w:val="00196622"/>
    <w:rsid w:val="00197C29"/>
    <w:rsid w:val="001A13C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65B3"/>
    <w:rsid w:val="001B7577"/>
    <w:rsid w:val="001B7C6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F0405"/>
    <w:rsid w:val="001F09FA"/>
    <w:rsid w:val="001F0F6E"/>
    <w:rsid w:val="001F2513"/>
    <w:rsid w:val="001F4419"/>
    <w:rsid w:val="001F5C38"/>
    <w:rsid w:val="001F6247"/>
    <w:rsid w:val="002029A6"/>
    <w:rsid w:val="00205B1E"/>
    <w:rsid w:val="00206CD6"/>
    <w:rsid w:val="00207F4A"/>
    <w:rsid w:val="00210577"/>
    <w:rsid w:val="002118F8"/>
    <w:rsid w:val="00211BEC"/>
    <w:rsid w:val="00213099"/>
    <w:rsid w:val="0021356B"/>
    <w:rsid w:val="00213DD5"/>
    <w:rsid w:val="0021712A"/>
    <w:rsid w:val="002200AA"/>
    <w:rsid w:val="0022038A"/>
    <w:rsid w:val="00223165"/>
    <w:rsid w:val="002237AA"/>
    <w:rsid w:val="002247AD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408EA"/>
    <w:rsid w:val="0024105B"/>
    <w:rsid w:val="00241118"/>
    <w:rsid w:val="002419F1"/>
    <w:rsid w:val="00242541"/>
    <w:rsid w:val="0024297A"/>
    <w:rsid w:val="00242A10"/>
    <w:rsid w:val="00242DC5"/>
    <w:rsid w:val="00245C95"/>
    <w:rsid w:val="00246266"/>
    <w:rsid w:val="002464E5"/>
    <w:rsid w:val="002515E9"/>
    <w:rsid w:val="00254C33"/>
    <w:rsid w:val="00255C16"/>
    <w:rsid w:val="0025681F"/>
    <w:rsid w:val="00260966"/>
    <w:rsid w:val="002614C1"/>
    <w:rsid w:val="00261A45"/>
    <w:rsid w:val="00264480"/>
    <w:rsid w:val="0026728F"/>
    <w:rsid w:val="002715FE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A0A54"/>
    <w:rsid w:val="002A507B"/>
    <w:rsid w:val="002B4299"/>
    <w:rsid w:val="002B7B49"/>
    <w:rsid w:val="002C0CC7"/>
    <w:rsid w:val="002C1A7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D24"/>
    <w:rsid w:val="002D4BEF"/>
    <w:rsid w:val="002D6B0B"/>
    <w:rsid w:val="002D73FA"/>
    <w:rsid w:val="002D75B8"/>
    <w:rsid w:val="002E137B"/>
    <w:rsid w:val="002E2146"/>
    <w:rsid w:val="002E3E34"/>
    <w:rsid w:val="002E41F8"/>
    <w:rsid w:val="002E47A0"/>
    <w:rsid w:val="002E57C5"/>
    <w:rsid w:val="002E5B7E"/>
    <w:rsid w:val="002E6DD1"/>
    <w:rsid w:val="002F1539"/>
    <w:rsid w:val="002F4F73"/>
    <w:rsid w:val="002F72E7"/>
    <w:rsid w:val="002F7527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1AAA"/>
    <w:rsid w:val="00311ED0"/>
    <w:rsid w:val="00317697"/>
    <w:rsid w:val="00320118"/>
    <w:rsid w:val="00320B85"/>
    <w:rsid w:val="00323D33"/>
    <w:rsid w:val="0032535C"/>
    <w:rsid w:val="00325F0E"/>
    <w:rsid w:val="00327625"/>
    <w:rsid w:val="00327AC3"/>
    <w:rsid w:val="003315DC"/>
    <w:rsid w:val="00331D51"/>
    <w:rsid w:val="00333503"/>
    <w:rsid w:val="00334ED8"/>
    <w:rsid w:val="00341876"/>
    <w:rsid w:val="00342CC8"/>
    <w:rsid w:val="00343214"/>
    <w:rsid w:val="003479CD"/>
    <w:rsid w:val="003503B7"/>
    <w:rsid w:val="00350C3C"/>
    <w:rsid w:val="0035176E"/>
    <w:rsid w:val="003522D7"/>
    <w:rsid w:val="003544E5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CA6"/>
    <w:rsid w:val="003775CC"/>
    <w:rsid w:val="00383DC8"/>
    <w:rsid w:val="003861FB"/>
    <w:rsid w:val="003873E4"/>
    <w:rsid w:val="00390BA5"/>
    <w:rsid w:val="00396757"/>
    <w:rsid w:val="00396B70"/>
    <w:rsid w:val="003A2699"/>
    <w:rsid w:val="003A435B"/>
    <w:rsid w:val="003A436B"/>
    <w:rsid w:val="003A4AC8"/>
    <w:rsid w:val="003A576C"/>
    <w:rsid w:val="003A58BD"/>
    <w:rsid w:val="003A5CD5"/>
    <w:rsid w:val="003A7FCD"/>
    <w:rsid w:val="003B20A2"/>
    <w:rsid w:val="003B2108"/>
    <w:rsid w:val="003B3294"/>
    <w:rsid w:val="003B3606"/>
    <w:rsid w:val="003B4207"/>
    <w:rsid w:val="003B423C"/>
    <w:rsid w:val="003B511D"/>
    <w:rsid w:val="003B67D7"/>
    <w:rsid w:val="003C120C"/>
    <w:rsid w:val="003C1FA8"/>
    <w:rsid w:val="003C37F6"/>
    <w:rsid w:val="003C5AFC"/>
    <w:rsid w:val="003C670F"/>
    <w:rsid w:val="003C73D4"/>
    <w:rsid w:val="003C7AAF"/>
    <w:rsid w:val="003D03A8"/>
    <w:rsid w:val="003D20F7"/>
    <w:rsid w:val="003D2C1A"/>
    <w:rsid w:val="003D3F0E"/>
    <w:rsid w:val="003D4FE4"/>
    <w:rsid w:val="003E12C9"/>
    <w:rsid w:val="003E1BFF"/>
    <w:rsid w:val="003E4F5A"/>
    <w:rsid w:val="003E6116"/>
    <w:rsid w:val="003E68FB"/>
    <w:rsid w:val="003E6C12"/>
    <w:rsid w:val="003F0601"/>
    <w:rsid w:val="003F0E44"/>
    <w:rsid w:val="003F2268"/>
    <w:rsid w:val="003F5829"/>
    <w:rsid w:val="003F603D"/>
    <w:rsid w:val="003F6819"/>
    <w:rsid w:val="00402005"/>
    <w:rsid w:val="00402F33"/>
    <w:rsid w:val="00403439"/>
    <w:rsid w:val="00403555"/>
    <w:rsid w:val="00405163"/>
    <w:rsid w:val="00405A7D"/>
    <w:rsid w:val="004075B6"/>
    <w:rsid w:val="00410E3E"/>
    <w:rsid w:val="004136FF"/>
    <w:rsid w:val="0041431E"/>
    <w:rsid w:val="00416285"/>
    <w:rsid w:val="0041724A"/>
    <w:rsid w:val="00420952"/>
    <w:rsid w:val="00420E5B"/>
    <w:rsid w:val="004214ED"/>
    <w:rsid w:val="00421613"/>
    <w:rsid w:val="00421C70"/>
    <w:rsid w:val="0042200E"/>
    <w:rsid w:val="0042354F"/>
    <w:rsid w:val="004262B6"/>
    <w:rsid w:val="00426435"/>
    <w:rsid w:val="004300AD"/>
    <w:rsid w:val="00430F01"/>
    <w:rsid w:val="00431382"/>
    <w:rsid w:val="0043193C"/>
    <w:rsid w:val="00431DEE"/>
    <w:rsid w:val="00433538"/>
    <w:rsid w:val="004337EE"/>
    <w:rsid w:val="00433EFF"/>
    <w:rsid w:val="0043409F"/>
    <w:rsid w:val="00437BBC"/>
    <w:rsid w:val="00437E07"/>
    <w:rsid w:val="004422AC"/>
    <w:rsid w:val="00442B12"/>
    <w:rsid w:val="00442B17"/>
    <w:rsid w:val="00443081"/>
    <w:rsid w:val="00443C46"/>
    <w:rsid w:val="004449BE"/>
    <w:rsid w:val="00446BEE"/>
    <w:rsid w:val="00451411"/>
    <w:rsid w:val="00451925"/>
    <w:rsid w:val="00452528"/>
    <w:rsid w:val="00454340"/>
    <w:rsid w:val="00454CD1"/>
    <w:rsid w:val="004555C1"/>
    <w:rsid w:val="0045646C"/>
    <w:rsid w:val="00457915"/>
    <w:rsid w:val="00457FCA"/>
    <w:rsid w:val="00465139"/>
    <w:rsid w:val="00465D00"/>
    <w:rsid w:val="004660BE"/>
    <w:rsid w:val="004700AC"/>
    <w:rsid w:val="00470D17"/>
    <w:rsid w:val="00477CBD"/>
    <w:rsid w:val="00480E8D"/>
    <w:rsid w:val="00480FEC"/>
    <w:rsid w:val="00482B20"/>
    <w:rsid w:val="004830A9"/>
    <w:rsid w:val="0048348A"/>
    <w:rsid w:val="00484BBD"/>
    <w:rsid w:val="00486491"/>
    <w:rsid w:val="004867C3"/>
    <w:rsid w:val="00486F94"/>
    <w:rsid w:val="00493A6F"/>
    <w:rsid w:val="00497F9E"/>
    <w:rsid w:val="004A03EA"/>
    <w:rsid w:val="004A302A"/>
    <w:rsid w:val="004A323C"/>
    <w:rsid w:val="004A38F9"/>
    <w:rsid w:val="004A3FD7"/>
    <w:rsid w:val="004A3FD9"/>
    <w:rsid w:val="004B0805"/>
    <w:rsid w:val="004B08D9"/>
    <w:rsid w:val="004B130A"/>
    <w:rsid w:val="004B3FDC"/>
    <w:rsid w:val="004B482D"/>
    <w:rsid w:val="004B549D"/>
    <w:rsid w:val="004B7F86"/>
    <w:rsid w:val="004C31BA"/>
    <w:rsid w:val="004C392A"/>
    <w:rsid w:val="004C57CE"/>
    <w:rsid w:val="004C57DC"/>
    <w:rsid w:val="004C64D9"/>
    <w:rsid w:val="004C743E"/>
    <w:rsid w:val="004C7E55"/>
    <w:rsid w:val="004D1458"/>
    <w:rsid w:val="004D1CD7"/>
    <w:rsid w:val="004D593F"/>
    <w:rsid w:val="004D61BD"/>
    <w:rsid w:val="004E074C"/>
    <w:rsid w:val="004E181A"/>
    <w:rsid w:val="004E1C69"/>
    <w:rsid w:val="004E2898"/>
    <w:rsid w:val="004E30CE"/>
    <w:rsid w:val="004E7E52"/>
    <w:rsid w:val="004F2EBE"/>
    <w:rsid w:val="004F3AB8"/>
    <w:rsid w:val="004F47F5"/>
    <w:rsid w:val="004F4DBC"/>
    <w:rsid w:val="004F524D"/>
    <w:rsid w:val="004F69BA"/>
    <w:rsid w:val="005025A1"/>
    <w:rsid w:val="0050634E"/>
    <w:rsid w:val="00506C88"/>
    <w:rsid w:val="00507F86"/>
    <w:rsid w:val="00510AEE"/>
    <w:rsid w:val="0051256D"/>
    <w:rsid w:val="0051305A"/>
    <w:rsid w:val="00515086"/>
    <w:rsid w:val="00521143"/>
    <w:rsid w:val="00523996"/>
    <w:rsid w:val="00524E32"/>
    <w:rsid w:val="005252FD"/>
    <w:rsid w:val="005255D3"/>
    <w:rsid w:val="005326BE"/>
    <w:rsid w:val="0053493B"/>
    <w:rsid w:val="005360F2"/>
    <w:rsid w:val="00536153"/>
    <w:rsid w:val="005362E1"/>
    <w:rsid w:val="005377D0"/>
    <w:rsid w:val="00541F74"/>
    <w:rsid w:val="00542BB3"/>
    <w:rsid w:val="0054407B"/>
    <w:rsid w:val="00545319"/>
    <w:rsid w:val="00545EDE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0DD5"/>
    <w:rsid w:val="005712CF"/>
    <w:rsid w:val="00571FFF"/>
    <w:rsid w:val="00572AC0"/>
    <w:rsid w:val="00577489"/>
    <w:rsid w:val="00584273"/>
    <w:rsid w:val="00584D0B"/>
    <w:rsid w:val="0058754B"/>
    <w:rsid w:val="0059716C"/>
    <w:rsid w:val="005A008A"/>
    <w:rsid w:val="005A0980"/>
    <w:rsid w:val="005A16D5"/>
    <w:rsid w:val="005A2342"/>
    <w:rsid w:val="005A6290"/>
    <w:rsid w:val="005A6C72"/>
    <w:rsid w:val="005A6E4F"/>
    <w:rsid w:val="005B0BD6"/>
    <w:rsid w:val="005B103D"/>
    <w:rsid w:val="005B1B79"/>
    <w:rsid w:val="005B2493"/>
    <w:rsid w:val="005B29C3"/>
    <w:rsid w:val="005B3916"/>
    <w:rsid w:val="005C428C"/>
    <w:rsid w:val="005C6685"/>
    <w:rsid w:val="005C7D5B"/>
    <w:rsid w:val="005C7EB6"/>
    <w:rsid w:val="005D013A"/>
    <w:rsid w:val="005D055E"/>
    <w:rsid w:val="005D23A2"/>
    <w:rsid w:val="005D605B"/>
    <w:rsid w:val="005D7F8F"/>
    <w:rsid w:val="005E16E9"/>
    <w:rsid w:val="005F12C3"/>
    <w:rsid w:val="005F5EF6"/>
    <w:rsid w:val="00600802"/>
    <w:rsid w:val="00601420"/>
    <w:rsid w:val="00601D97"/>
    <w:rsid w:val="0060217D"/>
    <w:rsid w:val="00606F91"/>
    <w:rsid w:val="0061632B"/>
    <w:rsid w:val="00616705"/>
    <w:rsid w:val="006170F6"/>
    <w:rsid w:val="00617D99"/>
    <w:rsid w:val="00620984"/>
    <w:rsid w:val="0062151F"/>
    <w:rsid w:val="00622FB4"/>
    <w:rsid w:val="00623733"/>
    <w:rsid w:val="00624C3B"/>
    <w:rsid w:val="00630987"/>
    <w:rsid w:val="00630EF1"/>
    <w:rsid w:val="006325A8"/>
    <w:rsid w:val="00632D1D"/>
    <w:rsid w:val="0063337A"/>
    <w:rsid w:val="00636AE2"/>
    <w:rsid w:val="00637C90"/>
    <w:rsid w:val="00640495"/>
    <w:rsid w:val="00640637"/>
    <w:rsid w:val="00640BE4"/>
    <w:rsid w:val="00640E39"/>
    <w:rsid w:val="00641180"/>
    <w:rsid w:val="00646546"/>
    <w:rsid w:val="00646A63"/>
    <w:rsid w:val="006478F0"/>
    <w:rsid w:val="0065082A"/>
    <w:rsid w:val="00651CC5"/>
    <w:rsid w:val="006538DD"/>
    <w:rsid w:val="00654978"/>
    <w:rsid w:val="00654AAE"/>
    <w:rsid w:val="00655B1E"/>
    <w:rsid w:val="006569AD"/>
    <w:rsid w:val="00657EA7"/>
    <w:rsid w:val="00657ED3"/>
    <w:rsid w:val="00660A0B"/>
    <w:rsid w:val="0066517F"/>
    <w:rsid w:val="00665542"/>
    <w:rsid w:val="00666647"/>
    <w:rsid w:val="00670DE1"/>
    <w:rsid w:val="0067201C"/>
    <w:rsid w:val="006747FD"/>
    <w:rsid w:val="00675F12"/>
    <w:rsid w:val="00677830"/>
    <w:rsid w:val="0068087E"/>
    <w:rsid w:val="00680F35"/>
    <w:rsid w:val="00682AB9"/>
    <w:rsid w:val="006831E0"/>
    <w:rsid w:val="00683288"/>
    <w:rsid w:val="006837A8"/>
    <w:rsid w:val="00683DFE"/>
    <w:rsid w:val="00684D80"/>
    <w:rsid w:val="00686881"/>
    <w:rsid w:val="006875CA"/>
    <w:rsid w:val="006900FC"/>
    <w:rsid w:val="00690502"/>
    <w:rsid w:val="006921E1"/>
    <w:rsid w:val="006928CF"/>
    <w:rsid w:val="0069653C"/>
    <w:rsid w:val="00697A5B"/>
    <w:rsid w:val="006A1AE8"/>
    <w:rsid w:val="006A27D0"/>
    <w:rsid w:val="006A55B2"/>
    <w:rsid w:val="006A5EB7"/>
    <w:rsid w:val="006A5F19"/>
    <w:rsid w:val="006A64FD"/>
    <w:rsid w:val="006B1325"/>
    <w:rsid w:val="006B1553"/>
    <w:rsid w:val="006B2D63"/>
    <w:rsid w:val="006B30D4"/>
    <w:rsid w:val="006B6EBF"/>
    <w:rsid w:val="006B7882"/>
    <w:rsid w:val="006C1746"/>
    <w:rsid w:val="006C214B"/>
    <w:rsid w:val="006C2E23"/>
    <w:rsid w:val="006C35A0"/>
    <w:rsid w:val="006C3658"/>
    <w:rsid w:val="006C4D7B"/>
    <w:rsid w:val="006C6AA7"/>
    <w:rsid w:val="006C7B86"/>
    <w:rsid w:val="006D2446"/>
    <w:rsid w:val="006D4126"/>
    <w:rsid w:val="006D50CB"/>
    <w:rsid w:val="006D5F11"/>
    <w:rsid w:val="006D68EF"/>
    <w:rsid w:val="006D6F91"/>
    <w:rsid w:val="006D74CB"/>
    <w:rsid w:val="006E0F91"/>
    <w:rsid w:val="006E1B3F"/>
    <w:rsid w:val="006E2856"/>
    <w:rsid w:val="006E4665"/>
    <w:rsid w:val="006E5370"/>
    <w:rsid w:val="006E5881"/>
    <w:rsid w:val="006E6F4A"/>
    <w:rsid w:val="006F1CD8"/>
    <w:rsid w:val="006F30BE"/>
    <w:rsid w:val="006F3BE2"/>
    <w:rsid w:val="006F4B25"/>
    <w:rsid w:val="006F6496"/>
    <w:rsid w:val="0070165B"/>
    <w:rsid w:val="00701D7C"/>
    <w:rsid w:val="00702817"/>
    <w:rsid w:val="00702C06"/>
    <w:rsid w:val="00704A6A"/>
    <w:rsid w:val="007052B1"/>
    <w:rsid w:val="0070531C"/>
    <w:rsid w:val="00705573"/>
    <w:rsid w:val="00705836"/>
    <w:rsid w:val="007058E4"/>
    <w:rsid w:val="00705D6E"/>
    <w:rsid w:val="007062D5"/>
    <w:rsid w:val="00707352"/>
    <w:rsid w:val="0071055D"/>
    <w:rsid w:val="007109E5"/>
    <w:rsid w:val="00713769"/>
    <w:rsid w:val="00714CFE"/>
    <w:rsid w:val="00715492"/>
    <w:rsid w:val="00716659"/>
    <w:rsid w:val="007179BB"/>
    <w:rsid w:val="00717C37"/>
    <w:rsid w:val="007235D3"/>
    <w:rsid w:val="007245C0"/>
    <w:rsid w:val="00726869"/>
    <w:rsid w:val="00727C3D"/>
    <w:rsid w:val="00732A4C"/>
    <w:rsid w:val="007342EF"/>
    <w:rsid w:val="00736348"/>
    <w:rsid w:val="00736912"/>
    <w:rsid w:val="00740321"/>
    <w:rsid w:val="00744033"/>
    <w:rsid w:val="00744336"/>
    <w:rsid w:val="00744BF0"/>
    <w:rsid w:val="00745C8D"/>
    <w:rsid w:val="00750330"/>
    <w:rsid w:val="00750DF5"/>
    <w:rsid w:val="007516F7"/>
    <w:rsid w:val="0075661F"/>
    <w:rsid w:val="007571FD"/>
    <w:rsid w:val="00760908"/>
    <w:rsid w:val="00763944"/>
    <w:rsid w:val="007677FC"/>
    <w:rsid w:val="00776CBA"/>
    <w:rsid w:val="00776F0D"/>
    <w:rsid w:val="00776F5B"/>
    <w:rsid w:val="00776F93"/>
    <w:rsid w:val="00777395"/>
    <w:rsid w:val="00780E5C"/>
    <w:rsid w:val="00780F99"/>
    <w:rsid w:val="007818B8"/>
    <w:rsid w:val="00782437"/>
    <w:rsid w:val="0079159A"/>
    <w:rsid w:val="00793439"/>
    <w:rsid w:val="00794922"/>
    <w:rsid w:val="007950A7"/>
    <w:rsid w:val="007957B9"/>
    <w:rsid w:val="0079661C"/>
    <w:rsid w:val="007A0E36"/>
    <w:rsid w:val="007A222B"/>
    <w:rsid w:val="007A3A2F"/>
    <w:rsid w:val="007A4088"/>
    <w:rsid w:val="007A425C"/>
    <w:rsid w:val="007A5086"/>
    <w:rsid w:val="007B2A9F"/>
    <w:rsid w:val="007B43A1"/>
    <w:rsid w:val="007B4D14"/>
    <w:rsid w:val="007B744C"/>
    <w:rsid w:val="007B7DC1"/>
    <w:rsid w:val="007C5FAB"/>
    <w:rsid w:val="007D0457"/>
    <w:rsid w:val="007D0578"/>
    <w:rsid w:val="007D0755"/>
    <w:rsid w:val="007D1BFE"/>
    <w:rsid w:val="007D2CF6"/>
    <w:rsid w:val="007D2F38"/>
    <w:rsid w:val="007D440D"/>
    <w:rsid w:val="007D4D20"/>
    <w:rsid w:val="007D68FE"/>
    <w:rsid w:val="007D69E6"/>
    <w:rsid w:val="007E05DE"/>
    <w:rsid w:val="007E530D"/>
    <w:rsid w:val="007E72A1"/>
    <w:rsid w:val="007F238D"/>
    <w:rsid w:val="007F361A"/>
    <w:rsid w:val="007F4ED3"/>
    <w:rsid w:val="007F6671"/>
    <w:rsid w:val="0080266C"/>
    <w:rsid w:val="00802815"/>
    <w:rsid w:val="00804E27"/>
    <w:rsid w:val="008057D9"/>
    <w:rsid w:val="0080602B"/>
    <w:rsid w:val="00806FAA"/>
    <w:rsid w:val="00810168"/>
    <w:rsid w:val="008113C6"/>
    <w:rsid w:val="00812C36"/>
    <w:rsid w:val="00813EED"/>
    <w:rsid w:val="0081490E"/>
    <w:rsid w:val="008159B5"/>
    <w:rsid w:val="00816677"/>
    <w:rsid w:val="00816FCD"/>
    <w:rsid w:val="00822179"/>
    <w:rsid w:val="00824E03"/>
    <w:rsid w:val="00825597"/>
    <w:rsid w:val="00825A03"/>
    <w:rsid w:val="00826444"/>
    <w:rsid w:val="00826930"/>
    <w:rsid w:val="00826B19"/>
    <w:rsid w:val="00826D99"/>
    <w:rsid w:val="00833315"/>
    <w:rsid w:val="008338EB"/>
    <w:rsid w:val="00837398"/>
    <w:rsid w:val="008456A8"/>
    <w:rsid w:val="00850ABF"/>
    <w:rsid w:val="008517C8"/>
    <w:rsid w:val="008541ED"/>
    <w:rsid w:val="0085566B"/>
    <w:rsid w:val="00855E40"/>
    <w:rsid w:val="008568E7"/>
    <w:rsid w:val="00856FDC"/>
    <w:rsid w:val="00857B3A"/>
    <w:rsid w:val="00861B92"/>
    <w:rsid w:val="00862B23"/>
    <w:rsid w:val="008635F6"/>
    <w:rsid w:val="00864C2A"/>
    <w:rsid w:val="00865647"/>
    <w:rsid w:val="00867244"/>
    <w:rsid w:val="0086732E"/>
    <w:rsid w:val="00870F5D"/>
    <w:rsid w:val="00872361"/>
    <w:rsid w:val="00872D81"/>
    <w:rsid w:val="00873502"/>
    <w:rsid w:val="00873D2A"/>
    <w:rsid w:val="00873D42"/>
    <w:rsid w:val="0087623B"/>
    <w:rsid w:val="0087729F"/>
    <w:rsid w:val="008814FB"/>
    <w:rsid w:val="00881BCD"/>
    <w:rsid w:val="0088342D"/>
    <w:rsid w:val="0088521A"/>
    <w:rsid w:val="00886165"/>
    <w:rsid w:val="0088695D"/>
    <w:rsid w:val="00892B11"/>
    <w:rsid w:val="00892CCE"/>
    <w:rsid w:val="00894894"/>
    <w:rsid w:val="008953F9"/>
    <w:rsid w:val="00896DF2"/>
    <w:rsid w:val="008A5002"/>
    <w:rsid w:val="008A61AF"/>
    <w:rsid w:val="008B2909"/>
    <w:rsid w:val="008B35AB"/>
    <w:rsid w:val="008B4E01"/>
    <w:rsid w:val="008B7D27"/>
    <w:rsid w:val="008C1A9C"/>
    <w:rsid w:val="008C3629"/>
    <w:rsid w:val="008C44B9"/>
    <w:rsid w:val="008C52C2"/>
    <w:rsid w:val="008C5E96"/>
    <w:rsid w:val="008D3446"/>
    <w:rsid w:val="008D3551"/>
    <w:rsid w:val="008D4136"/>
    <w:rsid w:val="008D6013"/>
    <w:rsid w:val="008E0982"/>
    <w:rsid w:val="008E1E93"/>
    <w:rsid w:val="008E23C1"/>
    <w:rsid w:val="008E2D87"/>
    <w:rsid w:val="008E393E"/>
    <w:rsid w:val="008E4437"/>
    <w:rsid w:val="008F0292"/>
    <w:rsid w:val="008F2DB6"/>
    <w:rsid w:val="008F5743"/>
    <w:rsid w:val="008F5E30"/>
    <w:rsid w:val="008F73FA"/>
    <w:rsid w:val="008F7D10"/>
    <w:rsid w:val="009008B8"/>
    <w:rsid w:val="0090244F"/>
    <w:rsid w:val="00902B72"/>
    <w:rsid w:val="009065A4"/>
    <w:rsid w:val="00910388"/>
    <w:rsid w:val="00913737"/>
    <w:rsid w:val="0091378D"/>
    <w:rsid w:val="009141A9"/>
    <w:rsid w:val="00914D7F"/>
    <w:rsid w:val="009162A1"/>
    <w:rsid w:val="00916C1D"/>
    <w:rsid w:val="00917222"/>
    <w:rsid w:val="00920EDE"/>
    <w:rsid w:val="00921E2F"/>
    <w:rsid w:val="0092201A"/>
    <w:rsid w:val="009255C0"/>
    <w:rsid w:val="009255C3"/>
    <w:rsid w:val="00927154"/>
    <w:rsid w:val="009272DC"/>
    <w:rsid w:val="009332F5"/>
    <w:rsid w:val="0093341E"/>
    <w:rsid w:val="0093375A"/>
    <w:rsid w:val="009353DC"/>
    <w:rsid w:val="009377B5"/>
    <w:rsid w:val="0094046F"/>
    <w:rsid w:val="00940CF5"/>
    <w:rsid w:val="0094228F"/>
    <w:rsid w:val="0094265C"/>
    <w:rsid w:val="00942FB4"/>
    <w:rsid w:val="009436F4"/>
    <w:rsid w:val="00944C76"/>
    <w:rsid w:val="00945396"/>
    <w:rsid w:val="00945641"/>
    <w:rsid w:val="0094642D"/>
    <w:rsid w:val="0095012A"/>
    <w:rsid w:val="00951014"/>
    <w:rsid w:val="009514BA"/>
    <w:rsid w:val="0095652C"/>
    <w:rsid w:val="009660C9"/>
    <w:rsid w:val="009719CB"/>
    <w:rsid w:val="00974141"/>
    <w:rsid w:val="0097530B"/>
    <w:rsid w:val="00975C12"/>
    <w:rsid w:val="00976CDC"/>
    <w:rsid w:val="00977522"/>
    <w:rsid w:val="00982837"/>
    <w:rsid w:val="00984C68"/>
    <w:rsid w:val="00985AC0"/>
    <w:rsid w:val="00996E66"/>
    <w:rsid w:val="009A13D9"/>
    <w:rsid w:val="009A29B8"/>
    <w:rsid w:val="009A3E07"/>
    <w:rsid w:val="009A5473"/>
    <w:rsid w:val="009A7421"/>
    <w:rsid w:val="009B0F41"/>
    <w:rsid w:val="009B5FDA"/>
    <w:rsid w:val="009C1056"/>
    <w:rsid w:val="009C15C4"/>
    <w:rsid w:val="009C2397"/>
    <w:rsid w:val="009C45FE"/>
    <w:rsid w:val="009C5DD5"/>
    <w:rsid w:val="009C63F4"/>
    <w:rsid w:val="009D3A79"/>
    <w:rsid w:val="009D3E0D"/>
    <w:rsid w:val="009D7BCF"/>
    <w:rsid w:val="009D7EAA"/>
    <w:rsid w:val="009E05DE"/>
    <w:rsid w:val="009E0AB7"/>
    <w:rsid w:val="009E1DB5"/>
    <w:rsid w:val="009E23C3"/>
    <w:rsid w:val="009E43B4"/>
    <w:rsid w:val="009E57F5"/>
    <w:rsid w:val="009E680B"/>
    <w:rsid w:val="009E6DD9"/>
    <w:rsid w:val="009E7BD3"/>
    <w:rsid w:val="009F1851"/>
    <w:rsid w:val="009F1C75"/>
    <w:rsid w:val="009F69F1"/>
    <w:rsid w:val="00A0005D"/>
    <w:rsid w:val="00A00F01"/>
    <w:rsid w:val="00A014FE"/>
    <w:rsid w:val="00A01AC5"/>
    <w:rsid w:val="00A01CC9"/>
    <w:rsid w:val="00A040CC"/>
    <w:rsid w:val="00A04630"/>
    <w:rsid w:val="00A04A21"/>
    <w:rsid w:val="00A04F99"/>
    <w:rsid w:val="00A1276C"/>
    <w:rsid w:val="00A15408"/>
    <w:rsid w:val="00A15A1F"/>
    <w:rsid w:val="00A166CF"/>
    <w:rsid w:val="00A169B1"/>
    <w:rsid w:val="00A16A12"/>
    <w:rsid w:val="00A248F6"/>
    <w:rsid w:val="00A26641"/>
    <w:rsid w:val="00A300BC"/>
    <w:rsid w:val="00A30C6D"/>
    <w:rsid w:val="00A3120B"/>
    <w:rsid w:val="00A31D66"/>
    <w:rsid w:val="00A32BC1"/>
    <w:rsid w:val="00A3325A"/>
    <w:rsid w:val="00A3365E"/>
    <w:rsid w:val="00A33BD6"/>
    <w:rsid w:val="00A404E4"/>
    <w:rsid w:val="00A41268"/>
    <w:rsid w:val="00A41C24"/>
    <w:rsid w:val="00A4259B"/>
    <w:rsid w:val="00A43013"/>
    <w:rsid w:val="00A44DC0"/>
    <w:rsid w:val="00A45563"/>
    <w:rsid w:val="00A46EBB"/>
    <w:rsid w:val="00A47341"/>
    <w:rsid w:val="00A5355C"/>
    <w:rsid w:val="00A6091A"/>
    <w:rsid w:val="00A610C9"/>
    <w:rsid w:val="00A63F06"/>
    <w:rsid w:val="00A6420C"/>
    <w:rsid w:val="00A65071"/>
    <w:rsid w:val="00A654FC"/>
    <w:rsid w:val="00A67180"/>
    <w:rsid w:val="00A676B6"/>
    <w:rsid w:val="00A701A7"/>
    <w:rsid w:val="00A7197A"/>
    <w:rsid w:val="00A71CCE"/>
    <w:rsid w:val="00A75FB4"/>
    <w:rsid w:val="00A77DE5"/>
    <w:rsid w:val="00A81221"/>
    <w:rsid w:val="00A82275"/>
    <w:rsid w:val="00A836CD"/>
    <w:rsid w:val="00A8751F"/>
    <w:rsid w:val="00A9007A"/>
    <w:rsid w:val="00A91492"/>
    <w:rsid w:val="00A91E17"/>
    <w:rsid w:val="00A9397D"/>
    <w:rsid w:val="00A946A9"/>
    <w:rsid w:val="00A94B77"/>
    <w:rsid w:val="00A94C02"/>
    <w:rsid w:val="00A9509B"/>
    <w:rsid w:val="00A9682D"/>
    <w:rsid w:val="00AA5E26"/>
    <w:rsid w:val="00AB11C4"/>
    <w:rsid w:val="00AB1356"/>
    <w:rsid w:val="00AB1417"/>
    <w:rsid w:val="00AB17D5"/>
    <w:rsid w:val="00AB4C02"/>
    <w:rsid w:val="00AB74C7"/>
    <w:rsid w:val="00AC3CD2"/>
    <w:rsid w:val="00AC3DB5"/>
    <w:rsid w:val="00AD45C1"/>
    <w:rsid w:val="00AD7456"/>
    <w:rsid w:val="00AE0D2A"/>
    <w:rsid w:val="00AE2162"/>
    <w:rsid w:val="00AE342B"/>
    <w:rsid w:val="00AE40E9"/>
    <w:rsid w:val="00AE4AD5"/>
    <w:rsid w:val="00AE5692"/>
    <w:rsid w:val="00AE5CC7"/>
    <w:rsid w:val="00AE7C78"/>
    <w:rsid w:val="00AF108A"/>
    <w:rsid w:val="00AF6295"/>
    <w:rsid w:val="00AF7542"/>
    <w:rsid w:val="00B01423"/>
    <w:rsid w:val="00B01B8C"/>
    <w:rsid w:val="00B02E55"/>
    <w:rsid w:val="00B036C1"/>
    <w:rsid w:val="00B03AB7"/>
    <w:rsid w:val="00B0424B"/>
    <w:rsid w:val="00B04EBB"/>
    <w:rsid w:val="00B0555C"/>
    <w:rsid w:val="00B06C37"/>
    <w:rsid w:val="00B071B3"/>
    <w:rsid w:val="00B07A8B"/>
    <w:rsid w:val="00B1173D"/>
    <w:rsid w:val="00B12D48"/>
    <w:rsid w:val="00B14F04"/>
    <w:rsid w:val="00B15E24"/>
    <w:rsid w:val="00B167B5"/>
    <w:rsid w:val="00B20E0E"/>
    <w:rsid w:val="00B22336"/>
    <w:rsid w:val="00B2442D"/>
    <w:rsid w:val="00B25929"/>
    <w:rsid w:val="00B2628B"/>
    <w:rsid w:val="00B26323"/>
    <w:rsid w:val="00B27D91"/>
    <w:rsid w:val="00B30E92"/>
    <w:rsid w:val="00B310FF"/>
    <w:rsid w:val="00B3136A"/>
    <w:rsid w:val="00B31A25"/>
    <w:rsid w:val="00B34851"/>
    <w:rsid w:val="00B36329"/>
    <w:rsid w:val="00B374AF"/>
    <w:rsid w:val="00B37B02"/>
    <w:rsid w:val="00B40464"/>
    <w:rsid w:val="00B40A6D"/>
    <w:rsid w:val="00B435A5"/>
    <w:rsid w:val="00B465E1"/>
    <w:rsid w:val="00B471CE"/>
    <w:rsid w:val="00B506FF"/>
    <w:rsid w:val="00B50760"/>
    <w:rsid w:val="00B52F67"/>
    <w:rsid w:val="00B530E6"/>
    <w:rsid w:val="00B53AAA"/>
    <w:rsid w:val="00B5431F"/>
    <w:rsid w:val="00B54481"/>
    <w:rsid w:val="00B54B85"/>
    <w:rsid w:val="00B57013"/>
    <w:rsid w:val="00B60821"/>
    <w:rsid w:val="00B60B27"/>
    <w:rsid w:val="00B62510"/>
    <w:rsid w:val="00B64867"/>
    <w:rsid w:val="00B64DB5"/>
    <w:rsid w:val="00B65336"/>
    <w:rsid w:val="00B66A77"/>
    <w:rsid w:val="00B70AD1"/>
    <w:rsid w:val="00B70B16"/>
    <w:rsid w:val="00B7129B"/>
    <w:rsid w:val="00B7565B"/>
    <w:rsid w:val="00B84AC1"/>
    <w:rsid w:val="00B8622F"/>
    <w:rsid w:val="00B8653A"/>
    <w:rsid w:val="00B904D9"/>
    <w:rsid w:val="00B919DE"/>
    <w:rsid w:val="00B92BC4"/>
    <w:rsid w:val="00B95724"/>
    <w:rsid w:val="00BA071A"/>
    <w:rsid w:val="00BA07FD"/>
    <w:rsid w:val="00BA1B9B"/>
    <w:rsid w:val="00BA49F0"/>
    <w:rsid w:val="00BA55F5"/>
    <w:rsid w:val="00BA5BD5"/>
    <w:rsid w:val="00BA5C54"/>
    <w:rsid w:val="00BA6418"/>
    <w:rsid w:val="00BA7CBD"/>
    <w:rsid w:val="00BB332F"/>
    <w:rsid w:val="00BB73BD"/>
    <w:rsid w:val="00BC57BA"/>
    <w:rsid w:val="00BC620C"/>
    <w:rsid w:val="00BC6548"/>
    <w:rsid w:val="00BC778E"/>
    <w:rsid w:val="00BD5636"/>
    <w:rsid w:val="00BD5A68"/>
    <w:rsid w:val="00BE0CDA"/>
    <w:rsid w:val="00BE0DC5"/>
    <w:rsid w:val="00BE0F7C"/>
    <w:rsid w:val="00BE683F"/>
    <w:rsid w:val="00BF13A6"/>
    <w:rsid w:val="00BF162C"/>
    <w:rsid w:val="00BF24FA"/>
    <w:rsid w:val="00BF2CE5"/>
    <w:rsid w:val="00BF3CC7"/>
    <w:rsid w:val="00BF43A2"/>
    <w:rsid w:val="00BF7FE0"/>
    <w:rsid w:val="00C00640"/>
    <w:rsid w:val="00C009E1"/>
    <w:rsid w:val="00C037E8"/>
    <w:rsid w:val="00C10CA3"/>
    <w:rsid w:val="00C118C4"/>
    <w:rsid w:val="00C119E1"/>
    <w:rsid w:val="00C12890"/>
    <w:rsid w:val="00C12B6F"/>
    <w:rsid w:val="00C133C0"/>
    <w:rsid w:val="00C237D5"/>
    <w:rsid w:val="00C25808"/>
    <w:rsid w:val="00C271B9"/>
    <w:rsid w:val="00C27383"/>
    <w:rsid w:val="00C313D9"/>
    <w:rsid w:val="00C3153A"/>
    <w:rsid w:val="00C3165C"/>
    <w:rsid w:val="00C32EB2"/>
    <w:rsid w:val="00C3515E"/>
    <w:rsid w:val="00C35241"/>
    <w:rsid w:val="00C35431"/>
    <w:rsid w:val="00C35E2E"/>
    <w:rsid w:val="00C375C7"/>
    <w:rsid w:val="00C403E7"/>
    <w:rsid w:val="00C40673"/>
    <w:rsid w:val="00C446FD"/>
    <w:rsid w:val="00C47774"/>
    <w:rsid w:val="00C50107"/>
    <w:rsid w:val="00C506B8"/>
    <w:rsid w:val="00C526F0"/>
    <w:rsid w:val="00C52BA8"/>
    <w:rsid w:val="00C53D17"/>
    <w:rsid w:val="00C54305"/>
    <w:rsid w:val="00C56F50"/>
    <w:rsid w:val="00C5794A"/>
    <w:rsid w:val="00C57CB3"/>
    <w:rsid w:val="00C63E1A"/>
    <w:rsid w:val="00C653B2"/>
    <w:rsid w:val="00C67829"/>
    <w:rsid w:val="00C712BA"/>
    <w:rsid w:val="00C721F3"/>
    <w:rsid w:val="00C7491B"/>
    <w:rsid w:val="00C75CEC"/>
    <w:rsid w:val="00C765FA"/>
    <w:rsid w:val="00C77570"/>
    <w:rsid w:val="00C77857"/>
    <w:rsid w:val="00C77B03"/>
    <w:rsid w:val="00C803F0"/>
    <w:rsid w:val="00C81104"/>
    <w:rsid w:val="00C817C4"/>
    <w:rsid w:val="00C82E86"/>
    <w:rsid w:val="00C83D98"/>
    <w:rsid w:val="00C845A6"/>
    <w:rsid w:val="00C85C50"/>
    <w:rsid w:val="00C86FB9"/>
    <w:rsid w:val="00C92216"/>
    <w:rsid w:val="00C92EF2"/>
    <w:rsid w:val="00C93DFD"/>
    <w:rsid w:val="00C95F45"/>
    <w:rsid w:val="00C96411"/>
    <w:rsid w:val="00C97ECC"/>
    <w:rsid w:val="00CA0F75"/>
    <w:rsid w:val="00CA1F93"/>
    <w:rsid w:val="00CA495C"/>
    <w:rsid w:val="00CA5CAE"/>
    <w:rsid w:val="00CA688D"/>
    <w:rsid w:val="00CA74E4"/>
    <w:rsid w:val="00CA7DB0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F5A"/>
    <w:rsid w:val="00CC0827"/>
    <w:rsid w:val="00CC1DBE"/>
    <w:rsid w:val="00CC44E4"/>
    <w:rsid w:val="00CD0466"/>
    <w:rsid w:val="00CD0894"/>
    <w:rsid w:val="00CD0901"/>
    <w:rsid w:val="00CD0949"/>
    <w:rsid w:val="00CD2A8C"/>
    <w:rsid w:val="00CD36D0"/>
    <w:rsid w:val="00CD3700"/>
    <w:rsid w:val="00CD5A69"/>
    <w:rsid w:val="00CD6104"/>
    <w:rsid w:val="00CD6F77"/>
    <w:rsid w:val="00CE03B7"/>
    <w:rsid w:val="00CE0F32"/>
    <w:rsid w:val="00CE1793"/>
    <w:rsid w:val="00CE1B46"/>
    <w:rsid w:val="00CE1D2A"/>
    <w:rsid w:val="00CE34A4"/>
    <w:rsid w:val="00CE651C"/>
    <w:rsid w:val="00CE7526"/>
    <w:rsid w:val="00CF3D88"/>
    <w:rsid w:val="00CF456A"/>
    <w:rsid w:val="00CF4ABC"/>
    <w:rsid w:val="00CF58B7"/>
    <w:rsid w:val="00D106BB"/>
    <w:rsid w:val="00D10A5B"/>
    <w:rsid w:val="00D160EA"/>
    <w:rsid w:val="00D234A6"/>
    <w:rsid w:val="00D23C9D"/>
    <w:rsid w:val="00D24375"/>
    <w:rsid w:val="00D25739"/>
    <w:rsid w:val="00D27718"/>
    <w:rsid w:val="00D3031B"/>
    <w:rsid w:val="00D312A1"/>
    <w:rsid w:val="00D322B9"/>
    <w:rsid w:val="00D34250"/>
    <w:rsid w:val="00D351C1"/>
    <w:rsid w:val="00D353A4"/>
    <w:rsid w:val="00D35EFB"/>
    <w:rsid w:val="00D41F2C"/>
    <w:rsid w:val="00D433FC"/>
    <w:rsid w:val="00D438CA"/>
    <w:rsid w:val="00D449B5"/>
    <w:rsid w:val="00D504B3"/>
    <w:rsid w:val="00D5077D"/>
    <w:rsid w:val="00D520A7"/>
    <w:rsid w:val="00D537A2"/>
    <w:rsid w:val="00D54B3D"/>
    <w:rsid w:val="00D57721"/>
    <w:rsid w:val="00D61193"/>
    <w:rsid w:val="00D617EB"/>
    <w:rsid w:val="00D61BFC"/>
    <w:rsid w:val="00D62D25"/>
    <w:rsid w:val="00D642BA"/>
    <w:rsid w:val="00D64853"/>
    <w:rsid w:val="00D653F4"/>
    <w:rsid w:val="00D6755A"/>
    <w:rsid w:val="00D72A75"/>
    <w:rsid w:val="00D72AAB"/>
    <w:rsid w:val="00D7744A"/>
    <w:rsid w:val="00D84F30"/>
    <w:rsid w:val="00D86BF0"/>
    <w:rsid w:val="00D91589"/>
    <w:rsid w:val="00D92D7E"/>
    <w:rsid w:val="00D9534F"/>
    <w:rsid w:val="00DA01CB"/>
    <w:rsid w:val="00DA0D2A"/>
    <w:rsid w:val="00DA21F3"/>
    <w:rsid w:val="00DA476B"/>
    <w:rsid w:val="00DB0B35"/>
    <w:rsid w:val="00DB1EDE"/>
    <w:rsid w:val="00DB45D5"/>
    <w:rsid w:val="00DB47FE"/>
    <w:rsid w:val="00DB6D1A"/>
    <w:rsid w:val="00DC0570"/>
    <w:rsid w:val="00DC159F"/>
    <w:rsid w:val="00DC72B8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33D0"/>
    <w:rsid w:val="00DE39C4"/>
    <w:rsid w:val="00DE728A"/>
    <w:rsid w:val="00DF055F"/>
    <w:rsid w:val="00DF1576"/>
    <w:rsid w:val="00DF60B9"/>
    <w:rsid w:val="00E000C5"/>
    <w:rsid w:val="00E045E1"/>
    <w:rsid w:val="00E04F08"/>
    <w:rsid w:val="00E0638A"/>
    <w:rsid w:val="00E065B2"/>
    <w:rsid w:val="00E109BB"/>
    <w:rsid w:val="00E10A57"/>
    <w:rsid w:val="00E12B41"/>
    <w:rsid w:val="00E145AE"/>
    <w:rsid w:val="00E16149"/>
    <w:rsid w:val="00E21490"/>
    <w:rsid w:val="00E219E8"/>
    <w:rsid w:val="00E22737"/>
    <w:rsid w:val="00E258D1"/>
    <w:rsid w:val="00E27E75"/>
    <w:rsid w:val="00E30D7F"/>
    <w:rsid w:val="00E33340"/>
    <w:rsid w:val="00E36862"/>
    <w:rsid w:val="00E41806"/>
    <w:rsid w:val="00E44923"/>
    <w:rsid w:val="00E46DB1"/>
    <w:rsid w:val="00E4729E"/>
    <w:rsid w:val="00E473DE"/>
    <w:rsid w:val="00E51712"/>
    <w:rsid w:val="00E51920"/>
    <w:rsid w:val="00E53A4A"/>
    <w:rsid w:val="00E5615E"/>
    <w:rsid w:val="00E5758A"/>
    <w:rsid w:val="00E6116C"/>
    <w:rsid w:val="00E634B5"/>
    <w:rsid w:val="00E64120"/>
    <w:rsid w:val="00E660A1"/>
    <w:rsid w:val="00E660CB"/>
    <w:rsid w:val="00E67E07"/>
    <w:rsid w:val="00E75F24"/>
    <w:rsid w:val="00E76843"/>
    <w:rsid w:val="00E8008B"/>
    <w:rsid w:val="00E834F2"/>
    <w:rsid w:val="00E863E1"/>
    <w:rsid w:val="00E91FFB"/>
    <w:rsid w:val="00E93D40"/>
    <w:rsid w:val="00E94B35"/>
    <w:rsid w:val="00E95412"/>
    <w:rsid w:val="00E9794C"/>
    <w:rsid w:val="00EA0767"/>
    <w:rsid w:val="00EA20EC"/>
    <w:rsid w:val="00EA2619"/>
    <w:rsid w:val="00EA3CCF"/>
    <w:rsid w:val="00EA436F"/>
    <w:rsid w:val="00EA6949"/>
    <w:rsid w:val="00EA6C04"/>
    <w:rsid w:val="00EA7767"/>
    <w:rsid w:val="00EB3BD6"/>
    <w:rsid w:val="00EB3BDE"/>
    <w:rsid w:val="00EB4D32"/>
    <w:rsid w:val="00EB4FE1"/>
    <w:rsid w:val="00EC03FA"/>
    <w:rsid w:val="00EC1CE5"/>
    <w:rsid w:val="00EC2D1D"/>
    <w:rsid w:val="00EC5A03"/>
    <w:rsid w:val="00ED2C70"/>
    <w:rsid w:val="00ED5E61"/>
    <w:rsid w:val="00ED63D6"/>
    <w:rsid w:val="00ED7D03"/>
    <w:rsid w:val="00ED7E9D"/>
    <w:rsid w:val="00EE0B0A"/>
    <w:rsid w:val="00EE5D18"/>
    <w:rsid w:val="00EE6387"/>
    <w:rsid w:val="00EF49A6"/>
    <w:rsid w:val="00EF5B9C"/>
    <w:rsid w:val="00EF60E3"/>
    <w:rsid w:val="00F055F1"/>
    <w:rsid w:val="00F065B9"/>
    <w:rsid w:val="00F104D3"/>
    <w:rsid w:val="00F13285"/>
    <w:rsid w:val="00F14020"/>
    <w:rsid w:val="00F15595"/>
    <w:rsid w:val="00F16557"/>
    <w:rsid w:val="00F213AA"/>
    <w:rsid w:val="00F2175D"/>
    <w:rsid w:val="00F21783"/>
    <w:rsid w:val="00F221AD"/>
    <w:rsid w:val="00F26462"/>
    <w:rsid w:val="00F265A8"/>
    <w:rsid w:val="00F33965"/>
    <w:rsid w:val="00F34A1A"/>
    <w:rsid w:val="00F34E43"/>
    <w:rsid w:val="00F40DA6"/>
    <w:rsid w:val="00F44607"/>
    <w:rsid w:val="00F44E7C"/>
    <w:rsid w:val="00F46C18"/>
    <w:rsid w:val="00F50A3A"/>
    <w:rsid w:val="00F55204"/>
    <w:rsid w:val="00F55FCF"/>
    <w:rsid w:val="00F56928"/>
    <w:rsid w:val="00F60001"/>
    <w:rsid w:val="00F610AF"/>
    <w:rsid w:val="00F6153A"/>
    <w:rsid w:val="00F62E20"/>
    <w:rsid w:val="00F62F9F"/>
    <w:rsid w:val="00F63DC1"/>
    <w:rsid w:val="00F64696"/>
    <w:rsid w:val="00F65375"/>
    <w:rsid w:val="00F662F4"/>
    <w:rsid w:val="00F67C74"/>
    <w:rsid w:val="00F7050E"/>
    <w:rsid w:val="00F73602"/>
    <w:rsid w:val="00F757D9"/>
    <w:rsid w:val="00F76692"/>
    <w:rsid w:val="00F777DD"/>
    <w:rsid w:val="00F84A9B"/>
    <w:rsid w:val="00F84B69"/>
    <w:rsid w:val="00F84BCB"/>
    <w:rsid w:val="00F85A62"/>
    <w:rsid w:val="00F90C02"/>
    <w:rsid w:val="00F91823"/>
    <w:rsid w:val="00F91B61"/>
    <w:rsid w:val="00F93988"/>
    <w:rsid w:val="00F96560"/>
    <w:rsid w:val="00F967F7"/>
    <w:rsid w:val="00F97060"/>
    <w:rsid w:val="00FA0572"/>
    <w:rsid w:val="00FA0A96"/>
    <w:rsid w:val="00FA1975"/>
    <w:rsid w:val="00FA2A2F"/>
    <w:rsid w:val="00FA2C5A"/>
    <w:rsid w:val="00FA2C85"/>
    <w:rsid w:val="00FA4D12"/>
    <w:rsid w:val="00FA573E"/>
    <w:rsid w:val="00FA5CDF"/>
    <w:rsid w:val="00FB12A0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A9E"/>
    <w:rsid w:val="00FC6230"/>
    <w:rsid w:val="00FD2013"/>
    <w:rsid w:val="00FD22CB"/>
    <w:rsid w:val="00FD549F"/>
    <w:rsid w:val="00FE0DFC"/>
    <w:rsid w:val="00FE2417"/>
    <w:rsid w:val="00FE2FCE"/>
    <w:rsid w:val="00FE4DAF"/>
    <w:rsid w:val="00FE6660"/>
    <w:rsid w:val="00FE68B7"/>
    <w:rsid w:val="00FE7994"/>
    <w:rsid w:val="00FF333C"/>
    <w:rsid w:val="00FF3434"/>
    <w:rsid w:val="00FF4771"/>
    <w:rsid w:val="00FF4B7A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  <w:ind w:left="567" w:hanging="499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2017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2020-10-14T14:37:00Z</dcterms:created>
  <dcterms:modified xsi:type="dcterms:W3CDTF">2020-10-14T14:37:00Z</dcterms:modified>
</cp:coreProperties>
</file>