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22E57EB8" w:rsidR="00975C12" w:rsidRPr="00F40D3F" w:rsidRDefault="00975C12" w:rsidP="00975C12">
      <w:pPr>
        <w:pStyle w:val="Heading1"/>
        <w:jc w:val="center"/>
      </w:pPr>
      <w:r w:rsidRPr="00F40D3F">
        <w:t xml:space="preserve">Minutes of the meeting held on </w:t>
      </w:r>
      <w:r w:rsidR="00FD2F06">
        <w:t>14</w:t>
      </w:r>
      <w:r w:rsidR="00705573">
        <w:t xml:space="preserve"> April</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092FC64F" w14:textId="4990EA8F" w:rsidR="009E1DB5" w:rsidRDefault="009E1DB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10E1A027" w14:textId="2712EC92"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5FBD0EC9" w14:textId="3AFB6CDE" w:rsidR="007D0457" w:rsidRDefault="00FD2F06" w:rsidP="007D0457">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5A8C516B" w14:textId="529AC27E" w:rsidR="00FD2F06" w:rsidRDefault="00FD2F06" w:rsidP="007D0457">
      <w:pPr>
        <w:ind w:left="2126" w:hanging="2126"/>
        <w:rPr>
          <w:rFonts w:ascii="Arial" w:hAnsi="Arial" w:cs="Arial"/>
          <w:color w:val="000000" w:themeColor="text1"/>
          <w:sz w:val="22"/>
          <w:szCs w:val="22"/>
        </w:rPr>
      </w:pPr>
      <w:r>
        <w:rPr>
          <w:rFonts w:ascii="Arial" w:hAnsi="Arial" w:cs="Arial"/>
          <w:color w:val="000000" w:themeColor="text1"/>
          <w:sz w:val="22"/>
          <w:szCs w:val="22"/>
        </w:rPr>
        <w:t>Catherine Wilkinson</w:t>
      </w:r>
      <w:r>
        <w:rPr>
          <w:rFonts w:ascii="Arial" w:hAnsi="Arial" w:cs="Arial"/>
          <w:color w:val="000000" w:themeColor="text1"/>
          <w:sz w:val="22"/>
          <w:szCs w:val="22"/>
        </w:rPr>
        <w:tab/>
        <w:t>Acting Director – Business Planning and Resources</w:t>
      </w:r>
    </w:p>
    <w:p w14:paraId="68C3C77A" w14:textId="77777777" w:rsidR="00FD2F06" w:rsidRPr="002D6B0B" w:rsidRDefault="00FD2F06"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505B088E" w14:textId="1A6992E1" w:rsidR="00B3136A" w:rsidRPr="00727C3D"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w:t>
      </w:r>
      <w:r w:rsidRPr="00727C3D">
        <w:rPr>
          <w:rFonts w:cs="Arial"/>
          <w:color w:val="000000" w:themeColor="text1"/>
          <w:sz w:val="22"/>
          <w:szCs w:val="22"/>
          <w:lang w:val="en-GB"/>
        </w:rPr>
        <w:t>ombs</w:t>
      </w:r>
      <w:r w:rsidRPr="00727C3D">
        <w:rPr>
          <w:rFonts w:cs="Arial"/>
          <w:color w:val="000000" w:themeColor="text1"/>
          <w:sz w:val="22"/>
          <w:szCs w:val="22"/>
          <w:lang w:val="en-GB"/>
        </w:rPr>
        <w:tab/>
        <w:t>Associate Director – Corporate Office (minutes)</w:t>
      </w:r>
    </w:p>
    <w:p w14:paraId="3B613E7B" w14:textId="037BF75C" w:rsidR="00307868" w:rsidRPr="008775D5" w:rsidRDefault="00307868" w:rsidP="00DE6C4B">
      <w:pPr>
        <w:pStyle w:val="NICEnormal"/>
        <w:spacing w:after="0" w:line="240" w:lineRule="auto"/>
        <w:ind w:left="2160" w:hanging="2160"/>
        <w:rPr>
          <w:rFonts w:cs="Arial"/>
          <w:color w:val="000000" w:themeColor="text1"/>
          <w:sz w:val="22"/>
          <w:szCs w:val="22"/>
          <w:lang w:val="en-GB"/>
        </w:rPr>
      </w:pPr>
      <w:r w:rsidRPr="008775D5">
        <w:rPr>
          <w:rFonts w:cs="Arial"/>
          <w:color w:val="000000" w:themeColor="text1"/>
          <w:sz w:val="22"/>
          <w:szCs w:val="22"/>
          <w:lang w:val="en-GB"/>
        </w:rPr>
        <w:t>Nick Crabb</w:t>
      </w:r>
      <w:r w:rsidRPr="008775D5">
        <w:rPr>
          <w:rFonts w:cs="Arial"/>
          <w:color w:val="000000" w:themeColor="text1"/>
          <w:sz w:val="22"/>
          <w:szCs w:val="22"/>
          <w:lang w:val="en-GB"/>
        </w:rPr>
        <w:tab/>
        <w:t xml:space="preserve">Programme Director – Science Advice and Research </w:t>
      </w:r>
      <w:r w:rsidR="00682AB9" w:rsidRPr="008775D5">
        <w:rPr>
          <w:rFonts w:cs="Arial"/>
          <w:color w:val="000000" w:themeColor="text1"/>
          <w:sz w:val="22"/>
          <w:szCs w:val="22"/>
          <w:lang w:val="en-GB"/>
        </w:rPr>
        <w:t>(</w:t>
      </w:r>
      <w:r w:rsidR="00DE6C4B">
        <w:rPr>
          <w:rFonts w:cs="Arial"/>
          <w:color w:val="000000" w:themeColor="text1"/>
          <w:sz w:val="22"/>
          <w:szCs w:val="22"/>
          <w:lang w:val="en-GB"/>
        </w:rPr>
        <w:t>item 7.3 onwards</w:t>
      </w:r>
      <w:r w:rsidR="00682AB9" w:rsidRPr="008775D5">
        <w:rPr>
          <w:rFonts w:cs="Arial"/>
          <w:color w:val="000000" w:themeColor="text1"/>
          <w:sz w:val="22"/>
          <w:szCs w:val="22"/>
          <w:lang w:val="en-GB"/>
        </w:rPr>
        <w:t>)</w:t>
      </w:r>
    </w:p>
    <w:p w14:paraId="564EE4F2" w14:textId="203B036C" w:rsidR="00CF6F74" w:rsidRPr="008775D5" w:rsidRDefault="00CF6F74" w:rsidP="00F46C18">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Martin Davison</w:t>
      </w:r>
      <w:r w:rsidRPr="008775D5">
        <w:rPr>
          <w:rFonts w:ascii="Arial" w:hAnsi="Arial" w:cs="Arial"/>
          <w:color w:val="000000" w:themeColor="text1"/>
          <w:sz w:val="22"/>
          <w:szCs w:val="22"/>
        </w:rPr>
        <w:tab/>
      </w:r>
      <w:r w:rsidR="00BB32D9" w:rsidRPr="008775D5">
        <w:rPr>
          <w:rFonts w:ascii="Arial" w:hAnsi="Arial" w:cs="Arial"/>
          <w:color w:val="000000" w:themeColor="text1"/>
          <w:sz w:val="22"/>
          <w:szCs w:val="22"/>
        </w:rPr>
        <w:t xml:space="preserve">Acting Associate Director – Finance </w:t>
      </w:r>
      <w:r w:rsidRPr="008775D5">
        <w:rPr>
          <w:rFonts w:ascii="Arial" w:hAnsi="Arial" w:cs="Arial"/>
          <w:color w:val="000000" w:themeColor="text1"/>
          <w:sz w:val="22"/>
          <w:szCs w:val="22"/>
        </w:rPr>
        <w:t>(items 7.1 to 7.3)</w:t>
      </w:r>
    </w:p>
    <w:p w14:paraId="342CEBD7" w14:textId="260F6E6E" w:rsidR="00CF6F74" w:rsidRPr="008775D5" w:rsidRDefault="00CF6F74" w:rsidP="00F46C18">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James Fitton</w:t>
      </w:r>
      <w:r w:rsidRPr="008775D5">
        <w:rPr>
          <w:rFonts w:ascii="Arial" w:hAnsi="Arial" w:cs="Arial"/>
          <w:color w:val="000000" w:themeColor="text1"/>
          <w:sz w:val="22"/>
          <w:szCs w:val="22"/>
        </w:rPr>
        <w:tab/>
      </w:r>
      <w:r w:rsidR="00BB32D9" w:rsidRPr="008775D5">
        <w:rPr>
          <w:rFonts w:ascii="Arial" w:hAnsi="Arial" w:cs="Arial"/>
          <w:color w:val="000000" w:themeColor="text1"/>
          <w:sz w:val="22"/>
          <w:szCs w:val="22"/>
        </w:rPr>
        <w:t xml:space="preserve">Management Accountant </w:t>
      </w:r>
      <w:r w:rsidRPr="008775D5">
        <w:rPr>
          <w:rFonts w:ascii="Arial" w:hAnsi="Arial" w:cs="Arial"/>
          <w:color w:val="000000" w:themeColor="text1"/>
          <w:sz w:val="22"/>
          <w:szCs w:val="22"/>
        </w:rPr>
        <w:t>(item 7.1)</w:t>
      </w:r>
    </w:p>
    <w:p w14:paraId="433C3555" w14:textId="26F01656" w:rsidR="001350F7" w:rsidRPr="008775D5" w:rsidRDefault="00394E99" w:rsidP="00F46C18">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Fiona Glen</w:t>
      </w:r>
      <w:r w:rsidRPr="008775D5">
        <w:rPr>
          <w:rFonts w:ascii="Arial" w:hAnsi="Arial" w:cs="Arial"/>
          <w:color w:val="000000" w:themeColor="text1"/>
          <w:sz w:val="22"/>
          <w:szCs w:val="22"/>
        </w:rPr>
        <w:tab/>
        <w:t xml:space="preserve">Programme Director and Deputy </w:t>
      </w:r>
      <w:r w:rsidR="00321F71" w:rsidRPr="008775D5">
        <w:rPr>
          <w:rFonts w:ascii="Arial" w:hAnsi="Arial" w:cs="Arial"/>
          <w:color w:val="000000" w:themeColor="text1"/>
          <w:sz w:val="22"/>
          <w:szCs w:val="22"/>
        </w:rPr>
        <w:t>Centre</w:t>
      </w:r>
      <w:r w:rsidRPr="008775D5">
        <w:rPr>
          <w:rFonts w:ascii="Arial" w:hAnsi="Arial" w:cs="Arial"/>
          <w:color w:val="000000" w:themeColor="text1"/>
          <w:sz w:val="22"/>
          <w:szCs w:val="22"/>
        </w:rPr>
        <w:t xml:space="preserve"> for Guidelines Director</w:t>
      </w:r>
    </w:p>
    <w:p w14:paraId="489AD454" w14:textId="2DA57BB7" w:rsidR="00CF6F74" w:rsidRPr="008775D5" w:rsidRDefault="00CF6F74" w:rsidP="00600413">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 xml:space="preserve">Helen Knight </w:t>
      </w:r>
      <w:r w:rsidRPr="008775D5">
        <w:rPr>
          <w:rFonts w:ascii="Arial" w:hAnsi="Arial" w:cs="Arial"/>
          <w:color w:val="000000" w:themeColor="text1"/>
          <w:sz w:val="22"/>
          <w:szCs w:val="22"/>
        </w:rPr>
        <w:tab/>
      </w:r>
      <w:r w:rsidR="00600413" w:rsidRPr="008775D5">
        <w:rPr>
          <w:rFonts w:ascii="Arial" w:hAnsi="Arial" w:cs="Arial"/>
          <w:color w:val="000000" w:themeColor="text1"/>
          <w:sz w:val="22"/>
          <w:szCs w:val="22"/>
        </w:rPr>
        <w:t xml:space="preserve">Programme Director – Centre for Health Technology Evaluation </w:t>
      </w:r>
      <w:r w:rsidRPr="008775D5">
        <w:rPr>
          <w:rFonts w:ascii="Arial" w:hAnsi="Arial" w:cs="Arial"/>
          <w:color w:val="000000" w:themeColor="text1"/>
          <w:sz w:val="22"/>
          <w:szCs w:val="22"/>
        </w:rPr>
        <w:t>(item 7.4)</w:t>
      </w:r>
    </w:p>
    <w:p w14:paraId="4B66FBDD" w14:textId="63AF886F" w:rsidR="00CF6F74" w:rsidRPr="008775D5" w:rsidRDefault="00CF6F74" w:rsidP="00F46C18">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Linda Landells</w:t>
      </w:r>
      <w:r w:rsidRPr="008775D5">
        <w:rPr>
          <w:rFonts w:ascii="Arial" w:hAnsi="Arial" w:cs="Arial"/>
          <w:color w:val="000000" w:themeColor="text1"/>
          <w:sz w:val="22"/>
          <w:szCs w:val="22"/>
        </w:rPr>
        <w:tab/>
      </w:r>
      <w:r w:rsidR="00600413" w:rsidRPr="008775D5">
        <w:rPr>
          <w:rFonts w:ascii="Arial" w:hAnsi="Arial" w:cs="Arial"/>
          <w:color w:val="000000" w:themeColor="text1"/>
          <w:sz w:val="22"/>
          <w:szCs w:val="22"/>
        </w:rPr>
        <w:t xml:space="preserve">Associate Director – Technology Appraisals </w:t>
      </w:r>
      <w:r w:rsidRPr="008775D5">
        <w:rPr>
          <w:rFonts w:ascii="Arial" w:hAnsi="Arial" w:cs="Arial"/>
          <w:color w:val="000000" w:themeColor="text1"/>
          <w:sz w:val="22"/>
          <w:szCs w:val="22"/>
        </w:rPr>
        <w:t>(item 7.4)</w:t>
      </w:r>
    </w:p>
    <w:p w14:paraId="73A4EEE3" w14:textId="0F1E5929" w:rsidR="00CF6F74" w:rsidRPr="008775D5" w:rsidRDefault="00CF6F74" w:rsidP="008775D5">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 xml:space="preserve">Iain Moir </w:t>
      </w:r>
      <w:r w:rsidRPr="008775D5">
        <w:rPr>
          <w:rFonts w:ascii="Arial" w:hAnsi="Arial" w:cs="Arial"/>
          <w:color w:val="000000" w:themeColor="text1"/>
          <w:sz w:val="22"/>
          <w:szCs w:val="22"/>
        </w:rPr>
        <w:tab/>
      </w:r>
      <w:r w:rsidR="008775D5" w:rsidRPr="008775D5">
        <w:rPr>
          <w:rFonts w:ascii="Arial" w:hAnsi="Arial" w:cs="Arial"/>
          <w:color w:val="000000" w:themeColor="text1"/>
          <w:sz w:val="22"/>
          <w:szCs w:val="22"/>
        </w:rPr>
        <w:t xml:space="preserve">Programme Manager – Intellectual Property, Content and Business Management </w:t>
      </w:r>
      <w:r w:rsidR="000F792D">
        <w:rPr>
          <w:rFonts w:ascii="Arial" w:hAnsi="Arial" w:cs="Arial"/>
          <w:color w:val="000000" w:themeColor="text1"/>
          <w:sz w:val="22"/>
          <w:szCs w:val="22"/>
        </w:rPr>
        <w:t xml:space="preserve"> - Evidence Resources </w:t>
      </w:r>
      <w:r w:rsidRPr="008775D5">
        <w:rPr>
          <w:rFonts w:ascii="Arial" w:hAnsi="Arial" w:cs="Arial"/>
          <w:color w:val="000000" w:themeColor="text1"/>
          <w:sz w:val="22"/>
          <w:szCs w:val="22"/>
        </w:rPr>
        <w:t>(item 7.5)</w:t>
      </w:r>
    </w:p>
    <w:p w14:paraId="2951AF21" w14:textId="0672CEB4" w:rsidR="002E6363" w:rsidRDefault="002E6363" w:rsidP="00F46C18">
      <w:pPr>
        <w:ind w:left="2160" w:hanging="2160"/>
        <w:rPr>
          <w:rFonts w:ascii="Arial" w:hAnsi="Arial" w:cs="Arial"/>
          <w:color w:val="000000" w:themeColor="text1"/>
          <w:sz w:val="22"/>
          <w:szCs w:val="22"/>
        </w:rPr>
      </w:pPr>
      <w:r>
        <w:rPr>
          <w:rFonts w:ascii="Arial" w:hAnsi="Arial" w:cs="Arial"/>
          <w:color w:val="000000" w:themeColor="text1"/>
          <w:sz w:val="22"/>
          <w:szCs w:val="22"/>
        </w:rPr>
        <w:t>John Pegington</w:t>
      </w:r>
      <w:r>
        <w:rPr>
          <w:rFonts w:ascii="Arial" w:hAnsi="Arial" w:cs="Arial"/>
          <w:color w:val="000000" w:themeColor="text1"/>
          <w:sz w:val="22"/>
          <w:szCs w:val="22"/>
        </w:rPr>
        <w:tab/>
        <w:t>Senior Management Accountant (ite</w:t>
      </w:r>
      <w:r w:rsidR="008732F6">
        <w:rPr>
          <w:rFonts w:ascii="Arial" w:hAnsi="Arial" w:cs="Arial"/>
          <w:color w:val="000000" w:themeColor="text1"/>
          <w:sz w:val="22"/>
          <w:szCs w:val="22"/>
        </w:rPr>
        <w:t>m 7.2)</w:t>
      </w:r>
    </w:p>
    <w:p w14:paraId="67574310" w14:textId="42434242" w:rsidR="008775D5" w:rsidRPr="008775D5" w:rsidRDefault="008775D5" w:rsidP="00F46C18">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Mark Salmon</w:t>
      </w:r>
      <w:r w:rsidRPr="008775D5">
        <w:rPr>
          <w:rFonts w:ascii="Arial" w:hAnsi="Arial" w:cs="Arial"/>
          <w:color w:val="000000" w:themeColor="text1"/>
          <w:sz w:val="22"/>
          <w:szCs w:val="22"/>
        </w:rPr>
        <w:tab/>
        <w:t>Programme Director – Evidence Resources (item 7.5)</w:t>
      </w:r>
    </w:p>
    <w:p w14:paraId="4AA03620" w14:textId="50EBB282" w:rsidR="00CF6F74" w:rsidRPr="008775D5" w:rsidRDefault="00CF6F74" w:rsidP="00F46C18">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Nichole Taske</w:t>
      </w:r>
      <w:r w:rsidRPr="008775D5">
        <w:rPr>
          <w:rFonts w:ascii="Arial" w:hAnsi="Arial" w:cs="Arial"/>
          <w:color w:val="000000" w:themeColor="text1"/>
          <w:sz w:val="22"/>
          <w:szCs w:val="22"/>
        </w:rPr>
        <w:tab/>
      </w:r>
      <w:r w:rsidR="008775D5" w:rsidRPr="008775D5">
        <w:rPr>
          <w:rFonts w:ascii="Arial" w:hAnsi="Arial" w:cs="Arial"/>
          <w:color w:val="000000" w:themeColor="text1"/>
          <w:sz w:val="22"/>
          <w:szCs w:val="22"/>
        </w:rPr>
        <w:t xml:space="preserve">Associate Director – Methods and Economics – Centre for Guidelines </w:t>
      </w:r>
      <w:r w:rsidRPr="008775D5">
        <w:rPr>
          <w:rFonts w:ascii="Arial" w:hAnsi="Arial" w:cs="Arial"/>
          <w:color w:val="000000" w:themeColor="text1"/>
          <w:sz w:val="22"/>
          <w:szCs w:val="22"/>
        </w:rPr>
        <w:t>(item 7.5)</w:t>
      </w:r>
    </w:p>
    <w:p w14:paraId="3772A55C" w14:textId="768ADF06" w:rsidR="00394E99" w:rsidRPr="008775D5" w:rsidRDefault="00394E99" w:rsidP="00F46C18">
      <w:pPr>
        <w:ind w:left="2160" w:hanging="2160"/>
        <w:rPr>
          <w:rFonts w:ascii="Arial" w:hAnsi="Arial" w:cs="Arial"/>
          <w:color w:val="000000" w:themeColor="text1"/>
          <w:sz w:val="22"/>
          <w:szCs w:val="22"/>
        </w:rPr>
      </w:pPr>
      <w:r w:rsidRPr="008775D5">
        <w:rPr>
          <w:rFonts w:ascii="Arial" w:hAnsi="Arial" w:cs="Arial"/>
          <w:color w:val="000000" w:themeColor="text1"/>
          <w:sz w:val="22"/>
          <w:szCs w:val="22"/>
        </w:rPr>
        <w:t xml:space="preserve">Victoria Thomas </w:t>
      </w:r>
      <w:r w:rsidRPr="008775D5">
        <w:rPr>
          <w:rFonts w:ascii="Arial" w:hAnsi="Arial" w:cs="Arial"/>
          <w:color w:val="000000" w:themeColor="text1"/>
          <w:sz w:val="22"/>
          <w:szCs w:val="22"/>
        </w:rPr>
        <w:tab/>
        <w:t>Head of Public Involvement</w:t>
      </w:r>
    </w:p>
    <w:p w14:paraId="020AC6E8" w14:textId="37823AB9" w:rsidR="00394E99" w:rsidRDefault="00394E99"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44C7BFFD" w:rsidR="006F3BE2" w:rsidRDefault="009A5473" w:rsidP="00FF68A5">
      <w:pPr>
        <w:pStyle w:val="Numberedpara"/>
      </w:pPr>
      <w:r>
        <w:t xml:space="preserve">Apologies were received from </w:t>
      </w:r>
      <w:r w:rsidR="00394E99">
        <w:t>Paul Chrisp and Judith Richardson</w:t>
      </w:r>
      <w:r w:rsidR="004A323C">
        <w:t xml:space="preserve"> </w:t>
      </w:r>
      <w:r w:rsidR="001350F7">
        <w:t>who w</w:t>
      </w:r>
      <w:r w:rsidR="004A323C">
        <w:t>ere</w:t>
      </w:r>
      <w:r w:rsidR="001350F7">
        <w:t xml:space="preserve"> represented by </w:t>
      </w:r>
      <w:r w:rsidR="00394E99">
        <w:t>Fiona Glen and Victoria Thomas</w:t>
      </w:r>
      <w:r w:rsidR="004A323C">
        <w:t xml:space="preserve"> respectively</w:t>
      </w:r>
      <w:r w:rsidR="001350F7">
        <w:t>.</w:t>
      </w:r>
      <w:r w:rsidR="00BE683F">
        <w:t xml:space="preserve"> </w:t>
      </w:r>
    </w:p>
    <w:p w14:paraId="3FD4EA6A" w14:textId="38F48581"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23B56DFE" w:rsidR="003503B7" w:rsidRDefault="006F3BE2" w:rsidP="00FF68A5">
      <w:pPr>
        <w:pStyle w:val="Numberedpara"/>
      </w:pPr>
      <w:r>
        <w:t xml:space="preserve">The minutes of the meeting held on </w:t>
      </w:r>
      <w:r w:rsidR="0076114C">
        <w:t>7 April</w:t>
      </w:r>
      <w:r w:rsidR="005F5EF6">
        <w:t xml:space="preserve">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562E9732" w:rsidR="006F3BE2" w:rsidRDefault="006F3BE2" w:rsidP="00FF68A5">
      <w:pPr>
        <w:pStyle w:val="Numberedpara"/>
      </w:pPr>
      <w:r>
        <w:t xml:space="preserve">The actions from the meeting held on </w:t>
      </w:r>
      <w:r w:rsidR="0076114C">
        <w:t xml:space="preserve">7 April </w:t>
      </w:r>
      <w:r w:rsidR="00457915">
        <w:t>2020</w:t>
      </w:r>
      <w:r>
        <w:t xml:space="preserve"> were noted as complete or in hand. </w:t>
      </w:r>
    </w:p>
    <w:p w14:paraId="7846F660" w14:textId="77777777" w:rsidR="00E045E1" w:rsidRDefault="00E045E1" w:rsidP="00E045E1">
      <w:pPr>
        <w:pStyle w:val="Numberedpara"/>
        <w:numPr>
          <w:ilvl w:val="0"/>
          <w:numId w:val="0"/>
        </w:numPr>
        <w:ind w:left="357"/>
      </w:pPr>
    </w:p>
    <w:p w14:paraId="0B4D67B6" w14:textId="385DB83F" w:rsidR="00CA7DB0" w:rsidRDefault="00CA7DB0" w:rsidP="00CA7DB0">
      <w:pPr>
        <w:pStyle w:val="SMTActions"/>
      </w:pPr>
    </w:p>
    <w:p w14:paraId="0F45C691" w14:textId="27898C31" w:rsidR="003D4FE4" w:rsidRDefault="003D4FE4" w:rsidP="003D4FE4">
      <w:pPr>
        <w:pStyle w:val="Heading2"/>
      </w:pPr>
      <w:r>
        <w:lastRenderedPageBreak/>
        <w:t>Coronavirus (item 6)</w:t>
      </w:r>
    </w:p>
    <w:p w14:paraId="02DF6F1D" w14:textId="0F2C5D7F" w:rsidR="003D4FE4" w:rsidRDefault="003D4FE4" w:rsidP="003D4FE4">
      <w:pPr>
        <w:pStyle w:val="Numberedpara"/>
        <w:numPr>
          <w:ilvl w:val="0"/>
          <w:numId w:val="0"/>
        </w:numPr>
        <w:ind w:left="357"/>
      </w:pPr>
    </w:p>
    <w:p w14:paraId="46FC4A41" w14:textId="4E65AD4E" w:rsidR="00E219E8" w:rsidRPr="004E037C" w:rsidRDefault="004E037C" w:rsidP="0076114C">
      <w:pPr>
        <w:pStyle w:val="Numberedpara"/>
        <w:rPr>
          <w:color w:val="000000" w:themeColor="text1"/>
        </w:rPr>
      </w:pPr>
      <w:r w:rsidRPr="004E037C">
        <w:rPr>
          <w:color w:val="000000" w:themeColor="text1"/>
        </w:rPr>
        <w:t xml:space="preserve">It was noted that the </w:t>
      </w:r>
      <w:r w:rsidR="008F6F03">
        <w:rPr>
          <w:color w:val="000000" w:themeColor="text1"/>
        </w:rPr>
        <w:t xml:space="preserve">gold group would review the </w:t>
      </w:r>
      <w:r w:rsidRPr="004E037C">
        <w:rPr>
          <w:color w:val="000000" w:themeColor="text1"/>
        </w:rPr>
        <w:t xml:space="preserve">outstanding actions from the </w:t>
      </w:r>
      <w:r w:rsidR="008F6F03">
        <w:rPr>
          <w:color w:val="000000" w:themeColor="text1"/>
        </w:rPr>
        <w:t xml:space="preserve">daily meetings </w:t>
      </w:r>
      <w:r w:rsidRPr="004E037C">
        <w:rPr>
          <w:color w:val="000000" w:themeColor="text1"/>
        </w:rPr>
        <w:t xml:space="preserve">at </w:t>
      </w:r>
      <w:r w:rsidR="000F792D">
        <w:rPr>
          <w:color w:val="000000" w:themeColor="text1"/>
        </w:rPr>
        <w:t xml:space="preserve">its meeting </w:t>
      </w:r>
      <w:r w:rsidRPr="004E037C">
        <w:rPr>
          <w:color w:val="000000" w:themeColor="text1"/>
        </w:rPr>
        <w:t>tomorrow</w:t>
      </w:r>
      <w:r w:rsidR="000F792D">
        <w:rPr>
          <w:color w:val="000000" w:themeColor="text1"/>
        </w:rPr>
        <w:t xml:space="preserve">. </w:t>
      </w:r>
    </w:p>
    <w:p w14:paraId="10ED663A" w14:textId="7E776894" w:rsidR="0076114C" w:rsidRDefault="0076114C" w:rsidP="0076114C">
      <w:pPr>
        <w:pStyle w:val="Numberedpara"/>
        <w:numPr>
          <w:ilvl w:val="0"/>
          <w:numId w:val="0"/>
        </w:numPr>
        <w:ind w:left="357" w:hanging="357"/>
      </w:pPr>
    </w:p>
    <w:p w14:paraId="45F3E7BB" w14:textId="7136E7F1" w:rsidR="0076114C" w:rsidRDefault="00BB32D9" w:rsidP="00F2185C">
      <w:pPr>
        <w:pStyle w:val="Heading2"/>
      </w:pPr>
      <w:r>
        <w:t>Technology appraisal (</w:t>
      </w:r>
      <w:r w:rsidR="0076114C">
        <w:t>TA</w:t>
      </w:r>
      <w:r>
        <w:t>)</w:t>
      </w:r>
      <w:r w:rsidR="0076114C">
        <w:t xml:space="preserve"> and </w:t>
      </w:r>
      <w:r>
        <w:t>highly specialised technologies (</w:t>
      </w:r>
      <w:r w:rsidR="0076114C">
        <w:t>HST</w:t>
      </w:r>
      <w:r>
        <w:t>)</w:t>
      </w:r>
      <w:r w:rsidR="0076114C">
        <w:t xml:space="preserve"> income recognition and refunds</w:t>
      </w:r>
      <w:r w:rsidR="00F2185C">
        <w:t xml:space="preserve"> (item 7.1)</w:t>
      </w:r>
    </w:p>
    <w:p w14:paraId="096B241E" w14:textId="5A92E05E" w:rsidR="00F2185C" w:rsidRDefault="00F2185C" w:rsidP="0076114C">
      <w:pPr>
        <w:pStyle w:val="Numberedpara"/>
        <w:numPr>
          <w:ilvl w:val="0"/>
          <w:numId w:val="0"/>
        </w:numPr>
        <w:ind w:left="357" w:hanging="357"/>
        <w:rPr>
          <w:rFonts w:ascii="ArialMT" w:hAnsi="ArialMT" w:cs="ArialMT"/>
        </w:rPr>
      </w:pPr>
    </w:p>
    <w:p w14:paraId="4FB65CBA" w14:textId="1BA7E47E" w:rsidR="00F2185C" w:rsidRDefault="00BB32D9" w:rsidP="00F2185C">
      <w:pPr>
        <w:pStyle w:val="Numberedpara"/>
      </w:pPr>
      <w:r w:rsidRPr="00EC7AE3">
        <w:rPr>
          <w:color w:val="000000" w:themeColor="text1"/>
        </w:rPr>
        <w:t xml:space="preserve">Catherine Wilkinson </w:t>
      </w:r>
      <w:r>
        <w:t xml:space="preserve">presented the proposed changes to the way income is recognised from TA and HST charging. </w:t>
      </w:r>
      <w:r w:rsidR="008F6F03">
        <w:t>P</w:t>
      </w:r>
      <w:r w:rsidR="005A1061">
        <w:t>revious</w:t>
      </w:r>
      <w:r w:rsidR="008F6F03">
        <w:t xml:space="preserve">ly </w:t>
      </w:r>
      <w:r w:rsidR="005A1061">
        <w:t xml:space="preserve">income </w:t>
      </w:r>
      <w:r w:rsidR="008F6F03">
        <w:t xml:space="preserve">was recognised </w:t>
      </w:r>
      <w:r w:rsidR="00FA1117">
        <w:t>equally</w:t>
      </w:r>
      <w:r w:rsidR="005A1061">
        <w:t xml:space="preserve"> </w:t>
      </w:r>
      <w:r w:rsidR="00FA1117">
        <w:t>over</w:t>
      </w:r>
      <w:r w:rsidR="005A1061">
        <w:t xml:space="preserve"> an </w:t>
      </w:r>
      <w:proofErr w:type="gramStart"/>
      <w:r w:rsidR="005A1061">
        <w:t>11 month</w:t>
      </w:r>
      <w:proofErr w:type="gramEnd"/>
      <w:r w:rsidR="005A1061">
        <w:t xml:space="preserve"> period</w:t>
      </w:r>
      <w:r w:rsidR="008F6F03">
        <w:t>. H</w:t>
      </w:r>
      <w:r w:rsidR="005A1061">
        <w:t xml:space="preserve">owever the delays </w:t>
      </w:r>
      <w:r w:rsidR="00EC7AE3">
        <w:t xml:space="preserve">to guidance production arising from the COVID-19 </w:t>
      </w:r>
      <w:r w:rsidR="00321F71">
        <w:t>disruption</w:t>
      </w:r>
      <w:r w:rsidR="00EC7AE3">
        <w:t xml:space="preserve"> mean that </w:t>
      </w:r>
      <w:r w:rsidR="008F6F03">
        <w:t xml:space="preserve">a revised approach, based on milestones, is required </w:t>
      </w:r>
      <w:r w:rsidR="000F792D">
        <w:t xml:space="preserve">to ensure </w:t>
      </w:r>
      <w:r w:rsidR="002F1D3D">
        <w:t xml:space="preserve">income </w:t>
      </w:r>
      <w:r w:rsidR="000F792D">
        <w:t xml:space="preserve">is allocated </w:t>
      </w:r>
      <w:r w:rsidR="002F1D3D">
        <w:t>t</w:t>
      </w:r>
      <w:r w:rsidR="00EC7AE3">
        <w:t xml:space="preserve">o the correct </w:t>
      </w:r>
      <w:r w:rsidR="00FA1117">
        <w:t>financial</w:t>
      </w:r>
      <w:r w:rsidR="00EC7AE3">
        <w:t xml:space="preserve"> year.</w:t>
      </w:r>
      <w:r w:rsidR="005A1061">
        <w:t xml:space="preserve"> </w:t>
      </w:r>
      <w:r w:rsidR="00EC7AE3">
        <w:t xml:space="preserve">The </w:t>
      </w:r>
      <w:r w:rsidR="00FA1117">
        <w:t>changes</w:t>
      </w:r>
      <w:r w:rsidR="00EC7AE3">
        <w:t xml:space="preserve"> lead to a </w:t>
      </w:r>
      <w:r w:rsidR="0065336A">
        <w:t>reduction</w:t>
      </w:r>
      <w:r w:rsidR="00EC7AE3">
        <w:t xml:space="preserve"> in the</w:t>
      </w:r>
      <w:r w:rsidR="00FA1117">
        <w:t xml:space="preserve"> recognised TA/HST </w:t>
      </w:r>
      <w:r w:rsidR="00EC7AE3">
        <w:t xml:space="preserve">income </w:t>
      </w:r>
      <w:r w:rsidR="00FA1117">
        <w:t xml:space="preserve">in 2019/20. James Fitton explained the proposals further and noted that the </w:t>
      </w:r>
      <w:r w:rsidR="000F792D">
        <w:t xml:space="preserve">milestones will be used to calculate the amount to be </w:t>
      </w:r>
      <w:r>
        <w:t xml:space="preserve">refunded </w:t>
      </w:r>
      <w:r w:rsidR="00017F48">
        <w:t>where such a scenario arises.</w:t>
      </w:r>
    </w:p>
    <w:p w14:paraId="5E8C74EE" w14:textId="77777777" w:rsidR="00F2185C" w:rsidRDefault="00F2185C" w:rsidP="0076114C">
      <w:pPr>
        <w:pStyle w:val="Numberedpara"/>
        <w:numPr>
          <w:ilvl w:val="0"/>
          <w:numId w:val="0"/>
        </w:numPr>
        <w:ind w:left="357" w:hanging="357"/>
        <w:rPr>
          <w:rFonts w:ascii="ArialMT" w:hAnsi="ArialMT" w:cs="ArialMT"/>
        </w:rPr>
      </w:pPr>
    </w:p>
    <w:p w14:paraId="598216A6" w14:textId="1D8004C5" w:rsidR="00F2185C" w:rsidRDefault="00FA1117" w:rsidP="00FA1117">
      <w:pPr>
        <w:pStyle w:val="Numberedpara"/>
      </w:pPr>
      <w:r>
        <w:t xml:space="preserve">SMT discussed </w:t>
      </w:r>
      <w:r w:rsidR="0065336A">
        <w:t>and supported the proposed milestone-based approach for recognising TA/HST income</w:t>
      </w:r>
      <w:r w:rsidR="001D6E7E">
        <w:t xml:space="preserve"> and </w:t>
      </w:r>
      <w:r w:rsidR="00321F71">
        <w:t>identifying</w:t>
      </w:r>
      <w:r w:rsidR="001D6E7E">
        <w:t xml:space="preserve"> the appropriate amount for any refunds</w:t>
      </w:r>
      <w:r w:rsidR="0065336A">
        <w:t xml:space="preserve">. SMT discussed </w:t>
      </w:r>
      <w:r w:rsidR="00D07F6F">
        <w:t>the circumstances</w:t>
      </w:r>
      <w:r w:rsidR="0065336A">
        <w:t xml:space="preserve"> in which a refund was appropriate </w:t>
      </w:r>
      <w:r w:rsidR="00AB20DE">
        <w:t xml:space="preserve">and agreed that as a general principle, a company would not be able to request a refund once </w:t>
      </w:r>
      <w:r w:rsidR="003A047B">
        <w:t>detailed work on the topic ha</w:t>
      </w:r>
      <w:r w:rsidR="000F792D">
        <w:t>s</w:t>
      </w:r>
      <w:r w:rsidR="003A047B">
        <w:t xml:space="preserve"> begun </w:t>
      </w:r>
      <w:r w:rsidR="009D0E71">
        <w:t>and resources have been committed</w:t>
      </w:r>
      <w:r w:rsidR="003A047B">
        <w:t xml:space="preserve">. Any later refunds would usually only be </w:t>
      </w:r>
      <w:r w:rsidR="002F1D3D">
        <w:t xml:space="preserve">appropriate </w:t>
      </w:r>
      <w:r w:rsidR="003A047B">
        <w:t xml:space="preserve">if there </w:t>
      </w:r>
      <w:r w:rsidR="00AB20DE">
        <w:t xml:space="preserve">were exceptional circumstances </w:t>
      </w:r>
      <w:r w:rsidR="003A047B">
        <w:t xml:space="preserve">that meant NICE could not proceed with the appraisal. </w:t>
      </w:r>
      <w:r w:rsidR="009D0E71">
        <w:t xml:space="preserve">SMT understood that this would most likely be the technical engagement </w:t>
      </w:r>
      <w:proofErr w:type="gramStart"/>
      <w:r w:rsidR="009D0E71">
        <w:t>stage, but</w:t>
      </w:r>
      <w:proofErr w:type="gramEnd"/>
      <w:r w:rsidR="009D0E71">
        <w:t xml:space="preserve"> was keen for </w:t>
      </w:r>
      <w:r w:rsidR="003A047B">
        <w:t xml:space="preserve">the </w:t>
      </w:r>
      <w:r w:rsidR="008045A1">
        <w:t xml:space="preserve">finance and CHTE </w:t>
      </w:r>
      <w:r w:rsidR="00321F71">
        <w:t>teams</w:t>
      </w:r>
      <w:r w:rsidR="002E6363">
        <w:t xml:space="preserve"> </w:t>
      </w:r>
      <w:r w:rsidR="009D0E71">
        <w:t xml:space="preserve">to </w:t>
      </w:r>
      <w:r w:rsidR="001D6E7E">
        <w:t>discuss</w:t>
      </w:r>
      <w:r w:rsidR="008045A1">
        <w:t xml:space="preserve"> </w:t>
      </w:r>
      <w:r w:rsidR="009D0E71">
        <w:t xml:space="preserve">and agree </w:t>
      </w:r>
      <w:r w:rsidR="008045A1">
        <w:t xml:space="preserve">the appropriate cut-off point for </w:t>
      </w:r>
      <w:r w:rsidR="001D6E7E">
        <w:t>allowing</w:t>
      </w:r>
      <w:r w:rsidR="008045A1">
        <w:t xml:space="preserve"> refunds based on this </w:t>
      </w:r>
      <w:r w:rsidR="001D6E7E">
        <w:t>principle</w:t>
      </w:r>
      <w:r w:rsidR="008045A1">
        <w:t xml:space="preserve"> and </w:t>
      </w:r>
      <w:r w:rsidR="002E6363">
        <w:t xml:space="preserve">finalise the arrangements accordingly. </w:t>
      </w:r>
      <w:r w:rsidR="009D0E71">
        <w:t xml:space="preserve">SMT further advised </w:t>
      </w:r>
      <w:r w:rsidR="002E6363">
        <w:t xml:space="preserve">to </w:t>
      </w:r>
      <w:r w:rsidR="008045A1">
        <w:t xml:space="preserve">seek </w:t>
      </w:r>
      <w:r w:rsidR="001D6E7E">
        <w:t>information</w:t>
      </w:r>
      <w:r w:rsidR="008045A1">
        <w:t xml:space="preserve"> on the </w:t>
      </w:r>
      <w:r w:rsidR="002E6363">
        <w:t xml:space="preserve">MHRA’s </w:t>
      </w:r>
      <w:r w:rsidR="008045A1">
        <w:t xml:space="preserve">approach to </w:t>
      </w:r>
      <w:r w:rsidR="000F792D">
        <w:t xml:space="preserve">this issue </w:t>
      </w:r>
      <w:r w:rsidR="008045A1">
        <w:t xml:space="preserve">in </w:t>
      </w:r>
      <w:r w:rsidR="002E6363">
        <w:t xml:space="preserve">their </w:t>
      </w:r>
      <w:r w:rsidR="008045A1">
        <w:t xml:space="preserve">cost recovery arrangements. Once finalised, it was agreed that the </w:t>
      </w:r>
      <w:r w:rsidR="001D6E7E">
        <w:t>milestones and weightings should be added to the finance manual and shared with the sponsor team at the Department for Health and Social Care (DHSC)</w:t>
      </w:r>
      <w:r w:rsidR="000F792D">
        <w:t xml:space="preserve"> for information</w:t>
      </w:r>
      <w:r w:rsidR="001D6E7E">
        <w:t xml:space="preserve">. </w:t>
      </w:r>
    </w:p>
    <w:p w14:paraId="0451A7BD" w14:textId="77777777" w:rsidR="001D6E7E" w:rsidRDefault="001D6E7E" w:rsidP="001D6E7E">
      <w:pPr>
        <w:pStyle w:val="ListParagraph"/>
      </w:pPr>
    </w:p>
    <w:p w14:paraId="61FEBAD0" w14:textId="3FB96E40" w:rsidR="001D6E7E" w:rsidRDefault="001D6E7E" w:rsidP="001D6E7E">
      <w:pPr>
        <w:pStyle w:val="SMTActions"/>
      </w:pPr>
      <w:r>
        <w:t>ACTION: CW/MB</w:t>
      </w:r>
    </w:p>
    <w:p w14:paraId="688E3F5D" w14:textId="77777777" w:rsidR="00FA1117" w:rsidRDefault="00FA1117" w:rsidP="0076114C">
      <w:pPr>
        <w:pStyle w:val="Numberedpara"/>
        <w:numPr>
          <w:ilvl w:val="0"/>
          <w:numId w:val="0"/>
        </w:numPr>
        <w:ind w:left="357" w:hanging="357"/>
        <w:rPr>
          <w:rFonts w:ascii="ArialMT" w:hAnsi="ArialMT" w:cs="ArialMT"/>
        </w:rPr>
      </w:pPr>
    </w:p>
    <w:p w14:paraId="4D652DDF" w14:textId="5476F6A7" w:rsidR="00F2185C" w:rsidRDefault="00F2185C" w:rsidP="00F2185C">
      <w:pPr>
        <w:pStyle w:val="Heading2"/>
      </w:pPr>
      <w:r>
        <w:t>Provisions and contingent liabilities (item 7.2)</w:t>
      </w:r>
    </w:p>
    <w:p w14:paraId="72E156EE" w14:textId="49D0E8BD" w:rsidR="00F2185C" w:rsidRDefault="00F2185C" w:rsidP="0076114C">
      <w:pPr>
        <w:pStyle w:val="Numberedpara"/>
        <w:numPr>
          <w:ilvl w:val="0"/>
          <w:numId w:val="0"/>
        </w:numPr>
        <w:ind w:left="357" w:hanging="357"/>
        <w:rPr>
          <w:rFonts w:ascii="ArialMT" w:hAnsi="ArialMT" w:cs="ArialMT"/>
        </w:rPr>
      </w:pPr>
    </w:p>
    <w:p w14:paraId="0CBBD081" w14:textId="07449494" w:rsidR="004216FD" w:rsidRDefault="004216FD" w:rsidP="008F6F03">
      <w:pPr>
        <w:pStyle w:val="Numberedpara"/>
      </w:pPr>
      <w:r>
        <w:t>John Pegington</w:t>
      </w:r>
      <w:r w:rsidR="00017F48">
        <w:t xml:space="preserve"> presented the overview of the current provisions to be included in the 2019/20 accounts.</w:t>
      </w:r>
      <w:r>
        <w:t xml:space="preserve"> </w:t>
      </w:r>
      <w:r w:rsidR="001447E6">
        <w:t xml:space="preserve">In addition to reviewing the provisions in the 2018/19 accounts, </w:t>
      </w:r>
      <w:r>
        <w:t xml:space="preserve">new provisions have been included in the </w:t>
      </w:r>
      <w:r w:rsidR="001447E6">
        <w:t xml:space="preserve">2019/20 </w:t>
      </w:r>
      <w:r>
        <w:t>accounts following discussion at SMT in March and the Coronavirus Response Group. The finance team ha</w:t>
      </w:r>
      <w:r w:rsidR="000F792D">
        <w:t>ve</w:t>
      </w:r>
      <w:r>
        <w:t xml:space="preserve"> reviewed existing contracts for potential issues and contacted Beachcroft for their assessment of any liabilities arising from current and potential Judicial Reviews. </w:t>
      </w:r>
    </w:p>
    <w:p w14:paraId="22818BF7" w14:textId="77777777" w:rsidR="004216FD" w:rsidRDefault="004216FD" w:rsidP="004216FD">
      <w:pPr>
        <w:pStyle w:val="Numberedpara"/>
        <w:numPr>
          <w:ilvl w:val="0"/>
          <w:numId w:val="0"/>
        </w:numPr>
        <w:ind w:left="357"/>
      </w:pPr>
    </w:p>
    <w:p w14:paraId="3586D842" w14:textId="10FC41A3" w:rsidR="00B663DF" w:rsidRDefault="00E21174" w:rsidP="00B47DC4">
      <w:pPr>
        <w:pStyle w:val="Numberedpara"/>
      </w:pPr>
      <w:r>
        <w:t xml:space="preserve">SMT reviewed the paper and noted the proposed new </w:t>
      </w:r>
      <w:r w:rsidR="00321F71">
        <w:t>provisions</w:t>
      </w:r>
      <w:r>
        <w:t xml:space="preserve"> relating to the potential impact of COVID-19 including the potential delay to the Stratford office move, new potential Judicial Reviews, and the potential cost of dual running of two IT</w:t>
      </w:r>
      <w:r w:rsidR="00B663DF">
        <w:t xml:space="preserve"> </w:t>
      </w:r>
      <w:r>
        <w:t>contracts.</w:t>
      </w:r>
      <w:r w:rsidR="00B47DC4">
        <w:t xml:space="preserve"> In addition, it was agreed </w:t>
      </w:r>
      <w:r w:rsidR="00321F71">
        <w:t>that</w:t>
      </w:r>
      <w:r w:rsidR="00B47DC4">
        <w:t xml:space="preserve"> the scope for including a provision relating to the need for </w:t>
      </w:r>
      <w:r w:rsidR="00321F71">
        <w:t>additional</w:t>
      </w:r>
      <w:r w:rsidR="00B47DC4">
        <w:t xml:space="preserve"> technical </w:t>
      </w:r>
      <w:r w:rsidR="00321F71">
        <w:t>expertise</w:t>
      </w:r>
      <w:r w:rsidR="00B47DC4">
        <w:t xml:space="preserve"> to roll-out MS Teams and remote working at pace </w:t>
      </w:r>
      <w:r w:rsidR="001447E6">
        <w:t xml:space="preserve">following the office closures </w:t>
      </w:r>
      <w:r w:rsidR="00B47DC4">
        <w:t xml:space="preserve">should </w:t>
      </w:r>
      <w:r w:rsidR="00321F71">
        <w:t>be</w:t>
      </w:r>
      <w:r w:rsidR="00B47DC4">
        <w:t xml:space="preserve"> explored. </w:t>
      </w:r>
    </w:p>
    <w:p w14:paraId="78831370" w14:textId="4CC4D7FD" w:rsidR="00B663DF" w:rsidRDefault="00B663DF" w:rsidP="00B663DF">
      <w:pPr>
        <w:pStyle w:val="ListParagraph"/>
      </w:pPr>
    </w:p>
    <w:p w14:paraId="369EEBF0" w14:textId="046747B2" w:rsidR="00765186" w:rsidRDefault="00765186" w:rsidP="00765186">
      <w:pPr>
        <w:pStyle w:val="SMTActions"/>
      </w:pPr>
      <w:r>
        <w:t>ACTION: JP</w:t>
      </w:r>
    </w:p>
    <w:p w14:paraId="44ADFE61" w14:textId="77777777" w:rsidR="00765186" w:rsidRDefault="00765186" w:rsidP="00B663DF">
      <w:pPr>
        <w:pStyle w:val="ListParagraph"/>
      </w:pPr>
    </w:p>
    <w:p w14:paraId="5816A9F5" w14:textId="43F80006" w:rsidR="00B663DF" w:rsidRDefault="00B663DF" w:rsidP="008F6F03">
      <w:pPr>
        <w:pStyle w:val="Numberedpara"/>
      </w:pPr>
      <w:r>
        <w:t xml:space="preserve">Martin Davison highlighted that the above provisions are subject to </w:t>
      </w:r>
      <w:r w:rsidR="00321F71">
        <w:t>review</w:t>
      </w:r>
      <w:r>
        <w:t xml:space="preserve"> by external audit and may therefore change </w:t>
      </w:r>
      <w:r w:rsidR="00321F71">
        <w:t>proper</w:t>
      </w:r>
      <w:r>
        <w:t xml:space="preserve"> to </w:t>
      </w:r>
      <w:r w:rsidR="00321F71">
        <w:t>finalisation</w:t>
      </w:r>
      <w:r>
        <w:t xml:space="preserve"> of the 2019/20 annual accounts. </w:t>
      </w:r>
      <w:r w:rsidR="00B47DC4">
        <w:t xml:space="preserve">It was noted that any </w:t>
      </w:r>
      <w:r w:rsidR="00321F71">
        <w:t>further</w:t>
      </w:r>
      <w:r w:rsidR="00B47DC4">
        <w:t xml:space="preserve"> </w:t>
      </w:r>
      <w:r w:rsidR="00321F71">
        <w:t>significant</w:t>
      </w:r>
      <w:r w:rsidR="00B47DC4">
        <w:t xml:space="preserve"> </w:t>
      </w:r>
      <w:r w:rsidR="00321F71">
        <w:t>cost</w:t>
      </w:r>
      <w:r w:rsidR="00B47DC4">
        <w:t xml:space="preserve"> pressures that </w:t>
      </w:r>
      <w:r w:rsidR="00321F71">
        <w:t>come</w:t>
      </w:r>
      <w:r w:rsidR="00B47DC4">
        <w:t xml:space="preserve"> to light prior to signing </w:t>
      </w:r>
      <w:r w:rsidR="00321F71">
        <w:t>of</w:t>
      </w:r>
      <w:r w:rsidR="00B47DC4">
        <w:t xml:space="preserve"> </w:t>
      </w:r>
      <w:r w:rsidR="00B47DC4">
        <w:lastRenderedPageBreak/>
        <w:t xml:space="preserve">the annual report and accounts may need to be </w:t>
      </w:r>
      <w:r w:rsidR="00321F71">
        <w:t>included</w:t>
      </w:r>
      <w:r w:rsidR="00765186">
        <w:t xml:space="preserve"> in the narrative disclosure of post-balance sheet events.</w:t>
      </w:r>
    </w:p>
    <w:p w14:paraId="7C40608C" w14:textId="77777777" w:rsidR="00765186" w:rsidRDefault="00765186" w:rsidP="00765186">
      <w:pPr>
        <w:pStyle w:val="ListParagraph"/>
      </w:pPr>
    </w:p>
    <w:p w14:paraId="3C70E746" w14:textId="4DA8AA81" w:rsidR="00F2185C" w:rsidRDefault="00F2185C" w:rsidP="00F2185C">
      <w:pPr>
        <w:pStyle w:val="Heading2"/>
      </w:pPr>
      <w:r>
        <w:t>Finance update (item 7.3)</w:t>
      </w:r>
    </w:p>
    <w:p w14:paraId="5AA1F127" w14:textId="79A34349" w:rsidR="00F2185C" w:rsidRDefault="00F2185C" w:rsidP="0076114C">
      <w:pPr>
        <w:pStyle w:val="Numberedpara"/>
        <w:numPr>
          <w:ilvl w:val="0"/>
          <w:numId w:val="0"/>
        </w:numPr>
        <w:ind w:left="357" w:hanging="357"/>
        <w:rPr>
          <w:rFonts w:ascii="ArialMT" w:hAnsi="ArialMT" w:cs="ArialMT"/>
        </w:rPr>
      </w:pPr>
    </w:p>
    <w:p w14:paraId="07594195" w14:textId="4E2F2254" w:rsidR="00F2185C" w:rsidRPr="00725813" w:rsidRDefault="00765186" w:rsidP="00F2185C">
      <w:pPr>
        <w:pStyle w:val="Numberedpara"/>
        <w:rPr>
          <w:color w:val="FF0000"/>
        </w:rPr>
      </w:pPr>
      <w:r w:rsidRPr="00765186">
        <w:rPr>
          <w:color w:val="000000" w:themeColor="text1"/>
        </w:rPr>
        <w:t>Martin Davison</w:t>
      </w:r>
      <w:r w:rsidR="00017F48" w:rsidRPr="00765186">
        <w:rPr>
          <w:color w:val="000000" w:themeColor="text1"/>
        </w:rPr>
        <w:t xml:space="preserve"> </w:t>
      </w:r>
      <w:r w:rsidR="00017F48">
        <w:rPr>
          <w:color w:val="auto"/>
        </w:rPr>
        <w:t xml:space="preserve">presented </w:t>
      </w:r>
      <w:r w:rsidR="00600413">
        <w:rPr>
          <w:color w:val="auto"/>
        </w:rPr>
        <w:t xml:space="preserve">a </w:t>
      </w:r>
      <w:r w:rsidR="00B8102C">
        <w:rPr>
          <w:color w:val="auto"/>
        </w:rPr>
        <w:t xml:space="preserve">draft </w:t>
      </w:r>
      <w:r w:rsidR="00600413">
        <w:rPr>
          <w:color w:val="auto"/>
        </w:rPr>
        <w:t>set of</w:t>
      </w:r>
      <w:r w:rsidR="00B8102C">
        <w:rPr>
          <w:color w:val="auto"/>
        </w:rPr>
        <w:t xml:space="preserve"> </w:t>
      </w:r>
      <w:r w:rsidR="00600413">
        <w:rPr>
          <w:color w:val="auto"/>
        </w:rPr>
        <w:t xml:space="preserve">slides to inform a discussion at the April Board Strategy meeting on the financial impact of the COVID-19 pandemic on the business plan. </w:t>
      </w:r>
      <w:r w:rsidR="00B8102C">
        <w:rPr>
          <w:color w:val="auto"/>
        </w:rPr>
        <w:t xml:space="preserve">He noted that since the slides were prepared, he has received further information from the DHSC on </w:t>
      </w:r>
      <w:r w:rsidR="001253FF">
        <w:rPr>
          <w:color w:val="auto"/>
        </w:rPr>
        <w:t xml:space="preserve">NICE’s </w:t>
      </w:r>
      <w:r w:rsidR="00B8102C">
        <w:rPr>
          <w:color w:val="auto"/>
        </w:rPr>
        <w:t>indicative capital allocation for 2020/21. Th</w:t>
      </w:r>
      <w:r w:rsidR="001253FF">
        <w:rPr>
          <w:color w:val="auto"/>
        </w:rPr>
        <w:t xml:space="preserve">e capital allocation </w:t>
      </w:r>
      <w:r w:rsidR="00B8102C">
        <w:rPr>
          <w:color w:val="auto"/>
        </w:rPr>
        <w:t xml:space="preserve">is </w:t>
      </w:r>
      <w:r w:rsidR="00321F71">
        <w:rPr>
          <w:color w:val="auto"/>
        </w:rPr>
        <w:t>higher</w:t>
      </w:r>
      <w:r w:rsidR="00B8102C">
        <w:rPr>
          <w:color w:val="auto"/>
        </w:rPr>
        <w:t xml:space="preserve"> than usual and there is a need to clarify</w:t>
      </w:r>
      <w:r w:rsidR="00CD6A7C">
        <w:rPr>
          <w:color w:val="auto"/>
        </w:rPr>
        <w:t xml:space="preserve"> </w:t>
      </w:r>
      <w:r w:rsidR="00B8102C">
        <w:rPr>
          <w:color w:val="auto"/>
        </w:rPr>
        <w:t xml:space="preserve">the extent </w:t>
      </w:r>
      <w:r w:rsidR="00CD6A7C">
        <w:rPr>
          <w:color w:val="auto"/>
        </w:rPr>
        <w:t xml:space="preserve">it </w:t>
      </w:r>
      <w:r w:rsidR="00B8102C">
        <w:rPr>
          <w:color w:val="auto"/>
        </w:rPr>
        <w:t xml:space="preserve">is intended for fitting out the new London office </w:t>
      </w:r>
      <w:r w:rsidR="00CD6A7C">
        <w:rPr>
          <w:color w:val="auto"/>
        </w:rPr>
        <w:t xml:space="preserve">on behalf of </w:t>
      </w:r>
      <w:r w:rsidR="00321F71">
        <w:rPr>
          <w:color w:val="auto"/>
        </w:rPr>
        <w:t>the</w:t>
      </w:r>
      <w:r w:rsidR="00CD6A7C">
        <w:rPr>
          <w:color w:val="auto"/>
        </w:rPr>
        <w:t xml:space="preserve"> other DHSC ALBs and how the allocation fits with NICE’s usual approach to capitalising expenditure.</w:t>
      </w:r>
    </w:p>
    <w:p w14:paraId="628DE33D" w14:textId="77777777" w:rsidR="00725813" w:rsidRPr="00725813" w:rsidRDefault="00725813" w:rsidP="00725813">
      <w:pPr>
        <w:pStyle w:val="Numberedpara"/>
        <w:numPr>
          <w:ilvl w:val="0"/>
          <w:numId w:val="0"/>
        </w:numPr>
        <w:ind w:left="357"/>
        <w:rPr>
          <w:color w:val="000000" w:themeColor="text1"/>
        </w:rPr>
      </w:pPr>
    </w:p>
    <w:p w14:paraId="6C8FF2AF" w14:textId="04DE4F41" w:rsidR="00725813" w:rsidRDefault="00725813" w:rsidP="00725813">
      <w:pPr>
        <w:pStyle w:val="Numberedpara"/>
        <w:rPr>
          <w:color w:val="000000" w:themeColor="text1"/>
        </w:rPr>
      </w:pPr>
      <w:r w:rsidRPr="00725813">
        <w:rPr>
          <w:color w:val="000000" w:themeColor="text1"/>
        </w:rPr>
        <w:t xml:space="preserve">SMT discussed the </w:t>
      </w:r>
      <w:r>
        <w:rPr>
          <w:color w:val="000000" w:themeColor="text1"/>
        </w:rPr>
        <w:t xml:space="preserve">slides and agreed that a revised version should </w:t>
      </w:r>
      <w:r w:rsidR="00321F71">
        <w:rPr>
          <w:color w:val="000000" w:themeColor="text1"/>
        </w:rPr>
        <w:t>be</w:t>
      </w:r>
      <w:r>
        <w:rPr>
          <w:color w:val="000000" w:themeColor="text1"/>
        </w:rPr>
        <w:t xml:space="preserve"> produced for the Board Strategy meeting that summarises the </w:t>
      </w:r>
      <w:r w:rsidR="00321F71">
        <w:rPr>
          <w:color w:val="000000" w:themeColor="text1"/>
        </w:rPr>
        <w:t>reasonable</w:t>
      </w:r>
      <w:r>
        <w:rPr>
          <w:color w:val="000000" w:themeColor="text1"/>
        </w:rPr>
        <w:t xml:space="preserve"> worst case scenario</w:t>
      </w:r>
      <w:r w:rsidR="00EB2837">
        <w:rPr>
          <w:color w:val="000000" w:themeColor="text1"/>
        </w:rPr>
        <w:t xml:space="preserve"> and </w:t>
      </w:r>
      <w:r>
        <w:rPr>
          <w:color w:val="000000" w:themeColor="text1"/>
        </w:rPr>
        <w:t xml:space="preserve">the high level </w:t>
      </w:r>
      <w:r w:rsidR="00321F71">
        <w:rPr>
          <w:color w:val="000000" w:themeColor="text1"/>
        </w:rPr>
        <w:t>options</w:t>
      </w:r>
      <w:r>
        <w:rPr>
          <w:color w:val="000000" w:themeColor="text1"/>
        </w:rPr>
        <w:t xml:space="preserve"> for mitigating this</w:t>
      </w:r>
      <w:r w:rsidR="00EB2837">
        <w:rPr>
          <w:color w:val="000000" w:themeColor="text1"/>
        </w:rPr>
        <w:t xml:space="preserve">, which would include </w:t>
      </w:r>
      <w:r w:rsidR="00321F71">
        <w:rPr>
          <w:color w:val="000000" w:themeColor="text1"/>
        </w:rPr>
        <w:t>restricting</w:t>
      </w:r>
      <w:r w:rsidR="00EB2837">
        <w:rPr>
          <w:color w:val="000000" w:themeColor="text1"/>
        </w:rPr>
        <w:t xml:space="preserve"> the uncommitted non-pay budget, </w:t>
      </w:r>
      <w:r w:rsidR="00321F71">
        <w:rPr>
          <w:color w:val="000000" w:themeColor="text1"/>
        </w:rPr>
        <w:t>delaying</w:t>
      </w:r>
      <w:r w:rsidR="00EB2837">
        <w:rPr>
          <w:color w:val="000000" w:themeColor="text1"/>
        </w:rPr>
        <w:t xml:space="preserve"> </w:t>
      </w:r>
      <w:r w:rsidR="00321F71">
        <w:rPr>
          <w:color w:val="000000" w:themeColor="text1"/>
        </w:rPr>
        <w:t>recruitment</w:t>
      </w:r>
      <w:r w:rsidR="00EB2837">
        <w:rPr>
          <w:color w:val="000000" w:themeColor="text1"/>
        </w:rPr>
        <w:t xml:space="preserve"> to non-</w:t>
      </w:r>
      <w:r w:rsidR="00321F71">
        <w:rPr>
          <w:color w:val="000000" w:themeColor="text1"/>
        </w:rPr>
        <w:t>critical</w:t>
      </w:r>
      <w:r w:rsidR="00EB2837">
        <w:rPr>
          <w:color w:val="000000" w:themeColor="text1"/>
        </w:rPr>
        <w:t xml:space="preserve"> posts and </w:t>
      </w:r>
      <w:r w:rsidR="00D07F6F">
        <w:rPr>
          <w:color w:val="000000" w:themeColor="text1"/>
        </w:rPr>
        <w:t>undertaking</w:t>
      </w:r>
      <w:r w:rsidR="00EB2837">
        <w:rPr>
          <w:color w:val="000000" w:themeColor="text1"/>
        </w:rPr>
        <w:t xml:space="preserve"> a strategic </w:t>
      </w:r>
      <w:r w:rsidR="00321F71">
        <w:rPr>
          <w:color w:val="000000" w:themeColor="text1"/>
        </w:rPr>
        <w:t>review</w:t>
      </w:r>
      <w:r w:rsidR="00EB2837">
        <w:rPr>
          <w:color w:val="000000" w:themeColor="text1"/>
        </w:rPr>
        <w:t xml:space="preserve"> of NICE’s programmes</w:t>
      </w:r>
      <w:r>
        <w:rPr>
          <w:color w:val="000000" w:themeColor="text1"/>
        </w:rPr>
        <w:t xml:space="preserve">. </w:t>
      </w:r>
      <w:r w:rsidR="003C443A">
        <w:rPr>
          <w:color w:val="000000" w:themeColor="text1"/>
        </w:rPr>
        <w:t xml:space="preserve">It was </w:t>
      </w:r>
      <w:r w:rsidR="00321F71">
        <w:rPr>
          <w:color w:val="000000" w:themeColor="text1"/>
        </w:rPr>
        <w:t>agreed</w:t>
      </w:r>
      <w:r w:rsidR="003C443A">
        <w:rPr>
          <w:color w:val="000000" w:themeColor="text1"/>
        </w:rPr>
        <w:t xml:space="preserve"> that </w:t>
      </w:r>
      <w:r w:rsidR="00321F71">
        <w:rPr>
          <w:color w:val="000000" w:themeColor="text1"/>
        </w:rPr>
        <w:t>Catherine</w:t>
      </w:r>
      <w:r w:rsidR="003C443A">
        <w:rPr>
          <w:color w:val="000000" w:themeColor="text1"/>
        </w:rPr>
        <w:t xml:space="preserve"> </w:t>
      </w:r>
      <w:r w:rsidR="00316C3A">
        <w:rPr>
          <w:color w:val="000000" w:themeColor="text1"/>
        </w:rPr>
        <w:t>Wilkinson and</w:t>
      </w:r>
      <w:r w:rsidR="003C443A">
        <w:rPr>
          <w:color w:val="000000" w:themeColor="text1"/>
        </w:rPr>
        <w:t xml:space="preserve"> Martin Davison would </w:t>
      </w:r>
      <w:r w:rsidR="00316C3A">
        <w:rPr>
          <w:color w:val="000000" w:themeColor="text1"/>
        </w:rPr>
        <w:t>liaise</w:t>
      </w:r>
      <w:r w:rsidR="003C443A">
        <w:rPr>
          <w:color w:val="000000" w:themeColor="text1"/>
        </w:rPr>
        <w:t xml:space="preserve"> with Gill Leng to </w:t>
      </w:r>
      <w:r w:rsidR="00316C3A">
        <w:rPr>
          <w:color w:val="000000" w:themeColor="text1"/>
        </w:rPr>
        <w:t>finalise</w:t>
      </w:r>
      <w:r w:rsidR="003C443A">
        <w:rPr>
          <w:color w:val="000000" w:themeColor="text1"/>
        </w:rPr>
        <w:t xml:space="preserve"> the updated slides</w:t>
      </w:r>
      <w:r w:rsidR="001253FF">
        <w:rPr>
          <w:color w:val="000000" w:themeColor="text1"/>
        </w:rPr>
        <w:t xml:space="preserve">, which would be a precursor to a paper to </w:t>
      </w:r>
      <w:r w:rsidR="005E2197">
        <w:rPr>
          <w:color w:val="000000" w:themeColor="text1"/>
        </w:rPr>
        <w:t xml:space="preserve">the </w:t>
      </w:r>
      <w:r w:rsidR="001253FF">
        <w:rPr>
          <w:color w:val="000000" w:themeColor="text1"/>
        </w:rPr>
        <w:t>May Board meeting</w:t>
      </w:r>
      <w:r w:rsidR="005E2197">
        <w:rPr>
          <w:color w:val="000000" w:themeColor="text1"/>
        </w:rPr>
        <w:t xml:space="preserve"> on the financial position</w:t>
      </w:r>
      <w:r w:rsidR="003C443A">
        <w:rPr>
          <w:color w:val="000000" w:themeColor="text1"/>
        </w:rPr>
        <w:t>.</w:t>
      </w:r>
    </w:p>
    <w:p w14:paraId="695E1DA1" w14:textId="77777777" w:rsidR="00725813" w:rsidRDefault="00725813" w:rsidP="00725813">
      <w:pPr>
        <w:pStyle w:val="ListParagraph"/>
        <w:rPr>
          <w:color w:val="000000" w:themeColor="text1"/>
        </w:rPr>
      </w:pPr>
    </w:p>
    <w:p w14:paraId="531683F5" w14:textId="6A1D58F8" w:rsidR="00725813" w:rsidRDefault="00725813" w:rsidP="003C443A">
      <w:pPr>
        <w:pStyle w:val="SMTActions"/>
      </w:pPr>
      <w:r>
        <w:t xml:space="preserve">ACTION: </w:t>
      </w:r>
      <w:r w:rsidR="003C443A">
        <w:t>CW/MD</w:t>
      </w:r>
    </w:p>
    <w:p w14:paraId="21D11FC1" w14:textId="77777777" w:rsidR="00725813" w:rsidRDefault="00725813" w:rsidP="00725813">
      <w:pPr>
        <w:pStyle w:val="ListParagraph"/>
        <w:rPr>
          <w:color w:val="000000" w:themeColor="text1"/>
        </w:rPr>
      </w:pPr>
    </w:p>
    <w:p w14:paraId="7B031999" w14:textId="5F931507" w:rsidR="00725813" w:rsidRPr="00725813" w:rsidRDefault="00EB2837" w:rsidP="00725813">
      <w:pPr>
        <w:pStyle w:val="Numberedpara"/>
        <w:rPr>
          <w:color w:val="000000" w:themeColor="text1"/>
        </w:rPr>
      </w:pPr>
      <w:r>
        <w:rPr>
          <w:color w:val="000000" w:themeColor="text1"/>
        </w:rPr>
        <w:t>Meindert Boysen stated that in order to provide greater stability</w:t>
      </w:r>
      <w:r w:rsidR="00B65237">
        <w:rPr>
          <w:color w:val="000000" w:themeColor="text1"/>
        </w:rPr>
        <w:t xml:space="preserve">, it might be appropriate to raise with DHSC whether in the longer term a top slice of the rebate </w:t>
      </w:r>
      <w:r w:rsidR="00316C3A">
        <w:rPr>
          <w:color w:val="000000" w:themeColor="text1"/>
        </w:rPr>
        <w:t>from</w:t>
      </w:r>
      <w:r w:rsidR="00B65237">
        <w:rPr>
          <w:color w:val="000000" w:themeColor="text1"/>
        </w:rPr>
        <w:t xml:space="preserve"> the voluntary scheme for branded </w:t>
      </w:r>
      <w:r w:rsidR="00316C3A">
        <w:rPr>
          <w:color w:val="000000" w:themeColor="text1"/>
        </w:rPr>
        <w:t>medicines</w:t>
      </w:r>
      <w:r w:rsidR="00B65237">
        <w:rPr>
          <w:color w:val="000000" w:themeColor="text1"/>
        </w:rPr>
        <w:t xml:space="preserve"> pricing and access </w:t>
      </w:r>
      <w:r w:rsidR="006B2683">
        <w:rPr>
          <w:color w:val="000000" w:themeColor="text1"/>
        </w:rPr>
        <w:t xml:space="preserve">could replace charging </w:t>
      </w:r>
      <w:r w:rsidR="00B65237">
        <w:rPr>
          <w:color w:val="000000" w:themeColor="text1"/>
        </w:rPr>
        <w:t>individual companies for TA appraisals and HST evaluation</w:t>
      </w:r>
      <w:r w:rsidR="006B2683">
        <w:rPr>
          <w:color w:val="000000" w:themeColor="text1"/>
        </w:rPr>
        <w:t xml:space="preserve">s. </w:t>
      </w:r>
    </w:p>
    <w:p w14:paraId="3DA1E98C" w14:textId="07897056" w:rsidR="00F2185C" w:rsidRDefault="00F2185C" w:rsidP="0076114C">
      <w:pPr>
        <w:pStyle w:val="Numberedpara"/>
        <w:numPr>
          <w:ilvl w:val="0"/>
          <w:numId w:val="0"/>
        </w:numPr>
        <w:ind w:left="357" w:hanging="357"/>
        <w:rPr>
          <w:rFonts w:ascii="ArialMT" w:hAnsi="ArialMT" w:cs="ArialMT"/>
        </w:rPr>
      </w:pPr>
    </w:p>
    <w:p w14:paraId="3EA749DE" w14:textId="4A0D1EE4" w:rsidR="00F2185C" w:rsidRDefault="00F2185C" w:rsidP="00F2185C">
      <w:pPr>
        <w:pStyle w:val="Heading2"/>
      </w:pPr>
      <w:r>
        <w:t>Temporary changes to technical engagement in the technology appraisal programme (item 7.4)</w:t>
      </w:r>
    </w:p>
    <w:p w14:paraId="7467003E" w14:textId="77777777" w:rsidR="006B2683" w:rsidRPr="006B2683" w:rsidRDefault="006B2683" w:rsidP="006B2683">
      <w:pPr>
        <w:pStyle w:val="Paragraph"/>
        <w:numPr>
          <w:ilvl w:val="0"/>
          <w:numId w:val="0"/>
        </w:numPr>
        <w:ind w:left="567"/>
      </w:pPr>
    </w:p>
    <w:p w14:paraId="77635E42" w14:textId="0B223534" w:rsidR="0076114C" w:rsidRDefault="006B2683" w:rsidP="008F6F03">
      <w:pPr>
        <w:pStyle w:val="Numberedpara"/>
      </w:pPr>
      <w:r>
        <w:t>Linda Landells and Helen Knight</w:t>
      </w:r>
      <w:r w:rsidR="00600413" w:rsidRPr="007C65CB">
        <w:rPr>
          <w:color w:val="FF0000"/>
        </w:rPr>
        <w:t xml:space="preserve"> </w:t>
      </w:r>
      <w:r w:rsidR="00600413">
        <w:t xml:space="preserve">presented the proposed changes to the technology appraisal process that </w:t>
      </w:r>
      <w:r w:rsidR="007C65CB">
        <w:t xml:space="preserve">seek to </w:t>
      </w:r>
      <w:r w:rsidR="00600413">
        <w:t xml:space="preserve">alleviate the operational burden arising from </w:t>
      </w:r>
      <w:r w:rsidR="007C65CB">
        <w:t xml:space="preserve">the </w:t>
      </w:r>
      <w:r w:rsidR="00600413">
        <w:t>technical</w:t>
      </w:r>
      <w:r w:rsidR="007C65CB">
        <w:t xml:space="preserve"> </w:t>
      </w:r>
      <w:r w:rsidR="00600413">
        <w:t>engagement step</w:t>
      </w:r>
      <w:r w:rsidR="007C65CB">
        <w:t xml:space="preserve"> introduced in 2018.</w:t>
      </w:r>
      <w:r w:rsidR="000F4108">
        <w:t xml:space="preserve"> While the number of topics requiring only 1 committee meeting has increased slightly and the technical engagement step is popular with companies, it is very resource </w:t>
      </w:r>
      <w:r w:rsidR="00316C3A">
        <w:t>intensive</w:t>
      </w:r>
      <w:r w:rsidR="000F4108">
        <w:t xml:space="preserve"> to the extent that a topic with 1 meeting under the new </w:t>
      </w:r>
      <w:r w:rsidR="00316C3A">
        <w:t>process</w:t>
      </w:r>
      <w:r w:rsidR="000F4108">
        <w:t xml:space="preserve"> requires more resources than a topic needing 2 meetings under the old process. </w:t>
      </w:r>
    </w:p>
    <w:p w14:paraId="64AC2C71" w14:textId="77777777" w:rsidR="00BE756A" w:rsidRDefault="00BE756A" w:rsidP="00BE756A">
      <w:pPr>
        <w:pStyle w:val="Numberedpara"/>
        <w:numPr>
          <w:ilvl w:val="0"/>
          <w:numId w:val="0"/>
        </w:numPr>
        <w:ind w:left="357"/>
      </w:pPr>
    </w:p>
    <w:p w14:paraId="59D8CD42" w14:textId="289A9206" w:rsidR="00BE756A" w:rsidRDefault="00BE756A" w:rsidP="00BE756A">
      <w:pPr>
        <w:pStyle w:val="Numberedpara"/>
      </w:pPr>
      <w:r>
        <w:t xml:space="preserve">SMT discussed and supported the proposed changes to the technical engagement step. It was agreed these should be framed as interim changes, </w:t>
      </w:r>
      <w:r w:rsidR="00316C3A">
        <w:t>while</w:t>
      </w:r>
      <w:r>
        <w:t xml:space="preserve"> options for </w:t>
      </w:r>
      <w:r w:rsidR="0092128E">
        <w:t xml:space="preserve">longer term </w:t>
      </w:r>
      <w:r>
        <w:t xml:space="preserve">solutions </w:t>
      </w:r>
      <w:r w:rsidR="0092128E">
        <w:t>are developed t</w:t>
      </w:r>
      <w:r>
        <w:t xml:space="preserve">o enable the key </w:t>
      </w:r>
      <w:r w:rsidR="00316C3A">
        <w:t>performance</w:t>
      </w:r>
      <w:r>
        <w:t xml:space="preserve"> ind</w:t>
      </w:r>
      <w:r w:rsidR="0092128E">
        <w:t xml:space="preserve">icators for timely guidance production to be met. </w:t>
      </w:r>
    </w:p>
    <w:p w14:paraId="3D17101A" w14:textId="77777777" w:rsidR="0092128E" w:rsidRDefault="0092128E" w:rsidP="0092128E">
      <w:pPr>
        <w:pStyle w:val="ListParagraph"/>
      </w:pPr>
    </w:p>
    <w:p w14:paraId="41D90163" w14:textId="65626199" w:rsidR="0092128E" w:rsidRDefault="0092128E" w:rsidP="0092128E">
      <w:pPr>
        <w:pStyle w:val="SMTActions"/>
      </w:pPr>
      <w:r>
        <w:t>ACTION: MB</w:t>
      </w:r>
    </w:p>
    <w:p w14:paraId="7175BE92" w14:textId="4D1CD602" w:rsidR="00F2185C" w:rsidRDefault="00F2185C" w:rsidP="0076114C">
      <w:pPr>
        <w:pStyle w:val="Numberedpara"/>
        <w:numPr>
          <w:ilvl w:val="0"/>
          <w:numId w:val="0"/>
        </w:numPr>
        <w:ind w:left="357" w:hanging="357"/>
      </w:pPr>
    </w:p>
    <w:p w14:paraId="664AE503" w14:textId="285B38E3" w:rsidR="00F2185C" w:rsidRDefault="00F2185C" w:rsidP="00F2185C">
      <w:pPr>
        <w:pStyle w:val="Heading2"/>
      </w:pPr>
      <w:r>
        <w:t>Rationale and criteria for the inclusion of NICE content in international ‘non-commercial’ guidance research repositories (item 7.5)</w:t>
      </w:r>
    </w:p>
    <w:p w14:paraId="1157331A" w14:textId="3559829E" w:rsidR="0076114C" w:rsidRDefault="0076114C" w:rsidP="0076114C">
      <w:pPr>
        <w:pStyle w:val="Numberedpara"/>
        <w:numPr>
          <w:ilvl w:val="0"/>
          <w:numId w:val="0"/>
        </w:numPr>
        <w:ind w:left="357" w:hanging="357"/>
      </w:pPr>
    </w:p>
    <w:p w14:paraId="7F34F418" w14:textId="7F2C5F71" w:rsidR="00F2185C" w:rsidRDefault="0092128E" w:rsidP="008F6F03">
      <w:pPr>
        <w:pStyle w:val="Numberedpara"/>
      </w:pPr>
      <w:r w:rsidRPr="000E7EC1">
        <w:rPr>
          <w:color w:val="000000" w:themeColor="text1"/>
        </w:rPr>
        <w:t xml:space="preserve">Iain Moir </w:t>
      </w:r>
      <w:r w:rsidR="007C65CB">
        <w:t>presented the proposed principles for providing and maintaining NICE guidance on international guidance research repository platforms which are not currently subject to international charges or a licensing framework.</w:t>
      </w:r>
      <w:r w:rsidR="00430C87">
        <w:t xml:space="preserve"> The proposed single licence for non-</w:t>
      </w:r>
      <w:r w:rsidR="00316C3A">
        <w:t>commercial</w:t>
      </w:r>
      <w:r w:rsidR="00430C87">
        <w:t xml:space="preserve"> guidance research repositories would be available when certain </w:t>
      </w:r>
      <w:r w:rsidR="00316C3A">
        <w:t>criteria</w:t>
      </w:r>
      <w:r w:rsidR="00430C87">
        <w:t xml:space="preserve"> are met, </w:t>
      </w:r>
      <w:r w:rsidR="00316C3A">
        <w:t>including</w:t>
      </w:r>
      <w:r w:rsidR="00430C87">
        <w:t xml:space="preserve"> that the repository gains no commercial or financial advantage from NICE content. The licence would </w:t>
      </w:r>
      <w:r w:rsidR="000801AB">
        <w:t xml:space="preserve">make clear </w:t>
      </w:r>
      <w:r w:rsidR="00E97FB2">
        <w:t>i</w:t>
      </w:r>
      <w:r w:rsidR="000801AB">
        <w:t>ndividual repositories</w:t>
      </w:r>
      <w:r w:rsidR="00E97FB2">
        <w:t>’ responsibility</w:t>
      </w:r>
      <w:r w:rsidR="000801AB">
        <w:t xml:space="preserve"> to update </w:t>
      </w:r>
      <w:r w:rsidR="000801AB">
        <w:lastRenderedPageBreak/>
        <w:t xml:space="preserve">and maintain NICE content on their platforms, and </w:t>
      </w:r>
      <w:r w:rsidR="005E2197">
        <w:t xml:space="preserve">that </w:t>
      </w:r>
      <w:r w:rsidR="000801AB">
        <w:t>the</w:t>
      </w:r>
      <w:r w:rsidR="00E97FB2">
        <w:t xml:space="preserve"> repositories </w:t>
      </w:r>
      <w:r w:rsidR="000801AB">
        <w:t>should aim to receive NICE guidance content via the NICE syndication feed to ensure the</w:t>
      </w:r>
      <w:r w:rsidR="00E97FB2">
        <w:t xml:space="preserve">y </w:t>
      </w:r>
      <w:r w:rsidR="000801AB">
        <w:t>hold up</w:t>
      </w:r>
      <w:r w:rsidR="000E7EC1">
        <w:t xml:space="preserve"> </w:t>
      </w:r>
      <w:r w:rsidR="000801AB">
        <w:t>to date information</w:t>
      </w:r>
      <w:r w:rsidR="000E7EC1">
        <w:t xml:space="preserve">. The paper </w:t>
      </w:r>
      <w:r w:rsidR="00056ADF">
        <w:t xml:space="preserve">also </w:t>
      </w:r>
      <w:r w:rsidR="000E7EC1">
        <w:t>included a linked proposal for the Centre for Guidelines to decide on a case-by-case basis whether to participate in schemes that review and rate the quality of individual NICE guidelines on particular platforms.</w:t>
      </w:r>
    </w:p>
    <w:p w14:paraId="602904C6" w14:textId="20A91665" w:rsidR="000E7EC1" w:rsidRDefault="000E7EC1" w:rsidP="000E7EC1">
      <w:pPr>
        <w:pStyle w:val="Numberedpara"/>
        <w:numPr>
          <w:ilvl w:val="0"/>
          <w:numId w:val="0"/>
        </w:numPr>
        <w:ind w:left="357"/>
        <w:rPr>
          <w:color w:val="000000" w:themeColor="text1"/>
        </w:rPr>
      </w:pPr>
    </w:p>
    <w:p w14:paraId="11CCDAD7" w14:textId="7731D204" w:rsidR="000E7EC1" w:rsidRDefault="00DB6BE1" w:rsidP="00DB6BE1">
      <w:pPr>
        <w:pStyle w:val="Numberedpara"/>
      </w:pPr>
      <w:r>
        <w:t xml:space="preserve">SMT discussed the proposals. In response to a query about the level of work required in setting up and </w:t>
      </w:r>
      <w:r w:rsidR="00316C3A">
        <w:t>operating</w:t>
      </w:r>
      <w:r>
        <w:t xml:space="preserve"> the new </w:t>
      </w:r>
      <w:r w:rsidR="00334A54">
        <w:t>arrangements</w:t>
      </w:r>
      <w:r>
        <w:t xml:space="preserve">, Iain Moir stated that the </w:t>
      </w:r>
      <w:r w:rsidR="00226F7F">
        <w:t xml:space="preserve">licence would be largely based on the </w:t>
      </w:r>
      <w:r w:rsidR="00334A54">
        <w:t>existing</w:t>
      </w:r>
      <w:r w:rsidR="00226F7F">
        <w:t xml:space="preserve"> current </w:t>
      </w:r>
      <w:r w:rsidR="00334A54">
        <w:t>international</w:t>
      </w:r>
      <w:r w:rsidR="00226F7F">
        <w:t xml:space="preserve"> content </w:t>
      </w:r>
      <w:r w:rsidR="00D07F6F">
        <w:t>licence</w:t>
      </w:r>
      <w:r w:rsidR="00226F7F">
        <w:t xml:space="preserve"> and would </w:t>
      </w:r>
      <w:r w:rsidR="00D07F6F">
        <w:t>apply</w:t>
      </w:r>
      <w:r w:rsidR="00226F7F">
        <w:t xml:space="preserve"> to a limited number of repositories. SMT supported the proposals in the </w:t>
      </w:r>
      <w:r w:rsidR="00D07F6F">
        <w:t>paper</w:t>
      </w:r>
      <w:r w:rsidR="00226F7F">
        <w:t xml:space="preserve">, subject to ensuring the terms and conditions for the reuse of NICE’s content is </w:t>
      </w:r>
      <w:r w:rsidR="00D07F6F">
        <w:t>clearly</w:t>
      </w:r>
      <w:r w:rsidR="00226F7F">
        <w:t xml:space="preserve"> set out </w:t>
      </w:r>
      <w:r w:rsidR="005E2197">
        <w:t xml:space="preserve">alongside NICE’s guidance </w:t>
      </w:r>
      <w:r w:rsidR="00056ADF">
        <w:t>o</w:t>
      </w:r>
      <w:r w:rsidR="00226F7F">
        <w:t xml:space="preserve">n the </w:t>
      </w:r>
      <w:r w:rsidR="00D07F6F">
        <w:t>research</w:t>
      </w:r>
      <w:r w:rsidR="00226F7F">
        <w:t xml:space="preserve"> repositories.</w:t>
      </w:r>
    </w:p>
    <w:p w14:paraId="41C536C6" w14:textId="77777777" w:rsidR="00226F7F" w:rsidRDefault="00226F7F" w:rsidP="00226F7F">
      <w:pPr>
        <w:pStyle w:val="ListParagraph"/>
      </w:pPr>
    </w:p>
    <w:p w14:paraId="06568F54" w14:textId="293C44BF" w:rsidR="00226F7F" w:rsidRDefault="00226F7F" w:rsidP="00226F7F">
      <w:pPr>
        <w:pStyle w:val="SMTActions"/>
      </w:pPr>
      <w:r>
        <w:t>ACTION: IM</w:t>
      </w:r>
    </w:p>
    <w:p w14:paraId="01DAB1E9" w14:textId="3DE7DAA3" w:rsidR="000E7EC1" w:rsidRDefault="000E7EC1" w:rsidP="000E7EC1">
      <w:pPr>
        <w:pStyle w:val="Numberedpara"/>
        <w:numPr>
          <w:ilvl w:val="0"/>
          <w:numId w:val="0"/>
        </w:numPr>
        <w:ind w:left="357"/>
        <w:rPr>
          <w:color w:val="000000" w:themeColor="text1"/>
        </w:rPr>
      </w:pPr>
    </w:p>
    <w:p w14:paraId="02BB7264" w14:textId="77777777" w:rsidR="000E7EC1" w:rsidRPr="00EF49A6" w:rsidRDefault="000E7EC1" w:rsidP="000E7EC1">
      <w:pPr>
        <w:pStyle w:val="Numberedpara"/>
        <w:numPr>
          <w:ilvl w:val="0"/>
          <w:numId w:val="0"/>
        </w:numPr>
        <w:ind w:left="357"/>
      </w:pPr>
    </w:p>
    <w:p w14:paraId="1E59B3D5" w14:textId="375C0CF4" w:rsidR="004214ED" w:rsidRDefault="004214ED" w:rsidP="004214ED">
      <w:pPr>
        <w:pStyle w:val="Heading2"/>
      </w:pPr>
      <w:r>
        <w:t xml:space="preserve">EU exit (item </w:t>
      </w:r>
      <w:r w:rsidR="006747FD">
        <w:t>8</w:t>
      </w:r>
      <w:r>
        <w:t>)</w:t>
      </w:r>
    </w:p>
    <w:p w14:paraId="07F6F19A" w14:textId="279F5B8B" w:rsidR="004214ED" w:rsidRDefault="004214ED" w:rsidP="003A436B">
      <w:pPr>
        <w:pStyle w:val="Paragraph"/>
        <w:numPr>
          <w:ilvl w:val="0"/>
          <w:numId w:val="0"/>
        </w:numPr>
        <w:ind w:left="567" w:hanging="499"/>
      </w:pPr>
    </w:p>
    <w:p w14:paraId="5CB7B156" w14:textId="5E1AB2C3" w:rsidR="001136BD" w:rsidRDefault="0076114C" w:rsidP="0076114C">
      <w:pPr>
        <w:pStyle w:val="Numberedpara"/>
      </w:pPr>
      <w:r>
        <w:t>No further update.</w:t>
      </w:r>
    </w:p>
    <w:p w14:paraId="77A88F44" w14:textId="188D1380" w:rsidR="004214ED" w:rsidRDefault="004214ED" w:rsidP="003A436B">
      <w:pPr>
        <w:pStyle w:val="Paragraph"/>
        <w:numPr>
          <w:ilvl w:val="0"/>
          <w:numId w:val="0"/>
        </w:numPr>
        <w:ind w:left="567" w:hanging="499"/>
      </w:pPr>
    </w:p>
    <w:p w14:paraId="7731C946" w14:textId="7EE15408" w:rsidR="004214ED" w:rsidRDefault="004214ED" w:rsidP="004214ED">
      <w:pPr>
        <w:pStyle w:val="Heading2"/>
      </w:pPr>
      <w:r>
        <w:t xml:space="preserve">NICE Connect (item </w:t>
      </w:r>
      <w:r w:rsidR="006747FD">
        <w:t>9</w:t>
      </w:r>
      <w:r>
        <w:t>)</w:t>
      </w:r>
    </w:p>
    <w:p w14:paraId="76169639" w14:textId="5B8DF966" w:rsidR="004214ED" w:rsidRDefault="004214ED" w:rsidP="003A436B">
      <w:pPr>
        <w:pStyle w:val="Paragraph"/>
        <w:numPr>
          <w:ilvl w:val="0"/>
          <w:numId w:val="0"/>
        </w:numPr>
        <w:ind w:left="567" w:hanging="499"/>
      </w:pPr>
    </w:p>
    <w:p w14:paraId="23A4C7B2" w14:textId="6E2B6271" w:rsidR="003C670F" w:rsidRDefault="00DE2DA1" w:rsidP="003C670F">
      <w:pPr>
        <w:pStyle w:val="Numberedpara"/>
      </w:pPr>
      <w:r>
        <w:t xml:space="preserve">Gill Leng </w:t>
      </w:r>
      <w:r w:rsidR="00D07F6F">
        <w:t>highlighted</w:t>
      </w:r>
      <w:r>
        <w:t xml:space="preserve"> that </w:t>
      </w:r>
      <w:r w:rsidR="00D07F6F">
        <w:t>tomorrow’s</w:t>
      </w:r>
      <w:r>
        <w:t xml:space="preserve"> steering group is due to discuss the approach to prioritising the NICE Connect work programme over the coming year.</w:t>
      </w:r>
    </w:p>
    <w:p w14:paraId="3AEB92E0" w14:textId="77777777" w:rsidR="004214ED" w:rsidRDefault="004214ED" w:rsidP="003A436B">
      <w:pPr>
        <w:pStyle w:val="Paragraph"/>
        <w:numPr>
          <w:ilvl w:val="0"/>
          <w:numId w:val="0"/>
        </w:numPr>
        <w:ind w:left="567" w:hanging="499"/>
      </w:pPr>
    </w:p>
    <w:p w14:paraId="385C86D6" w14:textId="0A71A28B" w:rsidR="004214ED" w:rsidRDefault="004214ED" w:rsidP="004214ED">
      <w:pPr>
        <w:pStyle w:val="Heading2"/>
      </w:pPr>
      <w:r>
        <w:t>London office move (item 1</w:t>
      </w:r>
      <w:r w:rsidR="006747FD">
        <w:t>0</w:t>
      </w:r>
      <w:r>
        <w:t>)</w:t>
      </w:r>
    </w:p>
    <w:p w14:paraId="7860F8CA" w14:textId="3B3546F5" w:rsidR="004214ED" w:rsidRDefault="004214ED" w:rsidP="003A436B">
      <w:pPr>
        <w:pStyle w:val="Paragraph"/>
        <w:numPr>
          <w:ilvl w:val="0"/>
          <w:numId w:val="0"/>
        </w:numPr>
        <w:ind w:left="567" w:hanging="499"/>
      </w:pPr>
    </w:p>
    <w:p w14:paraId="05EFFC4D" w14:textId="745EA749" w:rsidR="004214ED" w:rsidRDefault="00DE2DA1" w:rsidP="004214ED">
      <w:pPr>
        <w:pStyle w:val="Numberedpara"/>
        <w:rPr>
          <w:color w:val="000000" w:themeColor="text1"/>
        </w:rPr>
      </w:pPr>
      <w:r>
        <w:rPr>
          <w:color w:val="000000" w:themeColor="text1"/>
        </w:rPr>
        <w:t xml:space="preserve">Catherine Wilkinson confirmed that a paper will be prepared for SMT on the options for mitigating the likely </w:t>
      </w:r>
      <w:r w:rsidR="00D07F6F">
        <w:rPr>
          <w:color w:val="000000" w:themeColor="text1"/>
        </w:rPr>
        <w:t>delay</w:t>
      </w:r>
      <w:r>
        <w:rPr>
          <w:color w:val="000000" w:themeColor="text1"/>
        </w:rPr>
        <w:t xml:space="preserve"> to the move, </w:t>
      </w:r>
      <w:r w:rsidR="00D07F6F">
        <w:rPr>
          <w:color w:val="000000" w:themeColor="text1"/>
        </w:rPr>
        <w:t>informed</w:t>
      </w:r>
      <w:r>
        <w:rPr>
          <w:color w:val="000000" w:themeColor="text1"/>
        </w:rPr>
        <w:t xml:space="preserve"> by </w:t>
      </w:r>
      <w:r w:rsidR="00D07F6F">
        <w:rPr>
          <w:color w:val="000000" w:themeColor="text1"/>
        </w:rPr>
        <w:t>upcoming</w:t>
      </w:r>
      <w:r>
        <w:rPr>
          <w:color w:val="000000" w:themeColor="text1"/>
        </w:rPr>
        <w:t xml:space="preserve"> </w:t>
      </w:r>
      <w:r w:rsidR="00D07F6F">
        <w:rPr>
          <w:color w:val="000000" w:themeColor="text1"/>
        </w:rPr>
        <w:t>discussions</w:t>
      </w:r>
      <w:r>
        <w:rPr>
          <w:color w:val="000000" w:themeColor="text1"/>
        </w:rPr>
        <w:t xml:space="preserve"> with the British Council and DHSC. </w:t>
      </w:r>
    </w:p>
    <w:p w14:paraId="76A6619E" w14:textId="77777777" w:rsidR="00DE2DA1" w:rsidRDefault="00DE2DA1" w:rsidP="00DE2DA1">
      <w:pPr>
        <w:pStyle w:val="Numberedpara"/>
        <w:numPr>
          <w:ilvl w:val="0"/>
          <w:numId w:val="0"/>
        </w:numPr>
        <w:ind w:left="357"/>
        <w:rPr>
          <w:color w:val="000000" w:themeColor="text1"/>
        </w:rPr>
      </w:pPr>
    </w:p>
    <w:p w14:paraId="07DE3CFB" w14:textId="5DED4785" w:rsidR="00DE2DA1" w:rsidRDefault="00DE2DA1" w:rsidP="004214ED">
      <w:pPr>
        <w:pStyle w:val="Numberedpara"/>
        <w:rPr>
          <w:color w:val="000000" w:themeColor="text1"/>
        </w:rPr>
      </w:pPr>
      <w:r>
        <w:rPr>
          <w:color w:val="000000" w:themeColor="text1"/>
        </w:rPr>
        <w:t xml:space="preserve">It was agreed that the options for holding committees in the medium and longer term should be considered and presented to SMT for consideration and agreement. It was agreed that given the disruption from COVID-19 is likely to </w:t>
      </w:r>
      <w:r w:rsidR="00D07F6F">
        <w:rPr>
          <w:color w:val="000000" w:themeColor="text1"/>
        </w:rPr>
        <w:t>continue</w:t>
      </w:r>
      <w:r>
        <w:rPr>
          <w:color w:val="000000" w:themeColor="text1"/>
        </w:rPr>
        <w:t xml:space="preserve"> for some time, the longer-term model for committees is likely to include a combination of </w:t>
      </w:r>
      <w:r w:rsidR="00D07F6F">
        <w:rPr>
          <w:color w:val="000000" w:themeColor="text1"/>
        </w:rPr>
        <w:t>remote</w:t>
      </w:r>
      <w:r>
        <w:rPr>
          <w:color w:val="000000" w:themeColor="text1"/>
        </w:rPr>
        <w:t xml:space="preserve"> and physical attendees</w:t>
      </w:r>
      <w:r w:rsidR="00066B6C">
        <w:rPr>
          <w:color w:val="000000" w:themeColor="text1"/>
        </w:rPr>
        <w:t xml:space="preserve"> and this </w:t>
      </w:r>
      <w:r w:rsidR="005E2197">
        <w:rPr>
          <w:color w:val="000000" w:themeColor="text1"/>
        </w:rPr>
        <w:t xml:space="preserve">should </w:t>
      </w:r>
      <w:r w:rsidR="00066B6C">
        <w:rPr>
          <w:color w:val="000000" w:themeColor="text1"/>
        </w:rPr>
        <w:t>inform the provision of IT and meeting room facilities.</w:t>
      </w:r>
    </w:p>
    <w:p w14:paraId="5FDF39D3" w14:textId="77777777" w:rsidR="00894866" w:rsidRDefault="00894866" w:rsidP="00894866">
      <w:pPr>
        <w:pStyle w:val="ListParagraph"/>
        <w:rPr>
          <w:color w:val="000000" w:themeColor="text1"/>
        </w:rPr>
      </w:pPr>
    </w:p>
    <w:p w14:paraId="20BBCE1F" w14:textId="0F46F869" w:rsidR="00894866" w:rsidRPr="003C670F" w:rsidRDefault="00894866" w:rsidP="00894866">
      <w:pPr>
        <w:pStyle w:val="SMTActions"/>
      </w:pPr>
      <w:r>
        <w:t>ACTION: MB</w:t>
      </w:r>
      <w:r w:rsidR="00066B6C">
        <w:t>/CW</w:t>
      </w:r>
    </w:p>
    <w:p w14:paraId="64F04F60" w14:textId="77777777" w:rsidR="004214ED" w:rsidRPr="003A436B" w:rsidRDefault="004214ED" w:rsidP="003A436B">
      <w:pPr>
        <w:pStyle w:val="Paragraph"/>
        <w:numPr>
          <w:ilvl w:val="0"/>
          <w:numId w:val="0"/>
        </w:numPr>
        <w:ind w:left="567" w:hanging="499"/>
      </w:pPr>
    </w:p>
    <w:p w14:paraId="05252A9A" w14:textId="67813083" w:rsidR="006F3BE2" w:rsidRDefault="006F3BE2" w:rsidP="006F3BE2">
      <w:pPr>
        <w:pStyle w:val="Heading2"/>
      </w:pPr>
      <w:r>
        <w:t>Weekly staff SMT updates (item</w:t>
      </w:r>
      <w:r w:rsidR="00683288">
        <w:t xml:space="preserve"> </w:t>
      </w:r>
      <w:r w:rsidR="004214ED">
        <w:t>1</w:t>
      </w:r>
      <w:r w:rsidR="006747FD">
        <w:t>1</w:t>
      </w:r>
      <w:r>
        <w:t>)</w:t>
      </w:r>
    </w:p>
    <w:p w14:paraId="7DE011CF" w14:textId="77777777" w:rsidR="006F3BE2" w:rsidRDefault="006F3BE2" w:rsidP="00FF68A5">
      <w:pPr>
        <w:pStyle w:val="Numberedpara"/>
        <w:numPr>
          <w:ilvl w:val="0"/>
          <w:numId w:val="0"/>
        </w:numPr>
        <w:ind w:left="360"/>
      </w:pPr>
    </w:p>
    <w:p w14:paraId="1856A12A" w14:textId="3F41E938" w:rsidR="006F3BE2" w:rsidRDefault="00894866" w:rsidP="00894866">
      <w:pPr>
        <w:pStyle w:val="Numberedpara"/>
      </w:pPr>
      <w:r>
        <w:t>It was agreed to remove this from the agenda, with David Coombs continuing to draft the</w:t>
      </w:r>
      <w:r w:rsidR="00066B6C">
        <w:t xml:space="preserve"> weekly staff messages and sending the</w:t>
      </w:r>
      <w:r w:rsidR="005E2197">
        <w:t xml:space="preserve">se </w:t>
      </w:r>
      <w:r w:rsidR="00066B6C">
        <w:t xml:space="preserve">to </w:t>
      </w:r>
      <w:r>
        <w:t xml:space="preserve">internal communications. </w:t>
      </w:r>
    </w:p>
    <w:p w14:paraId="7806CB67" w14:textId="77777777" w:rsidR="00894866" w:rsidRDefault="00894866" w:rsidP="00894866">
      <w:pPr>
        <w:pStyle w:val="Numberedpara"/>
        <w:numPr>
          <w:ilvl w:val="0"/>
          <w:numId w:val="0"/>
        </w:numPr>
        <w:ind w:left="357"/>
      </w:pP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41ED1460" w:rsidR="006F3BE2" w:rsidRPr="00FA4D12" w:rsidRDefault="004E7E52" w:rsidP="00FF68A5">
      <w:pPr>
        <w:pStyle w:val="Heading2"/>
      </w:pPr>
      <w:r>
        <w:t>O</w:t>
      </w:r>
      <w:r w:rsidR="006F3BE2">
        <w:t>ther business (</w:t>
      </w:r>
      <w:r w:rsidR="006F3BE2" w:rsidRPr="00FF68A5">
        <w:t>item</w:t>
      </w:r>
      <w:r w:rsidR="006F3BE2">
        <w:t xml:space="preserve"> </w:t>
      </w:r>
      <w:r w:rsidR="004214ED">
        <w:t>1</w:t>
      </w:r>
      <w:r w:rsidR="006747FD">
        <w:t>2</w:t>
      </w:r>
      <w:r w:rsidR="006F3BE2">
        <w:t>)</w:t>
      </w:r>
    </w:p>
    <w:p w14:paraId="5F62CEA1" w14:textId="77FCD22F" w:rsidR="00FF68A5" w:rsidRDefault="00FF68A5" w:rsidP="00FF68A5">
      <w:pPr>
        <w:pStyle w:val="Numberedpara"/>
        <w:numPr>
          <w:ilvl w:val="0"/>
          <w:numId w:val="0"/>
        </w:numPr>
        <w:ind w:left="357"/>
      </w:pPr>
    </w:p>
    <w:p w14:paraId="768CCF0D" w14:textId="61C9BA15" w:rsidR="00A46EBB" w:rsidRDefault="000A5E67" w:rsidP="00A46EBB">
      <w:pPr>
        <w:pStyle w:val="Numberedpara"/>
      </w:pPr>
      <w:r>
        <w:t>N</w:t>
      </w:r>
      <w:r w:rsidR="00A46EBB">
        <w:t>one.</w:t>
      </w:r>
    </w:p>
    <w:p w14:paraId="6A3A22F4" w14:textId="6A3DC352" w:rsidR="00234D13" w:rsidRDefault="00234D13" w:rsidP="00A46EBB">
      <w:pPr>
        <w:pStyle w:val="Numberedpara"/>
        <w:numPr>
          <w:ilvl w:val="0"/>
          <w:numId w:val="0"/>
        </w:numPr>
      </w:pPr>
    </w:p>
    <w:sectPr w:rsidR="00234D13"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4D2B3" w14:textId="77777777" w:rsidR="0003314A" w:rsidRDefault="0003314A" w:rsidP="00446BEE">
      <w:r>
        <w:separator/>
      </w:r>
    </w:p>
  </w:endnote>
  <w:endnote w:type="continuationSeparator" w:id="0">
    <w:p w14:paraId="5CF5B59D" w14:textId="77777777" w:rsidR="0003314A" w:rsidRDefault="0003314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8F6F03" w:rsidRDefault="008F6F03">
    <w:pPr>
      <w:pStyle w:val="Footer"/>
    </w:pPr>
    <w:r>
      <w:tab/>
    </w:r>
    <w:r>
      <w:tab/>
    </w:r>
    <w:r>
      <w:fldChar w:fldCharType="begin"/>
    </w:r>
    <w:r>
      <w:instrText xml:space="preserve"> PAGE </w:instrText>
    </w:r>
    <w:r>
      <w:fldChar w:fldCharType="separate"/>
    </w:r>
    <w:r>
      <w:rPr>
        <w:noProof/>
      </w:rPr>
      <w:t>1</w:t>
    </w:r>
    <w:r>
      <w:fldChar w:fldCharType="end"/>
    </w:r>
    <w:r>
      <w:t xml:space="preserve"> of </w:t>
    </w:r>
    <w:r w:rsidR="00EB3B9F">
      <w:fldChar w:fldCharType="begin"/>
    </w:r>
    <w:r w:rsidR="00EB3B9F">
      <w:instrText xml:space="preserve"> NUMPAGES  </w:instrText>
    </w:r>
    <w:r w:rsidR="00EB3B9F">
      <w:fldChar w:fldCharType="separate"/>
    </w:r>
    <w:r>
      <w:rPr>
        <w:noProof/>
      </w:rPr>
      <w:t>5</w:t>
    </w:r>
    <w:r w:rsidR="00EB3B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A854C" w14:textId="77777777" w:rsidR="0003314A" w:rsidRDefault="0003314A" w:rsidP="00446BEE">
      <w:r>
        <w:separator/>
      </w:r>
    </w:p>
  </w:footnote>
  <w:footnote w:type="continuationSeparator" w:id="0">
    <w:p w14:paraId="444F5ACD" w14:textId="77777777" w:rsidR="0003314A" w:rsidRDefault="0003314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67D38FDD" w:rsidR="008F6F03" w:rsidRPr="007D0457" w:rsidRDefault="008F6F03"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19"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4"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1"/>
  </w:num>
  <w:num w:numId="2">
    <w:abstractNumId w:val="22"/>
  </w:num>
  <w:num w:numId="3">
    <w:abstractNumId w:val="22"/>
    <w:lvlOverride w:ilvl="0">
      <w:startOverride w:val="1"/>
    </w:lvlOverride>
  </w:num>
  <w:num w:numId="4">
    <w:abstractNumId w:val="22"/>
    <w:lvlOverride w:ilvl="0">
      <w:startOverride w:val="1"/>
    </w:lvlOverride>
  </w:num>
  <w:num w:numId="5">
    <w:abstractNumId w:val="22"/>
    <w:lvlOverride w:ilvl="0">
      <w:startOverride w:val="1"/>
    </w:lvlOverride>
  </w:num>
  <w:num w:numId="6">
    <w:abstractNumId w:val="22"/>
    <w:lvlOverride w:ilvl="0">
      <w:startOverride w:val="1"/>
    </w:lvlOverride>
  </w:num>
  <w:num w:numId="7">
    <w:abstractNumId w:val="22"/>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1"/>
  </w:num>
  <w:num w:numId="21">
    <w:abstractNumId w:val="20"/>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 w:numId="26">
    <w:abstractNumId w:val="20"/>
    <w:lvlOverride w:ilvl="0">
      <w:startOverride w:val="1"/>
    </w:lvlOverride>
  </w:num>
  <w:num w:numId="27">
    <w:abstractNumId w:val="16"/>
  </w:num>
  <w:num w:numId="28">
    <w:abstractNumId w:val="14"/>
  </w:num>
  <w:num w:numId="29">
    <w:abstractNumId w:val="0"/>
  </w:num>
  <w:num w:numId="30">
    <w:abstractNumId w:val="19"/>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2355"/>
    <w:rsid w:val="00017F48"/>
    <w:rsid w:val="00020D14"/>
    <w:rsid w:val="00020EBA"/>
    <w:rsid w:val="00021245"/>
    <w:rsid w:val="00022932"/>
    <w:rsid w:val="000232F2"/>
    <w:rsid w:val="00023ECC"/>
    <w:rsid w:val="00023F0E"/>
    <w:rsid w:val="00024B3D"/>
    <w:rsid w:val="00024D0A"/>
    <w:rsid w:val="000253C0"/>
    <w:rsid w:val="00032073"/>
    <w:rsid w:val="0003314A"/>
    <w:rsid w:val="00035962"/>
    <w:rsid w:val="000376CB"/>
    <w:rsid w:val="00042D75"/>
    <w:rsid w:val="000439B6"/>
    <w:rsid w:val="000472DC"/>
    <w:rsid w:val="00050204"/>
    <w:rsid w:val="00053B5D"/>
    <w:rsid w:val="00054CC7"/>
    <w:rsid w:val="00055EB1"/>
    <w:rsid w:val="000566B0"/>
    <w:rsid w:val="00056ADF"/>
    <w:rsid w:val="00056F21"/>
    <w:rsid w:val="000602E2"/>
    <w:rsid w:val="00060E93"/>
    <w:rsid w:val="0006260D"/>
    <w:rsid w:val="00066B6C"/>
    <w:rsid w:val="00070065"/>
    <w:rsid w:val="00070B7D"/>
    <w:rsid w:val="00070F8F"/>
    <w:rsid w:val="0007247B"/>
    <w:rsid w:val="0007277C"/>
    <w:rsid w:val="00074991"/>
    <w:rsid w:val="00075572"/>
    <w:rsid w:val="00076A9C"/>
    <w:rsid w:val="00076FD5"/>
    <w:rsid w:val="000801AB"/>
    <w:rsid w:val="000809D2"/>
    <w:rsid w:val="0008183C"/>
    <w:rsid w:val="000836B1"/>
    <w:rsid w:val="00083F12"/>
    <w:rsid w:val="00084854"/>
    <w:rsid w:val="00084B80"/>
    <w:rsid w:val="00085650"/>
    <w:rsid w:val="00087ABD"/>
    <w:rsid w:val="00090B63"/>
    <w:rsid w:val="00091C40"/>
    <w:rsid w:val="00092846"/>
    <w:rsid w:val="00092B46"/>
    <w:rsid w:val="000930F3"/>
    <w:rsid w:val="0009594E"/>
    <w:rsid w:val="00095BEC"/>
    <w:rsid w:val="000966AB"/>
    <w:rsid w:val="000979CE"/>
    <w:rsid w:val="000A0395"/>
    <w:rsid w:val="000A1E6D"/>
    <w:rsid w:val="000A4279"/>
    <w:rsid w:val="000A4FEE"/>
    <w:rsid w:val="000A5E67"/>
    <w:rsid w:val="000A6E1A"/>
    <w:rsid w:val="000B0FF9"/>
    <w:rsid w:val="000B1394"/>
    <w:rsid w:val="000B2792"/>
    <w:rsid w:val="000B3EA3"/>
    <w:rsid w:val="000B5939"/>
    <w:rsid w:val="000B6A66"/>
    <w:rsid w:val="000C0211"/>
    <w:rsid w:val="000C04CF"/>
    <w:rsid w:val="000C1A68"/>
    <w:rsid w:val="000C1FDB"/>
    <w:rsid w:val="000C3422"/>
    <w:rsid w:val="000C368A"/>
    <w:rsid w:val="000C46EF"/>
    <w:rsid w:val="000C541C"/>
    <w:rsid w:val="000C542C"/>
    <w:rsid w:val="000C5DBA"/>
    <w:rsid w:val="000C63EA"/>
    <w:rsid w:val="000C7EF5"/>
    <w:rsid w:val="000D2C42"/>
    <w:rsid w:val="000D3277"/>
    <w:rsid w:val="000D53A2"/>
    <w:rsid w:val="000D6D85"/>
    <w:rsid w:val="000E121F"/>
    <w:rsid w:val="000E5656"/>
    <w:rsid w:val="000E654C"/>
    <w:rsid w:val="000E7DE1"/>
    <w:rsid w:val="000E7E12"/>
    <w:rsid w:val="000E7EC1"/>
    <w:rsid w:val="000F1617"/>
    <w:rsid w:val="000F24AA"/>
    <w:rsid w:val="000F4108"/>
    <w:rsid w:val="000F792D"/>
    <w:rsid w:val="00100AC1"/>
    <w:rsid w:val="00103740"/>
    <w:rsid w:val="00104BD6"/>
    <w:rsid w:val="0011018F"/>
    <w:rsid w:val="00111CCE"/>
    <w:rsid w:val="001131C4"/>
    <w:rsid w:val="001134E7"/>
    <w:rsid w:val="001136BD"/>
    <w:rsid w:val="00116108"/>
    <w:rsid w:val="00116344"/>
    <w:rsid w:val="00116872"/>
    <w:rsid w:val="00116CD8"/>
    <w:rsid w:val="001253FF"/>
    <w:rsid w:val="0012725C"/>
    <w:rsid w:val="001302A2"/>
    <w:rsid w:val="00130A69"/>
    <w:rsid w:val="00130B6E"/>
    <w:rsid w:val="001311CD"/>
    <w:rsid w:val="001343BC"/>
    <w:rsid w:val="00134510"/>
    <w:rsid w:val="001350F7"/>
    <w:rsid w:val="001447E6"/>
    <w:rsid w:val="00145C4B"/>
    <w:rsid w:val="00146349"/>
    <w:rsid w:val="0014642E"/>
    <w:rsid w:val="001505E0"/>
    <w:rsid w:val="00153771"/>
    <w:rsid w:val="0015444A"/>
    <w:rsid w:val="00154E94"/>
    <w:rsid w:val="00156295"/>
    <w:rsid w:val="00160E15"/>
    <w:rsid w:val="00161EC0"/>
    <w:rsid w:val="00166602"/>
    <w:rsid w:val="00170075"/>
    <w:rsid w:val="001702EA"/>
    <w:rsid w:val="0017149E"/>
    <w:rsid w:val="0017169E"/>
    <w:rsid w:val="00171DB1"/>
    <w:rsid w:val="00173639"/>
    <w:rsid w:val="001739DA"/>
    <w:rsid w:val="001747A6"/>
    <w:rsid w:val="001753D5"/>
    <w:rsid w:val="001754DD"/>
    <w:rsid w:val="0017624C"/>
    <w:rsid w:val="00177B91"/>
    <w:rsid w:val="001804ED"/>
    <w:rsid w:val="00180AE3"/>
    <w:rsid w:val="0018188C"/>
    <w:rsid w:val="00181A4A"/>
    <w:rsid w:val="00182C58"/>
    <w:rsid w:val="00184F4B"/>
    <w:rsid w:val="00187CB2"/>
    <w:rsid w:val="00191BEA"/>
    <w:rsid w:val="001931EE"/>
    <w:rsid w:val="00196622"/>
    <w:rsid w:val="00197C29"/>
    <w:rsid w:val="001A13C1"/>
    <w:rsid w:val="001A2394"/>
    <w:rsid w:val="001A2F9F"/>
    <w:rsid w:val="001A38AF"/>
    <w:rsid w:val="001A397D"/>
    <w:rsid w:val="001A587B"/>
    <w:rsid w:val="001A6E40"/>
    <w:rsid w:val="001A6F9E"/>
    <w:rsid w:val="001B0509"/>
    <w:rsid w:val="001B0EE9"/>
    <w:rsid w:val="001B1610"/>
    <w:rsid w:val="001B26CB"/>
    <w:rsid w:val="001B2A26"/>
    <w:rsid w:val="001B2A5C"/>
    <w:rsid w:val="001B65B3"/>
    <w:rsid w:val="001B7577"/>
    <w:rsid w:val="001B7C63"/>
    <w:rsid w:val="001C1562"/>
    <w:rsid w:val="001C1A9F"/>
    <w:rsid w:val="001C202F"/>
    <w:rsid w:val="001C2B2C"/>
    <w:rsid w:val="001C301A"/>
    <w:rsid w:val="001C3E9B"/>
    <w:rsid w:val="001C448B"/>
    <w:rsid w:val="001C4767"/>
    <w:rsid w:val="001C4F0E"/>
    <w:rsid w:val="001C510D"/>
    <w:rsid w:val="001D6E7E"/>
    <w:rsid w:val="001D7284"/>
    <w:rsid w:val="001D7547"/>
    <w:rsid w:val="001D7881"/>
    <w:rsid w:val="001E0085"/>
    <w:rsid w:val="001E0A9D"/>
    <w:rsid w:val="001E192F"/>
    <w:rsid w:val="001E2A65"/>
    <w:rsid w:val="001E2F52"/>
    <w:rsid w:val="001E6205"/>
    <w:rsid w:val="001F0405"/>
    <w:rsid w:val="001F09FA"/>
    <w:rsid w:val="001F0F6E"/>
    <w:rsid w:val="001F2513"/>
    <w:rsid w:val="001F4419"/>
    <w:rsid w:val="001F5C38"/>
    <w:rsid w:val="001F6247"/>
    <w:rsid w:val="002029A6"/>
    <w:rsid w:val="00205B1E"/>
    <w:rsid w:val="00206CD6"/>
    <w:rsid w:val="00207F4A"/>
    <w:rsid w:val="00210577"/>
    <w:rsid w:val="002118F8"/>
    <w:rsid w:val="00211BEC"/>
    <w:rsid w:val="00213099"/>
    <w:rsid w:val="0021356B"/>
    <w:rsid w:val="00213DD5"/>
    <w:rsid w:val="0021712A"/>
    <w:rsid w:val="002200AA"/>
    <w:rsid w:val="0022038A"/>
    <w:rsid w:val="00223165"/>
    <w:rsid w:val="002237AA"/>
    <w:rsid w:val="002247AD"/>
    <w:rsid w:val="00226F7F"/>
    <w:rsid w:val="002271B8"/>
    <w:rsid w:val="00227B50"/>
    <w:rsid w:val="0023081D"/>
    <w:rsid w:val="0023140B"/>
    <w:rsid w:val="00231F8F"/>
    <w:rsid w:val="00232A13"/>
    <w:rsid w:val="00234D13"/>
    <w:rsid w:val="00234F90"/>
    <w:rsid w:val="00236124"/>
    <w:rsid w:val="00236928"/>
    <w:rsid w:val="002408EA"/>
    <w:rsid w:val="0024105B"/>
    <w:rsid w:val="00241118"/>
    <w:rsid w:val="002419F1"/>
    <w:rsid w:val="00242541"/>
    <w:rsid w:val="0024297A"/>
    <w:rsid w:val="00242A10"/>
    <w:rsid w:val="00242DC5"/>
    <w:rsid w:val="00245C95"/>
    <w:rsid w:val="00246266"/>
    <w:rsid w:val="002464E5"/>
    <w:rsid w:val="002515E9"/>
    <w:rsid w:val="00254C33"/>
    <w:rsid w:val="00255C16"/>
    <w:rsid w:val="0025681F"/>
    <w:rsid w:val="00260966"/>
    <w:rsid w:val="002614C1"/>
    <w:rsid w:val="00261A45"/>
    <w:rsid w:val="00264480"/>
    <w:rsid w:val="0026728F"/>
    <w:rsid w:val="002715FE"/>
    <w:rsid w:val="00272AC2"/>
    <w:rsid w:val="00274313"/>
    <w:rsid w:val="00274962"/>
    <w:rsid w:val="00274980"/>
    <w:rsid w:val="0027611F"/>
    <w:rsid w:val="00280973"/>
    <w:rsid w:val="00280CF4"/>
    <w:rsid w:val="002816F2"/>
    <w:rsid w:val="002819D7"/>
    <w:rsid w:val="0028309A"/>
    <w:rsid w:val="00286CC1"/>
    <w:rsid w:val="00292A9E"/>
    <w:rsid w:val="00292BB8"/>
    <w:rsid w:val="002A0A54"/>
    <w:rsid w:val="002A507B"/>
    <w:rsid w:val="002B4299"/>
    <w:rsid w:val="002B7B49"/>
    <w:rsid w:val="002C0CC7"/>
    <w:rsid w:val="002C1A7E"/>
    <w:rsid w:val="002C27E0"/>
    <w:rsid w:val="002C297E"/>
    <w:rsid w:val="002C3209"/>
    <w:rsid w:val="002C4116"/>
    <w:rsid w:val="002C4B0C"/>
    <w:rsid w:val="002C5C7E"/>
    <w:rsid w:val="002C6846"/>
    <w:rsid w:val="002D0A7C"/>
    <w:rsid w:val="002D1321"/>
    <w:rsid w:val="002D2616"/>
    <w:rsid w:val="002D3376"/>
    <w:rsid w:val="002D3D24"/>
    <w:rsid w:val="002D4BEF"/>
    <w:rsid w:val="002D6B0B"/>
    <w:rsid w:val="002D73FA"/>
    <w:rsid w:val="002D75B8"/>
    <w:rsid w:val="002E137B"/>
    <w:rsid w:val="002E2146"/>
    <w:rsid w:val="002E3E34"/>
    <w:rsid w:val="002E41F8"/>
    <w:rsid w:val="002E47A0"/>
    <w:rsid w:val="002E57C5"/>
    <w:rsid w:val="002E5B7E"/>
    <w:rsid w:val="002E6363"/>
    <w:rsid w:val="002E6DD1"/>
    <w:rsid w:val="002F1539"/>
    <w:rsid w:val="002F1D3D"/>
    <w:rsid w:val="002F4F73"/>
    <w:rsid w:val="002F72E7"/>
    <w:rsid w:val="002F7527"/>
    <w:rsid w:val="00302223"/>
    <w:rsid w:val="00303115"/>
    <w:rsid w:val="003033D5"/>
    <w:rsid w:val="00303E66"/>
    <w:rsid w:val="003047B2"/>
    <w:rsid w:val="0030592E"/>
    <w:rsid w:val="00305AC5"/>
    <w:rsid w:val="00307868"/>
    <w:rsid w:val="00307E7D"/>
    <w:rsid w:val="00307ECB"/>
    <w:rsid w:val="0031003B"/>
    <w:rsid w:val="00310530"/>
    <w:rsid w:val="00311AAA"/>
    <w:rsid w:val="00311ED0"/>
    <w:rsid w:val="00316C3A"/>
    <w:rsid w:val="00317697"/>
    <w:rsid w:val="00320118"/>
    <w:rsid w:val="00320B85"/>
    <w:rsid w:val="00321F71"/>
    <w:rsid w:val="00323D33"/>
    <w:rsid w:val="0032535C"/>
    <w:rsid w:val="00325F0E"/>
    <w:rsid w:val="00327625"/>
    <w:rsid w:val="00327AC3"/>
    <w:rsid w:val="003315DC"/>
    <w:rsid w:val="00331D51"/>
    <w:rsid w:val="00333503"/>
    <w:rsid w:val="00334A54"/>
    <w:rsid w:val="00334ED8"/>
    <w:rsid w:val="00341876"/>
    <w:rsid w:val="00342CC8"/>
    <w:rsid w:val="00343214"/>
    <w:rsid w:val="003479CD"/>
    <w:rsid w:val="003503B7"/>
    <w:rsid w:val="00350C3C"/>
    <w:rsid w:val="0035176E"/>
    <w:rsid w:val="003522D7"/>
    <w:rsid w:val="003544E5"/>
    <w:rsid w:val="00362344"/>
    <w:rsid w:val="00363BEF"/>
    <w:rsid w:val="003644C9"/>
    <w:rsid w:val="003648C5"/>
    <w:rsid w:val="00364D68"/>
    <w:rsid w:val="0036765B"/>
    <w:rsid w:val="00367922"/>
    <w:rsid w:val="003722FA"/>
    <w:rsid w:val="003730E6"/>
    <w:rsid w:val="00373F19"/>
    <w:rsid w:val="00374A27"/>
    <w:rsid w:val="00374D36"/>
    <w:rsid w:val="00375CA6"/>
    <w:rsid w:val="003775CC"/>
    <w:rsid w:val="00383DC8"/>
    <w:rsid w:val="003861FB"/>
    <w:rsid w:val="003873E4"/>
    <w:rsid w:val="00390BA5"/>
    <w:rsid w:val="00394E99"/>
    <w:rsid w:val="00396757"/>
    <w:rsid w:val="00396B70"/>
    <w:rsid w:val="003A047B"/>
    <w:rsid w:val="003A2699"/>
    <w:rsid w:val="003A435B"/>
    <w:rsid w:val="003A436B"/>
    <w:rsid w:val="003A4AC8"/>
    <w:rsid w:val="003A576C"/>
    <w:rsid w:val="003A58BD"/>
    <w:rsid w:val="003A5CD5"/>
    <w:rsid w:val="003A7FCD"/>
    <w:rsid w:val="003B20A2"/>
    <w:rsid w:val="003B2108"/>
    <w:rsid w:val="003B3294"/>
    <w:rsid w:val="003B3606"/>
    <w:rsid w:val="003B4207"/>
    <w:rsid w:val="003B423C"/>
    <w:rsid w:val="003B511D"/>
    <w:rsid w:val="003B67D7"/>
    <w:rsid w:val="003C120C"/>
    <w:rsid w:val="003C1FA8"/>
    <w:rsid w:val="003C37F6"/>
    <w:rsid w:val="003C443A"/>
    <w:rsid w:val="003C5AFC"/>
    <w:rsid w:val="003C670F"/>
    <w:rsid w:val="003C73D4"/>
    <w:rsid w:val="003C7AAF"/>
    <w:rsid w:val="003D03A8"/>
    <w:rsid w:val="003D20F7"/>
    <w:rsid w:val="003D2C1A"/>
    <w:rsid w:val="003D3F0E"/>
    <w:rsid w:val="003D4FE4"/>
    <w:rsid w:val="003E12C9"/>
    <w:rsid w:val="003E1BFF"/>
    <w:rsid w:val="003E4F5A"/>
    <w:rsid w:val="003E6116"/>
    <w:rsid w:val="003E68FB"/>
    <w:rsid w:val="003E6C12"/>
    <w:rsid w:val="003F0601"/>
    <w:rsid w:val="003F0E44"/>
    <w:rsid w:val="003F2268"/>
    <w:rsid w:val="003F5829"/>
    <w:rsid w:val="003F603D"/>
    <w:rsid w:val="003F6819"/>
    <w:rsid w:val="00402005"/>
    <w:rsid w:val="00402F33"/>
    <w:rsid w:val="00403439"/>
    <w:rsid w:val="00403555"/>
    <w:rsid w:val="00405163"/>
    <w:rsid w:val="00405A7D"/>
    <w:rsid w:val="004075B6"/>
    <w:rsid w:val="00410E3E"/>
    <w:rsid w:val="004136FF"/>
    <w:rsid w:val="0041431E"/>
    <w:rsid w:val="00416285"/>
    <w:rsid w:val="0041724A"/>
    <w:rsid w:val="00420952"/>
    <w:rsid w:val="00420E5B"/>
    <w:rsid w:val="004214ED"/>
    <w:rsid w:val="00421613"/>
    <w:rsid w:val="004216FD"/>
    <w:rsid w:val="00421C70"/>
    <w:rsid w:val="0042200E"/>
    <w:rsid w:val="0042354F"/>
    <w:rsid w:val="004262B6"/>
    <w:rsid w:val="00426435"/>
    <w:rsid w:val="004300AD"/>
    <w:rsid w:val="00430C87"/>
    <w:rsid w:val="00430F01"/>
    <w:rsid w:val="00431382"/>
    <w:rsid w:val="0043193C"/>
    <w:rsid w:val="00431DEE"/>
    <w:rsid w:val="00433538"/>
    <w:rsid w:val="004337EE"/>
    <w:rsid w:val="00433EFF"/>
    <w:rsid w:val="0043409F"/>
    <w:rsid w:val="00437BBC"/>
    <w:rsid w:val="00437E07"/>
    <w:rsid w:val="004422AC"/>
    <w:rsid w:val="00442B12"/>
    <w:rsid w:val="00442B17"/>
    <w:rsid w:val="00443081"/>
    <w:rsid w:val="00443C46"/>
    <w:rsid w:val="004449BE"/>
    <w:rsid w:val="00446BEE"/>
    <w:rsid w:val="00451411"/>
    <w:rsid w:val="00451925"/>
    <w:rsid w:val="00452528"/>
    <w:rsid w:val="00454340"/>
    <w:rsid w:val="00454CD1"/>
    <w:rsid w:val="004555C1"/>
    <w:rsid w:val="0045646C"/>
    <w:rsid w:val="00457915"/>
    <w:rsid w:val="00457FCA"/>
    <w:rsid w:val="00465139"/>
    <w:rsid w:val="00465D00"/>
    <w:rsid w:val="004660BE"/>
    <w:rsid w:val="004700AC"/>
    <w:rsid w:val="00470D17"/>
    <w:rsid w:val="00477CBD"/>
    <w:rsid w:val="00480E8D"/>
    <w:rsid w:val="00480FEC"/>
    <w:rsid w:val="00482B20"/>
    <w:rsid w:val="004830A9"/>
    <w:rsid w:val="0048348A"/>
    <w:rsid w:val="00484BBD"/>
    <w:rsid w:val="00486491"/>
    <w:rsid w:val="004867C3"/>
    <w:rsid w:val="00486F94"/>
    <w:rsid w:val="00493A6F"/>
    <w:rsid w:val="00497F9E"/>
    <w:rsid w:val="004A03EA"/>
    <w:rsid w:val="004A302A"/>
    <w:rsid w:val="004A323C"/>
    <w:rsid w:val="004A38F9"/>
    <w:rsid w:val="004A3FD7"/>
    <w:rsid w:val="004A3FD9"/>
    <w:rsid w:val="004B0805"/>
    <w:rsid w:val="004B08D9"/>
    <w:rsid w:val="004B130A"/>
    <w:rsid w:val="004B3FDC"/>
    <w:rsid w:val="004B482D"/>
    <w:rsid w:val="004B549D"/>
    <w:rsid w:val="004B7F86"/>
    <w:rsid w:val="004C31BA"/>
    <w:rsid w:val="004C392A"/>
    <w:rsid w:val="004C57CE"/>
    <w:rsid w:val="004C57DC"/>
    <w:rsid w:val="004C64D9"/>
    <w:rsid w:val="004C743E"/>
    <w:rsid w:val="004C7E55"/>
    <w:rsid w:val="004D1458"/>
    <w:rsid w:val="004D1CD7"/>
    <w:rsid w:val="004D593F"/>
    <w:rsid w:val="004D61BD"/>
    <w:rsid w:val="004E037C"/>
    <w:rsid w:val="004E074C"/>
    <w:rsid w:val="004E181A"/>
    <w:rsid w:val="004E1C69"/>
    <w:rsid w:val="004E2898"/>
    <w:rsid w:val="004E30CE"/>
    <w:rsid w:val="004E7E52"/>
    <w:rsid w:val="004F2EBE"/>
    <w:rsid w:val="004F3AB8"/>
    <w:rsid w:val="004F47F5"/>
    <w:rsid w:val="004F4DBC"/>
    <w:rsid w:val="004F524D"/>
    <w:rsid w:val="004F69BA"/>
    <w:rsid w:val="005025A1"/>
    <w:rsid w:val="0050634E"/>
    <w:rsid w:val="00506C88"/>
    <w:rsid w:val="00507F86"/>
    <w:rsid w:val="00510AEE"/>
    <w:rsid w:val="0051256D"/>
    <w:rsid w:val="0051305A"/>
    <w:rsid w:val="00515086"/>
    <w:rsid w:val="00521143"/>
    <w:rsid w:val="00523996"/>
    <w:rsid w:val="00524E32"/>
    <w:rsid w:val="005252FD"/>
    <w:rsid w:val="005255D3"/>
    <w:rsid w:val="00526BF9"/>
    <w:rsid w:val="005326BE"/>
    <w:rsid w:val="0053493B"/>
    <w:rsid w:val="005360F2"/>
    <w:rsid w:val="00536153"/>
    <w:rsid w:val="005362E1"/>
    <w:rsid w:val="005377D0"/>
    <w:rsid w:val="00541F74"/>
    <w:rsid w:val="00542BB3"/>
    <w:rsid w:val="0054407B"/>
    <w:rsid w:val="00545319"/>
    <w:rsid w:val="00545EDE"/>
    <w:rsid w:val="00550F7C"/>
    <w:rsid w:val="00554A22"/>
    <w:rsid w:val="00554A37"/>
    <w:rsid w:val="00554CD8"/>
    <w:rsid w:val="00557CC9"/>
    <w:rsid w:val="00557D81"/>
    <w:rsid w:val="00561EBC"/>
    <w:rsid w:val="00562207"/>
    <w:rsid w:val="00562605"/>
    <w:rsid w:val="00570930"/>
    <w:rsid w:val="005712CF"/>
    <w:rsid w:val="00571FFF"/>
    <w:rsid w:val="00572AC0"/>
    <w:rsid w:val="00577489"/>
    <w:rsid w:val="00584273"/>
    <w:rsid w:val="00584D0B"/>
    <w:rsid w:val="0058754B"/>
    <w:rsid w:val="0059716C"/>
    <w:rsid w:val="005A008A"/>
    <w:rsid w:val="005A0980"/>
    <w:rsid w:val="005A1061"/>
    <w:rsid w:val="005A16D5"/>
    <w:rsid w:val="005A2342"/>
    <w:rsid w:val="005A6290"/>
    <w:rsid w:val="005A6C72"/>
    <w:rsid w:val="005A6E4F"/>
    <w:rsid w:val="005B0BD6"/>
    <w:rsid w:val="005B103D"/>
    <w:rsid w:val="005B1B79"/>
    <w:rsid w:val="005B2493"/>
    <w:rsid w:val="005B29C3"/>
    <w:rsid w:val="005B3916"/>
    <w:rsid w:val="005C428C"/>
    <w:rsid w:val="005C6685"/>
    <w:rsid w:val="005C7D5B"/>
    <w:rsid w:val="005C7EB6"/>
    <w:rsid w:val="005D013A"/>
    <w:rsid w:val="005D055E"/>
    <w:rsid w:val="005D23A2"/>
    <w:rsid w:val="005D605B"/>
    <w:rsid w:val="005D7F8F"/>
    <w:rsid w:val="005E16E9"/>
    <w:rsid w:val="005E2197"/>
    <w:rsid w:val="005F12C3"/>
    <w:rsid w:val="005F5EF6"/>
    <w:rsid w:val="00600413"/>
    <w:rsid w:val="00600802"/>
    <w:rsid w:val="00601420"/>
    <w:rsid w:val="00601D97"/>
    <w:rsid w:val="0060217D"/>
    <w:rsid w:val="00606F91"/>
    <w:rsid w:val="0061632B"/>
    <w:rsid w:val="00616705"/>
    <w:rsid w:val="006170F6"/>
    <w:rsid w:val="00617D99"/>
    <w:rsid w:val="00620984"/>
    <w:rsid w:val="0062151F"/>
    <w:rsid w:val="00622FB4"/>
    <w:rsid w:val="00623733"/>
    <w:rsid w:val="00624C3B"/>
    <w:rsid w:val="00630987"/>
    <w:rsid w:val="00630EF1"/>
    <w:rsid w:val="006325A8"/>
    <w:rsid w:val="00632D1D"/>
    <w:rsid w:val="0063337A"/>
    <w:rsid w:val="00636AE2"/>
    <w:rsid w:val="00637C90"/>
    <w:rsid w:val="00640495"/>
    <w:rsid w:val="00640637"/>
    <w:rsid w:val="00640BE4"/>
    <w:rsid w:val="00640E39"/>
    <w:rsid w:val="00641180"/>
    <w:rsid w:val="00646546"/>
    <w:rsid w:val="00646A63"/>
    <w:rsid w:val="006478F0"/>
    <w:rsid w:val="0065082A"/>
    <w:rsid w:val="00651CC5"/>
    <w:rsid w:val="0065336A"/>
    <w:rsid w:val="006538DD"/>
    <w:rsid w:val="00654978"/>
    <w:rsid w:val="00654AAE"/>
    <w:rsid w:val="00655B1E"/>
    <w:rsid w:val="006569AD"/>
    <w:rsid w:val="00657EA7"/>
    <w:rsid w:val="00657ED3"/>
    <w:rsid w:val="00660A0B"/>
    <w:rsid w:val="0066517F"/>
    <w:rsid w:val="00665542"/>
    <w:rsid w:val="00666647"/>
    <w:rsid w:val="00670DE1"/>
    <w:rsid w:val="0067201C"/>
    <w:rsid w:val="006747FD"/>
    <w:rsid w:val="00675F12"/>
    <w:rsid w:val="00677830"/>
    <w:rsid w:val="0068087E"/>
    <w:rsid w:val="00680F35"/>
    <w:rsid w:val="00682AB9"/>
    <w:rsid w:val="006831E0"/>
    <w:rsid w:val="00683288"/>
    <w:rsid w:val="006837A8"/>
    <w:rsid w:val="00683DFE"/>
    <w:rsid w:val="00684D80"/>
    <w:rsid w:val="00686881"/>
    <w:rsid w:val="006875CA"/>
    <w:rsid w:val="006900FC"/>
    <w:rsid w:val="00690502"/>
    <w:rsid w:val="006921E1"/>
    <w:rsid w:val="006928CF"/>
    <w:rsid w:val="0069653C"/>
    <w:rsid w:val="00697A5B"/>
    <w:rsid w:val="006A1AE8"/>
    <w:rsid w:val="006A27D0"/>
    <w:rsid w:val="006A55B2"/>
    <w:rsid w:val="006A5EB7"/>
    <w:rsid w:val="006A5F19"/>
    <w:rsid w:val="006A64FD"/>
    <w:rsid w:val="006B1325"/>
    <w:rsid w:val="006B1553"/>
    <w:rsid w:val="006B2683"/>
    <w:rsid w:val="006B2D63"/>
    <w:rsid w:val="006B30D4"/>
    <w:rsid w:val="006B6EBF"/>
    <w:rsid w:val="006B7882"/>
    <w:rsid w:val="006C1746"/>
    <w:rsid w:val="006C214B"/>
    <w:rsid w:val="006C2E23"/>
    <w:rsid w:val="006C35A0"/>
    <w:rsid w:val="006C3658"/>
    <w:rsid w:val="006C4D7B"/>
    <w:rsid w:val="006C6AA7"/>
    <w:rsid w:val="006C7B86"/>
    <w:rsid w:val="006D2446"/>
    <w:rsid w:val="006D4126"/>
    <w:rsid w:val="006D50CB"/>
    <w:rsid w:val="006D5F11"/>
    <w:rsid w:val="006D68EF"/>
    <w:rsid w:val="006D6F91"/>
    <w:rsid w:val="006D74CB"/>
    <w:rsid w:val="006E0F91"/>
    <w:rsid w:val="006E1B3F"/>
    <w:rsid w:val="006E2856"/>
    <w:rsid w:val="006E4665"/>
    <w:rsid w:val="006E5370"/>
    <w:rsid w:val="006E5881"/>
    <w:rsid w:val="006E6F4A"/>
    <w:rsid w:val="006F1CD8"/>
    <w:rsid w:val="006F30BE"/>
    <w:rsid w:val="006F3BE2"/>
    <w:rsid w:val="006F4B25"/>
    <w:rsid w:val="006F6496"/>
    <w:rsid w:val="0070165B"/>
    <w:rsid w:val="00701D7C"/>
    <w:rsid w:val="00702817"/>
    <w:rsid w:val="00702C06"/>
    <w:rsid w:val="00704A6A"/>
    <w:rsid w:val="007052B1"/>
    <w:rsid w:val="0070531C"/>
    <w:rsid w:val="00705573"/>
    <w:rsid w:val="00705836"/>
    <w:rsid w:val="007058E4"/>
    <w:rsid w:val="00705D6E"/>
    <w:rsid w:val="007062D5"/>
    <w:rsid w:val="00707352"/>
    <w:rsid w:val="0071055D"/>
    <w:rsid w:val="007109E5"/>
    <w:rsid w:val="00713769"/>
    <w:rsid w:val="00714CFE"/>
    <w:rsid w:val="00715492"/>
    <w:rsid w:val="00716659"/>
    <w:rsid w:val="007179BB"/>
    <w:rsid w:val="00717C37"/>
    <w:rsid w:val="007235D3"/>
    <w:rsid w:val="007245C0"/>
    <w:rsid w:val="00725813"/>
    <w:rsid w:val="00726869"/>
    <w:rsid w:val="00727C3D"/>
    <w:rsid w:val="00732A4C"/>
    <w:rsid w:val="007342EF"/>
    <w:rsid w:val="00736348"/>
    <w:rsid w:val="00736912"/>
    <w:rsid w:val="00740321"/>
    <w:rsid w:val="00744033"/>
    <w:rsid w:val="00744336"/>
    <w:rsid w:val="00744BF0"/>
    <w:rsid w:val="00745C8D"/>
    <w:rsid w:val="00750330"/>
    <w:rsid w:val="00750DF5"/>
    <w:rsid w:val="007516F7"/>
    <w:rsid w:val="0075661F"/>
    <w:rsid w:val="007571FD"/>
    <w:rsid w:val="00760908"/>
    <w:rsid w:val="0076114C"/>
    <w:rsid w:val="00763944"/>
    <w:rsid w:val="00765186"/>
    <w:rsid w:val="007677FC"/>
    <w:rsid w:val="00776CBA"/>
    <w:rsid w:val="00776F0D"/>
    <w:rsid w:val="00776F5B"/>
    <w:rsid w:val="00776F93"/>
    <w:rsid w:val="00777395"/>
    <w:rsid w:val="00780E5C"/>
    <w:rsid w:val="00780F99"/>
    <w:rsid w:val="007818B8"/>
    <w:rsid w:val="0079159A"/>
    <w:rsid w:val="00793439"/>
    <w:rsid w:val="00794922"/>
    <w:rsid w:val="007950A7"/>
    <w:rsid w:val="007957B9"/>
    <w:rsid w:val="0079661C"/>
    <w:rsid w:val="007A0E36"/>
    <w:rsid w:val="007A222B"/>
    <w:rsid w:val="007A3A2F"/>
    <w:rsid w:val="007A4088"/>
    <w:rsid w:val="007A425C"/>
    <w:rsid w:val="007A5086"/>
    <w:rsid w:val="007B2A9F"/>
    <w:rsid w:val="007B43A1"/>
    <w:rsid w:val="007B4D14"/>
    <w:rsid w:val="007B744C"/>
    <w:rsid w:val="007B7DC1"/>
    <w:rsid w:val="007C5FAB"/>
    <w:rsid w:val="007C65CB"/>
    <w:rsid w:val="007D0457"/>
    <w:rsid w:val="007D0578"/>
    <w:rsid w:val="007D0755"/>
    <w:rsid w:val="007D1BFE"/>
    <w:rsid w:val="007D2CF6"/>
    <w:rsid w:val="007D2F38"/>
    <w:rsid w:val="007D440D"/>
    <w:rsid w:val="007D4D20"/>
    <w:rsid w:val="007D68FE"/>
    <w:rsid w:val="007D69E6"/>
    <w:rsid w:val="007E05DE"/>
    <w:rsid w:val="007E530D"/>
    <w:rsid w:val="007E72A1"/>
    <w:rsid w:val="007F238D"/>
    <w:rsid w:val="007F361A"/>
    <w:rsid w:val="007F4ED3"/>
    <w:rsid w:val="007F6671"/>
    <w:rsid w:val="0080266C"/>
    <w:rsid w:val="00802815"/>
    <w:rsid w:val="008045A1"/>
    <w:rsid w:val="00804E27"/>
    <w:rsid w:val="008057D9"/>
    <w:rsid w:val="0080602B"/>
    <w:rsid w:val="00806FAA"/>
    <w:rsid w:val="00810168"/>
    <w:rsid w:val="008113C6"/>
    <w:rsid w:val="00812C36"/>
    <w:rsid w:val="00813EED"/>
    <w:rsid w:val="0081490E"/>
    <w:rsid w:val="008159B5"/>
    <w:rsid w:val="00816677"/>
    <w:rsid w:val="00816FCD"/>
    <w:rsid w:val="00822179"/>
    <w:rsid w:val="00824E03"/>
    <w:rsid w:val="00825597"/>
    <w:rsid w:val="00825A03"/>
    <w:rsid w:val="00826444"/>
    <w:rsid w:val="00826930"/>
    <w:rsid w:val="00826B19"/>
    <w:rsid w:val="00826D99"/>
    <w:rsid w:val="00833315"/>
    <w:rsid w:val="008338EB"/>
    <w:rsid w:val="00837398"/>
    <w:rsid w:val="008456A8"/>
    <w:rsid w:val="00850ABF"/>
    <w:rsid w:val="008517C8"/>
    <w:rsid w:val="008541ED"/>
    <w:rsid w:val="0085566B"/>
    <w:rsid w:val="00855E40"/>
    <w:rsid w:val="008568E7"/>
    <w:rsid w:val="00856FDC"/>
    <w:rsid w:val="00857B3A"/>
    <w:rsid w:val="00861B92"/>
    <w:rsid w:val="00862B23"/>
    <w:rsid w:val="008635F6"/>
    <w:rsid w:val="00864C2A"/>
    <w:rsid w:val="00865647"/>
    <w:rsid w:val="00867244"/>
    <w:rsid w:val="0086732E"/>
    <w:rsid w:val="00870F5D"/>
    <w:rsid w:val="00872361"/>
    <w:rsid w:val="00872D81"/>
    <w:rsid w:val="008732F6"/>
    <w:rsid w:val="00873502"/>
    <w:rsid w:val="00873D2A"/>
    <w:rsid w:val="00873D42"/>
    <w:rsid w:val="0087623B"/>
    <w:rsid w:val="0087729F"/>
    <w:rsid w:val="008775D5"/>
    <w:rsid w:val="008814FB"/>
    <w:rsid w:val="00881BCD"/>
    <w:rsid w:val="0088342D"/>
    <w:rsid w:val="0088521A"/>
    <w:rsid w:val="00886165"/>
    <w:rsid w:val="0088695D"/>
    <w:rsid w:val="00892B11"/>
    <w:rsid w:val="00892CCE"/>
    <w:rsid w:val="00894866"/>
    <w:rsid w:val="00894894"/>
    <w:rsid w:val="008953F9"/>
    <w:rsid w:val="00896DF2"/>
    <w:rsid w:val="008A5002"/>
    <w:rsid w:val="008A61AF"/>
    <w:rsid w:val="008B2909"/>
    <w:rsid w:val="008B35AB"/>
    <w:rsid w:val="008B4E01"/>
    <w:rsid w:val="008B7D27"/>
    <w:rsid w:val="008C1A9C"/>
    <w:rsid w:val="008C3629"/>
    <w:rsid w:val="008C44B9"/>
    <w:rsid w:val="008C52C2"/>
    <w:rsid w:val="008C5E96"/>
    <w:rsid w:val="008D3446"/>
    <w:rsid w:val="008D3551"/>
    <w:rsid w:val="008D4136"/>
    <w:rsid w:val="008D6013"/>
    <w:rsid w:val="008E0982"/>
    <w:rsid w:val="008E1E93"/>
    <w:rsid w:val="008E23C1"/>
    <w:rsid w:val="008E2D87"/>
    <w:rsid w:val="008E393E"/>
    <w:rsid w:val="008E4437"/>
    <w:rsid w:val="008F0292"/>
    <w:rsid w:val="008F2DB6"/>
    <w:rsid w:val="008F5743"/>
    <w:rsid w:val="008F5E30"/>
    <w:rsid w:val="008F6F03"/>
    <w:rsid w:val="008F73FA"/>
    <w:rsid w:val="008F7D10"/>
    <w:rsid w:val="009008B8"/>
    <w:rsid w:val="0090244F"/>
    <w:rsid w:val="00902B72"/>
    <w:rsid w:val="009065A4"/>
    <w:rsid w:val="00910388"/>
    <w:rsid w:val="00913737"/>
    <w:rsid w:val="0091378D"/>
    <w:rsid w:val="009141A9"/>
    <w:rsid w:val="00914D7F"/>
    <w:rsid w:val="009162A1"/>
    <w:rsid w:val="00916C1D"/>
    <w:rsid w:val="00917222"/>
    <w:rsid w:val="00920EDE"/>
    <w:rsid w:val="0092128E"/>
    <w:rsid w:val="00921E2F"/>
    <w:rsid w:val="0092201A"/>
    <w:rsid w:val="009255C0"/>
    <w:rsid w:val="009255C3"/>
    <w:rsid w:val="00927154"/>
    <w:rsid w:val="009272DC"/>
    <w:rsid w:val="009332F5"/>
    <w:rsid w:val="0093341E"/>
    <w:rsid w:val="0093375A"/>
    <w:rsid w:val="009353DC"/>
    <w:rsid w:val="009377B5"/>
    <w:rsid w:val="0094046F"/>
    <w:rsid w:val="00940CF5"/>
    <w:rsid w:val="0094228F"/>
    <w:rsid w:val="0094265C"/>
    <w:rsid w:val="00942FB4"/>
    <w:rsid w:val="009436F4"/>
    <w:rsid w:val="00944C76"/>
    <w:rsid w:val="00945396"/>
    <w:rsid w:val="00945641"/>
    <w:rsid w:val="0094642D"/>
    <w:rsid w:val="0095012A"/>
    <w:rsid w:val="00951014"/>
    <w:rsid w:val="009514BA"/>
    <w:rsid w:val="0095652C"/>
    <w:rsid w:val="009660C9"/>
    <w:rsid w:val="009719CB"/>
    <w:rsid w:val="00974141"/>
    <w:rsid w:val="0097530B"/>
    <w:rsid w:val="00975C12"/>
    <w:rsid w:val="00976CDC"/>
    <w:rsid w:val="00977522"/>
    <w:rsid w:val="00982837"/>
    <w:rsid w:val="00984C68"/>
    <w:rsid w:val="00985AC0"/>
    <w:rsid w:val="00996E66"/>
    <w:rsid w:val="009A13D9"/>
    <w:rsid w:val="009A29B8"/>
    <w:rsid w:val="009A3E07"/>
    <w:rsid w:val="009A5473"/>
    <w:rsid w:val="009A7421"/>
    <w:rsid w:val="009B0F41"/>
    <w:rsid w:val="009B5FDA"/>
    <w:rsid w:val="009C1056"/>
    <w:rsid w:val="009C15C4"/>
    <w:rsid w:val="009C2397"/>
    <w:rsid w:val="009C45FE"/>
    <w:rsid w:val="009C5DD5"/>
    <w:rsid w:val="009C63F4"/>
    <w:rsid w:val="009D0E71"/>
    <w:rsid w:val="009D3A79"/>
    <w:rsid w:val="009D3E0D"/>
    <w:rsid w:val="009D7BCF"/>
    <w:rsid w:val="009D7EAA"/>
    <w:rsid w:val="009E05DE"/>
    <w:rsid w:val="009E0AB7"/>
    <w:rsid w:val="009E1DB5"/>
    <w:rsid w:val="009E23C3"/>
    <w:rsid w:val="009E43B4"/>
    <w:rsid w:val="009E57F5"/>
    <w:rsid w:val="009E680B"/>
    <w:rsid w:val="009E6DD9"/>
    <w:rsid w:val="009E7BD3"/>
    <w:rsid w:val="009F1851"/>
    <w:rsid w:val="009F1C75"/>
    <w:rsid w:val="009F69F1"/>
    <w:rsid w:val="00A0005D"/>
    <w:rsid w:val="00A00F01"/>
    <w:rsid w:val="00A014FE"/>
    <w:rsid w:val="00A01AC5"/>
    <w:rsid w:val="00A01CC9"/>
    <w:rsid w:val="00A040CC"/>
    <w:rsid w:val="00A04630"/>
    <w:rsid w:val="00A04A21"/>
    <w:rsid w:val="00A04F99"/>
    <w:rsid w:val="00A1276C"/>
    <w:rsid w:val="00A15408"/>
    <w:rsid w:val="00A15A1F"/>
    <w:rsid w:val="00A166CF"/>
    <w:rsid w:val="00A169B1"/>
    <w:rsid w:val="00A16A12"/>
    <w:rsid w:val="00A248F6"/>
    <w:rsid w:val="00A26641"/>
    <w:rsid w:val="00A300BC"/>
    <w:rsid w:val="00A30C6D"/>
    <w:rsid w:val="00A3120B"/>
    <w:rsid w:val="00A31D66"/>
    <w:rsid w:val="00A32BC1"/>
    <w:rsid w:val="00A3325A"/>
    <w:rsid w:val="00A3365E"/>
    <w:rsid w:val="00A33BD6"/>
    <w:rsid w:val="00A404E4"/>
    <w:rsid w:val="00A41268"/>
    <w:rsid w:val="00A41C24"/>
    <w:rsid w:val="00A4259B"/>
    <w:rsid w:val="00A43013"/>
    <w:rsid w:val="00A44DC0"/>
    <w:rsid w:val="00A45563"/>
    <w:rsid w:val="00A46EBB"/>
    <w:rsid w:val="00A47341"/>
    <w:rsid w:val="00A5355C"/>
    <w:rsid w:val="00A6091A"/>
    <w:rsid w:val="00A610C9"/>
    <w:rsid w:val="00A63F06"/>
    <w:rsid w:val="00A6420C"/>
    <w:rsid w:val="00A65071"/>
    <w:rsid w:val="00A654FC"/>
    <w:rsid w:val="00A67180"/>
    <w:rsid w:val="00A676B6"/>
    <w:rsid w:val="00A701A7"/>
    <w:rsid w:val="00A7197A"/>
    <w:rsid w:val="00A71CCE"/>
    <w:rsid w:val="00A75FB4"/>
    <w:rsid w:val="00A77DE5"/>
    <w:rsid w:val="00A81221"/>
    <w:rsid w:val="00A82275"/>
    <w:rsid w:val="00A836CD"/>
    <w:rsid w:val="00A8751F"/>
    <w:rsid w:val="00A9007A"/>
    <w:rsid w:val="00A91492"/>
    <w:rsid w:val="00A91E17"/>
    <w:rsid w:val="00A9397D"/>
    <w:rsid w:val="00A946A9"/>
    <w:rsid w:val="00A94B77"/>
    <w:rsid w:val="00A94C02"/>
    <w:rsid w:val="00A9509B"/>
    <w:rsid w:val="00A9682D"/>
    <w:rsid w:val="00AA5E26"/>
    <w:rsid w:val="00AB11C4"/>
    <w:rsid w:val="00AB1356"/>
    <w:rsid w:val="00AB1417"/>
    <w:rsid w:val="00AB17D5"/>
    <w:rsid w:val="00AB20DE"/>
    <w:rsid w:val="00AB4C02"/>
    <w:rsid w:val="00AB5365"/>
    <w:rsid w:val="00AB74C7"/>
    <w:rsid w:val="00AC06C4"/>
    <w:rsid w:val="00AC3CD2"/>
    <w:rsid w:val="00AC3DB5"/>
    <w:rsid w:val="00AD45C1"/>
    <w:rsid w:val="00AD7456"/>
    <w:rsid w:val="00AE0D2A"/>
    <w:rsid w:val="00AE2162"/>
    <w:rsid w:val="00AE342B"/>
    <w:rsid w:val="00AE40E9"/>
    <w:rsid w:val="00AE4AD5"/>
    <w:rsid w:val="00AE5692"/>
    <w:rsid w:val="00AE5CC7"/>
    <w:rsid w:val="00AE7C78"/>
    <w:rsid w:val="00AF108A"/>
    <w:rsid w:val="00AF6295"/>
    <w:rsid w:val="00AF7542"/>
    <w:rsid w:val="00B01423"/>
    <w:rsid w:val="00B01B8C"/>
    <w:rsid w:val="00B02E55"/>
    <w:rsid w:val="00B036C1"/>
    <w:rsid w:val="00B03AB7"/>
    <w:rsid w:val="00B0424B"/>
    <w:rsid w:val="00B04EBB"/>
    <w:rsid w:val="00B0555C"/>
    <w:rsid w:val="00B06C37"/>
    <w:rsid w:val="00B071B3"/>
    <w:rsid w:val="00B07A8B"/>
    <w:rsid w:val="00B1173D"/>
    <w:rsid w:val="00B12D48"/>
    <w:rsid w:val="00B14F04"/>
    <w:rsid w:val="00B15E24"/>
    <w:rsid w:val="00B167B5"/>
    <w:rsid w:val="00B20E0E"/>
    <w:rsid w:val="00B22336"/>
    <w:rsid w:val="00B2442D"/>
    <w:rsid w:val="00B25929"/>
    <w:rsid w:val="00B2628B"/>
    <w:rsid w:val="00B26323"/>
    <w:rsid w:val="00B27D91"/>
    <w:rsid w:val="00B30E92"/>
    <w:rsid w:val="00B310FF"/>
    <w:rsid w:val="00B3136A"/>
    <w:rsid w:val="00B31A25"/>
    <w:rsid w:val="00B34851"/>
    <w:rsid w:val="00B36329"/>
    <w:rsid w:val="00B374AF"/>
    <w:rsid w:val="00B37B02"/>
    <w:rsid w:val="00B40464"/>
    <w:rsid w:val="00B40A6D"/>
    <w:rsid w:val="00B435A5"/>
    <w:rsid w:val="00B465E1"/>
    <w:rsid w:val="00B471CE"/>
    <w:rsid w:val="00B47DC4"/>
    <w:rsid w:val="00B506FF"/>
    <w:rsid w:val="00B50760"/>
    <w:rsid w:val="00B52F67"/>
    <w:rsid w:val="00B530E6"/>
    <w:rsid w:val="00B53AAA"/>
    <w:rsid w:val="00B5431F"/>
    <w:rsid w:val="00B54481"/>
    <w:rsid w:val="00B54B85"/>
    <w:rsid w:val="00B57013"/>
    <w:rsid w:val="00B60821"/>
    <w:rsid w:val="00B60B27"/>
    <w:rsid w:val="00B62510"/>
    <w:rsid w:val="00B64867"/>
    <w:rsid w:val="00B64DB5"/>
    <w:rsid w:val="00B65237"/>
    <w:rsid w:val="00B65336"/>
    <w:rsid w:val="00B663DF"/>
    <w:rsid w:val="00B66A77"/>
    <w:rsid w:val="00B70AD1"/>
    <w:rsid w:val="00B70B16"/>
    <w:rsid w:val="00B7129B"/>
    <w:rsid w:val="00B7565B"/>
    <w:rsid w:val="00B8102C"/>
    <w:rsid w:val="00B84AC1"/>
    <w:rsid w:val="00B8622F"/>
    <w:rsid w:val="00B8653A"/>
    <w:rsid w:val="00B904D9"/>
    <w:rsid w:val="00B919DE"/>
    <w:rsid w:val="00B92BC4"/>
    <w:rsid w:val="00B95724"/>
    <w:rsid w:val="00BA071A"/>
    <w:rsid w:val="00BA07FD"/>
    <w:rsid w:val="00BA1B9B"/>
    <w:rsid w:val="00BA49F0"/>
    <w:rsid w:val="00BA55F5"/>
    <w:rsid w:val="00BA5BD5"/>
    <w:rsid w:val="00BA5C54"/>
    <w:rsid w:val="00BA6418"/>
    <w:rsid w:val="00BA7CBD"/>
    <w:rsid w:val="00BB32D9"/>
    <w:rsid w:val="00BB332F"/>
    <w:rsid w:val="00BB73BD"/>
    <w:rsid w:val="00BC57BA"/>
    <w:rsid w:val="00BC620C"/>
    <w:rsid w:val="00BC6548"/>
    <w:rsid w:val="00BC778E"/>
    <w:rsid w:val="00BD5636"/>
    <w:rsid w:val="00BD5A68"/>
    <w:rsid w:val="00BE0CDA"/>
    <w:rsid w:val="00BE0DC5"/>
    <w:rsid w:val="00BE0F7C"/>
    <w:rsid w:val="00BE683F"/>
    <w:rsid w:val="00BE756A"/>
    <w:rsid w:val="00BF13A6"/>
    <w:rsid w:val="00BF162C"/>
    <w:rsid w:val="00BF24FA"/>
    <w:rsid w:val="00BF2CE5"/>
    <w:rsid w:val="00BF3CC7"/>
    <w:rsid w:val="00BF43A2"/>
    <w:rsid w:val="00BF7FE0"/>
    <w:rsid w:val="00C009E1"/>
    <w:rsid w:val="00C037E8"/>
    <w:rsid w:val="00C10CA3"/>
    <w:rsid w:val="00C118C4"/>
    <w:rsid w:val="00C119E1"/>
    <w:rsid w:val="00C12890"/>
    <w:rsid w:val="00C12B6F"/>
    <w:rsid w:val="00C133C0"/>
    <w:rsid w:val="00C237D5"/>
    <w:rsid w:val="00C25808"/>
    <w:rsid w:val="00C271B9"/>
    <w:rsid w:val="00C27383"/>
    <w:rsid w:val="00C313D9"/>
    <w:rsid w:val="00C3153A"/>
    <w:rsid w:val="00C3165C"/>
    <w:rsid w:val="00C32EB2"/>
    <w:rsid w:val="00C3515E"/>
    <w:rsid w:val="00C35241"/>
    <w:rsid w:val="00C35431"/>
    <w:rsid w:val="00C35E2E"/>
    <w:rsid w:val="00C375C7"/>
    <w:rsid w:val="00C403E7"/>
    <w:rsid w:val="00C40673"/>
    <w:rsid w:val="00C446FD"/>
    <w:rsid w:val="00C47774"/>
    <w:rsid w:val="00C50107"/>
    <w:rsid w:val="00C506B8"/>
    <w:rsid w:val="00C526F0"/>
    <w:rsid w:val="00C52BA8"/>
    <w:rsid w:val="00C53D17"/>
    <w:rsid w:val="00C54305"/>
    <w:rsid w:val="00C56F50"/>
    <w:rsid w:val="00C5794A"/>
    <w:rsid w:val="00C57CB3"/>
    <w:rsid w:val="00C63E1A"/>
    <w:rsid w:val="00C653B2"/>
    <w:rsid w:val="00C67829"/>
    <w:rsid w:val="00C712BA"/>
    <w:rsid w:val="00C721F3"/>
    <w:rsid w:val="00C7491B"/>
    <w:rsid w:val="00C75CEC"/>
    <w:rsid w:val="00C765FA"/>
    <w:rsid w:val="00C77570"/>
    <w:rsid w:val="00C77857"/>
    <w:rsid w:val="00C77B03"/>
    <w:rsid w:val="00C803F0"/>
    <w:rsid w:val="00C81104"/>
    <w:rsid w:val="00C817C4"/>
    <w:rsid w:val="00C82E86"/>
    <w:rsid w:val="00C83D98"/>
    <w:rsid w:val="00C845A6"/>
    <w:rsid w:val="00C85C50"/>
    <w:rsid w:val="00C86FB9"/>
    <w:rsid w:val="00C92216"/>
    <w:rsid w:val="00C92EF2"/>
    <w:rsid w:val="00C93DFD"/>
    <w:rsid w:val="00C9555B"/>
    <w:rsid w:val="00C95F45"/>
    <w:rsid w:val="00C96411"/>
    <w:rsid w:val="00C97ECC"/>
    <w:rsid w:val="00CA0F75"/>
    <w:rsid w:val="00CA1F93"/>
    <w:rsid w:val="00CA495C"/>
    <w:rsid w:val="00CA5CAE"/>
    <w:rsid w:val="00CA688D"/>
    <w:rsid w:val="00CA74E4"/>
    <w:rsid w:val="00CA7DB0"/>
    <w:rsid w:val="00CB00F0"/>
    <w:rsid w:val="00CB0EDC"/>
    <w:rsid w:val="00CB16B2"/>
    <w:rsid w:val="00CB1BF4"/>
    <w:rsid w:val="00CB1FCF"/>
    <w:rsid w:val="00CB21AF"/>
    <w:rsid w:val="00CB3435"/>
    <w:rsid w:val="00CB3438"/>
    <w:rsid w:val="00CB4064"/>
    <w:rsid w:val="00CB4817"/>
    <w:rsid w:val="00CB5671"/>
    <w:rsid w:val="00CB6AEB"/>
    <w:rsid w:val="00CB7462"/>
    <w:rsid w:val="00CB7F5A"/>
    <w:rsid w:val="00CC0827"/>
    <w:rsid w:val="00CC1DBE"/>
    <w:rsid w:val="00CC44E4"/>
    <w:rsid w:val="00CD0466"/>
    <w:rsid w:val="00CD0894"/>
    <w:rsid w:val="00CD0901"/>
    <w:rsid w:val="00CD0949"/>
    <w:rsid w:val="00CD2A8C"/>
    <w:rsid w:val="00CD36D0"/>
    <w:rsid w:val="00CD3700"/>
    <w:rsid w:val="00CD5A69"/>
    <w:rsid w:val="00CD6104"/>
    <w:rsid w:val="00CD6A7C"/>
    <w:rsid w:val="00CD6F77"/>
    <w:rsid w:val="00CE03B7"/>
    <w:rsid w:val="00CE0F32"/>
    <w:rsid w:val="00CE1793"/>
    <w:rsid w:val="00CE1B46"/>
    <w:rsid w:val="00CE1D2A"/>
    <w:rsid w:val="00CE34A4"/>
    <w:rsid w:val="00CE651C"/>
    <w:rsid w:val="00CE7526"/>
    <w:rsid w:val="00CF3D88"/>
    <w:rsid w:val="00CF456A"/>
    <w:rsid w:val="00CF4ABC"/>
    <w:rsid w:val="00CF58B7"/>
    <w:rsid w:val="00CF6F74"/>
    <w:rsid w:val="00D07F6F"/>
    <w:rsid w:val="00D106BB"/>
    <w:rsid w:val="00D10A5B"/>
    <w:rsid w:val="00D160EA"/>
    <w:rsid w:val="00D234A6"/>
    <w:rsid w:val="00D23C9D"/>
    <w:rsid w:val="00D24375"/>
    <w:rsid w:val="00D25739"/>
    <w:rsid w:val="00D27718"/>
    <w:rsid w:val="00D3031B"/>
    <w:rsid w:val="00D312A1"/>
    <w:rsid w:val="00D322B9"/>
    <w:rsid w:val="00D34250"/>
    <w:rsid w:val="00D351C1"/>
    <w:rsid w:val="00D353A4"/>
    <w:rsid w:val="00D35EFB"/>
    <w:rsid w:val="00D41F2C"/>
    <w:rsid w:val="00D433FC"/>
    <w:rsid w:val="00D438CA"/>
    <w:rsid w:val="00D449B5"/>
    <w:rsid w:val="00D504B3"/>
    <w:rsid w:val="00D5077D"/>
    <w:rsid w:val="00D520A7"/>
    <w:rsid w:val="00D537A2"/>
    <w:rsid w:val="00D54B3D"/>
    <w:rsid w:val="00D57721"/>
    <w:rsid w:val="00D61193"/>
    <w:rsid w:val="00D617EB"/>
    <w:rsid w:val="00D61BFC"/>
    <w:rsid w:val="00D62D25"/>
    <w:rsid w:val="00D642BA"/>
    <w:rsid w:val="00D64853"/>
    <w:rsid w:val="00D653F4"/>
    <w:rsid w:val="00D6755A"/>
    <w:rsid w:val="00D72A75"/>
    <w:rsid w:val="00D72AAB"/>
    <w:rsid w:val="00D7744A"/>
    <w:rsid w:val="00D84F30"/>
    <w:rsid w:val="00D86BF0"/>
    <w:rsid w:val="00D91589"/>
    <w:rsid w:val="00D92D7E"/>
    <w:rsid w:val="00D9534F"/>
    <w:rsid w:val="00DA01CB"/>
    <w:rsid w:val="00DA0D2A"/>
    <w:rsid w:val="00DA21F3"/>
    <w:rsid w:val="00DA476B"/>
    <w:rsid w:val="00DB0B35"/>
    <w:rsid w:val="00DB1EDE"/>
    <w:rsid w:val="00DB45D5"/>
    <w:rsid w:val="00DB47FE"/>
    <w:rsid w:val="00DB6BE1"/>
    <w:rsid w:val="00DB6D1A"/>
    <w:rsid w:val="00DC0570"/>
    <w:rsid w:val="00DC159F"/>
    <w:rsid w:val="00DC72B8"/>
    <w:rsid w:val="00DD09D8"/>
    <w:rsid w:val="00DD0F2D"/>
    <w:rsid w:val="00DD1611"/>
    <w:rsid w:val="00DD1F43"/>
    <w:rsid w:val="00DD36B8"/>
    <w:rsid w:val="00DD5398"/>
    <w:rsid w:val="00DD551B"/>
    <w:rsid w:val="00DD698F"/>
    <w:rsid w:val="00DE1116"/>
    <w:rsid w:val="00DE2DA1"/>
    <w:rsid w:val="00DE33D0"/>
    <w:rsid w:val="00DE39C4"/>
    <w:rsid w:val="00DE6C4B"/>
    <w:rsid w:val="00DE728A"/>
    <w:rsid w:val="00DF055F"/>
    <w:rsid w:val="00DF1576"/>
    <w:rsid w:val="00DF60B9"/>
    <w:rsid w:val="00E000C5"/>
    <w:rsid w:val="00E045E1"/>
    <w:rsid w:val="00E04F08"/>
    <w:rsid w:val="00E0638A"/>
    <w:rsid w:val="00E065B2"/>
    <w:rsid w:val="00E109BB"/>
    <w:rsid w:val="00E10A57"/>
    <w:rsid w:val="00E12B41"/>
    <w:rsid w:val="00E145AE"/>
    <w:rsid w:val="00E16149"/>
    <w:rsid w:val="00E21174"/>
    <w:rsid w:val="00E21490"/>
    <w:rsid w:val="00E219E8"/>
    <w:rsid w:val="00E22737"/>
    <w:rsid w:val="00E258D1"/>
    <w:rsid w:val="00E27E75"/>
    <w:rsid w:val="00E30D7F"/>
    <w:rsid w:val="00E33340"/>
    <w:rsid w:val="00E36862"/>
    <w:rsid w:val="00E41806"/>
    <w:rsid w:val="00E44923"/>
    <w:rsid w:val="00E46DB1"/>
    <w:rsid w:val="00E4729E"/>
    <w:rsid w:val="00E473DE"/>
    <w:rsid w:val="00E51712"/>
    <w:rsid w:val="00E51920"/>
    <w:rsid w:val="00E53A4A"/>
    <w:rsid w:val="00E5615E"/>
    <w:rsid w:val="00E5758A"/>
    <w:rsid w:val="00E6116C"/>
    <w:rsid w:val="00E634B5"/>
    <w:rsid w:val="00E64120"/>
    <w:rsid w:val="00E660A1"/>
    <w:rsid w:val="00E660CB"/>
    <w:rsid w:val="00E67E07"/>
    <w:rsid w:val="00E75F24"/>
    <w:rsid w:val="00E76843"/>
    <w:rsid w:val="00E8008B"/>
    <w:rsid w:val="00E834F2"/>
    <w:rsid w:val="00E863E1"/>
    <w:rsid w:val="00E91FFB"/>
    <w:rsid w:val="00E93D40"/>
    <w:rsid w:val="00E94B35"/>
    <w:rsid w:val="00E95412"/>
    <w:rsid w:val="00E9794C"/>
    <w:rsid w:val="00E97FB2"/>
    <w:rsid w:val="00EA0767"/>
    <w:rsid w:val="00EA20EC"/>
    <w:rsid w:val="00EA2619"/>
    <w:rsid w:val="00EA3CCF"/>
    <w:rsid w:val="00EA436F"/>
    <w:rsid w:val="00EA6949"/>
    <w:rsid w:val="00EA6C04"/>
    <w:rsid w:val="00EA7767"/>
    <w:rsid w:val="00EB2837"/>
    <w:rsid w:val="00EB3B9F"/>
    <w:rsid w:val="00EB3BD6"/>
    <w:rsid w:val="00EB3BDE"/>
    <w:rsid w:val="00EB4D32"/>
    <w:rsid w:val="00EB4FE1"/>
    <w:rsid w:val="00EC03FA"/>
    <w:rsid w:val="00EC1CE5"/>
    <w:rsid w:val="00EC2D1D"/>
    <w:rsid w:val="00EC5A03"/>
    <w:rsid w:val="00EC7AE3"/>
    <w:rsid w:val="00ED2C70"/>
    <w:rsid w:val="00ED5E61"/>
    <w:rsid w:val="00ED63D6"/>
    <w:rsid w:val="00ED7D03"/>
    <w:rsid w:val="00ED7E9D"/>
    <w:rsid w:val="00EE0B0A"/>
    <w:rsid w:val="00EE5D18"/>
    <w:rsid w:val="00EE6387"/>
    <w:rsid w:val="00EF49A6"/>
    <w:rsid w:val="00EF5B9C"/>
    <w:rsid w:val="00EF60E3"/>
    <w:rsid w:val="00F055F1"/>
    <w:rsid w:val="00F065B9"/>
    <w:rsid w:val="00F104D3"/>
    <w:rsid w:val="00F13285"/>
    <w:rsid w:val="00F14020"/>
    <w:rsid w:val="00F15595"/>
    <w:rsid w:val="00F16557"/>
    <w:rsid w:val="00F213AA"/>
    <w:rsid w:val="00F2175D"/>
    <w:rsid w:val="00F21783"/>
    <w:rsid w:val="00F2185C"/>
    <w:rsid w:val="00F221AD"/>
    <w:rsid w:val="00F2414A"/>
    <w:rsid w:val="00F26462"/>
    <w:rsid w:val="00F265A8"/>
    <w:rsid w:val="00F33965"/>
    <w:rsid w:val="00F34A1A"/>
    <w:rsid w:val="00F34E43"/>
    <w:rsid w:val="00F40DA6"/>
    <w:rsid w:val="00F44607"/>
    <w:rsid w:val="00F44E7C"/>
    <w:rsid w:val="00F46C18"/>
    <w:rsid w:val="00F50A3A"/>
    <w:rsid w:val="00F55204"/>
    <w:rsid w:val="00F55FCF"/>
    <w:rsid w:val="00F56928"/>
    <w:rsid w:val="00F60001"/>
    <w:rsid w:val="00F610AF"/>
    <w:rsid w:val="00F6153A"/>
    <w:rsid w:val="00F62E20"/>
    <w:rsid w:val="00F62F9F"/>
    <w:rsid w:val="00F63DC1"/>
    <w:rsid w:val="00F64696"/>
    <w:rsid w:val="00F65375"/>
    <w:rsid w:val="00F662F4"/>
    <w:rsid w:val="00F67C74"/>
    <w:rsid w:val="00F7050E"/>
    <w:rsid w:val="00F73602"/>
    <w:rsid w:val="00F757D9"/>
    <w:rsid w:val="00F76692"/>
    <w:rsid w:val="00F777DD"/>
    <w:rsid w:val="00F84A9B"/>
    <w:rsid w:val="00F84B69"/>
    <w:rsid w:val="00F84BCB"/>
    <w:rsid w:val="00F85A62"/>
    <w:rsid w:val="00F90C02"/>
    <w:rsid w:val="00F91823"/>
    <w:rsid w:val="00F91B61"/>
    <w:rsid w:val="00F93988"/>
    <w:rsid w:val="00F96560"/>
    <w:rsid w:val="00F967F7"/>
    <w:rsid w:val="00F97060"/>
    <w:rsid w:val="00FA0572"/>
    <w:rsid w:val="00FA0A96"/>
    <w:rsid w:val="00FA1117"/>
    <w:rsid w:val="00FA1975"/>
    <w:rsid w:val="00FA2A2F"/>
    <w:rsid w:val="00FA2C5A"/>
    <w:rsid w:val="00FA2C85"/>
    <w:rsid w:val="00FA4D12"/>
    <w:rsid w:val="00FA573E"/>
    <w:rsid w:val="00FA5CDF"/>
    <w:rsid w:val="00FB12A0"/>
    <w:rsid w:val="00FB476C"/>
    <w:rsid w:val="00FB561B"/>
    <w:rsid w:val="00FB63A0"/>
    <w:rsid w:val="00FB683D"/>
    <w:rsid w:val="00FB70D5"/>
    <w:rsid w:val="00FC0BBF"/>
    <w:rsid w:val="00FC22E4"/>
    <w:rsid w:val="00FC2D11"/>
    <w:rsid w:val="00FC32E0"/>
    <w:rsid w:val="00FC4B1A"/>
    <w:rsid w:val="00FC4DE6"/>
    <w:rsid w:val="00FC5A9E"/>
    <w:rsid w:val="00FC6230"/>
    <w:rsid w:val="00FD2013"/>
    <w:rsid w:val="00FD22CB"/>
    <w:rsid w:val="00FD2F06"/>
    <w:rsid w:val="00FD549F"/>
    <w:rsid w:val="00FE0DFC"/>
    <w:rsid w:val="00FE2417"/>
    <w:rsid w:val="00FE2FCE"/>
    <w:rsid w:val="00FE4DAF"/>
    <w:rsid w:val="00FE6660"/>
    <w:rsid w:val="00FE68B7"/>
    <w:rsid w:val="00FE7994"/>
    <w:rsid w:val="00FF333C"/>
    <w:rsid w:val="00FF3434"/>
    <w:rsid w:val="00FF4771"/>
    <w:rsid w:val="00FF4B7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8874</Characters>
  <Application>Microsoft Office Word</Application>
  <DocSecurity>0</DocSecurity>
  <Lines>73</Lines>
  <Paragraphs>20</Paragraphs>
  <ScaleCrop>false</ScaleCrop>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2020-10-14T14:37:00Z</dcterms:created>
  <dcterms:modified xsi:type="dcterms:W3CDTF">2020-10-14T14:38:00Z</dcterms:modified>
</cp:coreProperties>
</file>