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9998FA1" w:rsidR="00975C12" w:rsidRPr="00F40D3F" w:rsidRDefault="00975C12" w:rsidP="00975C12">
      <w:pPr>
        <w:pStyle w:val="Heading1"/>
        <w:jc w:val="center"/>
      </w:pPr>
      <w:r w:rsidRPr="00F40D3F">
        <w:t xml:space="preserve">Minutes of the meeting held on </w:t>
      </w:r>
      <w:r w:rsidR="005F7A53">
        <w:t>26</w:t>
      </w:r>
      <w:r w:rsidR="00966E36">
        <w:t xml:space="preserve"> January</w:t>
      </w:r>
      <w:r w:rsidR="00892B11">
        <w:t xml:space="preserve"> 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0CB43FDE"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7A02E8AF"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r w:rsidR="00A32611">
        <w:rPr>
          <w:rFonts w:cs="Arial"/>
          <w:color w:val="000000" w:themeColor="text1"/>
          <w:sz w:val="22"/>
          <w:szCs w:val="22"/>
          <w:lang w:val="en-GB"/>
        </w:rPr>
        <w:t xml:space="preserve"> </w:t>
      </w:r>
    </w:p>
    <w:p w14:paraId="2525C183" w14:textId="7D0674EF" w:rsidR="00186E84"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15D18218"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217895DB" w14:textId="24E07B52"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Judith</w:t>
      </w:r>
      <w:r w:rsidR="0051570B">
        <w:rPr>
          <w:rFonts w:cs="Arial"/>
          <w:sz w:val="22"/>
          <w:szCs w:val="22"/>
          <w:lang w:val="en-GB"/>
        </w:rPr>
        <w:t xml:space="preserve"> Richardson</w:t>
      </w:r>
      <w:r w:rsidR="0051570B">
        <w:rPr>
          <w:rFonts w:cs="Arial"/>
          <w:sz w:val="22"/>
          <w:szCs w:val="22"/>
          <w:lang w:val="en-GB"/>
        </w:rPr>
        <w:tab/>
        <w:t>Acting Director – Health and Social Care</w:t>
      </w:r>
    </w:p>
    <w:p w14:paraId="454AF59E" w14:textId="6D34F603"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0542C059" w14:textId="4C7BBB0E" w:rsidR="007F1B30" w:rsidRDefault="007F1B30" w:rsidP="007F1B30">
      <w:pPr>
        <w:pStyle w:val="NICEnormal"/>
        <w:spacing w:after="0" w:line="240" w:lineRule="auto"/>
        <w:ind w:left="2160" w:hanging="2160"/>
        <w:rPr>
          <w:color w:val="000000" w:themeColor="text1"/>
          <w:sz w:val="22"/>
          <w:szCs w:val="22"/>
        </w:rPr>
      </w:pPr>
      <w:r w:rsidRPr="00684843">
        <w:rPr>
          <w:color w:val="000000" w:themeColor="text1"/>
          <w:sz w:val="22"/>
          <w:szCs w:val="22"/>
        </w:rPr>
        <w:t>Rebecca Threlfall</w:t>
      </w:r>
      <w:r w:rsidRPr="00684843">
        <w:rPr>
          <w:color w:val="000000" w:themeColor="text1"/>
          <w:sz w:val="22"/>
          <w:szCs w:val="22"/>
        </w:rPr>
        <w:tab/>
        <w:t>Chief of Staff</w:t>
      </w:r>
    </w:p>
    <w:p w14:paraId="41C3D736" w14:textId="4AD32749" w:rsidR="005F7A53" w:rsidRDefault="005F7A53" w:rsidP="007F1B30">
      <w:pPr>
        <w:pStyle w:val="NICEnormal"/>
        <w:spacing w:after="0" w:line="240" w:lineRule="auto"/>
        <w:ind w:left="2160" w:hanging="2160"/>
        <w:rPr>
          <w:color w:val="000000" w:themeColor="text1"/>
          <w:sz w:val="22"/>
          <w:szCs w:val="22"/>
        </w:rPr>
      </w:pPr>
      <w:r>
        <w:rPr>
          <w:color w:val="000000" w:themeColor="text1"/>
          <w:sz w:val="22"/>
          <w:szCs w:val="22"/>
        </w:rPr>
        <w:t>Elaine Repton</w:t>
      </w:r>
      <w:r>
        <w:rPr>
          <w:color w:val="000000" w:themeColor="text1"/>
          <w:sz w:val="22"/>
          <w:szCs w:val="22"/>
        </w:rPr>
        <w:tab/>
        <w:t>Corporate Governance Manager (minutes)</w:t>
      </w:r>
    </w:p>
    <w:p w14:paraId="45301840" w14:textId="6AF28A06" w:rsidR="005F7A53" w:rsidRDefault="005F7A53" w:rsidP="007F1B30">
      <w:pPr>
        <w:pStyle w:val="NICEnormal"/>
        <w:spacing w:after="0" w:line="240" w:lineRule="auto"/>
        <w:ind w:left="2160" w:hanging="2160"/>
        <w:rPr>
          <w:color w:val="000000" w:themeColor="text1"/>
          <w:sz w:val="22"/>
          <w:szCs w:val="22"/>
        </w:rPr>
      </w:pPr>
      <w:r>
        <w:rPr>
          <w:color w:val="000000" w:themeColor="text1"/>
          <w:sz w:val="22"/>
          <w:szCs w:val="22"/>
        </w:rPr>
        <w:t>David Coombs</w:t>
      </w:r>
      <w:r>
        <w:rPr>
          <w:color w:val="000000" w:themeColor="text1"/>
          <w:sz w:val="22"/>
          <w:szCs w:val="22"/>
        </w:rPr>
        <w:tab/>
        <w:t>Associate Director</w:t>
      </w:r>
      <w:r w:rsidR="00807BD0">
        <w:rPr>
          <w:color w:val="000000" w:themeColor="text1"/>
          <w:sz w:val="22"/>
          <w:szCs w:val="22"/>
        </w:rPr>
        <w:t xml:space="preserve"> – Corporate office (item 6)</w:t>
      </w:r>
    </w:p>
    <w:p w14:paraId="321020AF" w14:textId="77777777" w:rsidR="00D747C1" w:rsidRDefault="00D747C1" w:rsidP="00D747C1">
      <w:pPr>
        <w:pStyle w:val="NICEnormal"/>
        <w:spacing w:after="0" w:line="240" w:lineRule="auto"/>
        <w:ind w:left="2160" w:hanging="2160"/>
        <w:rPr>
          <w:color w:val="000000" w:themeColor="text1"/>
          <w:sz w:val="22"/>
          <w:szCs w:val="22"/>
        </w:rPr>
      </w:pPr>
      <w:r>
        <w:rPr>
          <w:color w:val="000000" w:themeColor="text1"/>
          <w:sz w:val="22"/>
          <w:szCs w:val="22"/>
        </w:rPr>
        <w:t>Nick Crabb</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 Science Evidence &amp; Analytics (item 9)</w:t>
      </w:r>
    </w:p>
    <w:p w14:paraId="77977DDD" w14:textId="31B2FE23" w:rsidR="005F7A53" w:rsidRDefault="005F7A53" w:rsidP="007F1B30">
      <w:pPr>
        <w:pStyle w:val="NICEnormal"/>
        <w:spacing w:after="0" w:line="240" w:lineRule="auto"/>
        <w:ind w:left="2160" w:hanging="2160"/>
        <w:rPr>
          <w:color w:val="000000" w:themeColor="text1"/>
          <w:sz w:val="22"/>
          <w:szCs w:val="22"/>
        </w:rPr>
      </w:pPr>
      <w:r>
        <w:rPr>
          <w:color w:val="000000" w:themeColor="text1"/>
          <w:sz w:val="22"/>
          <w:szCs w:val="22"/>
        </w:rPr>
        <w:t>Zoe Garr</w:t>
      </w:r>
      <w:r w:rsidR="00D11606">
        <w:rPr>
          <w:color w:val="000000" w:themeColor="text1"/>
          <w:sz w:val="22"/>
          <w:szCs w:val="22"/>
        </w:rPr>
        <w:t>e</w:t>
      </w:r>
      <w:r>
        <w:rPr>
          <w:color w:val="000000" w:themeColor="text1"/>
          <w:sz w:val="22"/>
          <w:szCs w:val="22"/>
        </w:rPr>
        <w:t>tt</w:t>
      </w:r>
      <w:r w:rsidR="00807BD0">
        <w:rPr>
          <w:color w:val="000000" w:themeColor="text1"/>
          <w:sz w:val="22"/>
          <w:szCs w:val="22"/>
        </w:rPr>
        <w:tab/>
        <w:t>Senior Technical Advisor – Science Evidence &amp; Analytics (item 9)</w:t>
      </w:r>
    </w:p>
    <w:p w14:paraId="62094208" w14:textId="7EA75E44" w:rsidR="005F7A53" w:rsidRDefault="005F7A53" w:rsidP="007F1B30">
      <w:pPr>
        <w:pStyle w:val="NICEnormal"/>
        <w:spacing w:after="0" w:line="240" w:lineRule="auto"/>
        <w:ind w:left="2160" w:hanging="2160"/>
        <w:rPr>
          <w:color w:val="000000" w:themeColor="text1"/>
          <w:sz w:val="22"/>
          <w:szCs w:val="22"/>
        </w:rPr>
      </w:pPr>
      <w:r>
        <w:rPr>
          <w:color w:val="000000" w:themeColor="text1"/>
          <w:sz w:val="22"/>
          <w:szCs w:val="22"/>
        </w:rPr>
        <w:t>Lisa Appleyard</w:t>
      </w:r>
      <w:r>
        <w:rPr>
          <w:color w:val="000000" w:themeColor="text1"/>
          <w:sz w:val="22"/>
          <w:szCs w:val="22"/>
        </w:rPr>
        <w:tab/>
        <w:t xml:space="preserve">Associate Director </w:t>
      </w:r>
      <w:r w:rsidR="00807BD0">
        <w:rPr>
          <w:color w:val="000000" w:themeColor="text1"/>
          <w:sz w:val="22"/>
          <w:szCs w:val="22"/>
        </w:rPr>
        <w:t>– Corporate Communications (item 10)</w:t>
      </w:r>
    </w:p>
    <w:p w14:paraId="68415E72" w14:textId="32D75A1B" w:rsidR="007F1B30" w:rsidRDefault="007F1B30" w:rsidP="00E817AC">
      <w:pPr>
        <w:pStyle w:val="NICEnormal"/>
        <w:spacing w:after="0" w:line="240" w:lineRule="auto"/>
        <w:ind w:left="2160" w:hanging="2160"/>
        <w:rPr>
          <w:color w:val="000000" w:themeColor="text1"/>
          <w:sz w:val="22"/>
          <w:szCs w:val="22"/>
        </w:rPr>
      </w:pPr>
    </w:p>
    <w:p w14:paraId="1955D890" w14:textId="0978CDF6" w:rsidR="00273BFA" w:rsidRDefault="00273BFA" w:rsidP="00273BFA">
      <w:pPr>
        <w:pStyle w:val="Heading2"/>
      </w:pPr>
      <w:r>
        <w:t>Also present</w:t>
      </w:r>
    </w:p>
    <w:p w14:paraId="6315BABD" w14:textId="3A701E2B" w:rsidR="00273BFA" w:rsidRPr="00273BFA" w:rsidRDefault="00273BFA" w:rsidP="00273BFA">
      <w:pPr>
        <w:pStyle w:val="NICEnormal"/>
        <w:spacing w:after="0" w:line="240" w:lineRule="auto"/>
        <w:ind w:left="2160" w:hanging="2160"/>
        <w:rPr>
          <w:sz w:val="22"/>
          <w:szCs w:val="22"/>
        </w:rPr>
      </w:pPr>
      <w:r w:rsidRPr="00273BFA">
        <w:rPr>
          <w:sz w:val="22"/>
          <w:szCs w:val="22"/>
        </w:rPr>
        <w:t>Lynn</w:t>
      </w:r>
      <w:r>
        <w:rPr>
          <w:sz w:val="22"/>
          <w:szCs w:val="22"/>
        </w:rPr>
        <w:t>e</w:t>
      </w:r>
      <w:r w:rsidRPr="00273BFA">
        <w:rPr>
          <w:sz w:val="22"/>
          <w:szCs w:val="22"/>
        </w:rPr>
        <w:t xml:space="preserve"> Copp</w:t>
      </w:r>
      <w:r w:rsidRPr="00273BFA">
        <w:rPr>
          <w:sz w:val="22"/>
          <w:szCs w:val="22"/>
        </w:rPr>
        <w:tab/>
        <w:t>SCW Consultants (item 7)</w:t>
      </w:r>
    </w:p>
    <w:p w14:paraId="7E2F0A33" w14:textId="77777777" w:rsidR="00273BFA" w:rsidRDefault="00273BFA" w:rsidP="00E817AC">
      <w:pPr>
        <w:pStyle w:val="NICEnormal"/>
        <w:spacing w:after="0" w:line="240" w:lineRule="auto"/>
        <w:ind w:left="2160" w:hanging="2160"/>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34EB8696" w:rsidR="006F3BE2" w:rsidRPr="00E6613F" w:rsidRDefault="009B15E5" w:rsidP="00C50606">
      <w:pPr>
        <w:pStyle w:val="Numberedpara"/>
        <w:rPr>
          <w:color w:val="auto"/>
        </w:rPr>
      </w:pPr>
      <w:r>
        <w:rPr>
          <w:color w:val="auto"/>
        </w:rPr>
        <w:t>A</w:t>
      </w:r>
      <w:r w:rsidR="00731C38" w:rsidRPr="00E6613F">
        <w:rPr>
          <w:color w:val="auto"/>
        </w:rPr>
        <w:t>pologies</w:t>
      </w:r>
      <w:r w:rsidR="00966E36">
        <w:rPr>
          <w:color w:val="auto"/>
        </w:rPr>
        <w:t xml:space="preserve"> </w:t>
      </w:r>
      <w:r>
        <w:rPr>
          <w:color w:val="auto"/>
        </w:rPr>
        <w:t>were received from David Coombs</w:t>
      </w:r>
      <w:r w:rsidR="00186E84">
        <w:rPr>
          <w:color w:val="auto"/>
        </w:rPr>
        <w:t>.</w:t>
      </w:r>
      <w:r w:rsidR="00731C38" w:rsidRPr="00E6613F">
        <w:rPr>
          <w:color w:val="auto"/>
        </w:rPr>
        <w:t xml:space="preserve"> </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77777777" w:rsidR="003D7EDA" w:rsidRDefault="006F3BE2" w:rsidP="00FF68A5">
      <w:pPr>
        <w:pStyle w:val="Numberedpara"/>
      </w:pPr>
      <w:r>
        <w:t>The previously declared interests were noted</w:t>
      </w:r>
      <w:r w:rsidR="003503B7">
        <w:t xml:space="preserve">. </w:t>
      </w:r>
    </w:p>
    <w:p w14:paraId="50E209A6" w14:textId="77777777" w:rsidR="00866A01" w:rsidRDefault="00866A01" w:rsidP="00C111CD">
      <w:pPr>
        <w:pStyle w:val="Numberedpara"/>
        <w:numPr>
          <w:ilvl w:val="0"/>
          <w:numId w:val="0"/>
        </w:numPr>
      </w:pPr>
    </w:p>
    <w:p w14:paraId="06B54F60" w14:textId="2DCDEC75" w:rsidR="00BE6ADF" w:rsidRDefault="00BE6ADF" w:rsidP="006F3BE2">
      <w:pPr>
        <w:pStyle w:val="Heading2"/>
      </w:pPr>
      <w:r>
        <w:t>Organisational design engagement update (item 3)</w:t>
      </w:r>
    </w:p>
    <w:p w14:paraId="4FF512A7" w14:textId="07D97BD2" w:rsidR="00BE6ADF" w:rsidRDefault="00BE6ADF" w:rsidP="00BE6ADF">
      <w:pPr>
        <w:pStyle w:val="Paragraph"/>
        <w:numPr>
          <w:ilvl w:val="0"/>
          <w:numId w:val="0"/>
        </w:numPr>
      </w:pPr>
    </w:p>
    <w:p w14:paraId="3D6FD106" w14:textId="796FCF94" w:rsidR="00BE6ADF" w:rsidRDefault="005F6B3D" w:rsidP="00F00ECF">
      <w:pPr>
        <w:pStyle w:val="Numberedpara"/>
        <w:spacing w:after="240"/>
        <w:ind w:left="357" w:hanging="357"/>
      </w:pPr>
      <w:r>
        <w:t xml:space="preserve">Lynne Copp joined the meeting to </w:t>
      </w:r>
      <w:r w:rsidR="00B8122C">
        <w:t>giv</w:t>
      </w:r>
      <w:r>
        <w:t xml:space="preserve">e a progress update on SCW’s </w:t>
      </w:r>
      <w:r w:rsidR="00B8122C">
        <w:t xml:space="preserve">work.  </w:t>
      </w:r>
      <w:r w:rsidR="009571A3">
        <w:t xml:space="preserve">ET reviewed the top 6 ranked design criteria which had been produced following </w:t>
      </w:r>
      <w:r w:rsidR="00B8122C">
        <w:t xml:space="preserve">analysis of </w:t>
      </w:r>
      <w:r w:rsidR="009571A3">
        <w:t xml:space="preserve">ET’s </w:t>
      </w:r>
      <w:r w:rsidR="00B8122C">
        <w:t xml:space="preserve">survey </w:t>
      </w:r>
      <w:r w:rsidR="009571A3">
        <w:t xml:space="preserve">feedback.  Lynne </w:t>
      </w:r>
      <w:r w:rsidR="00B8122C">
        <w:t xml:space="preserve">raised a question </w:t>
      </w:r>
      <w:r w:rsidR="009571A3">
        <w:t xml:space="preserve">about </w:t>
      </w:r>
      <w:r w:rsidR="00B8122C">
        <w:t xml:space="preserve">the </w:t>
      </w:r>
      <w:r w:rsidR="00F00ECF">
        <w:t>absence</w:t>
      </w:r>
      <w:r w:rsidR="00B8122C">
        <w:t xml:space="preserve"> of </w:t>
      </w:r>
      <w:r w:rsidR="00F00ECF">
        <w:t>‘</w:t>
      </w:r>
      <w:r w:rsidR="00B8122C">
        <w:t>innovation</w:t>
      </w:r>
      <w:r w:rsidR="00F00ECF">
        <w:t xml:space="preserve"> and creativity’</w:t>
      </w:r>
      <w:r w:rsidR="00B8122C">
        <w:t xml:space="preserve">. </w:t>
      </w:r>
      <w:r w:rsidR="00F00ECF">
        <w:t xml:space="preserve"> Innovation had not been ranked highly by ET </w:t>
      </w:r>
      <w:r w:rsidR="009571A3">
        <w:t xml:space="preserve">in the survey </w:t>
      </w:r>
      <w:r w:rsidR="00F00ECF">
        <w:t xml:space="preserve">but there was </w:t>
      </w:r>
      <w:r w:rsidR="001F4F0C">
        <w:t xml:space="preserve">a </w:t>
      </w:r>
      <w:r w:rsidR="00F00ECF">
        <w:t xml:space="preserve">consensus that it </w:t>
      </w:r>
      <w:r w:rsidR="00D747C1">
        <w:t xml:space="preserve">was important and </w:t>
      </w:r>
      <w:r w:rsidR="00F00ECF">
        <w:t xml:space="preserve">should be included.  Lynne </w:t>
      </w:r>
      <w:r w:rsidR="009571A3">
        <w:t>agre</w:t>
      </w:r>
      <w:r w:rsidR="00F00ECF">
        <w:t xml:space="preserve">ed </w:t>
      </w:r>
      <w:r w:rsidR="009571A3">
        <w:t xml:space="preserve">to look at </w:t>
      </w:r>
      <w:r w:rsidR="00F00ECF">
        <w:t xml:space="preserve">building </w:t>
      </w:r>
      <w:r w:rsidR="003C06E6">
        <w:t xml:space="preserve">a theme of </w:t>
      </w:r>
      <w:r w:rsidR="009571A3">
        <w:t>‘innovation’ into all six criteria</w:t>
      </w:r>
      <w:r w:rsidR="001F4F0C">
        <w:t xml:space="preserve"> rather than have it as a standalone</w:t>
      </w:r>
      <w:r w:rsidR="009571A3">
        <w:t xml:space="preserve">, and also to review the use of </w:t>
      </w:r>
      <w:r w:rsidR="00201EAB">
        <w:t>‘</w:t>
      </w:r>
      <w:r w:rsidR="009571A3">
        <w:t>customer</w:t>
      </w:r>
      <w:r w:rsidR="00201EAB">
        <w:t>’</w:t>
      </w:r>
      <w:r w:rsidR="009571A3">
        <w:t xml:space="preserve"> </w:t>
      </w:r>
      <w:r w:rsidR="00201EAB">
        <w:t>as opposed to ‘</w:t>
      </w:r>
      <w:r w:rsidR="009571A3">
        <w:t>stakeholder</w:t>
      </w:r>
      <w:r w:rsidR="00201EAB">
        <w:t>’, which have different meanings for NICE</w:t>
      </w:r>
      <w:r w:rsidR="009571A3">
        <w:t xml:space="preserve">.  </w:t>
      </w:r>
      <w:r w:rsidR="00201EAB">
        <w:t>It was agreed that a</w:t>
      </w:r>
      <w:r w:rsidR="009571A3">
        <w:t xml:space="preserve"> final version would be circulated </w:t>
      </w:r>
      <w:r w:rsidR="00DB273D">
        <w:t xml:space="preserve">to ET for sign off which will </w:t>
      </w:r>
      <w:r w:rsidR="00201EAB">
        <w:t xml:space="preserve">then </w:t>
      </w:r>
      <w:r w:rsidR="00DB273D">
        <w:t>allow SCW to move to the next stage of suggesting organisations for benchmarking against.</w:t>
      </w:r>
    </w:p>
    <w:p w14:paraId="23CBEED1" w14:textId="68F3E647" w:rsidR="009571A3" w:rsidRPr="009571A3" w:rsidRDefault="009571A3" w:rsidP="009571A3">
      <w:pPr>
        <w:pStyle w:val="Numberedpara"/>
        <w:numPr>
          <w:ilvl w:val="0"/>
          <w:numId w:val="0"/>
        </w:numPr>
        <w:spacing w:after="240"/>
        <w:ind w:left="357"/>
        <w:jc w:val="right"/>
        <w:rPr>
          <w:b/>
          <w:bCs/>
        </w:rPr>
      </w:pPr>
      <w:r w:rsidRPr="009571A3">
        <w:rPr>
          <w:b/>
          <w:bCs/>
        </w:rPr>
        <w:t>ACTION: LC</w:t>
      </w:r>
    </w:p>
    <w:p w14:paraId="7174C084" w14:textId="0A23BB20" w:rsidR="00F00ECF" w:rsidRDefault="00F00ECF" w:rsidP="00C9621E">
      <w:pPr>
        <w:pStyle w:val="Numberedpara"/>
        <w:spacing w:after="240"/>
        <w:ind w:left="357" w:hanging="357"/>
      </w:pPr>
      <w:r>
        <w:t xml:space="preserve">Lynne </w:t>
      </w:r>
      <w:r w:rsidR="00D747C1">
        <w:t>discuss</w:t>
      </w:r>
      <w:r>
        <w:t xml:space="preserve">ed the importance of capturing </w:t>
      </w:r>
      <w:r w:rsidR="00C57C66">
        <w:t xml:space="preserve">feedback from </w:t>
      </w:r>
      <w:r>
        <w:t xml:space="preserve">the wider employee </w:t>
      </w:r>
      <w:r w:rsidR="00C57C66">
        <w:t xml:space="preserve">base </w:t>
      </w:r>
      <w:r>
        <w:t>and advised th</w:t>
      </w:r>
      <w:r w:rsidR="003C06E6">
        <w:t>at</w:t>
      </w:r>
      <w:r>
        <w:t xml:space="preserve"> SCW w</w:t>
      </w:r>
      <w:r w:rsidR="00743A58">
        <w:t>as</w:t>
      </w:r>
      <w:r>
        <w:t xml:space="preserve"> intending to carry out two further focus groups and </w:t>
      </w:r>
      <w:r w:rsidR="00C9621E">
        <w:t xml:space="preserve">to </w:t>
      </w:r>
      <w:r>
        <w:t>circulate a survey to all staff.</w:t>
      </w:r>
      <w:r w:rsidR="00C9621E">
        <w:t xml:space="preserve">  In </w:t>
      </w:r>
      <w:r w:rsidR="008D20CB">
        <w:t>view</w:t>
      </w:r>
      <w:r w:rsidR="00C9621E">
        <w:t xml:space="preserve"> of the recently published </w:t>
      </w:r>
      <w:r w:rsidR="008D20CB">
        <w:t>pulse</w:t>
      </w:r>
      <w:r w:rsidR="00C9621E">
        <w:t xml:space="preserve"> survey, it was agreed that </w:t>
      </w:r>
      <w:r w:rsidR="00F47C58">
        <w:t xml:space="preserve">Lynne </w:t>
      </w:r>
      <w:r w:rsidR="00D747C1">
        <w:t>be asked to</w:t>
      </w:r>
      <w:r w:rsidR="00F47C58">
        <w:t xml:space="preserve"> share SCW</w:t>
      </w:r>
      <w:r w:rsidR="00A2212A">
        <w:t>’s</w:t>
      </w:r>
      <w:r w:rsidR="00F47C58">
        <w:t xml:space="preserve"> survey with </w:t>
      </w:r>
      <w:r w:rsidR="00C9621E">
        <w:t xml:space="preserve">Jane Gizbert </w:t>
      </w:r>
      <w:r w:rsidR="00A2212A">
        <w:t xml:space="preserve">and Jennifer Howells </w:t>
      </w:r>
      <w:r w:rsidR="00C9621E">
        <w:t>to avoid duplication</w:t>
      </w:r>
      <w:r w:rsidR="00A2212A">
        <w:t xml:space="preserve"> of questions and to sense check the language</w:t>
      </w:r>
      <w:r w:rsidR="00C9621E">
        <w:t>.</w:t>
      </w:r>
      <w:r w:rsidR="00F47C58">
        <w:t xml:space="preserve">  It was agreed to split the staff survey into 3 categories based on role type (senior staff above </w:t>
      </w:r>
      <w:r w:rsidR="00F47C58">
        <w:lastRenderedPageBreak/>
        <w:t xml:space="preserve">AD level, technical staff and below AD level who did not consider their role to be technical).  It was agreed that the HR Team be asked to provide </w:t>
      </w:r>
      <w:r w:rsidR="00A2212A">
        <w:t xml:space="preserve">SCW with details of </w:t>
      </w:r>
      <w:r w:rsidR="00D747C1">
        <w:t xml:space="preserve">job </w:t>
      </w:r>
      <w:r w:rsidR="00A2212A">
        <w:t>roles by category.</w:t>
      </w:r>
      <w:r w:rsidR="0095236B">
        <w:t xml:space="preserve">  The staff survey responses will go back to SCW.</w:t>
      </w:r>
    </w:p>
    <w:p w14:paraId="55DA766D" w14:textId="4832A95E" w:rsidR="00A2212A" w:rsidRPr="00A2212A" w:rsidRDefault="00A2212A" w:rsidP="00A2212A">
      <w:pPr>
        <w:pStyle w:val="Numberedpara"/>
        <w:numPr>
          <w:ilvl w:val="0"/>
          <w:numId w:val="0"/>
        </w:numPr>
        <w:spacing w:after="240"/>
        <w:ind w:left="357"/>
        <w:jc w:val="right"/>
        <w:rPr>
          <w:b/>
          <w:bCs/>
        </w:rPr>
      </w:pPr>
      <w:r w:rsidRPr="00A2212A">
        <w:rPr>
          <w:b/>
          <w:bCs/>
        </w:rPr>
        <w:t>ACTION: JG/JH</w:t>
      </w:r>
    </w:p>
    <w:p w14:paraId="24AFD572" w14:textId="3F0B1FE1" w:rsidR="00A2212A" w:rsidRDefault="0095236B" w:rsidP="00C9621E">
      <w:pPr>
        <w:pStyle w:val="Numberedpara"/>
        <w:spacing w:after="240"/>
        <w:ind w:left="357" w:hanging="357"/>
      </w:pPr>
      <w:r>
        <w:t xml:space="preserve">Rebecca Threlfall queried whether the various C-19 workstream groups looking at future </w:t>
      </w:r>
      <w:r w:rsidR="00D747C1">
        <w:t xml:space="preserve">working practices and </w:t>
      </w:r>
      <w:r>
        <w:t xml:space="preserve">principles, should be </w:t>
      </w:r>
      <w:r w:rsidR="00D747C1">
        <w:t xml:space="preserve">more </w:t>
      </w:r>
      <w:r>
        <w:t xml:space="preserve">sighted on SCW’s work as there </w:t>
      </w:r>
      <w:r w:rsidR="00D747C1">
        <w:t>could potentially be</w:t>
      </w:r>
      <w:r>
        <w:t xml:space="preserve"> overlap of their remit and what SCW are seeking feedback on.  It was agreed that the Comms Team be asked to inform staff of the SCW survey to ensure everyone is aware of </w:t>
      </w:r>
      <w:r w:rsidR="005A7664">
        <w:t xml:space="preserve">what is coming out and why.  Meindert also asked whether SCW could provide a summary of their progress for ET members to share with their senior teams.  Lynne agreed to provide ET with a copy of </w:t>
      </w:r>
      <w:r w:rsidR="00D747C1">
        <w:t>SCW’s</w:t>
      </w:r>
      <w:r w:rsidR="005A7664">
        <w:t xml:space="preserve"> project highlight report.</w:t>
      </w:r>
    </w:p>
    <w:p w14:paraId="3616DEA8" w14:textId="1C0C1D7E" w:rsidR="00C9621E" w:rsidRPr="00C9621E" w:rsidRDefault="00C9621E" w:rsidP="00C9621E">
      <w:pPr>
        <w:pStyle w:val="Numberedpara"/>
        <w:numPr>
          <w:ilvl w:val="0"/>
          <w:numId w:val="0"/>
        </w:numPr>
        <w:ind w:left="360"/>
        <w:jc w:val="right"/>
        <w:rPr>
          <w:b/>
          <w:bCs/>
        </w:rPr>
      </w:pPr>
      <w:r w:rsidRPr="00C9621E">
        <w:rPr>
          <w:b/>
          <w:bCs/>
        </w:rPr>
        <w:t xml:space="preserve">ACTION: </w:t>
      </w:r>
      <w:r w:rsidR="0095236B">
        <w:rPr>
          <w:b/>
          <w:bCs/>
        </w:rPr>
        <w:t>JG</w:t>
      </w:r>
      <w:r w:rsidR="005A7664">
        <w:rPr>
          <w:b/>
          <w:bCs/>
        </w:rPr>
        <w:t>/LC</w:t>
      </w:r>
    </w:p>
    <w:p w14:paraId="082007AD" w14:textId="77777777" w:rsidR="00BE6ADF" w:rsidRPr="00BE6ADF" w:rsidRDefault="00BE6ADF" w:rsidP="00BE6ADF">
      <w:pPr>
        <w:pStyle w:val="Paragraph"/>
        <w:numPr>
          <w:ilvl w:val="0"/>
          <w:numId w:val="0"/>
        </w:numPr>
      </w:pPr>
    </w:p>
    <w:p w14:paraId="02157615" w14:textId="4259B659" w:rsidR="006F3BE2" w:rsidRDefault="006F3BE2" w:rsidP="006F3BE2">
      <w:pPr>
        <w:pStyle w:val="Heading2"/>
      </w:pPr>
      <w:r>
        <w:t xml:space="preserve">Notes of the previous meeting (item </w:t>
      </w:r>
      <w:r w:rsidR="00BE6ADF">
        <w:t>4</w:t>
      </w:r>
      <w:r>
        <w:t>)</w:t>
      </w:r>
    </w:p>
    <w:p w14:paraId="0C5FC412" w14:textId="77777777" w:rsidR="006F3BE2" w:rsidRDefault="006F3BE2" w:rsidP="00FF68A5">
      <w:pPr>
        <w:pStyle w:val="Numberedpara"/>
        <w:numPr>
          <w:ilvl w:val="0"/>
          <w:numId w:val="0"/>
        </w:numPr>
        <w:ind w:left="360"/>
      </w:pPr>
    </w:p>
    <w:p w14:paraId="0E130F56" w14:textId="58913D08" w:rsidR="0043491E" w:rsidRPr="00E6613F" w:rsidRDefault="006F3BE2" w:rsidP="00826DF2">
      <w:pPr>
        <w:pStyle w:val="Numberedpara"/>
        <w:rPr>
          <w:color w:val="auto"/>
        </w:rPr>
      </w:pPr>
      <w:r>
        <w:t xml:space="preserve">The minutes of the meeting held on </w:t>
      </w:r>
      <w:r w:rsidR="00273BFA">
        <w:t>1</w:t>
      </w:r>
      <w:r w:rsidR="00554B47">
        <w:t>9</w:t>
      </w:r>
      <w:r w:rsidR="00EC5281">
        <w:t xml:space="preserve"> January 2021 </w:t>
      </w:r>
      <w:r>
        <w:t>were ag</w:t>
      </w:r>
      <w:r w:rsidR="006037B0">
        <w:t>reed as a correct record.</w:t>
      </w:r>
    </w:p>
    <w:p w14:paraId="4D3B8B6A" w14:textId="77777777" w:rsidR="00FF68A5" w:rsidRDefault="00FF68A5" w:rsidP="00FF68A5">
      <w:pPr>
        <w:pStyle w:val="Numberedpara"/>
        <w:numPr>
          <w:ilvl w:val="0"/>
          <w:numId w:val="0"/>
        </w:numPr>
        <w:ind w:left="357"/>
      </w:pPr>
    </w:p>
    <w:p w14:paraId="485E367E" w14:textId="16A7E71B" w:rsidR="006F3BE2" w:rsidRDefault="006F3BE2" w:rsidP="003503B7">
      <w:pPr>
        <w:pStyle w:val="Heading2"/>
      </w:pPr>
      <w:r>
        <w:t xml:space="preserve">Matters arising (item </w:t>
      </w:r>
      <w:r w:rsidR="00BE6ADF">
        <w:t>5</w:t>
      </w:r>
      <w:r>
        <w:t>)</w:t>
      </w:r>
    </w:p>
    <w:p w14:paraId="615D4ED2" w14:textId="77777777" w:rsidR="006F3BE2" w:rsidRDefault="006F3BE2" w:rsidP="00FF68A5">
      <w:pPr>
        <w:pStyle w:val="Numberedpara"/>
        <w:numPr>
          <w:ilvl w:val="0"/>
          <w:numId w:val="0"/>
        </w:numPr>
        <w:ind w:left="360"/>
      </w:pPr>
    </w:p>
    <w:p w14:paraId="0229DA7E" w14:textId="47034995" w:rsidR="00273BFA" w:rsidRDefault="006F3BE2" w:rsidP="00273BFA">
      <w:pPr>
        <w:pStyle w:val="Numberedpara"/>
        <w:spacing w:after="240"/>
      </w:pPr>
      <w:r>
        <w:t xml:space="preserve">The actions from the meeting held on </w:t>
      </w:r>
      <w:r w:rsidR="00273BFA">
        <w:t>1</w:t>
      </w:r>
      <w:r w:rsidR="001860C4">
        <w:t>9</w:t>
      </w:r>
      <w:r w:rsidR="009D68B8">
        <w:t xml:space="preserve"> January 2021 </w:t>
      </w:r>
      <w:r>
        <w:t>were noted as complete or in hand.</w:t>
      </w:r>
    </w:p>
    <w:p w14:paraId="2D7E70C0" w14:textId="0C9C49FE" w:rsidR="00182F83" w:rsidRDefault="00E463F4" w:rsidP="00273BFA">
      <w:pPr>
        <w:pStyle w:val="Numberedpara"/>
        <w:spacing w:after="240"/>
      </w:pPr>
      <w:r>
        <w:t xml:space="preserve">Jennifer Howells reported that DHSC had </w:t>
      </w:r>
      <w:r w:rsidR="00B86EA8">
        <w:t xml:space="preserve">not </w:t>
      </w:r>
      <w:r>
        <w:t xml:space="preserve">provided a template or a brief for the additional information they have requested to support funding </w:t>
      </w:r>
      <w:r w:rsidR="00B86EA8">
        <w:t>bid</w:t>
      </w:r>
      <w:r>
        <w:t>s for 2021/22 but Jennifer was planning to submit further details this week.</w:t>
      </w:r>
    </w:p>
    <w:p w14:paraId="3F754851" w14:textId="62CF5316" w:rsidR="00E463F4" w:rsidRDefault="00E463F4" w:rsidP="00273BFA">
      <w:pPr>
        <w:pStyle w:val="Numberedpara"/>
        <w:spacing w:after="240"/>
      </w:pPr>
      <w:r>
        <w:t>ET discussed whether there were other engagement channels through which to ‘lobby’ for support of NICE’s ambitions when meeting with external partners.  It was agreed that Jane Gizbert and Rebecca Threlfall be asked to agree a process for sharing all ET and the chairman’s engagements, in order to share opportunities for influencing discussions and promoting NICE.</w:t>
      </w:r>
    </w:p>
    <w:p w14:paraId="1BDF0D01" w14:textId="36EF8BF3" w:rsidR="00E463F4" w:rsidRPr="00E463F4" w:rsidRDefault="00E463F4" w:rsidP="00E463F4">
      <w:pPr>
        <w:pStyle w:val="Numberedpara"/>
        <w:numPr>
          <w:ilvl w:val="0"/>
          <w:numId w:val="0"/>
        </w:numPr>
        <w:spacing w:after="240"/>
        <w:ind w:left="360"/>
        <w:jc w:val="right"/>
        <w:rPr>
          <w:b/>
          <w:bCs/>
        </w:rPr>
      </w:pPr>
      <w:r w:rsidRPr="00E463F4">
        <w:rPr>
          <w:b/>
          <w:bCs/>
        </w:rPr>
        <w:t>ACTION: JG/RT</w:t>
      </w:r>
    </w:p>
    <w:p w14:paraId="210D2EE7" w14:textId="75EFD1D2" w:rsidR="00182F83" w:rsidRDefault="005F6B3D" w:rsidP="005F6B3D">
      <w:pPr>
        <w:pStyle w:val="Heading2"/>
      </w:pPr>
      <w:r>
        <w:t>January Public Board meeting (item 6)</w:t>
      </w:r>
    </w:p>
    <w:p w14:paraId="56132D7C" w14:textId="77777777" w:rsidR="00182F83" w:rsidRDefault="00182F83" w:rsidP="00182F83">
      <w:pPr>
        <w:pStyle w:val="SMTActions"/>
      </w:pPr>
    </w:p>
    <w:p w14:paraId="4CB955EC" w14:textId="2F490827" w:rsidR="00023CFF" w:rsidRDefault="00E04712" w:rsidP="00E04712">
      <w:pPr>
        <w:pStyle w:val="Numberedpara"/>
        <w:spacing w:after="240"/>
      </w:pPr>
      <w:r>
        <w:t>ET reviewed arrangements for the 27 January public board meeting.  Gill advised that she has been discussing progress with the strategic plan with Tim Irish and he is particularly interested in progress with digital technologies</w:t>
      </w:r>
      <w:r w:rsidR="00713C87">
        <w:t>, which he may raise.  David Coombs agreed to circulate the list of board attendees for the January meeting and to confirm with the chairman whether she would be presenting the paper on the Remuneration Committee ToR.</w:t>
      </w:r>
    </w:p>
    <w:p w14:paraId="20309BEA" w14:textId="77777777" w:rsidR="00713C87" w:rsidRPr="00713C87" w:rsidRDefault="00713C87" w:rsidP="00713C87">
      <w:pPr>
        <w:pStyle w:val="Numberedpara"/>
        <w:numPr>
          <w:ilvl w:val="0"/>
          <w:numId w:val="0"/>
        </w:numPr>
        <w:spacing w:after="240"/>
        <w:ind w:left="357"/>
        <w:jc w:val="right"/>
        <w:rPr>
          <w:b/>
          <w:bCs/>
        </w:rPr>
      </w:pPr>
      <w:r w:rsidRPr="00713C87">
        <w:rPr>
          <w:b/>
          <w:bCs/>
        </w:rPr>
        <w:t>ACTION: DC</w:t>
      </w:r>
    </w:p>
    <w:p w14:paraId="4D57DC1A" w14:textId="26FC8D5B" w:rsidR="00ED099F" w:rsidRDefault="00713C87" w:rsidP="00F308CD">
      <w:pPr>
        <w:pStyle w:val="Numberedpara"/>
        <w:spacing w:after="240"/>
      </w:pPr>
      <w:r>
        <w:t>It was noted that a</w:t>
      </w:r>
      <w:r w:rsidR="005E7A42">
        <w:t xml:space="preserve"> paper</w:t>
      </w:r>
      <w:r w:rsidR="00E04712">
        <w:t xml:space="preserve"> on the lessons learned from moving to virtual committee meetings, including the impact on </w:t>
      </w:r>
      <w:r w:rsidR="005E7A42">
        <w:t xml:space="preserve">the </w:t>
      </w:r>
      <w:r w:rsidR="00E04712">
        <w:t>productivity</w:t>
      </w:r>
      <w:r w:rsidR="005E7A42">
        <w:t xml:space="preserve"> of meetings</w:t>
      </w:r>
      <w:r w:rsidR="00E04712">
        <w:t xml:space="preserve">, was planned for the February board but </w:t>
      </w:r>
      <w:r w:rsidR="005E7A42">
        <w:t xml:space="preserve">may be </w:t>
      </w:r>
      <w:r w:rsidR="00E04712">
        <w:t>deferred to March</w:t>
      </w:r>
      <w:r w:rsidR="005E7A42">
        <w:t>.</w:t>
      </w:r>
    </w:p>
    <w:p w14:paraId="732F5465" w14:textId="70ABF571" w:rsidR="00ED099F" w:rsidRDefault="00ED099F" w:rsidP="00F308CD">
      <w:pPr>
        <w:pStyle w:val="Numberedpara"/>
        <w:spacing w:after="240"/>
      </w:pPr>
      <w:r>
        <w:t xml:space="preserve">Gill Leng advised that the chairman had </w:t>
      </w:r>
      <w:r w:rsidR="001D2A63">
        <w:t>requeste</w:t>
      </w:r>
      <w:r>
        <w:t xml:space="preserve">d that Director’s board papers should be limited to five pages maximum for the March meeting onwards, with more focus on </w:t>
      </w:r>
      <w:r w:rsidR="001D2A63">
        <w:t xml:space="preserve">specific </w:t>
      </w:r>
      <w:r>
        <w:t xml:space="preserve">deliverables against the business plan </w:t>
      </w:r>
      <w:r w:rsidR="001D2A63">
        <w:t xml:space="preserve">and </w:t>
      </w:r>
      <w:r>
        <w:t xml:space="preserve">key </w:t>
      </w:r>
      <w:r w:rsidR="001D2A63">
        <w:t>metric</w:t>
      </w:r>
      <w:r>
        <w:t>s.</w:t>
      </w:r>
      <w:r w:rsidR="001D2A63">
        <w:t xml:space="preserve">  Meindert Boysen added that the senior teams like the opportunity to share with the board updates on their key </w:t>
      </w:r>
      <w:r w:rsidR="001D2A63">
        <w:lastRenderedPageBreak/>
        <w:t>projects but if the board is to be focussed solely on the strategic objectives, this will not happen.  Gill commented that in previous years</w:t>
      </w:r>
      <w:r w:rsidR="008754A8">
        <w:t xml:space="preserve"> agendas became too full and</w:t>
      </w:r>
      <w:r w:rsidR="001D2A63">
        <w:t xml:space="preserve"> the director’s report</w:t>
      </w:r>
      <w:r w:rsidR="005E7A42">
        <w:t>s</w:t>
      </w:r>
      <w:r w:rsidR="001D2A63">
        <w:t xml:space="preserve"> </w:t>
      </w:r>
      <w:r w:rsidR="008754A8">
        <w:t xml:space="preserve">were </w:t>
      </w:r>
      <w:r w:rsidR="001D2A63">
        <w:t>overlo</w:t>
      </w:r>
      <w:r w:rsidR="008754A8">
        <w:t>ok</w:t>
      </w:r>
      <w:r w:rsidR="001D2A63">
        <w:t>ed</w:t>
      </w:r>
      <w:r w:rsidR="00713C87">
        <w:t xml:space="preserve">; </w:t>
      </w:r>
      <w:r w:rsidR="001D2A63">
        <w:t>therefore</w:t>
      </w:r>
      <w:r w:rsidR="00991280">
        <w:t>,</w:t>
      </w:r>
      <w:r w:rsidR="001D2A63">
        <w:t xml:space="preserve"> a balance </w:t>
      </w:r>
      <w:r w:rsidR="008754A8">
        <w:t xml:space="preserve">was </w:t>
      </w:r>
      <w:r w:rsidR="001D2A63">
        <w:t>needed</w:t>
      </w:r>
      <w:r w:rsidR="008754A8">
        <w:t>.</w:t>
      </w:r>
      <w:r w:rsidR="001D2A63">
        <w:t xml:space="preserve">  It was agreed t</w:t>
      </w:r>
      <w:r w:rsidR="008754A8">
        <w:t>o have</w:t>
      </w:r>
      <w:r w:rsidR="001D2A63">
        <w:t xml:space="preserve"> a further discussion of a </w:t>
      </w:r>
      <w:r w:rsidR="008754A8">
        <w:t>‘</w:t>
      </w:r>
      <w:r w:rsidR="001D2A63">
        <w:t>core content</w:t>
      </w:r>
      <w:r w:rsidR="008754A8">
        <w:t>’</w:t>
      </w:r>
      <w:r w:rsidR="001D2A63">
        <w:t xml:space="preserve"> for the director’s reports to the board</w:t>
      </w:r>
      <w:r w:rsidR="008754A8">
        <w:t xml:space="preserve"> with a focus on the key deliverables.</w:t>
      </w:r>
    </w:p>
    <w:p w14:paraId="2800D9A9" w14:textId="16B0D33B" w:rsidR="001D2A63" w:rsidRPr="001D2A63" w:rsidRDefault="001D2A63" w:rsidP="001D2A63">
      <w:pPr>
        <w:pStyle w:val="Numberedpara"/>
        <w:numPr>
          <w:ilvl w:val="0"/>
          <w:numId w:val="0"/>
        </w:numPr>
        <w:spacing w:after="240"/>
        <w:ind w:left="360"/>
        <w:jc w:val="right"/>
        <w:rPr>
          <w:b/>
          <w:bCs/>
        </w:rPr>
      </w:pPr>
      <w:r w:rsidRPr="001D2A63">
        <w:rPr>
          <w:b/>
          <w:bCs/>
        </w:rPr>
        <w:t>ACTION: GL/DC</w:t>
      </w:r>
    </w:p>
    <w:p w14:paraId="35535398" w14:textId="134FED91" w:rsidR="00944699" w:rsidRDefault="00310E90" w:rsidP="00273BFA">
      <w:pPr>
        <w:pStyle w:val="Heading2"/>
      </w:pPr>
      <w:r>
        <w:t>Hot topic</w:t>
      </w:r>
      <w:r w:rsidR="00D74E6F">
        <w:t>s</w:t>
      </w:r>
      <w:r w:rsidR="003F00E3">
        <w:t xml:space="preserve"> (item </w:t>
      </w:r>
      <w:r w:rsidR="005F6B3D">
        <w:t>7</w:t>
      </w:r>
      <w:r w:rsidR="003F00E3">
        <w:t>)</w:t>
      </w:r>
    </w:p>
    <w:p w14:paraId="704D67A5" w14:textId="033ADE25" w:rsidR="003F00E3" w:rsidRDefault="003F00E3" w:rsidP="003F00E3">
      <w:pPr>
        <w:pStyle w:val="Paragraph"/>
        <w:numPr>
          <w:ilvl w:val="0"/>
          <w:numId w:val="0"/>
        </w:numPr>
        <w:ind w:left="720" w:hanging="360"/>
      </w:pPr>
    </w:p>
    <w:p w14:paraId="17C78EB2" w14:textId="3A419148" w:rsidR="001E3E2A" w:rsidRDefault="00442CA5" w:rsidP="00442CA5">
      <w:pPr>
        <w:pStyle w:val="Numberedpara"/>
      </w:pPr>
      <w:r>
        <w:t>No</w:t>
      </w:r>
      <w:r w:rsidR="00C80ACD">
        <w:t xml:space="preserve"> items</w:t>
      </w:r>
      <w:r>
        <w:t xml:space="preserve"> raised.</w:t>
      </w:r>
    </w:p>
    <w:p w14:paraId="30E31E2B" w14:textId="7257B8BB" w:rsidR="00273BFA" w:rsidRDefault="00273BFA" w:rsidP="003F00E3">
      <w:pPr>
        <w:pStyle w:val="Paragraph"/>
        <w:numPr>
          <w:ilvl w:val="0"/>
          <w:numId w:val="0"/>
        </w:numPr>
        <w:ind w:left="720" w:hanging="360"/>
      </w:pPr>
    </w:p>
    <w:p w14:paraId="2A56D37F" w14:textId="0821D221" w:rsidR="00273BFA" w:rsidRDefault="005F6B3D" w:rsidP="00273BFA">
      <w:pPr>
        <w:pStyle w:val="Heading2"/>
      </w:pPr>
      <w:r>
        <w:t xml:space="preserve">Gold group terms of reference </w:t>
      </w:r>
      <w:r w:rsidR="00273BFA">
        <w:t xml:space="preserve">(item </w:t>
      </w:r>
      <w:r>
        <w:t>8)</w:t>
      </w:r>
    </w:p>
    <w:p w14:paraId="3DE3EEE2" w14:textId="32A520B9" w:rsidR="00273BFA" w:rsidRDefault="00273BFA" w:rsidP="009B417F"/>
    <w:p w14:paraId="44533DFE" w14:textId="77777777" w:rsidR="0035023C" w:rsidRDefault="00700C2C" w:rsidP="00901C8C">
      <w:pPr>
        <w:pStyle w:val="Numberedpara"/>
      </w:pPr>
      <w:r>
        <w:t xml:space="preserve">ET reviewed </w:t>
      </w:r>
      <w:r w:rsidR="00C80ACD">
        <w:t xml:space="preserve">an updated draft of the terms of reference and agreed </w:t>
      </w:r>
      <w:r w:rsidR="0035023C">
        <w:t>further amendments to:</w:t>
      </w:r>
    </w:p>
    <w:p w14:paraId="05B51C1B" w14:textId="26859DF7" w:rsidR="00700C2C" w:rsidRDefault="0035023C" w:rsidP="0035023C">
      <w:pPr>
        <w:pStyle w:val="Numberedpara"/>
        <w:numPr>
          <w:ilvl w:val="0"/>
          <w:numId w:val="17"/>
        </w:numPr>
      </w:pPr>
      <w:r>
        <w:t xml:space="preserve">strengthen </w:t>
      </w:r>
      <w:proofErr w:type="gramStart"/>
      <w:r>
        <w:t>Gold</w:t>
      </w:r>
      <w:proofErr w:type="gramEnd"/>
      <w:r>
        <w:t xml:space="preserve"> group’s role in </w:t>
      </w:r>
      <w:r w:rsidRPr="004F5DAC">
        <w:t xml:space="preserve">leading </w:t>
      </w:r>
      <w:r w:rsidR="00183981" w:rsidRPr="004F5DAC">
        <w:t>DR</w:t>
      </w:r>
      <w:r w:rsidR="00183981">
        <w:t>/</w:t>
      </w:r>
      <w:r>
        <w:t>BC plans rather than maintaining</w:t>
      </w:r>
    </w:p>
    <w:p w14:paraId="6AB4055D" w14:textId="07350F31" w:rsidR="0035023C" w:rsidRDefault="0035023C" w:rsidP="0035023C">
      <w:pPr>
        <w:pStyle w:val="Numberedpara"/>
        <w:numPr>
          <w:ilvl w:val="0"/>
          <w:numId w:val="17"/>
        </w:numPr>
      </w:pPr>
      <w:r>
        <w:t>Sit-rep to be presented to the C</w:t>
      </w:r>
      <w:r w:rsidR="00183981">
        <w:t xml:space="preserve">oronavirus </w:t>
      </w:r>
      <w:r>
        <w:t>R</w:t>
      </w:r>
      <w:r w:rsidR="00183981">
        <w:t xml:space="preserve">esponse </w:t>
      </w:r>
      <w:r>
        <w:t>G</w:t>
      </w:r>
      <w:r w:rsidR="00183981">
        <w:t>roup</w:t>
      </w:r>
      <w:r>
        <w:t xml:space="preserve"> rather than </w:t>
      </w:r>
      <w:proofErr w:type="gramStart"/>
      <w:r>
        <w:t>Gold</w:t>
      </w:r>
      <w:proofErr w:type="gramEnd"/>
      <w:r>
        <w:t xml:space="preserve"> group in future</w:t>
      </w:r>
    </w:p>
    <w:p w14:paraId="7F1394B4" w14:textId="7DA6523F" w:rsidR="0035023C" w:rsidRPr="00183981" w:rsidRDefault="00183981" w:rsidP="0035023C">
      <w:pPr>
        <w:pStyle w:val="Numberedpara"/>
        <w:numPr>
          <w:ilvl w:val="0"/>
          <w:numId w:val="17"/>
        </w:numPr>
      </w:pPr>
      <w:r>
        <w:t>a</w:t>
      </w:r>
      <w:r w:rsidR="0035023C" w:rsidRPr="00183981">
        <w:t xml:space="preserve">n additional aim for </w:t>
      </w:r>
      <w:proofErr w:type="gramStart"/>
      <w:r>
        <w:t>Gold</w:t>
      </w:r>
      <w:proofErr w:type="gramEnd"/>
      <w:r>
        <w:t xml:space="preserve"> group </w:t>
      </w:r>
      <w:r w:rsidR="0035023C" w:rsidRPr="00183981">
        <w:t xml:space="preserve">to </w:t>
      </w:r>
      <w:r>
        <w:t>agree how NICE will transition out of the acute COVID-19 phase into the recovery phase, with the Coronavirus Response Group providing the longer term operational guidance, with support from Workstreams 1 – 4.</w:t>
      </w:r>
    </w:p>
    <w:p w14:paraId="5C766674" w14:textId="77777777" w:rsidR="00700C2C" w:rsidRDefault="00700C2C" w:rsidP="00700C2C">
      <w:pPr>
        <w:pStyle w:val="ListParagraph"/>
      </w:pPr>
    </w:p>
    <w:p w14:paraId="620B1740" w14:textId="77777777" w:rsidR="008E0955" w:rsidRDefault="008E0955" w:rsidP="008E0955">
      <w:pPr>
        <w:pStyle w:val="SMTActions"/>
      </w:pPr>
      <w:r>
        <w:t>ACTION: ER</w:t>
      </w:r>
    </w:p>
    <w:p w14:paraId="6E43D24F" w14:textId="77777777" w:rsidR="008E0955" w:rsidRDefault="008E0955" w:rsidP="008E0955">
      <w:pPr>
        <w:pStyle w:val="Numberedpara"/>
        <w:numPr>
          <w:ilvl w:val="0"/>
          <w:numId w:val="0"/>
        </w:numPr>
        <w:ind w:left="360"/>
        <w:jc w:val="right"/>
      </w:pPr>
    </w:p>
    <w:p w14:paraId="544390CD" w14:textId="6B10016F" w:rsidR="00C21F41" w:rsidRDefault="00700C2C" w:rsidP="008E0955">
      <w:pPr>
        <w:pStyle w:val="Numberedpara"/>
      </w:pPr>
      <w:r>
        <w:t>It was agreed</w:t>
      </w:r>
      <w:r w:rsidR="0035023C">
        <w:t xml:space="preserve"> that </w:t>
      </w:r>
      <w:proofErr w:type="gramStart"/>
      <w:r w:rsidR="0035023C">
        <w:t>Gold</w:t>
      </w:r>
      <w:proofErr w:type="gramEnd"/>
      <w:r w:rsidR="0035023C">
        <w:t xml:space="preserve"> group </w:t>
      </w:r>
      <w:r w:rsidR="00183981">
        <w:t xml:space="preserve">has the </w:t>
      </w:r>
      <w:r w:rsidR="0035023C">
        <w:t xml:space="preserve">strategic </w:t>
      </w:r>
      <w:r w:rsidR="00183981">
        <w:t>decision making role</w:t>
      </w:r>
      <w:r w:rsidR="0035023C">
        <w:t xml:space="preserve"> with operational support </w:t>
      </w:r>
      <w:r w:rsidR="00183981">
        <w:t>from the</w:t>
      </w:r>
      <w:r w:rsidR="0035023C">
        <w:t xml:space="preserve"> CRG and the workstream task and finish groups.</w:t>
      </w:r>
      <w:r w:rsidR="008E0955">
        <w:t xml:space="preserve">  The </w:t>
      </w:r>
      <w:r w:rsidR="00C21F41">
        <w:t xml:space="preserve">weekly </w:t>
      </w:r>
      <w:proofErr w:type="gramStart"/>
      <w:r w:rsidR="00C21F41">
        <w:t>Gold</w:t>
      </w:r>
      <w:proofErr w:type="gramEnd"/>
      <w:r w:rsidR="00C21F41">
        <w:t xml:space="preserve"> meetings would be kept under review between now and March, but the </w:t>
      </w:r>
      <w:r w:rsidR="008E0955">
        <w:t xml:space="preserve">key was </w:t>
      </w:r>
      <w:r w:rsidR="00C21F41">
        <w:t xml:space="preserve">for the workstreams </w:t>
      </w:r>
      <w:r w:rsidR="008E0955">
        <w:t xml:space="preserve">to capture the lessons learned in responding to the acute phase </w:t>
      </w:r>
      <w:r w:rsidR="00713C87">
        <w:t xml:space="preserve">of the pandemic </w:t>
      </w:r>
      <w:r w:rsidR="008E0955">
        <w:t xml:space="preserve">and </w:t>
      </w:r>
      <w:r w:rsidR="00AE3E79">
        <w:t xml:space="preserve">be planning </w:t>
      </w:r>
      <w:r w:rsidR="008E0955">
        <w:t xml:space="preserve">future </w:t>
      </w:r>
      <w:r w:rsidR="00AE3E79">
        <w:t xml:space="preserve">working </w:t>
      </w:r>
      <w:r w:rsidR="00713C87">
        <w:t xml:space="preserve">arrangements </w:t>
      </w:r>
      <w:r w:rsidR="00AE3E79">
        <w:t>across</w:t>
      </w:r>
      <w:r w:rsidR="008E0955">
        <w:t xml:space="preserve"> </w:t>
      </w:r>
      <w:r w:rsidR="00C95330">
        <w:t xml:space="preserve">NICE in </w:t>
      </w:r>
      <w:r w:rsidR="008E0955">
        <w:t>the post-COVID environment.</w:t>
      </w:r>
      <w:r w:rsidR="00C21F41">
        <w:t xml:space="preserve">  </w:t>
      </w:r>
    </w:p>
    <w:p w14:paraId="6F4D8231" w14:textId="77777777" w:rsidR="00C21F41" w:rsidRDefault="00C21F41" w:rsidP="00C21F41">
      <w:pPr>
        <w:pStyle w:val="Numberedpara"/>
        <w:numPr>
          <w:ilvl w:val="0"/>
          <w:numId w:val="0"/>
        </w:numPr>
        <w:ind w:left="360"/>
      </w:pPr>
    </w:p>
    <w:p w14:paraId="23679468" w14:textId="5F33C82D" w:rsidR="00700C2C" w:rsidRDefault="00C21F41" w:rsidP="008E0955">
      <w:pPr>
        <w:pStyle w:val="Numberedpara"/>
      </w:pPr>
      <w:r>
        <w:t xml:space="preserve">ET noted that it was important for the workstreams to have sight of ET and Gold group decisions so that their agendas </w:t>
      </w:r>
      <w:r w:rsidR="00B449E3">
        <w:t xml:space="preserve">and discussions </w:t>
      </w:r>
      <w:r>
        <w:t xml:space="preserve">are aligned.  It was agreed to re-organise the </w:t>
      </w:r>
      <w:proofErr w:type="gramStart"/>
      <w:r>
        <w:t>Gold</w:t>
      </w:r>
      <w:proofErr w:type="gramEnd"/>
      <w:r>
        <w:t xml:space="preserve"> group agenda to </w:t>
      </w:r>
      <w:r w:rsidR="00B449E3">
        <w:t xml:space="preserve">deal with the immediate pressures and to take a more </w:t>
      </w:r>
      <w:r>
        <w:t xml:space="preserve">forward look </w:t>
      </w:r>
      <w:r w:rsidR="00B449E3">
        <w:t>at transitioning out of the pandemic, and to interface this with the strategic plan and the organisational design work.</w:t>
      </w:r>
    </w:p>
    <w:p w14:paraId="0F4E1DDE" w14:textId="77777777" w:rsidR="00C538A2" w:rsidRDefault="00C538A2" w:rsidP="00C538A2">
      <w:pPr>
        <w:pStyle w:val="ListParagraph"/>
      </w:pPr>
    </w:p>
    <w:p w14:paraId="609355C4" w14:textId="57706F6C" w:rsidR="00C538A2" w:rsidRPr="00C538A2" w:rsidRDefault="00C538A2" w:rsidP="00C538A2">
      <w:pPr>
        <w:pStyle w:val="Numberedpara"/>
        <w:numPr>
          <w:ilvl w:val="0"/>
          <w:numId w:val="0"/>
        </w:numPr>
        <w:ind w:left="360"/>
        <w:jc w:val="right"/>
        <w:rPr>
          <w:b/>
          <w:bCs/>
        </w:rPr>
      </w:pPr>
      <w:r w:rsidRPr="00C538A2">
        <w:rPr>
          <w:b/>
          <w:bCs/>
        </w:rPr>
        <w:t>ACTION: ER</w:t>
      </w:r>
    </w:p>
    <w:p w14:paraId="30C63A6A" w14:textId="77777777" w:rsidR="00700C2C" w:rsidRDefault="00700C2C" w:rsidP="003F00E3">
      <w:pPr>
        <w:pStyle w:val="Paragraph"/>
        <w:numPr>
          <w:ilvl w:val="0"/>
          <w:numId w:val="0"/>
        </w:numPr>
        <w:ind w:left="720" w:hanging="360"/>
      </w:pPr>
    </w:p>
    <w:p w14:paraId="71B8DDC9" w14:textId="4DB14E5C" w:rsidR="003F00E3" w:rsidRDefault="005F6B3D" w:rsidP="004214ED">
      <w:pPr>
        <w:pStyle w:val="Heading2"/>
      </w:pPr>
      <w:r>
        <w:t>European Co-operation in HTA</w:t>
      </w:r>
      <w:r w:rsidR="003F00E3">
        <w:t xml:space="preserve"> (item </w:t>
      </w:r>
      <w:r>
        <w:t>9</w:t>
      </w:r>
      <w:r w:rsidR="003F00E3">
        <w:t>)</w:t>
      </w:r>
    </w:p>
    <w:p w14:paraId="2C6E02B4" w14:textId="4E39A03A" w:rsidR="003F00E3" w:rsidRDefault="00D35223" w:rsidP="00D35223">
      <w:pPr>
        <w:pStyle w:val="Paragraph"/>
        <w:numPr>
          <w:ilvl w:val="0"/>
          <w:numId w:val="0"/>
        </w:numPr>
      </w:pPr>
      <w:r>
        <w:t xml:space="preserve"> </w:t>
      </w:r>
    </w:p>
    <w:p w14:paraId="6D8CA14A" w14:textId="5254A9DE" w:rsidR="00273BFA" w:rsidRDefault="00C538A2" w:rsidP="00273BFA">
      <w:pPr>
        <w:pStyle w:val="Numberedpara"/>
        <w:spacing w:after="240"/>
      </w:pPr>
      <w:r>
        <w:t>Nick Crabb and Zoe Garr</w:t>
      </w:r>
      <w:r w:rsidR="00FC2E25">
        <w:t>e</w:t>
      </w:r>
      <w:r>
        <w:t>tt a</w:t>
      </w:r>
      <w:r w:rsidR="007606A3">
        <w:t>dvised</w:t>
      </w:r>
      <w:r>
        <w:t xml:space="preserve"> ET </w:t>
      </w:r>
      <w:r w:rsidR="00487EEA">
        <w:t xml:space="preserve">that </w:t>
      </w:r>
      <w:r>
        <w:t xml:space="preserve">NICE’s involvement in the </w:t>
      </w:r>
      <w:proofErr w:type="spellStart"/>
      <w:r>
        <w:t>EUnetHTA</w:t>
      </w:r>
      <w:proofErr w:type="spellEnd"/>
      <w:r>
        <w:t xml:space="preserve"> </w:t>
      </w:r>
      <w:r w:rsidR="00487EEA">
        <w:t xml:space="preserve">was </w:t>
      </w:r>
      <w:proofErr w:type="gramStart"/>
      <w:r>
        <w:t xml:space="preserve">coming to </w:t>
      </w:r>
      <w:r w:rsidR="009552FC">
        <w:t>a close</w:t>
      </w:r>
      <w:proofErr w:type="gramEnd"/>
      <w:r w:rsidR="009552FC">
        <w:t xml:space="preserve"> in May 2021</w:t>
      </w:r>
      <w:r>
        <w:t xml:space="preserve"> </w:t>
      </w:r>
      <w:r w:rsidR="007606A3">
        <w:t xml:space="preserve">when the third joint </w:t>
      </w:r>
      <w:r w:rsidR="00E22326">
        <w:t xml:space="preserve">action </w:t>
      </w:r>
      <w:r w:rsidR="009552FC">
        <w:t>ends</w:t>
      </w:r>
      <w:r>
        <w:t xml:space="preserve"> and </w:t>
      </w:r>
      <w:r w:rsidR="007606A3">
        <w:t xml:space="preserve">sought views on </w:t>
      </w:r>
      <w:r>
        <w:t xml:space="preserve">proposals for future </w:t>
      </w:r>
      <w:r w:rsidR="00487EEA">
        <w:t xml:space="preserve">collaborations </w:t>
      </w:r>
      <w:r>
        <w:t>in</w:t>
      </w:r>
      <w:r w:rsidR="00487EEA">
        <w:t xml:space="preserve"> the HTA field</w:t>
      </w:r>
      <w:r w:rsidR="009552FC">
        <w:t xml:space="preserve">, </w:t>
      </w:r>
      <w:r w:rsidR="00A64542">
        <w:t>now</w:t>
      </w:r>
      <w:r w:rsidR="009552FC">
        <w:t xml:space="preserve"> the</w:t>
      </w:r>
      <w:r w:rsidR="00A64542">
        <w:t xml:space="preserve"> UK had</w:t>
      </w:r>
      <w:r w:rsidR="009552FC">
        <w:t xml:space="preserve"> exit</w:t>
      </w:r>
      <w:r w:rsidR="00A64542">
        <w:t>ed</w:t>
      </w:r>
      <w:r w:rsidR="009552FC">
        <w:t xml:space="preserve"> the EU.</w:t>
      </w:r>
    </w:p>
    <w:p w14:paraId="636CEE1F" w14:textId="1D29DD2F" w:rsidR="00F724A3" w:rsidRDefault="00F724A3" w:rsidP="00273BFA">
      <w:pPr>
        <w:pStyle w:val="Numberedpara"/>
        <w:spacing w:after="240"/>
      </w:pPr>
      <w:r>
        <w:t xml:space="preserve">ET discussed </w:t>
      </w:r>
      <w:r w:rsidR="009552FC">
        <w:t>whether there would be a benefit to re</w:t>
      </w:r>
      <w:r w:rsidR="003210F7">
        <w:t xml:space="preserve">taining current </w:t>
      </w:r>
      <w:r w:rsidR="009552FC">
        <w:t>EU network</w:t>
      </w:r>
      <w:r w:rsidR="003210F7">
        <w:t>s</w:t>
      </w:r>
      <w:r w:rsidR="009552FC">
        <w:t xml:space="preserve"> or whether looking to other parts of the world for collaborations was likely to be more successful</w:t>
      </w:r>
      <w:r w:rsidR="003210F7">
        <w:t xml:space="preserve">, such as Canada and Australia.  It was agreed that </w:t>
      </w:r>
      <w:r w:rsidR="002C1A6C">
        <w:t xml:space="preserve">there should </w:t>
      </w:r>
      <w:r w:rsidR="008D20CB">
        <w:t>b</w:t>
      </w:r>
      <w:r w:rsidR="002C1A6C">
        <w:t xml:space="preserve">e a </w:t>
      </w:r>
      <w:r w:rsidR="003210F7">
        <w:t xml:space="preserve">further strategic analysis of the wider opportunities and risks to predict where NICE would be best aligned, and </w:t>
      </w:r>
      <w:r w:rsidR="00A64542">
        <w:t xml:space="preserve">to </w:t>
      </w:r>
      <w:r w:rsidR="003210F7">
        <w:t>bring a further paper to ET.</w:t>
      </w:r>
      <w:r w:rsidR="009552FC">
        <w:t xml:space="preserve">  </w:t>
      </w:r>
    </w:p>
    <w:p w14:paraId="70F1766A" w14:textId="57125E9D" w:rsidR="00F724A3" w:rsidRDefault="00F724A3" w:rsidP="00E22326">
      <w:pPr>
        <w:pStyle w:val="SMTActions"/>
        <w:spacing w:after="240"/>
      </w:pPr>
      <w:r>
        <w:t xml:space="preserve">ACTION: </w:t>
      </w:r>
      <w:r w:rsidR="003210F7">
        <w:t>FG/</w:t>
      </w:r>
      <w:r w:rsidR="00E22326">
        <w:t>NC</w:t>
      </w:r>
    </w:p>
    <w:p w14:paraId="79121DE0" w14:textId="40F5E1D6" w:rsidR="00273BFA" w:rsidRDefault="00296D46" w:rsidP="00273BFA">
      <w:pPr>
        <w:pStyle w:val="Heading2"/>
      </w:pPr>
      <w:r>
        <w:lastRenderedPageBreak/>
        <w:t>Senior leaders &amp; ET Retreat</w:t>
      </w:r>
      <w:r w:rsidR="00273BFA">
        <w:t xml:space="preserve"> (item </w:t>
      </w:r>
      <w:r>
        <w:t>10</w:t>
      </w:r>
      <w:r w:rsidR="00273BFA">
        <w:t>)</w:t>
      </w:r>
    </w:p>
    <w:p w14:paraId="2D9E45E4" w14:textId="2BEBF4A0" w:rsidR="00273BFA" w:rsidRDefault="00273BFA" w:rsidP="00273BFA">
      <w:pPr>
        <w:pStyle w:val="Paragraph"/>
        <w:numPr>
          <w:ilvl w:val="0"/>
          <w:numId w:val="0"/>
        </w:numPr>
        <w:ind w:left="720" w:hanging="360"/>
      </w:pPr>
    </w:p>
    <w:p w14:paraId="16146BD4" w14:textId="727D6AF3" w:rsidR="00273BFA" w:rsidRDefault="00296D46" w:rsidP="0002049E">
      <w:pPr>
        <w:pStyle w:val="Numberedpara"/>
        <w:spacing w:after="240"/>
        <w:ind w:left="357" w:hanging="357"/>
      </w:pPr>
      <w:r>
        <w:t xml:space="preserve">Rebecca Threlfall </w:t>
      </w:r>
      <w:r w:rsidR="002B1F39">
        <w:t xml:space="preserve">sought approval of the draft agenda for the second senior leaders and ET joint retreat on 1 February 2021.  ET members were supportive of the first session to review progress </w:t>
      </w:r>
      <w:r w:rsidR="0002049E">
        <w:t xml:space="preserve">with the </w:t>
      </w:r>
      <w:r w:rsidR="002B1F39">
        <w:t>strategic plan</w:t>
      </w:r>
      <w:r w:rsidR="00B8791C">
        <w:t>,</w:t>
      </w:r>
      <w:r w:rsidR="002B1F39">
        <w:t xml:space="preserve"> agree </w:t>
      </w:r>
      <w:r w:rsidR="00B8791C">
        <w:t xml:space="preserve">the deliverables for 2021/22 with the senior </w:t>
      </w:r>
      <w:proofErr w:type="gramStart"/>
      <w:r w:rsidR="00B8791C">
        <w:t>leaders</w:t>
      </w:r>
      <w:proofErr w:type="gramEnd"/>
      <w:r w:rsidR="00B8791C">
        <w:t xml:space="preserve"> group and share the immediate </w:t>
      </w:r>
      <w:r w:rsidR="002B1F39">
        <w:t>priorities for Q4</w:t>
      </w:r>
      <w:r w:rsidR="0002049E">
        <w:t>.  However, the</w:t>
      </w:r>
      <w:r w:rsidR="00A64542">
        <w:t xml:space="preserve"> </w:t>
      </w:r>
      <w:r w:rsidR="002B1F39">
        <w:t>second session</w:t>
      </w:r>
      <w:r w:rsidR="00A64542">
        <w:t xml:space="preserve"> was queried in terms of whether</w:t>
      </w:r>
      <w:r w:rsidR="0002049E">
        <w:t xml:space="preserve"> gathering feedback</w:t>
      </w:r>
      <w:r w:rsidR="00B8791C">
        <w:t xml:space="preserve"> on the strategy</w:t>
      </w:r>
      <w:r w:rsidR="0002049E">
        <w:t xml:space="preserve"> from their wider teams, </w:t>
      </w:r>
      <w:r w:rsidR="00A64542">
        <w:t>on a</w:t>
      </w:r>
      <w:r w:rsidR="0002049E">
        <w:t xml:space="preserve"> Zoom</w:t>
      </w:r>
      <w:r w:rsidR="00A64542">
        <w:t xml:space="preserve"> call would work</w:t>
      </w:r>
      <w:r w:rsidR="0002049E">
        <w:t xml:space="preserve">, and whether </w:t>
      </w:r>
      <w:r w:rsidR="00B8791C">
        <w:t xml:space="preserve">sufficient </w:t>
      </w:r>
      <w:r w:rsidR="0002049E">
        <w:t>staff would be available to attend.</w:t>
      </w:r>
    </w:p>
    <w:p w14:paraId="6EE61CF2" w14:textId="53630BD7" w:rsidR="0002049E" w:rsidRDefault="0002049E" w:rsidP="00273BFA">
      <w:pPr>
        <w:pStyle w:val="Numberedpara"/>
      </w:pPr>
      <w:r>
        <w:t xml:space="preserve">The timescale for feedback on the strategic plan </w:t>
      </w:r>
      <w:r w:rsidR="00B8791C">
        <w:t xml:space="preserve">(19 February), </w:t>
      </w:r>
      <w:r>
        <w:t xml:space="preserve">was </w:t>
      </w:r>
      <w:r w:rsidR="00B8791C">
        <w:t xml:space="preserve">also </w:t>
      </w:r>
      <w:r>
        <w:t>queried</w:t>
      </w:r>
      <w:r w:rsidR="00B8791C">
        <w:t xml:space="preserve"> as some teams were more engaged than others.  It was agreed that the end of February would be acceptable.</w:t>
      </w:r>
    </w:p>
    <w:p w14:paraId="4159A9C2" w14:textId="77777777" w:rsidR="00F724A3" w:rsidRDefault="00F724A3" w:rsidP="00F724A3">
      <w:pPr>
        <w:pStyle w:val="Numberedpara"/>
        <w:numPr>
          <w:ilvl w:val="0"/>
          <w:numId w:val="0"/>
        </w:numPr>
        <w:ind w:left="357"/>
      </w:pPr>
    </w:p>
    <w:p w14:paraId="5DFE616C" w14:textId="2910BE8E" w:rsidR="00F724A3" w:rsidRDefault="00F724A3" w:rsidP="00750819">
      <w:pPr>
        <w:pStyle w:val="Numberedpara"/>
        <w:spacing w:after="120"/>
        <w:ind w:left="357" w:hanging="357"/>
      </w:pPr>
      <w:r>
        <w:t>Gill Leng</w:t>
      </w:r>
      <w:r w:rsidR="00524D01">
        <w:t xml:space="preserve"> suggested re-ordering the agenda to have the consolidated list of business plan priorities for 2021/22, which would allow everyone to have sight of the deliverables and understand how they link to the strategic plan.</w:t>
      </w:r>
      <w:r w:rsidR="00BC6197">
        <w:t xml:space="preserve">  David Coombs to be asked to format and circulate the list.</w:t>
      </w:r>
    </w:p>
    <w:p w14:paraId="12DEA9DE" w14:textId="2C3A3F3D" w:rsidR="00BC6197" w:rsidRPr="00BC6197" w:rsidRDefault="00BC6197" w:rsidP="00750819">
      <w:pPr>
        <w:pStyle w:val="Numberedpara"/>
        <w:numPr>
          <w:ilvl w:val="0"/>
          <w:numId w:val="0"/>
        </w:numPr>
        <w:spacing w:after="120"/>
        <w:ind w:left="357"/>
        <w:jc w:val="right"/>
        <w:rPr>
          <w:b/>
          <w:bCs/>
        </w:rPr>
      </w:pPr>
      <w:r w:rsidRPr="00BC6197">
        <w:rPr>
          <w:b/>
          <w:bCs/>
        </w:rPr>
        <w:t>ACTION: DC</w:t>
      </w:r>
    </w:p>
    <w:p w14:paraId="1658A976" w14:textId="79C08B65" w:rsidR="00F724A3" w:rsidRDefault="002B1F39" w:rsidP="00750819">
      <w:pPr>
        <w:pStyle w:val="Numberedpara"/>
        <w:spacing w:after="120"/>
        <w:ind w:left="357" w:hanging="357"/>
      </w:pPr>
      <w:r>
        <w:t>It was agreed that Gill and Rebecca would finalise the agenda.</w:t>
      </w:r>
    </w:p>
    <w:p w14:paraId="41537AAA" w14:textId="46A12E2B" w:rsidR="00300A4F" w:rsidRDefault="00F724A3" w:rsidP="00750819">
      <w:pPr>
        <w:pStyle w:val="SMTActions"/>
        <w:spacing w:after="120"/>
      </w:pPr>
      <w:r>
        <w:t>ACTION:</w:t>
      </w:r>
      <w:r w:rsidR="00EA0D7E">
        <w:t xml:space="preserve"> </w:t>
      </w:r>
      <w:r w:rsidR="002B1F39">
        <w:t>RT/GL</w:t>
      </w:r>
    </w:p>
    <w:p w14:paraId="385C86D6" w14:textId="4F51A088" w:rsidR="004214ED" w:rsidRDefault="004214ED" w:rsidP="001C1B34">
      <w:pPr>
        <w:pStyle w:val="Heading2"/>
      </w:pPr>
      <w:r>
        <w:t xml:space="preserve">London office move (item </w:t>
      </w:r>
      <w:r w:rsidR="00D058A1">
        <w:t>1</w:t>
      </w:r>
      <w:r w:rsidR="00D8696A">
        <w:t>1</w:t>
      </w:r>
      <w:r>
        <w:t>)</w:t>
      </w:r>
    </w:p>
    <w:p w14:paraId="7860F8CA" w14:textId="3B3546F5" w:rsidR="004214ED" w:rsidRDefault="004214ED" w:rsidP="003A436B">
      <w:pPr>
        <w:pStyle w:val="Paragraph"/>
        <w:numPr>
          <w:ilvl w:val="0"/>
          <w:numId w:val="0"/>
        </w:numPr>
        <w:ind w:left="567" w:hanging="499"/>
      </w:pPr>
    </w:p>
    <w:p w14:paraId="338ABB98" w14:textId="56D4EEF4" w:rsidR="00D8696A" w:rsidRPr="00300A4F" w:rsidRDefault="00392591" w:rsidP="00D8696A">
      <w:pPr>
        <w:pStyle w:val="Numberedpara"/>
        <w:spacing w:after="240"/>
        <w:rPr>
          <w:color w:val="auto"/>
        </w:rPr>
      </w:pPr>
      <w:r>
        <w:rPr>
          <w:color w:val="auto"/>
        </w:rPr>
        <w:t xml:space="preserve">Jennifer Howells advised that </w:t>
      </w:r>
      <w:r w:rsidR="00BC6197">
        <w:rPr>
          <w:color w:val="auto"/>
        </w:rPr>
        <w:t>the final</w:t>
      </w:r>
      <w:r>
        <w:rPr>
          <w:color w:val="auto"/>
        </w:rPr>
        <w:t xml:space="preserve"> issues </w:t>
      </w:r>
      <w:r w:rsidR="00EA0D7E">
        <w:rPr>
          <w:color w:val="auto"/>
        </w:rPr>
        <w:t>at Redman Place were</w:t>
      </w:r>
      <w:r>
        <w:rPr>
          <w:color w:val="auto"/>
        </w:rPr>
        <w:t xml:space="preserve"> be</w:t>
      </w:r>
      <w:r w:rsidR="00EA0D7E">
        <w:rPr>
          <w:color w:val="auto"/>
        </w:rPr>
        <w:t>i</w:t>
      </w:r>
      <w:r>
        <w:rPr>
          <w:color w:val="auto"/>
        </w:rPr>
        <w:t>n</w:t>
      </w:r>
      <w:r w:rsidR="00EA0D7E">
        <w:rPr>
          <w:color w:val="auto"/>
        </w:rPr>
        <w:t>g</w:t>
      </w:r>
      <w:r>
        <w:rPr>
          <w:color w:val="auto"/>
        </w:rPr>
        <w:t xml:space="preserve"> </w:t>
      </w:r>
      <w:r w:rsidR="00BC6197">
        <w:rPr>
          <w:color w:val="auto"/>
        </w:rPr>
        <w:t>resolved</w:t>
      </w:r>
      <w:r>
        <w:rPr>
          <w:color w:val="auto"/>
        </w:rPr>
        <w:t>, subject to the AV/VC.  Alexia reported that the LAN problems were almost concluded but the AV/VC solution was still a risk.</w:t>
      </w:r>
    </w:p>
    <w:p w14:paraId="6F7968E8" w14:textId="1DFB1B07" w:rsidR="00D058A1" w:rsidRDefault="00D058A1" w:rsidP="00D8696A">
      <w:pPr>
        <w:pStyle w:val="Heading2"/>
      </w:pPr>
      <w:r>
        <w:t>Gold group (item 1</w:t>
      </w:r>
      <w:r w:rsidR="00D8696A">
        <w:t>2</w:t>
      </w:r>
      <w:r>
        <w:t>)</w:t>
      </w:r>
    </w:p>
    <w:p w14:paraId="4548A4F9" w14:textId="77777777" w:rsidR="00D8696A" w:rsidRPr="00D8696A" w:rsidRDefault="00D8696A" w:rsidP="00D8696A">
      <w:pPr>
        <w:pStyle w:val="Paragraph"/>
        <w:numPr>
          <w:ilvl w:val="0"/>
          <w:numId w:val="0"/>
        </w:numPr>
        <w:ind w:left="720"/>
      </w:pPr>
    </w:p>
    <w:p w14:paraId="3D8B7077" w14:textId="283945A2" w:rsidR="00D058A1" w:rsidRDefault="00F91449" w:rsidP="00D058A1">
      <w:pPr>
        <w:pStyle w:val="Numberedpara"/>
        <w:spacing w:after="240"/>
        <w:rPr>
          <w:color w:val="000000" w:themeColor="text1"/>
        </w:rPr>
      </w:pPr>
      <w:r>
        <w:rPr>
          <w:color w:val="000000" w:themeColor="text1"/>
        </w:rPr>
        <w:t xml:space="preserve">The </w:t>
      </w:r>
      <w:r w:rsidR="00F46A45">
        <w:rPr>
          <w:color w:val="000000" w:themeColor="text1"/>
        </w:rPr>
        <w:t xml:space="preserve">ET </w:t>
      </w:r>
      <w:r w:rsidR="006175B7">
        <w:rPr>
          <w:color w:val="000000" w:themeColor="text1"/>
        </w:rPr>
        <w:t>not</w:t>
      </w:r>
      <w:r w:rsidR="00F46A45">
        <w:rPr>
          <w:color w:val="000000" w:themeColor="text1"/>
        </w:rPr>
        <w:t>ed the following decision</w:t>
      </w:r>
      <w:r w:rsidR="00300A4F">
        <w:rPr>
          <w:color w:val="000000" w:themeColor="text1"/>
        </w:rPr>
        <w:t>s</w:t>
      </w:r>
      <w:r w:rsidR="00F46A45">
        <w:rPr>
          <w:color w:val="000000" w:themeColor="text1"/>
        </w:rPr>
        <w:t xml:space="preserve"> made </w:t>
      </w:r>
      <w:r w:rsidR="00350DA4">
        <w:rPr>
          <w:color w:val="000000" w:themeColor="text1"/>
        </w:rPr>
        <w:t>at</w:t>
      </w:r>
      <w:r w:rsidR="00F46A45">
        <w:rPr>
          <w:color w:val="000000" w:themeColor="text1"/>
        </w:rPr>
        <w:t xml:space="preserve"> the </w:t>
      </w:r>
      <w:proofErr w:type="gramStart"/>
      <w:r w:rsidR="00F46A45">
        <w:rPr>
          <w:color w:val="000000" w:themeColor="text1"/>
        </w:rPr>
        <w:t>Gold</w:t>
      </w:r>
      <w:proofErr w:type="gramEnd"/>
      <w:r w:rsidR="00F46A45">
        <w:rPr>
          <w:color w:val="000000" w:themeColor="text1"/>
        </w:rPr>
        <w:t xml:space="preserve"> group:</w:t>
      </w:r>
    </w:p>
    <w:p w14:paraId="1305F01A" w14:textId="0053DA17" w:rsidR="00FA121B" w:rsidRDefault="00F471C5" w:rsidP="00FA121B">
      <w:pPr>
        <w:pStyle w:val="Numberedpara"/>
        <w:numPr>
          <w:ilvl w:val="0"/>
          <w:numId w:val="15"/>
        </w:numPr>
        <w:ind w:left="851" w:hanging="284"/>
        <w:rPr>
          <w:color w:val="000000" w:themeColor="text1"/>
        </w:rPr>
      </w:pPr>
      <w:r w:rsidRPr="00F471C5">
        <w:rPr>
          <w:color w:val="000000" w:themeColor="text1"/>
        </w:rPr>
        <w:t xml:space="preserve">that requests from staff for TOIL are to be considered only in exceptional cases and on an individual basis, in consultation with the line manager and </w:t>
      </w:r>
      <w:r>
        <w:rPr>
          <w:color w:val="000000" w:themeColor="text1"/>
        </w:rPr>
        <w:t xml:space="preserve">the </w:t>
      </w:r>
      <w:r w:rsidRPr="00F471C5">
        <w:rPr>
          <w:color w:val="000000" w:themeColor="text1"/>
        </w:rPr>
        <w:t>HR team</w:t>
      </w:r>
    </w:p>
    <w:p w14:paraId="740509A1" w14:textId="77777777" w:rsidR="00FA121B" w:rsidRDefault="00FA121B" w:rsidP="00FA121B">
      <w:pPr>
        <w:pStyle w:val="ListParagraph"/>
        <w:rPr>
          <w:color w:val="000000" w:themeColor="text1"/>
        </w:rPr>
      </w:pPr>
    </w:p>
    <w:p w14:paraId="30B3926C" w14:textId="16BFAFEA" w:rsidR="00FA121B" w:rsidRPr="00FA121B" w:rsidRDefault="00F471C5" w:rsidP="00FA121B">
      <w:pPr>
        <w:pStyle w:val="Numberedpara"/>
        <w:numPr>
          <w:ilvl w:val="0"/>
          <w:numId w:val="15"/>
        </w:numPr>
        <w:ind w:left="851" w:hanging="284"/>
        <w:rPr>
          <w:color w:val="000000" w:themeColor="text1"/>
        </w:rPr>
      </w:pPr>
      <w:r w:rsidRPr="00F471C5">
        <w:rPr>
          <w:color w:val="000000" w:themeColor="text1"/>
        </w:rPr>
        <w:t xml:space="preserve">to </w:t>
      </w:r>
      <w:r w:rsidR="00EA0D7E">
        <w:rPr>
          <w:color w:val="000000" w:themeColor="text1"/>
        </w:rPr>
        <w:t xml:space="preserve">agree </w:t>
      </w:r>
      <w:r w:rsidRPr="00F471C5">
        <w:rPr>
          <w:color w:val="000000" w:themeColor="text1"/>
        </w:rPr>
        <w:t xml:space="preserve">the </w:t>
      </w:r>
      <w:r w:rsidR="00EA0D7E">
        <w:rPr>
          <w:color w:val="000000" w:themeColor="text1"/>
        </w:rPr>
        <w:t xml:space="preserve">list of </w:t>
      </w:r>
      <w:r w:rsidRPr="00F471C5">
        <w:rPr>
          <w:color w:val="000000" w:themeColor="text1"/>
        </w:rPr>
        <w:t xml:space="preserve">activities </w:t>
      </w:r>
      <w:r w:rsidR="00EA0D7E">
        <w:rPr>
          <w:color w:val="000000" w:themeColor="text1"/>
        </w:rPr>
        <w:t xml:space="preserve">to be paused </w:t>
      </w:r>
      <w:r w:rsidRPr="00F471C5">
        <w:rPr>
          <w:color w:val="000000" w:themeColor="text1"/>
        </w:rPr>
        <w:t>in CHTE, Corporate office and HR/OD Team as presented by M</w:t>
      </w:r>
      <w:r>
        <w:rPr>
          <w:color w:val="000000" w:themeColor="text1"/>
        </w:rPr>
        <w:t xml:space="preserve">eindert </w:t>
      </w:r>
      <w:r w:rsidRPr="00F471C5">
        <w:rPr>
          <w:color w:val="000000" w:themeColor="text1"/>
        </w:rPr>
        <w:t>B</w:t>
      </w:r>
      <w:r>
        <w:rPr>
          <w:color w:val="000000" w:themeColor="text1"/>
        </w:rPr>
        <w:t>oysen</w:t>
      </w:r>
      <w:r w:rsidRPr="00F471C5">
        <w:rPr>
          <w:color w:val="000000" w:themeColor="text1"/>
        </w:rPr>
        <w:t xml:space="preserve"> and J</w:t>
      </w:r>
      <w:r>
        <w:rPr>
          <w:color w:val="000000" w:themeColor="text1"/>
        </w:rPr>
        <w:t xml:space="preserve">ennifer </w:t>
      </w:r>
      <w:r w:rsidRPr="00F471C5">
        <w:rPr>
          <w:color w:val="000000" w:themeColor="text1"/>
        </w:rPr>
        <w:t>H</w:t>
      </w:r>
      <w:r>
        <w:rPr>
          <w:color w:val="000000" w:themeColor="text1"/>
        </w:rPr>
        <w:t>owells</w:t>
      </w:r>
    </w:p>
    <w:p w14:paraId="488138D4" w14:textId="77777777" w:rsidR="00FA121B" w:rsidRPr="00FA121B" w:rsidRDefault="00FA121B" w:rsidP="00FA121B">
      <w:pPr>
        <w:pStyle w:val="Numberedpara"/>
        <w:numPr>
          <w:ilvl w:val="0"/>
          <w:numId w:val="0"/>
        </w:numPr>
        <w:ind w:left="717"/>
        <w:rPr>
          <w:color w:val="000000" w:themeColor="text1"/>
        </w:rPr>
      </w:pPr>
    </w:p>
    <w:p w14:paraId="04E6C21E" w14:textId="504B74DA" w:rsidR="00393715" w:rsidRDefault="00BC6197" w:rsidP="00296D46">
      <w:pPr>
        <w:pStyle w:val="Numberedpara"/>
        <w:spacing w:after="240"/>
        <w:ind w:left="357" w:hanging="357"/>
      </w:pPr>
      <w:r>
        <w:t xml:space="preserve">Elaine Repton was asked to </w:t>
      </w:r>
      <w:r w:rsidR="00F471C5">
        <w:t xml:space="preserve">produce a </w:t>
      </w:r>
      <w:r>
        <w:t>consolidate</w:t>
      </w:r>
      <w:r w:rsidR="00F471C5">
        <w:t>d</w:t>
      </w:r>
      <w:r>
        <w:t xml:space="preserve"> list of </w:t>
      </w:r>
      <w:r w:rsidR="00F471C5">
        <w:t xml:space="preserve">the </w:t>
      </w:r>
      <w:r>
        <w:t>work areas to be re-prioritised</w:t>
      </w:r>
      <w:r w:rsidR="00F471C5">
        <w:t>,</w:t>
      </w:r>
      <w:r>
        <w:t xml:space="preserve"> which have been </w:t>
      </w:r>
      <w:r w:rsidR="00E03FB1">
        <w:t>agreed at</w:t>
      </w:r>
      <w:r>
        <w:t xml:space="preserve"> </w:t>
      </w:r>
      <w:proofErr w:type="gramStart"/>
      <w:r>
        <w:t>Gold</w:t>
      </w:r>
      <w:proofErr w:type="gramEnd"/>
      <w:r>
        <w:t xml:space="preserve"> group</w:t>
      </w:r>
      <w:r w:rsidR="00F471C5">
        <w:t>.</w:t>
      </w:r>
    </w:p>
    <w:p w14:paraId="5E95E9BE" w14:textId="782A536F" w:rsidR="00300A4F" w:rsidRPr="00F92D5C" w:rsidRDefault="00300A4F" w:rsidP="00300A4F">
      <w:pPr>
        <w:pStyle w:val="SMTActions"/>
      </w:pPr>
      <w:r>
        <w:t xml:space="preserve">ACTION: </w:t>
      </w:r>
      <w:r w:rsidR="00392591">
        <w:t>ER</w:t>
      </w:r>
    </w:p>
    <w:p w14:paraId="0A718C54" w14:textId="40D366A3" w:rsidR="006A5012" w:rsidRPr="00350DA4" w:rsidRDefault="00350DA4" w:rsidP="00350DA4">
      <w:pPr>
        <w:pStyle w:val="Heading2"/>
        <w:spacing w:after="240"/>
      </w:pPr>
      <w:r>
        <w:t>Strategy and business planning (item 1</w:t>
      </w:r>
      <w:r w:rsidR="00296D46">
        <w:t>3</w:t>
      </w:r>
      <w:r>
        <w:t>)</w:t>
      </w:r>
    </w:p>
    <w:p w14:paraId="77CFFF32" w14:textId="05D45EB9" w:rsidR="00AD1855" w:rsidRPr="000617F4" w:rsidRDefault="00392591" w:rsidP="000617F4">
      <w:pPr>
        <w:pStyle w:val="Numberedpara"/>
        <w:spacing w:after="240"/>
        <w:rPr>
          <w:color w:val="000000" w:themeColor="text1"/>
        </w:rPr>
      </w:pPr>
      <w:r>
        <w:rPr>
          <w:color w:val="000000" w:themeColor="text1"/>
        </w:rPr>
        <w:t>Nothing raised.</w:t>
      </w:r>
    </w:p>
    <w:p w14:paraId="2C2566C4" w14:textId="116A1766" w:rsidR="008C78B4" w:rsidRPr="008C78B4" w:rsidRDefault="008C78B4" w:rsidP="008C78B4">
      <w:pPr>
        <w:pStyle w:val="Numberedpara"/>
        <w:numPr>
          <w:ilvl w:val="0"/>
          <w:numId w:val="0"/>
        </w:numPr>
        <w:spacing w:before="240"/>
        <w:ind w:left="357" w:hanging="357"/>
        <w:rPr>
          <w:b/>
          <w:bCs/>
          <w:color w:val="000000" w:themeColor="text1"/>
        </w:rPr>
      </w:pPr>
      <w:r>
        <w:rPr>
          <w:b/>
          <w:bCs/>
          <w:color w:val="000000" w:themeColor="text1"/>
        </w:rPr>
        <w:t xml:space="preserve">Review of the meeting (item </w:t>
      </w:r>
      <w:r w:rsidR="00D058A1">
        <w:rPr>
          <w:b/>
          <w:bCs/>
          <w:color w:val="000000" w:themeColor="text1"/>
        </w:rPr>
        <w:t>1</w:t>
      </w:r>
      <w:r w:rsidR="00296D46">
        <w:rPr>
          <w:b/>
          <w:bCs/>
          <w:color w:val="000000" w:themeColor="text1"/>
        </w:rPr>
        <w:t>4</w:t>
      </w:r>
      <w:r>
        <w:rPr>
          <w:b/>
          <w:bCs/>
          <w:color w:val="000000" w:themeColor="text1"/>
        </w:rPr>
        <w:t>)</w:t>
      </w:r>
    </w:p>
    <w:p w14:paraId="60B6B50D" w14:textId="39DD0A38" w:rsidR="008C78B4" w:rsidRDefault="008C78B4" w:rsidP="008C78B4">
      <w:pPr>
        <w:pStyle w:val="Numberedpara"/>
        <w:numPr>
          <w:ilvl w:val="0"/>
          <w:numId w:val="0"/>
        </w:numPr>
        <w:rPr>
          <w:color w:val="000000" w:themeColor="text1"/>
        </w:rPr>
      </w:pPr>
    </w:p>
    <w:p w14:paraId="0900AFA5" w14:textId="3FCED3BE" w:rsidR="00FA121B" w:rsidRDefault="00FA121B" w:rsidP="00750819">
      <w:pPr>
        <w:pStyle w:val="Numberedpara"/>
        <w:spacing w:after="120"/>
        <w:ind w:left="357" w:hanging="357"/>
        <w:rPr>
          <w:color w:val="000000" w:themeColor="text1"/>
        </w:rPr>
      </w:pPr>
      <w:r>
        <w:rPr>
          <w:color w:val="000000" w:themeColor="text1"/>
        </w:rPr>
        <w:t>ET agreed that</w:t>
      </w:r>
      <w:r w:rsidR="00392591">
        <w:rPr>
          <w:color w:val="000000" w:themeColor="text1"/>
        </w:rPr>
        <w:t xml:space="preserve"> the shorter agenda was preferable.  The </w:t>
      </w:r>
      <w:proofErr w:type="spellStart"/>
      <w:r w:rsidR="00392591">
        <w:rPr>
          <w:color w:val="000000" w:themeColor="text1"/>
        </w:rPr>
        <w:t>EUnetHTA</w:t>
      </w:r>
      <w:proofErr w:type="spellEnd"/>
      <w:r w:rsidR="00392591">
        <w:rPr>
          <w:color w:val="000000" w:themeColor="text1"/>
        </w:rPr>
        <w:t xml:space="preserve"> item should have been under a strategic section</w:t>
      </w:r>
      <w:r w:rsidR="00750819">
        <w:rPr>
          <w:color w:val="000000" w:themeColor="text1"/>
        </w:rPr>
        <w:t>, which needs to be re-instated.</w:t>
      </w:r>
    </w:p>
    <w:p w14:paraId="6697D6D5" w14:textId="113550C0" w:rsidR="00392591" w:rsidRPr="00392591" w:rsidRDefault="00392591" w:rsidP="00750819">
      <w:pPr>
        <w:pStyle w:val="Numberedpara"/>
        <w:numPr>
          <w:ilvl w:val="0"/>
          <w:numId w:val="0"/>
        </w:numPr>
        <w:spacing w:after="120"/>
        <w:ind w:left="357"/>
        <w:jc w:val="right"/>
        <w:rPr>
          <w:b/>
          <w:bCs/>
          <w:color w:val="000000" w:themeColor="text1"/>
        </w:rPr>
      </w:pPr>
      <w:r w:rsidRPr="00392591">
        <w:rPr>
          <w:b/>
          <w:bCs/>
          <w:color w:val="000000" w:themeColor="text1"/>
        </w:rPr>
        <w:t>ACTION: ER</w:t>
      </w:r>
    </w:p>
    <w:p w14:paraId="4816FA64" w14:textId="3B1A4E3C" w:rsidR="006F3BE2" w:rsidRPr="00FA4D12" w:rsidRDefault="00E71D83" w:rsidP="00750819">
      <w:pPr>
        <w:pStyle w:val="Heading2"/>
        <w:spacing w:after="240"/>
      </w:pPr>
      <w:r>
        <w:t>O</w:t>
      </w:r>
      <w:r w:rsidR="006F3BE2">
        <w:t>ther business (</w:t>
      </w:r>
      <w:r w:rsidR="006F3BE2" w:rsidRPr="00FF68A5">
        <w:t>item</w:t>
      </w:r>
      <w:r w:rsidR="006F3BE2">
        <w:t xml:space="preserve"> </w:t>
      </w:r>
      <w:r w:rsidR="008C78B4">
        <w:t>1</w:t>
      </w:r>
      <w:r w:rsidR="00D8696A">
        <w:t>5</w:t>
      </w:r>
      <w:r w:rsidR="006F3BE2">
        <w:t>)</w:t>
      </w:r>
    </w:p>
    <w:p w14:paraId="63C6F38A" w14:textId="4082E9E9" w:rsidR="009439A9" w:rsidRDefault="00D8696A" w:rsidP="00D8696A">
      <w:pPr>
        <w:pStyle w:val="Numberedpara"/>
      </w:pPr>
      <w:r w:rsidRPr="00D8696A">
        <w:t>None</w:t>
      </w:r>
      <w:r>
        <w:t>.</w:t>
      </w:r>
    </w:p>
    <w:sectPr w:rsidR="009439A9"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6367F8" w:rsidRDefault="006367F8" w:rsidP="00446BEE">
      <w:r>
        <w:separator/>
      </w:r>
    </w:p>
  </w:endnote>
  <w:endnote w:type="continuationSeparator" w:id="0">
    <w:p w14:paraId="115D9229" w14:textId="77777777" w:rsidR="006367F8" w:rsidRDefault="006367F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6367F8" w:rsidRDefault="006367F8">
    <w:pPr>
      <w:pStyle w:val="Footer"/>
    </w:pPr>
    <w:r>
      <w:tab/>
    </w:r>
    <w:r>
      <w:tab/>
    </w:r>
    <w:r>
      <w:fldChar w:fldCharType="begin"/>
    </w:r>
    <w:r>
      <w:instrText xml:space="preserve"> PAGE </w:instrText>
    </w:r>
    <w:r>
      <w:fldChar w:fldCharType="separate"/>
    </w:r>
    <w:r>
      <w:rPr>
        <w:noProof/>
      </w:rPr>
      <w:t>1</w:t>
    </w:r>
    <w:r>
      <w:fldChar w:fldCharType="end"/>
    </w:r>
    <w:r>
      <w:t xml:space="preserve"> of </w:t>
    </w:r>
    <w:r w:rsidR="009B417F">
      <w:fldChar w:fldCharType="begin"/>
    </w:r>
    <w:r w:rsidR="009B417F">
      <w:instrText xml:space="preserve"> NUMPAGES  </w:instrText>
    </w:r>
    <w:r w:rsidR="009B417F">
      <w:fldChar w:fldCharType="separate"/>
    </w:r>
    <w:r>
      <w:rPr>
        <w:noProof/>
      </w:rPr>
      <w:t>5</w:t>
    </w:r>
    <w:r w:rsidR="009B41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6367F8" w:rsidRDefault="006367F8" w:rsidP="00446BEE">
      <w:r>
        <w:separator/>
      </w:r>
    </w:p>
  </w:footnote>
  <w:footnote w:type="continuationSeparator" w:id="0">
    <w:p w14:paraId="49BD0E4F" w14:textId="77777777" w:rsidR="006367F8" w:rsidRDefault="006367F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8BEBEC2" w:rsidR="006367F8" w:rsidRPr="007D0457" w:rsidRDefault="006367F8"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F10067D"/>
    <w:multiLevelType w:val="hybridMultilevel"/>
    <w:tmpl w:val="27B6C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7D29A3"/>
    <w:multiLevelType w:val="hybridMultilevel"/>
    <w:tmpl w:val="38D834A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4E362BDB"/>
    <w:multiLevelType w:val="hybridMultilevel"/>
    <w:tmpl w:val="087CF094"/>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3"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4"/>
  </w:num>
  <w:num w:numId="2">
    <w:abstractNumId w:val="4"/>
  </w:num>
  <w:num w:numId="3">
    <w:abstractNumId w:val="2"/>
  </w:num>
  <w:num w:numId="4">
    <w:abstractNumId w:val="12"/>
  </w:num>
  <w:num w:numId="5">
    <w:abstractNumId w:val="3"/>
  </w:num>
  <w:num w:numId="6">
    <w:abstractNumId w:val="5"/>
  </w:num>
  <w:num w:numId="7">
    <w:abstractNumId w:val="8"/>
  </w:num>
  <w:num w:numId="8">
    <w:abstractNumId w:val="15"/>
  </w:num>
  <w:num w:numId="9">
    <w:abstractNumId w:val="6"/>
  </w:num>
  <w:num w:numId="10">
    <w:abstractNumId w:val="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3"/>
  </w:num>
  <w:num w:numId="16">
    <w:abstractNumId w:val="10"/>
  </w:num>
  <w:num w:numId="1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503C"/>
    <w:rsid w:val="000053F8"/>
    <w:rsid w:val="000064CB"/>
    <w:rsid w:val="0000687D"/>
    <w:rsid w:val="00010AAB"/>
    <w:rsid w:val="000111B4"/>
    <w:rsid w:val="00011451"/>
    <w:rsid w:val="00012355"/>
    <w:rsid w:val="00012BBC"/>
    <w:rsid w:val="00015050"/>
    <w:rsid w:val="00017F48"/>
    <w:rsid w:val="0002049E"/>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2073"/>
    <w:rsid w:val="000320AA"/>
    <w:rsid w:val="0003314A"/>
    <w:rsid w:val="00035962"/>
    <w:rsid w:val="0003682B"/>
    <w:rsid w:val="000368A8"/>
    <w:rsid w:val="0003736D"/>
    <w:rsid w:val="000376CB"/>
    <w:rsid w:val="000405AE"/>
    <w:rsid w:val="00040E50"/>
    <w:rsid w:val="00042909"/>
    <w:rsid w:val="00042D75"/>
    <w:rsid w:val="000439B6"/>
    <w:rsid w:val="000462D6"/>
    <w:rsid w:val="00046388"/>
    <w:rsid w:val="000470AC"/>
    <w:rsid w:val="000472DC"/>
    <w:rsid w:val="0004790B"/>
    <w:rsid w:val="00050204"/>
    <w:rsid w:val="00052377"/>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60D"/>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071A"/>
    <w:rsid w:val="000F1617"/>
    <w:rsid w:val="000F24AA"/>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40"/>
    <w:rsid w:val="00104204"/>
    <w:rsid w:val="00104BD6"/>
    <w:rsid w:val="00104DE8"/>
    <w:rsid w:val="00106046"/>
    <w:rsid w:val="0011018F"/>
    <w:rsid w:val="00110EEF"/>
    <w:rsid w:val="0011108E"/>
    <w:rsid w:val="00111CCE"/>
    <w:rsid w:val="0011301F"/>
    <w:rsid w:val="001131C4"/>
    <w:rsid w:val="001134E7"/>
    <w:rsid w:val="0011352A"/>
    <w:rsid w:val="001136BD"/>
    <w:rsid w:val="001140A7"/>
    <w:rsid w:val="00114B6E"/>
    <w:rsid w:val="00114FFA"/>
    <w:rsid w:val="00116108"/>
    <w:rsid w:val="00116344"/>
    <w:rsid w:val="00116872"/>
    <w:rsid w:val="001169A0"/>
    <w:rsid w:val="00116CD8"/>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A02"/>
    <w:rsid w:val="00136D52"/>
    <w:rsid w:val="00137077"/>
    <w:rsid w:val="001447E6"/>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2F83"/>
    <w:rsid w:val="00183981"/>
    <w:rsid w:val="00183B64"/>
    <w:rsid w:val="0018450A"/>
    <w:rsid w:val="00184F4B"/>
    <w:rsid w:val="001860C4"/>
    <w:rsid w:val="00186E84"/>
    <w:rsid w:val="0018767F"/>
    <w:rsid w:val="00187CB2"/>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2A63"/>
    <w:rsid w:val="001D355B"/>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4F0C"/>
    <w:rsid w:val="001F54A1"/>
    <w:rsid w:val="001F5B3E"/>
    <w:rsid w:val="001F5C38"/>
    <w:rsid w:val="001F6247"/>
    <w:rsid w:val="001F73BE"/>
    <w:rsid w:val="0020148B"/>
    <w:rsid w:val="002015BD"/>
    <w:rsid w:val="00201C5B"/>
    <w:rsid w:val="00201EA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8FF"/>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BA7"/>
    <w:rsid w:val="00254C33"/>
    <w:rsid w:val="00255A5A"/>
    <w:rsid w:val="00255C16"/>
    <w:rsid w:val="00256291"/>
    <w:rsid w:val="0025681F"/>
    <w:rsid w:val="00256EB6"/>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611F"/>
    <w:rsid w:val="00277177"/>
    <w:rsid w:val="002771C6"/>
    <w:rsid w:val="00280973"/>
    <w:rsid w:val="00280CF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96D46"/>
    <w:rsid w:val="002A0A54"/>
    <w:rsid w:val="002A0ECE"/>
    <w:rsid w:val="002A0ED1"/>
    <w:rsid w:val="002A33F4"/>
    <w:rsid w:val="002A440E"/>
    <w:rsid w:val="002A4D11"/>
    <w:rsid w:val="002A507B"/>
    <w:rsid w:val="002A583F"/>
    <w:rsid w:val="002A7A04"/>
    <w:rsid w:val="002B03AD"/>
    <w:rsid w:val="002B1216"/>
    <w:rsid w:val="002B1F39"/>
    <w:rsid w:val="002B3D2F"/>
    <w:rsid w:val="002B3E46"/>
    <w:rsid w:val="002B4299"/>
    <w:rsid w:val="002B4582"/>
    <w:rsid w:val="002B4B0D"/>
    <w:rsid w:val="002B5323"/>
    <w:rsid w:val="002B5DEB"/>
    <w:rsid w:val="002B6F27"/>
    <w:rsid w:val="002B7B49"/>
    <w:rsid w:val="002C0CC7"/>
    <w:rsid w:val="002C1A6C"/>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6C3A"/>
    <w:rsid w:val="003173AC"/>
    <w:rsid w:val="00317697"/>
    <w:rsid w:val="00320118"/>
    <w:rsid w:val="0032047E"/>
    <w:rsid w:val="0032060E"/>
    <w:rsid w:val="00320B85"/>
    <w:rsid w:val="003210F7"/>
    <w:rsid w:val="003215D6"/>
    <w:rsid w:val="003217E5"/>
    <w:rsid w:val="00321F71"/>
    <w:rsid w:val="003228BD"/>
    <w:rsid w:val="00323D33"/>
    <w:rsid w:val="00324CAB"/>
    <w:rsid w:val="0032523A"/>
    <w:rsid w:val="0032535C"/>
    <w:rsid w:val="0032539E"/>
    <w:rsid w:val="0032567D"/>
    <w:rsid w:val="00325875"/>
    <w:rsid w:val="00325F0E"/>
    <w:rsid w:val="00327625"/>
    <w:rsid w:val="00327AC3"/>
    <w:rsid w:val="003303EC"/>
    <w:rsid w:val="003315DC"/>
    <w:rsid w:val="00331D51"/>
    <w:rsid w:val="00331E1E"/>
    <w:rsid w:val="003328B7"/>
    <w:rsid w:val="00333503"/>
    <w:rsid w:val="00334A54"/>
    <w:rsid w:val="00334CAE"/>
    <w:rsid w:val="00334ED8"/>
    <w:rsid w:val="00337126"/>
    <w:rsid w:val="00337789"/>
    <w:rsid w:val="003408D2"/>
    <w:rsid w:val="00341876"/>
    <w:rsid w:val="003418B0"/>
    <w:rsid w:val="00342CC8"/>
    <w:rsid w:val="00343214"/>
    <w:rsid w:val="003479CD"/>
    <w:rsid w:val="0035023C"/>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2591"/>
    <w:rsid w:val="00393715"/>
    <w:rsid w:val="00394CCB"/>
    <w:rsid w:val="00394E99"/>
    <w:rsid w:val="0039655C"/>
    <w:rsid w:val="00396757"/>
    <w:rsid w:val="00396B70"/>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9EE"/>
    <w:rsid w:val="003A7FCD"/>
    <w:rsid w:val="003B20A2"/>
    <w:rsid w:val="003B2108"/>
    <w:rsid w:val="003B21D5"/>
    <w:rsid w:val="003B222D"/>
    <w:rsid w:val="003B25CB"/>
    <w:rsid w:val="003B2E91"/>
    <w:rsid w:val="003B3294"/>
    <w:rsid w:val="003B3606"/>
    <w:rsid w:val="003B39D9"/>
    <w:rsid w:val="003B4207"/>
    <w:rsid w:val="003B422C"/>
    <w:rsid w:val="003B423C"/>
    <w:rsid w:val="003B465E"/>
    <w:rsid w:val="003B511D"/>
    <w:rsid w:val="003B5956"/>
    <w:rsid w:val="003B62C1"/>
    <w:rsid w:val="003B67D7"/>
    <w:rsid w:val="003B70DD"/>
    <w:rsid w:val="003C06E6"/>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2CA5"/>
    <w:rsid w:val="00443081"/>
    <w:rsid w:val="00443083"/>
    <w:rsid w:val="004433EC"/>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2B20"/>
    <w:rsid w:val="00482BB3"/>
    <w:rsid w:val="004830A9"/>
    <w:rsid w:val="0048348A"/>
    <w:rsid w:val="00483678"/>
    <w:rsid w:val="00484BBD"/>
    <w:rsid w:val="00486491"/>
    <w:rsid w:val="004867C3"/>
    <w:rsid w:val="00486F94"/>
    <w:rsid w:val="00487EEA"/>
    <w:rsid w:val="00491FE8"/>
    <w:rsid w:val="0049307F"/>
    <w:rsid w:val="00493A6F"/>
    <w:rsid w:val="004953C7"/>
    <w:rsid w:val="00496397"/>
    <w:rsid w:val="004967DD"/>
    <w:rsid w:val="00497F9E"/>
    <w:rsid w:val="004A03EA"/>
    <w:rsid w:val="004A302A"/>
    <w:rsid w:val="004A319A"/>
    <w:rsid w:val="004A323C"/>
    <w:rsid w:val="004A3748"/>
    <w:rsid w:val="004A38F9"/>
    <w:rsid w:val="004A3FD7"/>
    <w:rsid w:val="004A3FD9"/>
    <w:rsid w:val="004A52CA"/>
    <w:rsid w:val="004A5595"/>
    <w:rsid w:val="004A6FBC"/>
    <w:rsid w:val="004A7C2A"/>
    <w:rsid w:val="004B0805"/>
    <w:rsid w:val="004B08D9"/>
    <w:rsid w:val="004B130A"/>
    <w:rsid w:val="004B171F"/>
    <w:rsid w:val="004B3FDC"/>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5E"/>
    <w:rsid w:val="004F3AB8"/>
    <w:rsid w:val="004F47F5"/>
    <w:rsid w:val="004F4DBC"/>
    <w:rsid w:val="004F521A"/>
    <w:rsid w:val="004F524D"/>
    <w:rsid w:val="004F5DAC"/>
    <w:rsid w:val="004F68C2"/>
    <w:rsid w:val="004F69BA"/>
    <w:rsid w:val="0050055A"/>
    <w:rsid w:val="00501CC6"/>
    <w:rsid w:val="005020CC"/>
    <w:rsid w:val="005025A1"/>
    <w:rsid w:val="00503F30"/>
    <w:rsid w:val="005044CA"/>
    <w:rsid w:val="00504B23"/>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92A"/>
    <w:rsid w:val="00520A8F"/>
    <w:rsid w:val="00521143"/>
    <w:rsid w:val="005219C7"/>
    <w:rsid w:val="00522D8D"/>
    <w:rsid w:val="00523770"/>
    <w:rsid w:val="00523996"/>
    <w:rsid w:val="00524D01"/>
    <w:rsid w:val="00524E32"/>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B47"/>
    <w:rsid w:val="00554CD8"/>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489F"/>
    <w:rsid w:val="005A5C67"/>
    <w:rsid w:val="005A6290"/>
    <w:rsid w:val="005A6C72"/>
    <w:rsid w:val="005A6E4F"/>
    <w:rsid w:val="005A7664"/>
    <w:rsid w:val="005A77A7"/>
    <w:rsid w:val="005B0493"/>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E7A42"/>
    <w:rsid w:val="005F0331"/>
    <w:rsid w:val="005F084B"/>
    <w:rsid w:val="005F12C3"/>
    <w:rsid w:val="005F1EF4"/>
    <w:rsid w:val="005F309F"/>
    <w:rsid w:val="005F5EF6"/>
    <w:rsid w:val="005F6B3D"/>
    <w:rsid w:val="005F7A53"/>
    <w:rsid w:val="005F7F24"/>
    <w:rsid w:val="00600413"/>
    <w:rsid w:val="00600802"/>
    <w:rsid w:val="00601420"/>
    <w:rsid w:val="00601D97"/>
    <w:rsid w:val="0060217D"/>
    <w:rsid w:val="00602BF9"/>
    <w:rsid w:val="0060329E"/>
    <w:rsid w:val="006037B0"/>
    <w:rsid w:val="0060492D"/>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25A8"/>
    <w:rsid w:val="00632D1D"/>
    <w:rsid w:val="00632DF3"/>
    <w:rsid w:val="00632F70"/>
    <w:rsid w:val="0063337A"/>
    <w:rsid w:val="0063374A"/>
    <w:rsid w:val="006345EF"/>
    <w:rsid w:val="00635777"/>
    <w:rsid w:val="006367F8"/>
    <w:rsid w:val="00636AE2"/>
    <w:rsid w:val="00636E3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881"/>
    <w:rsid w:val="006875CA"/>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683"/>
    <w:rsid w:val="006B2D63"/>
    <w:rsid w:val="006B30D4"/>
    <w:rsid w:val="006B3E39"/>
    <w:rsid w:val="006B40F3"/>
    <w:rsid w:val="006B4946"/>
    <w:rsid w:val="006B554D"/>
    <w:rsid w:val="006B5DA6"/>
    <w:rsid w:val="006B6A42"/>
    <w:rsid w:val="006B6EBF"/>
    <w:rsid w:val="006B7882"/>
    <w:rsid w:val="006C000B"/>
    <w:rsid w:val="006C0B15"/>
    <w:rsid w:val="006C1746"/>
    <w:rsid w:val="006C1835"/>
    <w:rsid w:val="006C1B6D"/>
    <w:rsid w:val="006C214B"/>
    <w:rsid w:val="006C2219"/>
    <w:rsid w:val="006C2E23"/>
    <w:rsid w:val="006C2FAC"/>
    <w:rsid w:val="006C3222"/>
    <w:rsid w:val="006C35A0"/>
    <w:rsid w:val="006C3658"/>
    <w:rsid w:val="006C40A4"/>
    <w:rsid w:val="006C4D7B"/>
    <w:rsid w:val="006C6AA7"/>
    <w:rsid w:val="006C73A9"/>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3C87"/>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3A58"/>
    <w:rsid w:val="00744033"/>
    <w:rsid w:val="00744336"/>
    <w:rsid w:val="00744BF0"/>
    <w:rsid w:val="00745C4C"/>
    <w:rsid w:val="00745C8D"/>
    <w:rsid w:val="00750330"/>
    <w:rsid w:val="00750816"/>
    <w:rsid w:val="00750819"/>
    <w:rsid w:val="00750DF5"/>
    <w:rsid w:val="007514C7"/>
    <w:rsid w:val="007516F7"/>
    <w:rsid w:val="007539A7"/>
    <w:rsid w:val="007539C5"/>
    <w:rsid w:val="00755326"/>
    <w:rsid w:val="00755543"/>
    <w:rsid w:val="0075661F"/>
    <w:rsid w:val="00756A5E"/>
    <w:rsid w:val="00756D26"/>
    <w:rsid w:val="007571FD"/>
    <w:rsid w:val="00757DDF"/>
    <w:rsid w:val="00757DF9"/>
    <w:rsid w:val="007606A3"/>
    <w:rsid w:val="00760908"/>
    <w:rsid w:val="00760CC2"/>
    <w:rsid w:val="0076114C"/>
    <w:rsid w:val="00762787"/>
    <w:rsid w:val="00763944"/>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1C4D"/>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07433"/>
    <w:rsid w:val="00807BD0"/>
    <w:rsid w:val="00810168"/>
    <w:rsid w:val="008103E8"/>
    <w:rsid w:val="00810EC8"/>
    <w:rsid w:val="008113C6"/>
    <w:rsid w:val="0081146B"/>
    <w:rsid w:val="00811D65"/>
    <w:rsid w:val="00812C36"/>
    <w:rsid w:val="00813B67"/>
    <w:rsid w:val="00813EED"/>
    <w:rsid w:val="0081490E"/>
    <w:rsid w:val="00814E05"/>
    <w:rsid w:val="008159B5"/>
    <w:rsid w:val="00815A44"/>
    <w:rsid w:val="00816677"/>
    <w:rsid w:val="00816FCD"/>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D2"/>
    <w:rsid w:val="00832FB7"/>
    <w:rsid w:val="00833315"/>
    <w:rsid w:val="008338EB"/>
    <w:rsid w:val="00834713"/>
    <w:rsid w:val="00837398"/>
    <w:rsid w:val="00837A3B"/>
    <w:rsid w:val="00840612"/>
    <w:rsid w:val="00842872"/>
    <w:rsid w:val="008433E6"/>
    <w:rsid w:val="00843AC3"/>
    <w:rsid w:val="00844B6A"/>
    <w:rsid w:val="00845325"/>
    <w:rsid w:val="008456A8"/>
    <w:rsid w:val="00850ABF"/>
    <w:rsid w:val="008517C8"/>
    <w:rsid w:val="008541ED"/>
    <w:rsid w:val="0085566B"/>
    <w:rsid w:val="0085598A"/>
    <w:rsid w:val="00855E40"/>
    <w:rsid w:val="00856635"/>
    <w:rsid w:val="008568E7"/>
    <w:rsid w:val="00856FDC"/>
    <w:rsid w:val="00857B3A"/>
    <w:rsid w:val="00860013"/>
    <w:rsid w:val="008610A9"/>
    <w:rsid w:val="00861B92"/>
    <w:rsid w:val="00862B23"/>
    <w:rsid w:val="008635F6"/>
    <w:rsid w:val="00864C2A"/>
    <w:rsid w:val="00865647"/>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4A8"/>
    <w:rsid w:val="00875D25"/>
    <w:rsid w:val="0087623B"/>
    <w:rsid w:val="00876C6A"/>
    <w:rsid w:val="0087729F"/>
    <w:rsid w:val="008775D5"/>
    <w:rsid w:val="008814FB"/>
    <w:rsid w:val="00881BCD"/>
    <w:rsid w:val="0088342D"/>
    <w:rsid w:val="00883D17"/>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0CB"/>
    <w:rsid w:val="008D2CFB"/>
    <w:rsid w:val="008D3446"/>
    <w:rsid w:val="008D3551"/>
    <w:rsid w:val="008D4136"/>
    <w:rsid w:val="008D4B5E"/>
    <w:rsid w:val="008D525F"/>
    <w:rsid w:val="008D6013"/>
    <w:rsid w:val="008D64B2"/>
    <w:rsid w:val="008E0955"/>
    <w:rsid w:val="008E0982"/>
    <w:rsid w:val="008E1E93"/>
    <w:rsid w:val="008E1E96"/>
    <w:rsid w:val="008E23C1"/>
    <w:rsid w:val="008E2D87"/>
    <w:rsid w:val="008E393E"/>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236B"/>
    <w:rsid w:val="00953B44"/>
    <w:rsid w:val="009552FC"/>
    <w:rsid w:val="0095652C"/>
    <w:rsid w:val="00956FA4"/>
    <w:rsid w:val="009571A3"/>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530B"/>
    <w:rsid w:val="00975323"/>
    <w:rsid w:val="00975C12"/>
    <w:rsid w:val="0097696C"/>
    <w:rsid w:val="00976CDC"/>
    <w:rsid w:val="00977522"/>
    <w:rsid w:val="0098092C"/>
    <w:rsid w:val="009812D5"/>
    <w:rsid w:val="0098273D"/>
    <w:rsid w:val="00982837"/>
    <w:rsid w:val="00983CD4"/>
    <w:rsid w:val="00984BFA"/>
    <w:rsid w:val="00984C68"/>
    <w:rsid w:val="0098533D"/>
    <w:rsid w:val="00985AC0"/>
    <w:rsid w:val="00990CF9"/>
    <w:rsid w:val="0099128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14F7"/>
    <w:rsid w:val="009B15E5"/>
    <w:rsid w:val="009B2939"/>
    <w:rsid w:val="009B3464"/>
    <w:rsid w:val="009B417F"/>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68B8"/>
    <w:rsid w:val="009D6E14"/>
    <w:rsid w:val="009D7BCF"/>
    <w:rsid w:val="009D7EAA"/>
    <w:rsid w:val="009E05DE"/>
    <w:rsid w:val="009E0AB7"/>
    <w:rsid w:val="009E1595"/>
    <w:rsid w:val="009E1D20"/>
    <w:rsid w:val="009E1DB5"/>
    <w:rsid w:val="009E1E5B"/>
    <w:rsid w:val="009E23C3"/>
    <w:rsid w:val="009E2DDF"/>
    <w:rsid w:val="009E3A64"/>
    <w:rsid w:val="009E43B4"/>
    <w:rsid w:val="009E450C"/>
    <w:rsid w:val="009E50F0"/>
    <w:rsid w:val="009E57F5"/>
    <w:rsid w:val="009E61BE"/>
    <w:rsid w:val="009E680B"/>
    <w:rsid w:val="009E6DD9"/>
    <w:rsid w:val="009E7BD3"/>
    <w:rsid w:val="009F1851"/>
    <w:rsid w:val="009F1979"/>
    <w:rsid w:val="009F1C75"/>
    <w:rsid w:val="009F2DDD"/>
    <w:rsid w:val="009F3C7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212A"/>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542"/>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5FB4"/>
    <w:rsid w:val="00A77DE5"/>
    <w:rsid w:val="00A80937"/>
    <w:rsid w:val="00A81221"/>
    <w:rsid w:val="00A82275"/>
    <w:rsid w:val="00A836CD"/>
    <w:rsid w:val="00A83E09"/>
    <w:rsid w:val="00A848D4"/>
    <w:rsid w:val="00A84EE0"/>
    <w:rsid w:val="00A865EC"/>
    <w:rsid w:val="00A8751F"/>
    <w:rsid w:val="00A9007A"/>
    <w:rsid w:val="00A903AC"/>
    <w:rsid w:val="00A91492"/>
    <w:rsid w:val="00A91E17"/>
    <w:rsid w:val="00A9397D"/>
    <w:rsid w:val="00A940F8"/>
    <w:rsid w:val="00A946A9"/>
    <w:rsid w:val="00A94B77"/>
    <w:rsid w:val="00A94C02"/>
    <w:rsid w:val="00A9509B"/>
    <w:rsid w:val="00A95288"/>
    <w:rsid w:val="00A9545D"/>
    <w:rsid w:val="00A9682D"/>
    <w:rsid w:val="00AA203A"/>
    <w:rsid w:val="00AA24C1"/>
    <w:rsid w:val="00AA3035"/>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5E84"/>
    <w:rsid w:val="00AD7456"/>
    <w:rsid w:val="00AD7D79"/>
    <w:rsid w:val="00AE0D2A"/>
    <w:rsid w:val="00AE1F4F"/>
    <w:rsid w:val="00AE215C"/>
    <w:rsid w:val="00AE2162"/>
    <w:rsid w:val="00AE342B"/>
    <w:rsid w:val="00AE3895"/>
    <w:rsid w:val="00AE3E79"/>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387"/>
    <w:rsid w:val="00B01423"/>
    <w:rsid w:val="00B017A9"/>
    <w:rsid w:val="00B01B8C"/>
    <w:rsid w:val="00B02E55"/>
    <w:rsid w:val="00B030C6"/>
    <w:rsid w:val="00B036C1"/>
    <w:rsid w:val="00B03801"/>
    <w:rsid w:val="00B03AB7"/>
    <w:rsid w:val="00B0424B"/>
    <w:rsid w:val="00B0446A"/>
    <w:rsid w:val="00B04AC3"/>
    <w:rsid w:val="00B04EBB"/>
    <w:rsid w:val="00B05219"/>
    <w:rsid w:val="00B0555C"/>
    <w:rsid w:val="00B05868"/>
    <w:rsid w:val="00B06C37"/>
    <w:rsid w:val="00B071B3"/>
    <w:rsid w:val="00B07A8B"/>
    <w:rsid w:val="00B10773"/>
    <w:rsid w:val="00B10D8C"/>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35A5"/>
    <w:rsid w:val="00B437C3"/>
    <w:rsid w:val="00B43F28"/>
    <w:rsid w:val="00B448B1"/>
    <w:rsid w:val="00B449E3"/>
    <w:rsid w:val="00B465E1"/>
    <w:rsid w:val="00B46C0A"/>
    <w:rsid w:val="00B471CE"/>
    <w:rsid w:val="00B4722F"/>
    <w:rsid w:val="00B4756E"/>
    <w:rsid w:val="00B47631"/>
    <w:rsid w:val="00B47DC4"/>
    <w:rsid w:val="00B506FF"/>
    <w:rsid w:val="00B50760"/>
    <w:rsid w:val="00B51E25"/>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22C"/>
    <w:rsid w:val="00B81BBE"/>
    <w:rsid w:val="00B81F1F"/>
    <w:rsid w:val="00B83436"/>
    <w:rsid w:val="00B84AC1"/>
    <w:rsid w:val="00B85554"/>
    <w:rsid w:val="00B8622F"/>
    <w:rsid w:val="00B8653A"/>
    <w:rsid w:val="00B86EA8"/>
    <w:rsid w:val="00B8791C"/>
    <w:rsid w:val="00B90073"/>
    <w:rsid w:val="00B904D9"/>
    <w:rsid w:val="00B919DE"/>
    <w:rsid w:val="00B92BC4"/>
    <w:rsid w:val="00B9349A"/>
    <w:rsid w:val="00B94951"/>
    <w:rsid w:val="00B95724"/>
    <w:rsid w:val="00BA071A"/>
    <w:rsid w:val="00BA07FD"/>
    <w:rsid w:val="00BA1B9B"/>
    <w:rsid w:val="00BA2D27"/>
    <w:rsid w:val="00BA3EBE"/>
    <w:rsid w:val="00BA3FF6"/>
    <w:rsid w:val="00BA49F0"/>
    <w:rsid w:val="00BA55F5"/>
    <w:rsid w:val="00BA5BD5"/>
    <w:rsid w:val="00BA5C54"/>
    <w:rsid w:val="00BA6418"/>
    <w:rsid w:val="00BA6D66"/>
    <w:rsid w:val="00BA784B"/>
    <w:rsid w:val="00BA7CBD"/>
    <w:rsid w:val="00BB32D9"/>
    <w:rsid w:val="00BB332F"/>
    <w:rsid w:val="00BB4449"/>
    <w:rsid w:val="00BB4A54"/>
    <w:rsid w:val="00BB6DCE"/>
    <w:rsid w:val="00BB73BD"/>
    <w:rsid w:val="00BC0C90"/>
    <w:rsid w:val="00BC1476"/>
    <w:rsid w:val="00BC324D"/>
    <w:rsid w:val="00BC337E"/>
    <w:rsid w:val="00BC5264"/>
    <w:rsid w:val="00BC57BA"/>
    <w:rsid w:val="00BC6197"/>
    <w:rsid w:val="00BC620C"/>
    <w:rsid w:val="00BC6548"/>
    <w:rsid w:val="00BC6B06"/>
    <w:rsid w:val="00BC778E"/>
    <w:rsid w:val="00BD106A"/>
    <w:rsid w:val="00BD10EC"/>
    <w:rsid w:val="00BD2933"/>
    <w:rsid w:val="00BD2E4C"/>
    <w:rsid w:val="00BD5636"/>
    <w:rsid w:val="00BD5A68"/>
    <w:rsid w:val="00BD714D"/>
    <w:rsid w:val="00BE04BE"/>
    <w:rsid w:val="00BE0CDA"/>
    <w:rsid w:val="00BE0DC5"/>
    <w:rsid w:val="00BE0F7C"/>
    <w:rsid w:val="00BE2215"/>
    <w:rsid w:val="00BE290F"/>
    <w:rsid w:val="00BE4115"/>
    <w:rsid w:val="00BE683F"/>
    <w:rsid w:val="00BE690B"/>
    <w:rsid w:val="00BE6ADF"/>
    <w:rsid w:val="00BE756A"/>
    <w:rsid w:val="00BF13A6"/>
    <w:rsid w:val="00BF162C"/>
    <w:rsid w:val="00BF24FA"/>
    <w:rsid w:val="00BF2CE5"/>
    <w:rsid w:val="00BF381B"/>
    <w:rsid w:val="00BF3CC7"/>
    <w:rsid w:val="00BF43A2"/>
    <w:rsid w:val="00BF50BD"/>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6D6C"/>
    <w:rsid w:val="00C21F41"/>
    <w:rsid w:val="00C2338F"/>
    <w:rsid w:val="00C237D5"/>
    <w:rsid w:val="00C2522F"/>
    <w:rsid w:val="00C25808"/>
    <w:rsid w:val="00C25F15"/>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403E7"/>
    <w:rsid w:val="00C40673"/>
    <w:rsid w:val="00C416D9"/>
    <w:rsid w:val="00C41FA9"/>
    <w:rsid w:val="00C43B8A"/>
    <w:rsid w:val="00C446FD"/>
    <w:rsid w:val="00C4517D"/>
    <w:rsid w:val="00C46697"/>
    <w:rsid w:val="00C47774"/>
    <w:rsid w:val="00C4791D"/>
    <w:rsid w:val="00C47A61"/>
    <w:rsid w:val="00C50107"/>
    <w:rsid w:val="00C5058C"/>
    <w:rsid w:val="00C50606"/>
    <w:rsid w:val="00C506B8"/>
    <w:rsid w:val="00C50986"/>
    <w:rsid w:val="00C51186"/>
    <w:rsid w:val="00C51BF4"/>
    <w:rsid w:val="00C5204B"/>
    <w:rsid w:val="00C520B4"/>
    <w:rsid w:val="00C526F0"/>
    <w:rsid w:val="00C52BA8"/>
    <w:rsid w:val="00C538A2"/>
    <w:rsid w:val="00C53D17"/>
    <w:rsid w:val="00C54171"/>
    <w:rsid w:val="00C54305"/>
    <w:rsid w:val="00C545C5"/>
    <w:rsid w:val="00C54AEF"/>
    <w:rsid w:val="00C54C9A"/>
    <w:rsid w:val="00C54F52"/>
    <w:rsid w:val="00C558E4"/>
    <w:rsid w:val="00C56F50"/>
    <w:rsid w:val="00C57520"/>
    <w:rsid w:val="00C5794A"/>
    <w:rsid w:val="00C57C66"/>
    <w:rsid w:val="00C57CB3"/>
    <w:rsid w:val="00C600A8"/>
    <w:rsid w:val="00C61617"/>
    <w:rsid w:val="00C61949"/>
    <w:rsid w:val="00C63E1A"/>
    <w:rsid w:val="00C65204"/>
    <w:rsid w:val="00C653B2"/>
    <w:rsid w:val="00C67829"/>
    <w:rsid w:val="00C67FD4"/>
    <w:rsid w:val="00C70123"/>
    <w:rsid w:val="00C70886"/>
    <w:rsid w:val="00C712BA"/>
    <w:rsid w:val="00C717AE"/>
    <w:rsid w:val="00C721F3"/>
    <w:rsid w:val="00C72C8B"/>
    <w:rsid w:val="00C7491B"/>
    <w:rsid w:val="00C75CEC"/>
    <w:rsid w:val="00C765FA"/>
    <w:rsid w:val="00C77570"/>
    <w:rsid w:val="00C77857"/>
    <w:rsid w:val="00C77B03"/>
    <w:rsid w:val="00C77CC2"/>
    <w:rsid w:val="00C8001A"/>
    <w:rsid w:val="00C803F0"/>
    <w:rsid w:val="00C80ACD"/>
    <w:rsid w:val="00C81104"/>
    <w:rsid w:val="00C817C4"/>
    <w:rsid w:val="00C82570"/>
    <w:rsid w:val="00C82E86"/>
    <w:rsid w:val="00C833FF"/>
    <w:rsid w:val="00C83D98"/>
    <w:rsid w:val="00C83EC1"/>
    <w:rsid w:val="00C845A6"/>
    <w:rsid w:val="00C85093"/>
    <w:rsid w:val="00C85C50"/>
    <w:rsid w:val="00C86FB9"/>
    <w:rsid w:val="00C87F70"/>
    <w:rsid w:val="00C92216"/>
    <w:rsid w:val="00C92EF2"/>
    <w:rsid w:val="00C93C76"/>
    <w:rsid w:val="00C93DFD"/>
    <w:rsid w:val="00C9404E"/>
    <w:rsid w:val="00C95330"/>
    <w:rsid w:val="00C9555B"/>
    <w:rsid w:val="00C9561D"/>
    <w:rsid w:val="00C95BE8"/>
    <w:rsid w:val="00C95F45"/>
    <w:rsid w:val="00C9621E"/>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3D04"/>
    <w:rsid w:val="00CC44E4"/>
    <w:rsid w:val="00CC4A8C"/>
    <w:rsid w:val="00CC4A95"/>
    <w:rsid w:val="00CC4FA0"/>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F1312"/>
    <w:rsid w:val="00CF1EB0"/>
    <w:rsid w:val="00CF2D81"/>
    <w:rsid w:val="00CF3579"/>
    <w:rsid w:val="00CF3D88"/>
    <w:rsid w:val="00CF3E33"/>
    <w:rsid w:val="00CF456A"/>
    <w:rsid w:val="00CF4ABC"/>
    <w:rsid w:val="00CF5152"/>
    <w:rsid w:val="00CF58B7"/>
    <w:rsid w:val="00CF6F74"/>
    <w:rsid w:val="00CF7672"/>
    <w:rsid w:val="00D000DB"/>
    <w:rsid w:val="00D00927"/>
    <w:rsid w:val="00D01DFE"/>
    <w:rsid w:val="00D01F10"/>
    <w:rsid w:val="00D058A1"/>
    <w:rsid w:val="00D07F6F"/>
    <w:rsid w:val="00D1056A"/>
    <w:rsid w:val="00D106BB"/>
    <w:rsid w:val="00D10A5B"/>
    <w:rsid w:val="00D11606"/>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47C1"/>
    <w:rsid w:val="00D74E6F"/>
    <w:rsid w:val="00D7520D"/>
    <w:rsid w:val="00D7535D"/>
    <w:rsid w:val="00D762B4"/>
    <w:rsid w:val="00D76725"/>
    <w:rsid w:val="00D7744A"/>
    <w:rsid w:val="00D80278"/>
    <w:rsid w:val="00D829FF"/>
    <w:rsid w:val="00D8391E"/>
    <w:rsid w:val="00D84F30"/>
    <w:rsid w:val="00D8626D"/>
    <w:rsid w:val="00D86314"/>
    <w:rsid w:val="00D8692B"/>
    <w:rsid w:val="00D8696A"/>
    <w:rsid w:val="00D86A7A"/>
    <w:rsid w:val="00D86BF0"/>
    <w:rsid w:val="00D90653"/>
    <w:rsid w:val="00D91589"/>
    <w:rsid w:val="00D92D7E"/>
    <w:rsid w:val="00D94467"/>
    <w:rsid w:val="00D95344"/>
    <w:rsid w:val="00D9534F"/>
    <w:rsid w:val="00D95955"/>
    <w:rsid w:val="00DA01CB"/>
    <w:rsid w:val="00DA0D2A"/>
    <w:rsid w:val="00DA21F3"/>
    <w:rsid w:val="00DA3807"/>
    <w:rsid w:val="00DA4699"/>
    <w:rsid w:val="00DA476B"/>
    <w:rsid w:val="00DA47B5"/>
    <w:rsid w:val="00DA5810"/>
    <w:rsid w:val="00DA6FDC"/>
    <w:rsid w:val="00DB0B35"/>
    <w:rsid w:val="00DB13F3"/>
    <w:rsid w:val="00DB1EDE"/>
    <w:rsid w:val="00DB273D"/>
    <w:rsid w:val="00DB3B7B"/>
    <w:rsid w:val="00DB4378"/>
    <w:rsid w:val="00DB45D5"/>
    <w:rsid w:val="00DB47FE"/>
    <w:rsid w:val="00DB5B20"/>
    <w:rsid w:val="00DB6BE1"/>
    <w:rsid w:val="00DB6D1A"/>
    <w:rsid w:val="00DB782A"/>
    <w:rsid w:val="00DC0570"/>
    <w:rsid w:val="00DC159F"/>
    <w:rsid w:val="00DC2B5E"/>
    <w:rsid w:val="00DC4595"/>
    <w:rsid w:val="00DC5842"/>
    <w:rsid w:val="00DC72B8"/>
    <w:rsid w:val="00DC7E24"/>
    <w:rsid w:val="00DD0853"/>
    <w:rsid w:val="00DD09D8"/>
    <w:rsid w:val="00DD0E13"/>
    <w:rsid w:val="00DD0F2D"/>
    <w:rsid w:val="00DD1611"/>
    <w:rsid w:val="00DD1F43"/>
    <w:rsid w:val="00DD22B5"/>
    <w:rsid w:val="00DD28F1"/>
    <w:rsid w:val="00DD36B8"/>
    <w:rsid w:val="00DD5398"/>
    <w:rsid w:val="00DD551B"/>
    <w:rsid w:val="00DD698F"/>
    <w:rsid w:val="00DE1116"/>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60B9"/>
    <w:rsid w:val="00DF7154"/>
    <w:rsid w:val="00E000C5"/>
    <w:rsid w:val="00E03F00"/>
    <w:rsid w:val="00E03FB1"/>
    <w:rsid w:val="00E045E1"/>
    <w:rsid w:val="00E04712"/>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204D4"/>
    <w:rsid w:val="00E20842"/>
    <w:rsid w:val="00E21174"/>
    <w:rsid w:val="00E21490"/>
    <w:rsid w:val="00E219E8"/>
    <w:rsid w:val="00E22326"/>
    <w:rsid w:val="00E22737"/>
    <w:rsid w:val="00E22EEA"/>
    <w:rsid w:val="00E258D1"/>
    <w:rsid w:val="00E25F0F"/>
    <w:rsid w:val="00E26216"/>
    <w:rsid w:val="00E27CC5"/>
    <w:rsid w:val="00E27E75"/>
    <w:rsid w:val="00E30D7F"/>
    <w:rsid w:val="00E3177E"/>
    <w:rsid w:val="00E32025"/>
    <w:rsid w:val="00E33340"/>
    <w:rsid w:val="00E33713"/>
    <w:rsid w:val="00E35E90"/>
    <w:rsid w:val="00E3660B"/>
    <w:rsid w:val="00E3683B"/>
    <w:rsid w:val="00E36862"/>
    <w:rsid w:val="00E37B72"/>
    <w:rsid w:val="00E40E00"/>
    <w:rsid w:val="00E40EBA"/>
    <w:rsid w:val="00E412FB"/>
    <w:rsid w:val="00E41806"/>
    <w:rsid w:val="00E41D3D"/>
    <w:rsid w:val="00E42CA1"/>
    <w:rsid w:val="00E44923"/>
    <w:rsid w:val="00E44C2E"/>
    <w:rsid w:val="00E463F4"/>
    <w:rsid w:val="00E46DB1"/>
    <w:rsid w:val="00E4729E"/>
    <w:rsid w:val="00E473DE"/>
    <w:rsid w:val="00E4767E"/>
    <w:rsid w:val="00E5060D"/>
    <w:rsid w:val="00E51641"/>
    <w:rsid w:val="00E51712"/>
    <w:rsid w:val="00E51920"/>
    <w:rsid w:val="00E5237F"/>
    <w:rsid w:val="00E53A4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4184"/>
    <w:rsid w:val="00E75F24"/>
    <w:rsid w:val="00E76843"/>
    <w:rsid w:val="00E7691A"/>
    <w:rsid w:val="00E76E61"/>
    <w:rsid w:val="00E77218"/>
    <w:rsid w:val="00E8008B"/>
    <w:rsid w:val="00E817AC"/>
    <w:rsid w:val="00E827D1"/>
    <w:rsid w:val="00E828E3"/>
    <w:rsid w:val="00E834F2"/>
    <w:rsid w:val="00E84AED"/>
    <w:rsid w:val="00E84FBF"/>
    <w:rsid w:val="00E863E1"/>
    <w:rsid w:val="00E91FFB"/>
    <w:rsid w:val="00E93D40"/>
    <w:rsid w:val="00E941C8"/>
    <w:rsid w:val="00E94B35"/>
    <w:rsid w:val="00E94B85"/>
    <w:rsid w:val="00E95332"/>
    <w:rsid w:val="00E95412"/>
    <w:rsid w:val="00E9644D"/>
    <w:rsid w:val="00E964E4"/>
    <w:rsid w:val="00E96E0C"/>
    <w:rsid w:val="00E9794C"/>
    <w:rsid w:val="00E97FB2"/>
    <w:rsid w:val="00EA0767"/>
    <w:rsid w:val="00EA0D7E"/>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BD6"/>
    <w:rsid w:val="00EB3BDE"/>
    <w:rsid w:val="00EB3C0C"/>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099F"/>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721"/>
    <w:rsid w:val="00EF49A6"/>
    <w:rsid w:val="00EF5B9C"/>
    <w:rsid w:val="00EF60E3"/>
    <w:rsid w:val="00EF61B8"/>
    <w:rsid w:val="00EF6397"/>
    <w:rsid w:val="00EF7182"/>
    <w:rsid w:val="00F0072D"/>
    <w:rsid w:val="00F00A3C"/>
    <w:rsid w:val="00F00DA3"/>
    <w:rsid w:val="00F00ECF"/>
    <w:rsid w:val="00F01980"/>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3260E"/>
    <w:rsid w:val="00F33965"/>
    <w:rsid w:val="00F34385"/>
    <w:rsid w:val="00F34A1A"/>
    <w:rsid w:val="00F34E43"/>
    <w:rsid w:val="00F40DA6"/>
    <w:rsid w:val="00F40F7C"/>
    <w:rsid w:val="00F4150C"/>
    <w:rsid w:val="00F44607"/>
    <w:rsid w:val="00F44E7C"/>
    <w:rsid w:val="00F46A45"/>
    <w:rsid w:val="00F46C18"/>
    <w:rsid w:val="00F471C5"/>
    <w:rsid w:val="00F47C5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24A3"/>
    <w:rsid w:val="00F73602"/>
    <w:rsid w:val="00F73834"/>
    <w:rsid w:val="00F75030"/>
    <w:rsid w:val="00F755DB"/>
    <w:rsid w:val="00F757D9"/>
    <w:rsid w:val="00F76692"/>
    <w:rsid w:val="00F777DD"/>
    <w:rsid w:val="00F81C1E"/>
    <w:rsid w:val="00F8325B"/>
    <w:rsid w:val="00F83409"/>
    <w:rsid w:val="00F84A9B"/>
    <w:rsid w:val="00F84B4D"/>
    <w:rsid w:val="00F84B69"/>
    <w:rsid w:val="00F84BCB"/>
    <w:rsid w:val="00F85272"/>
    <w:rsid w:val="00F85A62"/>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2B8"/>
    <w:rsid w:val="00FA47DD"/>
    <w:rsid w:val="00FA4D12"/>
    <w:rsid w:val="00FA573E"/>
    <w:rsid w:val="00FA594C"/>
    <w:rsid w:val="00FA5CDF"/>
    <w:rsid w:val="00FA7121"/>
    <w:rsid w:val="00FA757B"/>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2E25"/>
    <w:rsid w:val="00FC32E0"/>
    <w:rsid w:val="00FC4B1A"/>
    <w:rsid w:val="00FC4DE6"/>
    <w:rsid w:val="00FC55B8"/>
    <w:rsid w:val="00FC5840"/>
    <w:rsid w:val="00FC5A9E"/>
    <w:rsid w:val="00FC5EB8"/>
    <w:rsid w:val="00FC6230"/>
    <w:rsid w:val="00FC62CB"/>
    <w:rsid w:val="00FD0F6C"/>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8279</Characters>
  <Application>Microsoft Office Word</Application>
  <DocSecurity>0</DocSecurity>
  <Lines>68</Lines>
  <Paragraphs>19</Paragraphs>
  <ScaleCrop>false</ScaleCrop>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2021-07-07T10:47:00Z</dcterms:created>
  <dcterms:modified xsi:type="dcterms:W3CDTF">2021-07-07T10:48:00Z</dcterms:modified>
</cp:coreProperties>
</file>