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E457DC6" w:rsidR="00975C12" w:rsidRPr="00F40D3F" w:rsidRDefault="00975C12" w:rsidP="00975C12">
      <w:pPr>
        <w:pStyle w:val="Heading1"/>
        <w:jc w:val="center"/>
      </w:pPr>
      <w:r w:rsidRPr="00F40D3F">
        <w:t xml:space="preserve">Minutes of the meeting held </w:t>
      </w:r>
      <w:r w:rsidR="00115E02">
        <w:t>on 2 Febr</w:t>
      </w:r>
      <w:r w:rsidR="00966E36">
        <w:t>uary</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7A02E8A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7E6FE5CA"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r w:rsidR="00C5528F">
        <w:rPr>
          <w:rFonts w:cs="Arial"/>
          <w:sz w:val="22"/>
          <w:szCs w:val="22"/>
          <w:lang w:val="en-GB"/>
        </w:rPr>
        <w:t xml:space="preserve"> (from item </w:t>
      </w:r>
      <w:r w:rsidR="0004360E">
        <w:rPr>
          <w:rFonts w:cs="Arial"/>
          <w:sz w:val="22"/>
          <w:szCs w:val="22"/>
          <w:lang w:val="en-GB"/>
        </w:rPr>
        <w:t>7)</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1D0711C7" w:rsidR="007D0457" w:rsidRDefault="007D0457" w:rsidP="006F3BE2">
      <w:pPr>
        <w:pStyle w:val="Heading2"/>
        <w:rPr>
          <w:szCs w:val="22"/>
          <w:lang w:eastAsia="en-US"/>
        </w:rPr>
      </w:pPr>
      <w:r w:rsidRPr="00940904">
        <w:rPr>
          <w:szCs w:val="22"/>
          <w:lang w:eastAsia="en-US"/>
        </w:rPr>
        <w:t>In attendance</w:t>
      </w:r>
    </w:p>
    <w:p w14:paraId="3341CB32" w14:textId="7F0C4258" w:rsidR="00C5528F" w:rsidRPr="00C5528F" w:rsidRDefault="00C5528F" w:rsidP="00C5528F">
      <w:pPr>
        <w:pStyle w:val="Paragraph"/>
        <w:numPr>
          <w:ilvl w:val="0"/>
          <w:numId w:val="0"/>
        </w:numPr>
        <w:rPr>
          <w:sz w:val="22"/>
          <w:szCs w:val="22"/>
          <w:lang w:eastAsia="en-US"/>
        </w:rPr>
      </w:pPr>
      <w:r w:rsidRPr="00C5528F">
        <w:rPr>
          <w:sz w:val="22"/>
          <w:szCs w:val="22"/>
          <w:lang w:eastAsia="en-US"/>
        </w:rPr>
        <w:t>Mark Salmon</w:t>
      </w:r>
      <w:r>
        <w:rPr>
          <w:sz w:val="22"/>
          <w:szCs w:val="22"/>
          <w:lang w:eastAsia="en-US"/>
        </w:rPr>
        <w:tab/>
      </w:r>
      <w:r>
        <w:rPr>
          <w:sz w:val="22"/>
          <w:szCs w:val="22"/>
          <w:lang w:eastAsia="en-US"/>
        </w:rPr>
        <w:tab/>
      </w:r>
      <w:r w:rsidR="00F8240A">
        <w:rPr>
          <w:sz w:val="22"/>
          <w:szCs w:val="22"/>
          <w:lang w:eastAsia="en-US"/>
        </w:rPr>
        <w:t>Programme Director – Information Resources</w:t>
      </w:r>
      <w:r w:rsidRPr="00C5528F">
        <w:rPr>
          <w:sz w:val="22"/>
          <w:szCs w:val="22"/>
          <w:lang w:eastAsia="en-US"/>
        </w:rPr>
        <w:tab/>
      </w:r>
      <w:r w:rsidRPr="00C5528F">
        <w:rPr>
          <w:sz w:val="22"/>
          <w:szCs w:val="22"/>
          <w:lang w:eastAsia="en-US"/>
        </w:rPr>
        <w:tab/>
      </w:r>
    </w:p>
    <w:p w14:paraId="0542C059" w14:textId="4C7BBB0E" w:rsidR="007F1B30" w:rsidRDefault="007F1B30" w:rsidP="007F1B30">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41C3D736" w14:textId="5D5F5047"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Elaine Repton</w:t>
      </w:r>
      <w:r>
        <w:rPr>
          <w:color w:val="000000" w:themeColor="text1"/>
          <w:sz w:val="22"/>
          <w:szCs w:val="22"/>
        </w:rPr>
        <w:tab/>
        <w:t xml:space="preserve">Corporate Governance </w:t>
      </w:r>
      <w:r w:rsidR="002B0E8B">
        <w:rPr>
          <w:color w:val="000000" w:themeColor="text1"/>
          <w:sz w:val="22"/>
          <w:szCs w:val="22"/>
        </w:rPr>
        <w:t xml:space="preserve">and Risk </w:t>
      </w:r>
      <w:r>
        <w:rPr>
          <w:color w:val="000000" w:themeColor="text1"/>
          <w:sz w:val="22"/>
          <w:szCs w:val="22"/>
        </w:rPr>
        <w:t>Manager (minutes)</w:t>
      </w:r>
    </w:p>
    <w:p w14:paraId="45301840" w14:textId="68FB25BA"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Associate Director</w:t>
      </w:r>
      <w:r w:rsidR="00807BD0">
        <w:rPr>
          <w:color w:val="000000" w:themeColor="text1"/>
          <w:sz w:val="22"/>
          <w:szCs w:val="22"/>
        </w:rPr>
        <w:t xml:space="preserve"> – Corporate office (item </w:t>
      </w:r>
      <w:r w:rsidR="002B0E8B">
        <w:rPr>
          <w:color w:val="000000" w:themeColor="text1"/>
          <w:sz w:val="22"/>
          <w:szCs w:val="22"/>
        </w:rPr>
        <w:t>5</w:t>
      </w:r>
      <w:r w:rsidR="00807BD0">
        <w:rPr>
          <w:color w:val="000000" w:themeColor="text1"/>
          <w:sz w:val="22"/>
          <w:szCs w:val="22"/>
        </w:rPr>
        <w:t>)</w:t>
      </w:r>
    </w:p>
    <w:p w14:paraId="05E346F6" w14:textId="67394957"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Sarah Blagden</w:t>
      </w:r>
      <w:r>
        <w:rPr>
          <w:color w:val="000000" w:themeColor="text1"/>
          <w:sz w:val="22"/>
          <w:szCs w:val="22"/>
        </w:rPr>
        <w:tab/>
        <w:t>Public Health Specialty Registrar (item 7)</w:t>
      </w:r>
    </w:p>
    <w:p w14:paraId="1BBF76AF" w14:textId="279F42C0"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Danielle Mason</w:t>
      </w:r>
      <w:r>
        <w:rPr>
          <w:color w:val="000000" w:themeColor="text1"/>
          <w:sz w:val="22"/>
          <w:szCs w:val="22"/>
        </w:rPr>
        <w:tab/>
        <w:t>Associate Director – Brand and Marketing (item 8)</w:t>
      </w:r>
    </w:p>
    <w:p w14:paraId="7403D595" w14:textId="26229B56"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Angela Wallace</w:t>
      </w:r>
      <w:r>
        <w:rPr>
          <w:color w:val="000000" w:themeColor="text1"/>
          <w:sz w:val="22"/>
          <w:szCs w:val="22"/>
        </w:rPr>
        <w:tab/>
        <w:t>Marketing Communications Manager (item 8)</w:t>
      </w:r>
    </w:p>
    <w:p w14:paraId="18AE086A" w14:textId="69C0F8D1"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Grace Marguerie</w:t>
      </w:r>
      <w:r>
        <w:rPr>
          <w:color w:val="000000" w:themeColor="text1"/>
          <w:sz w:val="22"/>
          <w:szCs w:val="22"/>
        </w:rPr>
        <w:tab/>
        <w:t>Associate Director – Human Resources (item 9)</w:t>
      </w:r>
    </w:p>
    <w:p w14:paraId="1F718CE6" w14:textId="731A6DE8"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Nic</w:t>
      </w:r>
      <w:r w:rsidR="00605307">
        <w:rPr>
          <w:color w:val="000000" w:themeColor="text1"/>
          <w:sz w:val="22"/>
          <w:szCs w:val="22"/>
        </w:rPr>
        <w:t xml:space="preserve">ola </w:t>
      </w:r>
      <w:r>
        <w:rPr>
          <w:color w:val="000000" w:themeColor="text1"/>
          <w:sz w:val="22"/>
          <w:szCs w:val="22"/>
        </w:rPr>
        <w:t>Tyson</w:t>
      </w:r>
      <w:r>
        <w:rPr>
          <w:color w:val="000000" w:themeColor="text1"/>
          <w:sz w:val="22"/>
          <w:szCs w:val="22"/>
        </w:rPr>
        <w:tab/>
        <w:t>Organisational Development &amp; Training Specialist (item 9)</w:t>
      </w:r>
    </w:p>
    <w:p w14:paraId="3B547320" w14:textId="724C379D" w:rsidR="002B0E8B" w:rsidRDefault="002B0E8B" w:rsidP="007F1B30">
      <w:pPr>
        <w:pStyle w:val="NICEnormal"/>
        <w:spacing w:after="0" w:line="240" w:lineRule="auto"/>
        <w:ind w:left="2160" w:hanging="2160"/>
        <w:rPr>
          <w:color w:val="000000" w:themeColor="text1"/>
          <w:sz w:val="22"/>
          <w:szCs w:val="22"/>
        </w:rPr>
      </w:pPr>
      <w:r>
        <w:rPr>
          <w:color w:val="000000" w:themeColor="text1"/>
          <w:sz w:val="22"/>
          <w:szCs w:val="22"/>
        </w:rPr>
        <w:t>Fiona Glen</w:t>
      </w:r>
      <w:r>
        <w:rPr>
          <w:color w:val="000000" w:themeColor="text1"/>
          <w:sz w:val="22"/>
          <w:szCs w:val="22"/>
        </w:rPr>
        <w:tab/>
        <w:t>Programme Director – Centre for Guidelines (item 10)</w:t>
      </w:r>
    </w:p>
    <w:p w14:paraId="62094208" w14:textId="23AB8DA6" w:rsidR="005F7A53" w:rsidRDefault="005F7A53" w:rsidP="007F1B30">
      <w:pPr>
        <w:pStyle w:val="NICEnormal"/>
        <w:spacing w:after="0" w:line="240" w:lineRule="auto"/>
        <w:ind w:left="2160" w:hanging="2160"/>
        <w:rPr>
          <w:color w:val="000000" w:themeColor="text1"/>
          <w:sz w:val="22"/>
          <w:szCs w:val="22"/>
        </w:rPr>
      </w:pPr>
    </w:p>
    <w:p w14:paraId="7E2F0A33" w14:textId="784DA2FC" w:rsidR="00273BFA" w:rsidRPr="00F8240A" w:rsidRDefault="00273BFA" w:rsidP="00F8240A">
      <w:pPr>
        <w:pStyle w:val="Heading2"/>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05235D2C" w:rsidR="006F3BE2" w:rsidRPr="00E6613F" w:rsidRDefault="009B15E5" w:rsidP="00C50606">
      <w:pPr>
        <w:pStyle w:val="Numberedpara"/>
        <w:rPr>
          <w:color w:val="auto"/>
        </w:rPr>
      </w:pPr>
      <w:r>
        <w:rPr>
          <w:color w:val="auto"/>
        </w:rPr>
        <w:t>A</w:t>
      </w:r>
      <w:r w:rsidR="00731C38" w:rsidRPr="00E6613F">
        <w:rPr>
          <w:color w:val="auto"/>
        </w:rPr>
        <w:t>pologies</w:t>
      </w:r>
      <w:r w:rsidR="00966E36">
        <w:rPr>
          <w:color w:val="auto"/>
        </w:rPr>
        <w:t xml:space="preserve"> </w:t>
      </w:r>
      <w:r>
        <w:rPr>
          <w:color w:val="auto"/>
        </w:rPr>
        <w:t>were received from</w:t>
      </w:r>
      <w:r w:rsidR="00D565EA">
        <w:rPr>
          <w:color w:val="auto"/>
        </w:rPr>
        <w:t xml:space="preserve"> David Coombs and </w:t>
      </w:r>
      <w:r w:rsidR="00F8240A">
        <w:rPr>
          <w:color w:val="auto"/>
        </w:rPr>
        <w:t xml:space="preserve">Felix Greaves for part of the meeting, </w:t>
      </w:r>
      <w:r w:rsidR="00812C16">
        <w:rPr>
          <w:color w:val="auto"/>
        </w:rPr>
        <w:t>for which he was</w:t>
      </w:r>
      <w:r w:rsidR="00F8240A">
        <w:rPr>
          <w:color w:val="auto"/>
        </w:rPr>
        <w:t xml:space="preserve"> represented by Mark Salmon</w:t>
      </w:r>
      <w:r w:rsidR="00D565EA">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3616DEA8" w14:textId="43FB613A" w:rsidR="00C9621E" w:rsidRDefault="006F3BE2" w:rsidP="0004360E">
      <w:pPr>
        <w:pStyle w:val="Numberedpara"/>
        <w:spacing w:after="240"/>
        <w:ind w:left="357" w:hanging="357"/>
      </w:pPr>
      <w:r>
        <w:t>The previously declared interests were noted</w:t>
      </w:r>
      <w:r w:rsidR="003503B7">
        <w:t>.</w:t>
      </w:r>
      <w:r w:rsidR="0004360E">
        <w:t xml:space="preserve">  Gill Leng advised that her interests had changed </w:t>
      </w:r>
      <w:r w:rsidR="004F3543">
        <w:t>and requested that the ET and Board registers be updated.</w:t>
      </w:r>
    </w:p>
    <w:p w14:paraId="7AC48058" w14:textId="77568BF6" w:rsidR="0004360E" w:rsidRPr="0004360E" w:rsidRDefault="0004360E" w:rsidP="0004360E">
      <w:pPr>
        <w:pStyle w:val="Numberedpara"/>
        <w:numPr>
          <w:ilvl w:val="0"/>
          <w:numId w:val="0"/>
        </w:numPr>
        <w:ind w:left="360"/>
        <w:jc w:val="right"/>
        <w:rPr>
          <w:b/>
          <w:bCs/>
        </w:rPr>
      </w:pPr>
      <w:r w:rsidRPr="0004360E">
        <w:rPr>
          <w:b/>
          <w:bCs/>
        </w:rPr>
        <w:t>ACTION: ER</w:t>
      </w:r>
    </w:p>
    <w:p w14:paraId="082007AD" w14:textId="77777777" w:rsidR="00BE6ADF" w:rsidRPr="00BE6ADF" w:rsidRDefault="00BE6ADF" w:rsidP="00BE6ADF">
      <w:pPr>
        <w:pStyle w:val="Paragraph"/>
        <w:numPr>
          <w:ilvl w:val="0"/>
          <w:numId w:val="0"/>
        </w:numPr>
      </w:pPr>
    </w:p>
    <w:p w14:paraId="02157615" w14:textId="031AC4DC" w:rsidR="006F3BE2" w:rsidRDefault="006F3BE2" w:rsidP="006F3BE2">
      <w:pPr>
        <w:pStyle w:val="Heading2"/>
      </w:pPr>
      <w:r>
        <w:t xml:space="preserve">Notes of the previous meeting (item </w:t>
      </w:r>
      <w:r w:rsidR="00F8240A">
        <w:t>3</w:t>
      </w:r>
      <w:r>
        <w:t>)</w:t>
      </w:r>
    </w:p>
    <w:p w14:paraId="0C5FC412" w14:textId="77777777" w:rsidR="006F3BE2" w:rsidRDefault="006F3BE2" w:rsidP="00FF68A5">
      <w:pPr>
        <w:pStyle w:val="Numberedpara"/>
        <w:numPr>
          <w:ilvl w:val="0"/>
          <w:numId w:val="0"/>
        </w:numPr>
        <w:ind w:left="360"/>
      </w:pPr>
    </w:p>
    <w:p w14:paraId="0E130F56" w14:textId="2BBE75B3" w:rsidR="0043491E" w:rsidRPr="00E6613F" w:rsidRDefault="006F3BE2" w:rsidP="00826DF2">
      <w:pPr>
        <w:pStyle w:val="Numberedpara"/>
        <w:rPr>
          <w:color w:val="auto"/>
        </w:rPr>
      </w:pPr>
      <w:r>
        <w:t xml:space="preserve">The minutes of the meeting held on </w:t>
      </w:r>
      <w:r w:rsidR="00F8240A">
        <w:t>26</w:t>
      </w:r>
      <w:r w:rsidR="00EC5281">
        <w:t xml:space="preserve"> January 2021 </w:t>
      </w:r>
      <w:r>
        <w:t>were ag</w:t>
      </w:r>
      <w:r w:rsidR="006037B0">
        <w:t>reed as a correct record</w:t>
      </w:r>
      <w:r w:rsidR="00F8240A">
        <w:t>, subject to correcti</w:t>
      </w:r>
      <w:r w:rsidR="0004360E">
        <w:t>ng Zoe Garrett</w:t>
      </w:r>
      <w:r w:rsidR="00F8240A">
        <w:t>.</w:t>
      </w:r>
    </w:p>
    <w:p w14:paraId="4D3B8B6A" w14:textId="77777777" w:rsidR="00FF68A5" w:rsidRDefault="00FF68A5" w:rsidP="00FF68A5">
      <w:pPr>
        <w:pStyle w:val="Numberedpara"/>
        <w:numPr>
          <w:ilvl w:val="0"/>
          <w:numId w:val="0"/>
        </w:numPr>
        <w:ind w:left="357"/>
      </w:pPr>
    </w:p>
    <w:p w14:paraId="485E367E" w14:textId="62D9164B" w:rsidR="006F3BE2" w:rsidRDefault="006F3BE2" w:rsidP="003503B7">
      <w:pPr>
        <w:pStyle w:val="Heading2"/>
      </w:pPr>
      <w:r>
        <w:t xml:space="preserve">Matters arising (item </w:t>
      </w:r>
      <w:r w:rsidR="002E31BD">
        <w:t>4</w:t>
      </w:r>
      <w:r>
        <w:t>)</w:t>
      </w:r>
    </w:p>
    <w:p w14:paraId="615D4ED2" w14:textId="77777777" w:rsidR="006F3BE2" w:rsidRDefault="006F3BE2" w:rsidP="00FF68A5">
      <w:pPr>
        <w:pStyle w:val="Numberedpara"/>
        <w:numPr>
          <w:ilvl w:val="0"/>
          <w:numId w:val="0"/>
        </w:numPr>
        <w:ind w:left="360"/>
      </w:pPr>
    </w:p>
    <w:p w14:paraId="0229DA7E" w14:textId="20A43F59" w:rsidR="00273BFA" w:rsidRDefault="006F3BE2" w:rsidP="00273BFA">
      <w:pPr>
        <w:pStyle w:val="Numberedpara"/>
        <w:spacing w:after="240"/>
      </w:pPr>
      <w:r>
        <w:t xml:space="preserve">The actions from the meeting held on </w:t>
      </w:r>
      <w:r w:rsidR="0004360E">
        <w:t>26</w:t>
      </w:r>
      <w:r w:rsidR="009D68B8">
        <w:t xml:space="preserve"> January 2021 </w:t>
      </w:r>
      <w:r>
        <w:t>were noted as complete or in hand.</w:t>
      </w:r>
    </w:p>
    <w:p w14:paraId="2D7E70C0" w14:textId="38BA1C8E" w:rsidR="00182F83" w:rsidRDefault="00251C94" w:rsidP="00273BFA">
      <w:pPr>
        <w:pStyle w:val="Numberedpara"/>
        <w:spacing w:after="240"/>
      </w:pPr>
      <w:r>
        <w:t xml:space="preserve">The ET was still awaiting </w:t>
      </w:r>
      <w:r w:rsidR="00B80D0F">
        <w:t xml:space="preserve">a copy of SCW’s project highlight report </w:t>
      </w:r>
      <w:r w:rsidR="001A6F06">
        <w:t>from Lynne Copp</w:t>
      </w:r>
      <w:r w:rsidR="00B80D0F">
        <w:t xml:space="preserve"> for sharing with their senior teams</w:t>
      </w:r>
      <w:r w:rsidR="001A6F06">
        <w:t>.</w:t>
      </w:r>
      <w:r w:rsidR="00B80D0F">
        <w:t xml:space="preserve">  Jennifer Howells agreed to request a copy and circulate.</w:t>
      </w:r>
    </w:p>
    <w:p w14:paraId="68A9B86F" w14:textId="7004354A" w:rsidR="00B80D0F" w:rsidRPr="00B80D0F" w:rsidRDefault="00B80D0F" w:rsidP="00B80D0F">
      <w:pPr>
        <w:pStyle w:val="Numberedpara"/>
        <w:numPr>
          <w:ilvl w:val="0"/>
          <w:numId w:val="0"/>
        </w:numPr>
        <w:spacing w:after="240"/>
        <w:ind w:left="360"/>
        <w:jc w:val="right"/>
        <w:rPr>
          <w:b/>
          <w:bCs/>
        </w:rPr>
      </w:pPr>
      <w:r w:rsidRPr="00B80D0F">
        <w:rPr>
          <w:b/>
          <w:bCs/>
        </w:rPr>
        <w:t>ACTION: JH</w:t>
      </w:r>
    </w:p>
    <w:p w14:paraId="3F754851" w14:textId="6339287F" w:rsidR="00E463F4" w:rsidRDefault="004B3F64" w:rsidP="00273BFA">
      <w:pPr>
        <w:pStyle w:val="Numberedpara"/>
        <w:spacing w:after="240"/>
      </w:pPr>
      <w:r>
        <w:lastRenderedPageBreak/>
        <w:t xml:space="preserve">Rebecca Threlfall had shared </w:t>
      </w:r>
      <w:r w:rsidR="00B13FFB">
        <w:t>a</w:t>
      </w:r>
      <w:r>
        <w:t xml:space="preserve"> list of </w:t>
      </w:r>
      <w:r w:rsidR="00B13FFB">
        <w:t xml:space="preserve">the </w:t>
      </w:r>
      <w:r>
        <w:t>CEO and Chairman’s meetings with external partners, to which ET member’s speaking events and engagements will be added</w:t>
      </w:r>
      <w:r w:rsidR="00AB515C">
        <w:t xml:space="preserve"> in future</w:t>
      </w:r>
      <w:r>
        <w:t>.</w:t>
      </w:r>
    </w:p>
    <w:p w14:paraId="05A9587D" w14:textId="7A435D3A" w:rsidR="00B13FFB" w:rsidRPr="00B13FFB" w:rsidRDefault="00B13FFB" w:rsidP="00B13FFB">
      <w:pPr>
        <w:pStyle w:val="Numberedpara"/>
        <w:numPr>
          <w:ilvl w:val="0"/>
          <w:numId w:val="0"/>
        </w:numPr>
        <w:spacing w:after="240"/>
        <w:ind w:left="360"/>
        <w:jc w:val="right"/>
        <w:rPr>
          <w:b/>
          <w:bCs/>
        </w:rPr>
      </w:pPr>
      <w:r w:rsidRPr="00B13FFB">
        <w:rPr>
          <w:b/>
          <w:bCs/>
        </w:rPr>
        <w:t>ACTION: RT/JG</w:t>
      </w:r>
    </w:p>
    <w:p w14:paraId="50983F25" w14:textId="6C6E153E" w:rsidR="00B13FFB" w:rsidRDefault="00B13FFB" w:rsidP="00273BFA">
      <w:pPr>
        <w:pStyle w:val="Numberedpara"/>
        <w:spacing w:after="240"/>
      </w:pPr>
      <w:r>
        <w:t>ET noted th</w:t>
      </w:r>
      <w:r w:rsidR="00AB515C">
        <w:t>at</w:t>
      </w:r>
      <w:r>
        <w:t xml:space="preserve"> Jennifer Howells will take over as chair of the </w:t>
      </w:r>
      <w:proofErr w:type="gramStart"/>
      <w:r>
        <w:t>Gold</w:t>
      </w:r>
      <w:proofErr w:type="gramEnd"/>
      <w:r>
        <w:t xml:space="preserve"> group.  Gill Leng will continue to attend meetings but not routinely.  Elaine Repton to amend the ToR.</w:t>
      </w:r>
    </w:p>
    <w:p w14:paraId="0F6E9AF1" w14:textId="51378E82" w:rsidR="00B13FFB" w:rsidRPr="00B13FFB" w:rsidRDefault="00B13FFB" w:rsidP="00B13FFB">
      <w:pPr>
        <w:pStyle w:val="Numberedpara"/>
        <w:numPr>
          <w:ilvl w:val="0"/>
          <w:numId w:val="0"/>
        </w:numPr>
        <w:spacing w:after="240"/>
        <w:ind w:left="360"/>
        <w:jc w:val="right"/>
        <w:rPr>
          <w:b/>
          <w:bCs/>
        </w:rPr>
      </w:pPr>
      <w:r w:rsidRPr="00B13FFB">
        <w:rPr>
          <w:b/>
          <w:bCs/>
        </w:rPr>
        <w:t xml:space="preserve">ACTION: ER  </w:t>
      </w:r>
    </w:p>
    <w:p w14:paraId="4A971E01" w14:textId="73F1B6D5" w:rsidR="00B13FFB" w:rsidRDefault="00812C16" w:rsidP="00812C16">
      <w:pPr>
        <w:pStyle w:val="Numberedpara"/>
        <w:spacing w:after="240"/>
        <w:ind w:left="357" w:hanging="357"/>
      </w:pPr>
      <w:r>
        <w:t>Following</w:t>
      </w:r>
      <w:r w:rsidR="0032394A">
        <w:t xml:space="preserve"> the discussion o</w:t>
      </w:r>
      <w:r>
        <w:t>f</w:t>
      </w:r>
      <w:r w:rsidR="0032394A">
        <w:t xml:space="preserve"> the future direction of NICE’s involvement in the </w:t>
      </w:r>
      <w:proofErr w:type="spellStart"/>
      <w:r w:rsidR="0032394A">
        <w:t>EUnetHTA</w:t>
      </w:r>
      <w:proofErr w:type="spellEnd"/>
      <w:r w:rsidR="0032394A">
        <w:t xml:space="preserve"> collaborations</w:t>
      </w:r>
      <w:r>
        <w:t xml:space="preserve"> post May 2021</w:t>
      </w:r>
      <w:r w:rsidR="0032394A">
        <w:t>, Gill Leng asked for a paper to come back to ET in March.  Mark Salmon was asked to advise Felix Greaves of the timescale.</w:t>
      </w:r>
    </w:p>
    <w:p w14:paraId="75C0F209" w14:textId="33677D70" w:rsidR="0032394A" w:rsidRPr="0032394A" w:rsidRDefault="0032394A" w:rsidP="00812C16">
      <w:pPr>
        <w:pStyle w:val="Numberedpara"/>
        <w:numPr>
          <w:ilvl w:val="0"/>
          <w:numId w:val="0"/>
        </w:numPr>
        <w:spacing w:after="240"/>
        <w:ind w:left="357"/>
        <w:jc w:val="right"/>
        <w:rPr>
          <w:b/>
          <w:bCs/>
        </w:rPr>
      </w:pPr>
      <w:r w:rsidRPr="0032394A">
        <w:rPr>
          <w:b/>
          <w:bCs/>
        </w:rPr>
        <w:t>ACTION: MS/FG</w:t>
      </w:r>
    </w:p>
    <w:p w14:paraId="543684FB" w14:textId="4CF207E3" w:rsidR="0032394A" w:rsidRDefault="0032394A" w:rsidP="0032394A">
      <w:pPr>
        <w:pStyle w:val="Numberedpara"/>
        <w:spacing w:after="240"/>
      </w:pPr>
      <w:r>
        <w:t>ET members were asked to review their business plan objectives for 2021/22 to make them specific and measurable (SMART)</w:t>
      </w:r>
      <w:r w:rsidR="00391DB8">
        <w:t>, in readiness for a discussion at the February board strategy meeting</w:t>
      </w:r>
      <w:r w:rsidR="00AB515C">
        <w:t>, and potentially to reduce the number</w:t>
      </w:r>
      <w:r w:rsidR="00391DB8">
        <w:t>.  Rebecca Threlfall agreed to circulate the actions from the ET and senior leader’s retreat.</w:t>
      </w:r>
    </w:p>
    <w:p w14:paraId="1BDF0D01" w14:textId="293551E5" w:rsidR="00E463F4" w:rsidRPr="00E463F4" w:rsidRDefault="00E463F4" w:rsidP="00E463F4">
      <w:pPr>
        <w:pStyle w:val="Numberedpara"/>
        <w:numPr>
          <w:ilvl w:val="0"/>
          <w:numId w:val="0"/>
        </w:numPr>
        <w:spacing w:after="240"/>
        <w:ind w:left="360"/>
        <w:jc w:val="right"/>
        <w:rPr>
          <w:b/>
          <w:bCs/>
        </w:rPr>
      </w:pPr>
      <w:r w:rsidRPr="00E463F4">
        <w:rPr>
          <w:b/>
          <w:bCs/>
        </w:rPr>
        <w:t>ACTION:</w:t>
      </w:r>
      <w:r w:rsidR="00391DB8">
        <w:rPr>
          <w:b/>
          <w:bCs/>
        </w:rPr>
        <w:t xml:space="preserve"> RT</w:t>
      </w:r>
    </w:p>
    <w:p w14:paraId="210D2EE7" w14:textId="39C33ABF" w:rsidR="00182F83" w:rsidRDefault="005F6B3D" w:rsidP="005F6B3D">
      <w:pPr>
        <w:pStyle w:val="Heading2"/>
      </w:pPr>
      <w:r>
        <w:t>Board meeting</w:t>
      </w:r>
      <w:r w:rsidR="002E31BD">
        <w:t>s</w:t>
      </w:r>
      <w:r>
        <w:t xml:space="preserve"> (item </w:t>
      </w:r>
      <w:r w:rsidR="002E31BD">
        <w:t>5</w:t>
      </w:r>
      <w:r>
        <w:t>)</w:t>
      </w:r>
    </w:p>
    <w:p w14:paraId="56132D7C" w14:textId="77777777" w:rsidR="00182F83" w:rsidRDefault="00182F83" w:rsidP="00182F83">
      <w:pPr>
        <w:pStyle w:val="SMTActions"/>
      </w:pPr>
    </w:p>
    <w:p w14:paraId="20309BEA" w14:textId="0F9D4DC4" w:rsidR="00713C87" w:rsidRPr="00687DFD" w:rsidRDefault="004F5CD3" w:rsidP="00687DFD">
      <w:pPr>
        <w:pStyle w:val="Numberedpara"/>
        <w:spacing w:after="240"/>
      </w:pPr>
      <w:r>
        <w:t xml:space="preserve">David Coombs joined the meeting.  The ET reviewed the actions from the private and public board meetings in January and </w:t>
      </w:r>
      <w:r w:rsidR="005E4EB6">
        <w:t xml:space="preserve">discussed </w:t>
      </w:r>
      <w:r>
        <w:t>the draft agenda for the February board meeting.</w:t>
      </w:r>
    </w:p>
    <w:p w14:paraId="4D57DC1A" w14:textId="5631CC2E" w:rsidR="00ED099F" w:rsidRDefault="00DC558E" w:rsidP="00F308CD">
      <w:pPr>
        <w:pStyle w:val="Numberedpara"/>
        <w:spacing w:after="240"/>
      </w:pPr>
      <w:r>
        <w:t xml:space="preserve">It was agreed to </w:t>
      </w:r>
      <w:r w:rsidR="005E4EB6">
        <w:t>amend the action regarding the organisational design report to ‘ask SCW to consider whether their reco</w:t>
      </w:r>
      <w:r w:rsidR="005E4EB6" w:rsidRPr="005E4EB6">
        <w:t xml:space="preserve">mmendations </w:t>
      </w:r>
      <w:r w:rsidR="005E4EB6">
        <w:t>could</w:t>
      </w:r>
      <w:r w:rsidR="005E4EB6" w:rsidRPr="005E4EB6">
        <w:t xml:space="preserve"> be categorised under efficiency and effectiveness</w:t>
      </w:r>
      <w:r w:rsidR="005E4EB6">
        <w:t xml:space="preserve">’, as it </w:t>
      </w:r>
      <w:r w:rsidR="00AB515C">
        <w:t>is an independent report</w:t>
      </w:r>
      <w:r w:rsidR="005E4EB6">
        <w:t xml:space="preserve">. </w:t>
      </w:r>
    </w:p>
    <w:p w14:paraId="2800D9A9" w14:textId="085E97FE" w:rsidR="001D2A63" w:rsidRDefault="005E4EB6" w:rsidP="00F53362">
      <w:pPr>
        <w:pStyle w:val="Numberedpara"/>
        <w:spacing w:after="120"/>
        <w:ind w:left="357" w:hanging="357"/>
      </w:pPr>
      <w:r>
        <w:t>Jennifer Howells referred to the board’s request for a report back on action to address staff vacancies.  She confirmed th</w:t>
      </w:r>
      <w:r w:rsidR="001D3806">
        <w:t>at</w:t>
      </w:r>
      <w:r>
        <w:t xml:space="preserve"> she was </w:t>
      </w:r>
      <w:r w:rsidR="00DF42C3">
        <w:t>discussing</w:t>
      </w:r>
      <w:r>
        <w:t xml:space="preserve"> th</w:t>
      </w:r>
      <w:r w:rsidR="00DF42C3">
        <w:t>is</w:t>
      </w:r>
      <w:r>
        <w:t xml:space="preserve"> with </w:t>
      </w:r>
      <w:r w:rsidR="00DF42C3">
        <w:t xml:space="preserve">the </w:t>
      </w:r>
      <w:r>
        <w:t xml:space="preserve">HR </w:t>
      </w:r>
      <w:proofErr w:type="gramStart"/>
      <w:r w:rsidR="00DF42C3">
        <w:t>Team</w:t>
      </w:r>
      <w:proofErr w:type="gramEnd"/>
      <w:r w:rsidR="00DF42C3">
        <w:t xml:space="preserve"> </w:t>
      </w:r>
      <w:r>
        <w:t xml:space="preserve">but it was also necessary for centres and directorates to </w:t>
      </w:r>
      <w:r w:rsidR="001D3806">
        <w:t xml:space="preserve">advise HR of their vacancies and to progress them, particularly when staff move internally.  It was agreed that Jennifer </w:t>
      </w:r>
      <w:r w:rsidR="00DF42C3">
        <w:t xml:space="preserve">would </w:t>
      </w:r>
      <w:r w:rsidR="001D3806">
        <w:t xml:space="preserve">include a slide in her </w:t>
      </w:r>
      <w:r w:rsidR="00DF42C3">
        <w:t xml:space="preserve">next </w:t>
      </w:r>
      <w:r w:rsidR="001D3806">
        <w:t xml:space="preserve">director’s report </w:t>
      </w:r>
      <w:r w:rsidR="00DF42C3">
        <w:t xml:space="preserve">to </w:t>
      </w:r>
      <w:r w:rsidR="00D92C68">
        <w:t xml:space="preserve">the </w:t>
      </w:r>
      <w:r w:rsidR="00DF42C3">
        <w:t>board</w:t>
      </w:r>
      <w:r w:rsidR="00D92C68">
        <w:t>.</w:t>
      </w:r>
    </w:p>
    <w:p w14:paraId="273C6167" w14:textId="78897F95" w:rsidR="00DF42C3" w:rsidRPr="00DF42C3" w:rsidRDefault="00DF42C3" w:rsidP="00DF42C3">
      <w:pPr>
        <w:pStyle w:val="Numberedpara"/>
        <w:numPr>
          <w:ilvl w:val="0"/>
          <w:numId w:val="0"/>
        </w:numPr>
        <w:spacing w:after="240"/>
        <w:ind w:left="360"/>
        <w:jc w:val="right"/>
        <w:rPr>
          <w:b/>
          <w:bCs/>
        </w:rPr>
      </w:pPr>
      <w:r w:rsidRPr="00DF42C3">
        <w:rPr>
          <w:b/>
          <w:bCs/>
        </w:rPr>
        <w:t>ACTION: JH</w:t>
      </w:r>
    </w:p>
    <w:p w14:paraId="2B474DE1" w14:textId="07C93939" w:rsidR="00DF42C3" w:rsidRDefault="00DF42C3" w:rsidP="00687DFD">
      <w:pPr>
        <w:pStyle w:val="Numberedpara"/>
        <w:spacing w:after="240"/>
      </w:pPr>
      <w:r>
        <w:t xml:space="preserve">Alexia Tonnel requested that the report on arrangements for managing the risks around cyber security be moved to the board’s private session and be scheduled for </w:t>
      </w:r>
      <w:r w:rsidR="00812C16">
        <w:t>later in the year</w:t>
      </w:r>
      <w:r>
        <w:t xml:space="preserve"> as the position was stable at present and the IT team have a number of other priorities.  </w:t>
      </w:r>
      <w:r w:rsidR="0000708C">
        <w:t>In order to provide assurance, it was agreed that the annual report on IT resilience pr</w:t>
      </w:r>
      <w:r w:rsidR="00631883">
        <w:t>esented to</w:t>
      </w:r>
      <w:r w:rsidR="0000708C">
        <w:t xml:space="preserve"> the audit and risk committee</w:t>
      </w:r>
      <w:r w:rsidR="00631883">
        <w:t xml:space="preserve"> in November</w:t>
      </w:r>
      <w:r w:rsidR="0000708C">
        <w:t xml:space="preserve"> be shared with the chairman</w:t>
      </w:r>
      <w:r w:rsidR="00631883">
        <w:t xml:space="preserve">, </w:t>
      </w:r>
      <w:r w:rsidR="0000708C">
        <w:t xml:space="preserve">and </w:t>
      </w:r>
      <w:r w:rsidR="003325E2">
        <w:t xml:space="preserve">that a further </w:t>
      </w:r>
      <w:r w:rsidR="00631883">
        <w:t>progress r</w:t>
      </w:r>
      <w:r w:rsidR="003325E2">
        <w:t xml:space="preserve">eport be provided in May </w:t>
      </w:r>
      <w:r w:rsidR="00631883">
        <w:t>at</w:t>
      </w:r>
      <w:r w:rsidR="003325E2">
        <w:t xml:space="preserve"> the board’s private session</w:t>
      </w:r>
      <w:r w:rsidR="0000708C">
        <w:t>.</w:t>
      </w:r>
    </w:p>
    <w:p w14:paraId="5DC97EAF" w14:textId="3D8F273B" w:rsidR="006830B6" w:rsidRPr="00E52B28" w:rsidRDefault="006830B6" w:rsidP="00E52B28">
      <w:pPr>
        <w:pStyle w:val="Numberedpara"/>
        <w:numPr>
          <w:ilvl w:val="0"/>
          <w:numId w:val="0"/>
        </w:numPr>
        <w:spacing w:after="240"/>
        <w:ind w:left="357"/>
        <w:jc w:val="right"/>
        <w:rPr>
          <w:b/>
          <w:bCs/>
        </w:rPr>
      </w:pPr>
      <w:r w:rsidRPr="006830B6">
        <w:rPr>
          <w:b/>
          <w:bCs/>
        </w:rPr>
        <w:t>ACTION: AT</w:t>
      </w:r>
    </w:p>
    <w:p w14:paraId="2AA0B706" w14:textId="08B5E3E7" w:rsidR="006830B6" w:rsidRDefault="006830B6" w:rsidP="00687DFD">
      <w:pPr>
        <w:pStyle w:val="Numberedpara"/>
        <w:spacing w:after="240"/>
      </w:pPr>
      <w:r>
        <w:t xml:space="preserve">Gill Leng noted that </w:t>
      </w:r>
      <w:r w:rsidR="00E52B28">
        <w:t>the request</w:t>
      </w:r>
      <w:r w:rsidR="00E52B28" w:rsidRPr="00E52B28">
        <w:t xml:space="preserve"> to receive regular progress updates on the Data and Analytics, Methods and Standards Programme and Implementation plan</w:t>
      </w:r>
      <w:r w:rsidR="00E52B28">
        <w:t xml:space="preserve"> would be through </w:t>
      </w:r>
      <w:r w:rsidR="00172A06">
        <w:t>the</w:t>
      </w:r>
      <w:r w:rsidR="00E52B28">
        <w:t xml:space="preserve"> annual update, not </w:t>
      </w:r>
      <w:r w:rsidR="0057584F">
        <w:t xml:space="preserve">any </w:t>
      </w:r>
      <w:r w:rsidR="00E52B28">
        <w:t>additional papers.</w:t>
      </w:r>
    </w:p>
    <w:p w14:paraId="0B7A6339" w14:textId="77AB14A6" w:rsidR="007D0455" w:rsidRDefault="007D0455" w:rsidP="00F53362">
      <w:pPr>
        <w:pStyle w:val="Numberedpara"/>
        <w:spacing w:after="120"/>
        <w:ind w:left="357" w:hanging="357"/>
      </w:pPr>
      <w:r>
        <w:lastRenderedPageBreak/>
        <w:t>The ET agreed items for the February board agenda.  The external feedback on the strategic plan and the integrated guidance update were to be included in the CEO’s report.  The innovative medicines f</w:t>
      </w:r>
      <w:r w:rsidR="00172A06">
        <w:t>u</w:t>
      </w:r>
      <w:r>
        <w:t xml:space="preserve">nd was deferred to the morning session </w:t>
      </w:r>
      <w:r w:rsidR="00AB515C">
        <w:t xml:space="preserve">of the </w:t>
      </w:r>
      <w:r>
        <w:t>March board meeting.  David Coombs was asked to confirm the order of items with the chairman.</w:t>
      </w:r>
    </w:p>
    <w:p w14:paraId="07DDBD19" w14:textId="23223807" w:rsidR="0057584F" w:rsidRPr="007D0455" w:rsidRDefault="007D0455" w:rsidP="00F53362">
      <w:pPr>
        <w:pStyle w:val="Numberedpara"/>
        <w:numPr>
          <w:ilvl w:val="0"/>
          <w:numId w:val="0"/>
        </w:numPr>
        <w:spacing w:after="120"/>
        <w:ind w:left="357"/>
        <w:jc w:val="right"/>
        <w:rPr>
          <w:b/>
          <w:bCs/>
        </w:rPr>
      </w:pPr>
      <w:r w:rsidRPr="007D0455">
        <w:rPr>
          <w:b/>
          <w:bCs/>
        </w:rPr>
        <w:t xml:space="preserve">ACTION: DC </w:t>
      </w:r>
    </w:p>
    <w:p w14:paraId="35535398" w14:textId="6C00052E" w:rsidR="00944699" w:rsidRDefault="00310E90" w:rsidP="00273BFA">
      <w:pPr>
        <w:pStyle w:val="Heading2"/>
      </w:pPr>
      <w:r>
        <w:t>Hot topic</w:t>
      </w:r>
      <w:r w:rsidR="00D74E6F">
        <w:t>s</w:t>
      </w:r>
      <w:r w:rsidR="003F00E3">
        <w:t xml:space="preserve"> (item </w:t>
      </w:r>
      <w:r w:rsidR="00687DFD">
        <w:t>6</w:t>
      </w:r>
      <w:r w:rsidR="003F00E3">
        <w:t>)</w:t>
      </w:r>
    </w:p>
    <w:p w14:paraId="704D67A5" w14:textId="033ADE25" w:rsidR="003F00E3" w:rsidRDefault="003F00E3" w:rsidP="003F00E3">
      <w:pPr>
        <w:pStyle w:val="Paragraph"/>
        <w:numPr>
          <w:ilvl w:val="0"/>
          <w:numId w:val="0"/>
        </w:numPr>
        <w:ind w:left="720" w:hanging="360"/>
      </w:pPr>
    </w:p>
    <w:p w14:paraId="17C78EB2" w14:textId="3A419148" w:rsidR="001E3E2A" w:rsidRDefault="00442CA5" w:rsidP="00442CA5">
      <w:pPr>
        <w:pStyle w:val="Numberedpara"/>
      </w:pPr>
      <w:r>
        <w:t>No</w:t>
      </w:r>
      <w:r w:rsidR="00C80ACD">
        <w:t xml:space="preserve"> items</w:t>
      </w:r>
      <w:r>
        <w:t xml:space="preserve"> raised.</w:t>
      </w:r>
    </w:p>
    <w:p w14:paraId="30E31E2B" w14:textId="7257B8BB" w:rsidR="00273BFA" w:rsidRDefault="00273BFA" w:rsidP="003F00E3">
      <w:pPr>
        <w:pStyle w:val="Paragraph"/>
        <w:numPr>
          <w:ilvl w:val="0"/>
          <w:numId w:val="0"/>
        </w:numPr>
        <w:ind w:left="720" w:hanging="360"/>
      </w:pPr>
    </w:p>
    <w:p w14:paraId="2A56D37F" w14:textId="4CADD92D" w:rsidR="00273BFA" w:rsidRDefault="00D565EA" w:rsidP="00273BFA">
      <w:pPr>
        <w:pStyle w:val="Heading2"/>
      </w:pPr>
      <w:r>
        <w:t xml:space="preserve">Medical appraisal and revalidation </w:t>
      </w:r>
      <w:r w:rsidR="009F0CD8">
        <w:t>policy and guidance</w:t>
      </w:r>
      <w:r w:rsidR="005F6B3D">
        <w:t xml:space="preserve"> </w:t>
      </w:r>
      <w:r w:rsidR="00273BFA">
        <w:t xml:space="preserve">(item </w:t>
      </w:r>
      <w:r w:rsidR="00687DFD">
        <w:t>7</w:t>
      </w:r>
      <w:r w:rsidR="005F6B3D">
        <w:t>)</w:t>
      </w:r>
    </w:p>
    <w:p w14:paraId="3DE3EEE2" w14:textId="32A520B9" w:rsidR="00273BFA" w:rsidRDefault="00273BFA" w:rsidP="00273BFA">
      <w:pPr>
        <w:pStyle w:val="Heading2"/>
      </w:pPr>
    </w:p>
    <w:p w14:paraId="5AEAFF59" w14:textId="7D88B244" w:rsidR="0051067B" w:rsidRDefault="007D0455" w:rsidP="007C14DC">
      <w:pPr>
        <w:pStyle w:val="Numberedpara"/>
        <w:spacing w:after="120"/>
        <w:ind w:left="357" w:hanging="357"/>
      </w:pPr>
      <w:r>
        <w:t xml:space="preserve">Judith Richardson and Sarah Blagden presented an updated policy and guidance for </w:t>
      </w:r>
      <w:r w:rsidR="00025728">
        <w:t xml:space="preserve">the </w:t>
      </w:r>
      <w:r>
        <w:t>appraisal and revalidation of NICE's medical staff.  ET welcomed the thorough and comprehensive report.  In view of the length of the paper, it was agreed that the table of changes in appendix C would be better in the cover paper for the board meeting</w:t>
      </w:r>
      <w:r w:rsidR="00AB515C">
        <w:t>, if the</w:t>
      </w:r>
      <w:r w:rsidR="0051067B">
        <w:t xml:space="preserve"> paper </w:t>
      </w:r>
      <w:r w:rsidR="00AB515C">
        <w:t xml:space="preserve">is </w:t>
      </w:r>
      <w:r w:rsidR="0051067B">
        <w:t xml:space="preserve">presented to the July public board meeting.  It was agreed to check whether the revised policy requires board approval as well as the </w:t>
      </w:r>
      <w:r w:rsidR="00025728">
        <w:t xml:space="preserve">annual </w:t>
      </w:r>
      <w:r w:rsidR="0051067B">
        <w:t xml:space="preserve">revalidation report, which is </w:t>
      </w:r>
      <w:r w:rsidR="00025728">
        <w:t>submitt</w:t>
      </w:r>
      <w:r w:rsidR="0051067B">
        <w:t>ed to the GMC.</w:t>
      </w:r>
    </w:p>
    <w:p w14:paraId="7B8F7FD4" w14:textId="45CD4C6B" w:rsidR="0051067B" w:rsidRPr="0051067B" w:rsidRDefault="0051067B" w:rsidP="007C14DC">
      <w:pPr>
        <w:pStyle w:val="Numberedpara"/>
        <w:numPr>
          <w:ilvl w:val="0"/>
          <w:numId w:val="0"/>
        </w:numPr>
        <w:spacing w:after="240"/>
        <w:ind w:left="357"/>
        <w:jc w:val="right"/>
        <w:rPr>
          <w:b/>
          <w:bCs/>
        </w:rPr>
      </w:pPr>
      <w:r w:rsidRPr="0051067B">
        <w:rPr>
          <w:b/>
          <w:bCs/>
        </w:rPr>
        <w:t>ACTION: JH</w:t>
      </w:r>
    </w:p>
    <w:p w14:paraId="544390CD" w14:textId="3A956B15" w:rsidR="00C21F41" w:rsidRDefault="00700C2C" w:rsidP="0051067B">
      <w:pPr>
        <w:pStyle w:val="Numberedpara"/>
        <w:spacing w:after="240"/>
        <w:ind w:left="357" w:hanging="357"/>
      </w:pPr>
      <w:r>
        <w:t xml:space="preserve">It was </w:t>
      </w:r>
      <w:r w:rsidR="0051067B">
        <w:t xml:space="preserve">queried whether the NICE Revalidation Committee was quorate, as there was </w:t>
      </w:r>
      <w:r w:rsidR="00025728">
        <w:t xml:space="preserve">not </w:t>
      </w:r>
      <w:r w:rsidR="002002E2">
        <w:t>currently a</w:t>
      </w:r>
      <w:r w:rsidR="0051067B">
        <w:t xml:space="preserve"> medical professional on the board.  Judith Richardson advised that Hugh McIntyre will be attending the June committee meeting</w:t>
      </w:r>
      <w:r w:rsidR="002002E2">
        <w:t xml:space="preserve"> and that she was meeting with him this week and agreed to share the </w:t>
      </w:r>
      <w:r w:rsidR="00AB710E">
        <w:t xml:space="preserve">ET </w:t>
      </w:r>
      <w:r w:rsidR="002002E2">
        <w:t>paper.</w:t>
      </w:r>
    </w:p>
    <w:p w14:paraId="7116DD08" w14:textId="2EA97AB1" w:rsidR="007C14DC" w:rsidRPr="007C14DC" w:rsidRDefault="007C14DC" w:rsidP="007C14DC">
      <w:pPr>
        <w:pStyle w:val="Numberedpara"/>
        <w:numPr>
          <w:ilvl w:val="0"/>
          <w:numId w:val="0"/>
        </w:numPr>
        <w:spacing w:after="240"/>
        <w:ind w:left="357"/>
        <w:jc w:val="right"/>
        <w:rPr>
          <w:b/>
          <w:bCs/>
        </w:rPr>
      </w:pPr>
      <w:r w:rsidRPr="007C14DC">
        <w:rPr>
          <w:b/>
          <w:bCs/>
        </w:rPr>
        <w:t>ACTION: JR</w:t>
      </w:r>
    </w:p>
    <w:p w14:paraId="3F59882D" w14:textId="41DCD6F7" w:rsidR="0051067B" w:rsidRDefault="0051067B" w:rsidP="007C14DC">
      <w:pPr>
        <w:pStyle w:val="Numberedpara"/>
        <w:spacing w:after="240"/>
        <w:ind w:left="357" w:hanging="357"/>
      </w:pPr>
      <w:r>
        <w:t xml:space="preserve">The revised policy and guidance were </w:t>
      </w:r>
      <w:proofErr w:type="gramStart"/>
      <w:r>
        <w:t>agreed</w:t>
      </w:r>
      <w:proofErr w:type="gramEnd"/>
      <w:r>
        <w:t xml:space="preserve"> and Sarah was thanked for all her work.</w:t>
      </w:r>
    </w:p>
    <w:p w14:paraId="71B8DDC9" w14:textId="316B9F42" w:rsidR="003F00E3" w:rsidRDefault="009F0CD8" w:rsidP="004214ED">
      <w:pPr>
        <w:pStyle w:val="Heading2"/>
      </w:pPr>
      <w:r>
        <w:t>NICE Annual report and accounts 2020/21</w:t>
      </w:r>
      <w:r w:rsidR="003F00E3">
        <w:t xml:space="preserve"> (item </w:t>
      </w:r>
      <w:r>
        <w:t>8</w:t>
      </w:r>
      <w:r w:rsidR="003F00E3">
        <w:t>)</w:t>
      </w:r>
    </w:p>
    <w:p w14:paraId="2C6E02B4" w14:textId="4E39A03A" w:rsidR="003F00E3" w:rsidRDefault="00D35223" w:rsidP="00D35223">
      <w:pPr>
        <w:pStyle w:val="Paragraph"/>
        <w:numPr>
          <w:ilvl w:val="0"/>
          <w:numId w:val="0"/>
        </w:numPr>
      </w:pPr>
      <w:r>
        <w:t xml:space="preserve"> </w:t>
      </w:r>
    </w:p>
    <w:p w14:paraId="4D4BA44B" w14:textId="1BFA9A12" w:rsidR="002638A8" w:rsidRDefault="00817F8F" w:rsidP="002638A8">
      <w:pPr>
        <w:pStyle w:val="Numberedpara"/>
        <w:spacing w:after="240"/>
      </w:pPr>
      <w:r>
        <w:t xml:space="preserve">Danielle Mason sought ET’s views on the approach, timeline and proposed themes for the annual report and accounts 2020/21.  ET commented that the content list for the performance section was too long and suggested the topics be themed under </w:t>
      </w:r>
      <w:r w:rsidR="002638A8">
        <w:t xml:space="preserve">3 or 4 key headings such as COVID-19, EU </w:t>
      </w:r>
      <w:r w:rsidR="00DD023B">
        <w:t>e</w:t>
      </w:r>
      <w:r w:rsidR="002638A8">
        <w:t>xit and transformation.  This approach was generally supported, along with making appropriate links to the strategic plan.</w:t>
      </w:r>
      <w:r w:rsidR="00706DF3" w:rsidRPr="00706DF3">
        <w:t xml:space="preserve"> </w:t>
      </w:r>
      <w:r w:rsidR="00706DF3">
        <w:t xml:space="preserve"> Danielle was asked to look at the MHRA’s last annual report </w:t>
      </w:r>
      <w:r w:rsidR="00AB710E">
        <w:t xml:space="preserve">as a good example </w:t>
      </w:r>
      <w:r w:rsidR="00706DF3">
        <w:t>for comparison purposes.</w:t>
      </w:r>
    </w:p>
    <w:p w14:paraId="636CEE1F" w14:textId="5E175D1E" w:rsidR="00F724A3" w:rsidRDefault="00F724A3" w:rsidP="00273BFA">
      <w:pPr>
        <w:pStyle w:val="Numberedpara"/>
        <w:spacing w:after="240"/>
      </w:pPr>
      <w:r>
        <w:t>ET</w:t>
      </w:r>
      <w:r w:rsidR="002638A8">
        <w:t xml:space="preserve"> </w:t>
      </w:r>
      <w:r w:rsidR="00706DF3">
        <w:t>request</w:t>
      </w:r>
      <w:r w:rsidR="002638A8">
        <w:t xml:space="preserve">ed that the creation of the DIT directorate be included but </w:t>
      </w:r>
      <w:r w:rsidR="00113560">
        <w:t xml:space="preserve">suggested removal of </w:t>
      </w:r>
      <w:r w:rsidR="002638A8">
        <w:t>the development of a new approach to deliberative engagement</w:t>
      </w:r>
      <w:r w:rsidR="00113560">
        <w:t>;</w:t>
      </w:r>
      <w:r w:rsidR="002638A8">
        <w:t xml:space="preserve"> the autumn series of virtual events</w:t>
      </w:r>
      <w:r w:rsidR="00113560">
        <w:t>; the appointment of seven NEDs</w:t>
      </w:r>
      <w:r w:rsidR="002638A8">
        <w:t xml:space="preserve"> and NICE’s role in the augural world evidence based healthcare day</w:t>
      </w:r>
      <w:r w:rsidR="00706DF3">
        <w:t>.</w:t>
      </w:r>
      <w:r w:rsidR="00357229">
        <w:t xml:space="preserve">  Also</w:t>
      </w:r>
      <w:r w:rsidR="00AB710E">
        <w:t>,</w:t>
      </w:r>
      <w:r w:rsidR="00357229">
        <w:t xml:space="preserve"> to amend any SMT reference</w:t>
      </w:r>
      <w:r w:rsidR="00AB710E">
        <w:t>s</w:t>
      </w:r>
      <w:r w:rsidR="00357229">
        <w:t xml:space="preserve"> to ET.</w:t>
      </w:r>
    </w:p>
    <w:p w14:paraId="415C258F" w14:textId="1FCE340D" w:rsidR="00AB710E" w:rsidRPr="00AB710E" w:rsidRDefault="00AB710E" w:rsidP="00AB710E">
      <w:pPr>
        <w:pStyle w:val="Numberedpara"/>
        <w:numPr>
          <w:ilvl w:val="0"/>
          <w:numId w:val="0"/>
        </w:numPr>
        <w:spacing w:after="240"/>
        <w:ind w:left="360"/>
        <w:jc w:val="right"/>
        <w:rPr>
          <w:b/>
          <w:bCs/>
        </w:rPr>
      </w:pPr>
      <w:r w:rsidRPr="00AB710E">
        <w:rPr>
          <w:b/>
          <w:bCs/>
        </w:rPr>
        <w:t>ACTION: DM</w:t>
      </w:r>
    </w:p>
    <w:p w14:paraId="509D6749" w14:textId="2ACDEBAA" w:rsidR="002638A8" w:rsidRDefault="00C51303" w:rsidP="00273BFA">
      <w:pPr>
        <w:pStyle w:val="Numberedpara"/>
        <w:spacing w:after="240"/>
      </w:pPr>
      <w:r>
        <w:t>ET also asked that the report</w:t>
      </w:r>
      <w:r w:rsidR="00DD023B">
        <w:t xml:space="preserve"> should</w:t>
      </w:r>
      <w:r>
        <w:t xml:space="preserve"> reflect the ‘value’ which NICE adds to the healthcare system.  The Health Technology Wales annual report was mentioned as a good reference point.  Gill Leng and Judith Richardson agreed to discuss </w:t>
      </w:r>
      <w:r w:rsidR="00AB515C">
        <w:t xml:space="preserve">how the </w:t>
      </w:r>
      <w:r>
        <w:t xml:space="preserve">Field Team </w:t>
      </w:r>
      <w:r w:rsidR="00AB515C">
        <w:t xml:space="preserve">can inform the </w:t>
      </w:r>
      <w:r>
        <w:t>value</w:t>
      </w:r>
      <w:r w:rsidR="000A456A">
        <w:t xml:space="preserve"> </w:t>
      </w:r>
      <w:r w:rsidR="00AB515C">
        <w:t>assessment</w:t>
      </w:r>
      <w:r>
        <w:t>, outside of the meeting.</w:t>
      </w:r>
    </w:p>
    <w:p w14:paraId="70F1766A" w14:textId="521BE80F" w:rsidR="00F724A3" w:rsidRDefault="00F724A3" w:rsidP="00E22326">
      <w:pPr>
        <w:pStyle w:val="SMTActions"/>
        <w:spacing w:after="240"/>
      </w:pPr>
      <w:r>
        <w:t xml:space="preserve">ACTION: </w:t>
      </w:r>
      <w:r w:rsidR="00C51303">
        <w:t>GL/JR</w:t>
      </w:r>
    </w:p>
    <w:p w14:paraId="446B0EC7" w14:textId="77777777" w:rsidR="00F53362" w:rsidRDefault="00F53362">
      <w:pPr>
        <w:rPr>
          <w:rFonts w:ascii="Arial" w:hAnsi="Arial"/>
          <w:b/>
          <w:bCs/>
          <w:iCs/>
          <w:sz w:val="22"/>
          <w:szCs w:val="26"/>
        </w:rPr>
      </w:pPr>
      <w:r>
        <w:br w:type="page"/>
      </w:r>
    </w:p>
    <w:p w14:paraId="79121DE0" w14:textId="4E5C425F" w:rsidR="00273BFA" w:rsidRDefault="009F0CD8" w:rsidP="00273BFA">
      <w:pPr>
        <w:pStyle w:val="Heading2"/>
      </w:pPr>
      <w:r>
        <w:lastRenderedPageBreak/>
        <w:t>Equality, Diversity and Inclusion action plan (workforce) 2021/22</w:t>
      </w:r>
      <w:r w:rsidR="00273BFA">
        <w:t xml:space="preserve"> (item </w:t>
      </w:r>
      <w:r>
        <w:t>9</w:t>
      </w:r>
      <w:r w:rsidR="00273BFA">
        <w:t>)</w:t>
      </w:r>
    </w:p>
    <w:p w14:paraId="2D9E45E4" w14:textId="2BEBF4A0" w:rsidR="00273BFA" w:rsidRDefault="00273BFA" w:rsidP="00273BFA">
      <w:pPr>
        <w:pStyle w:val="Paragraph"/>
        <w:numPr>
          <w:ilvl w:val="0"/>
          <w:numId w:val="0"/>
        </w:numPr>
        <w:ind w:left="720" w:hanging="360"/>
      </w:pPr>
    </w:p>
    <w:p w14:paraId="16146BD4" w14:textId="627B854C" w:rsidR="00273BFA" w:rsidRPr="0065556D" w:rsidRDefault="00DD023B" w:rsidP="0002049E">
      <w:pPr>
        <w:pStyle w:val="Numberedpara"/>
        <w:spacing w:after="240"/>
        <w:ind w:left="357" w:hanging="357"/>
      </w:pPr>
      <w:r>
        <w:t xml:space="preserve">Grace Marguerie and Nicola Tyson </w:t>
      </w:r>
      <w:r w:rsidR="007876AC">
        <w:t>presented</w:t>
      </w:r>
      <w:r>
        <w:t xml:space="preserve"> the proposed objectives in the Equality, Diversity and Inclusion </w:t>
      </w:r>
      <w:r w:rsidRPr="0065556D">
        <w:t>action plan</w:t>
      </w:r>
      <w:r w:rsidR="00B06672" w:rsidRPr="0065556D">
        <w:t xml:space="preserve"> for 2021/22</w:t>
      </w:r>
      <w:r w:rsidR="007876AC" w:rsidRPr="0065556D">
        <w:t xml:space="preserve"> (workforce)</w:t>
      </w:r>
      <w:r w:rsidR="00B06672" w:rsidRPr="0065556D">
        <w:t xml:space="preserve">.  </w:t>
      </w:r>
    </w:p>
    <w:p w14:paraId="6EE61CF2" w14:textId="42749543" w:rsidR="0002049E" w:rsidRPr="0065556D" w:rsidRDefault="007876AC" w:rsidP="00273BFA">
      <w:pPr>
        <w:pStyle w:val="Numberedpara"/>
      </w:pPr>
      <w:r w:rsidRPr="0065556D">
        <w:t xml:space="preserve">Jennifer Howells advised that the actions were purposely ambitious and challenging in order to </w:t>
      </w:r>
      <w:r w:rsidR="0065556D" w:rsidRPr="0065556D">
        <w:t>achieve</w:t>
      </w:r>
      <w:r w:rsidRPr="0065556D">
        <w:t xml:space="preserve"> the step change that </w:t>
      </w:r>
      <w:r w:rsidR="0065556D" w:rsidRPr="0065556D">
        <w:t>NICE needed to make</w:t>
      </w:r>
      <w:r w:rsidRPr="0065556D">
        <w:t>.  The action plan was broken into two six month blocks with the priority being recruitment</w:t>
      </w:r>
      <w:r w:rsidR="0065556D">
        <w:t xml:space="preserve"> where it was thought the biggest impact </w:t>
      </w:r>
      <w:r w:rsidR="00AF455A">
        <w:t xml:space="preserve">could be made.  The data </w:t>
      </w:r>
      <w:r w:rsidR="00947F4D">
        <w:t xml:space="preserve">in the last annual report </w:t>
      </w:r>
      <w:r w:rsidR="00AF455A">
        <w:t>show</w:t>
      </w:r>
      <w:r w:rsidR="00947F4D">
        <w:t>ed</w:t>
      </w:r>
      <w:r w:rsidR="00AF455A">
        <w:t xml:space="preserve"> that the number of BAME applicants </w:t>
      </w:r>
      <w:r w:rsidR="00947F4D">
        <w:t xml:space="preserve">then </w:t>
      </w:r>
      <w:r w:rsidR="00AF455A">
        <w:t xml:space="preserve">progressing to interview and successful appointment </w:t>
      </w:r>
      <w:r w:rsidR="00947F4D">
        <w:t>reduced</w:t>
      </w:r>
      <w:r w:rsidR="00AF455A">
        <w:t xml:space="preserve"> significantly</w:t>
      </w:r>
      <w:r w:rsidR="00AB710E">
        <w:t xml:space="preserve"> at each stage.</w:t>
      </w:r>
    </w:p>
    <w:p w14:paraId="4159A9C2" w14:textId="77777777" w:rsidR="00F724A3" w:rsidRDefault="00F724A3" w:rsidP="00F724A3">
      <w:pPr>
        <w:pStyle w:val="Numberedpara"/>
        <w:numPr>
          <w:ilvl w:val="0"/>
          <w:numId w:val="0"/>
        </w:numPr>
        <w:ind w:left="357"/>
      </w:pPr>
    </w:p>
    <w:p w14:paraId="731D6AC4" w14:textId="0D8EFDFD" w:rsidR="00D716E6" w:rsidRDefault="00AF455A" w:rsidP="00D716E6">
      <w:pPr>
        <w:pStyle w:val="Numberedpara"/>
        <w:ind w:left="357" w:hanging="357"/>
      </w:pPr>
      <w:r>
        <w:t xml:space="preserve">ET supported the </w:t>
      </w:r>
      <w:r w:rsidR="00947F4D">
        <w:t>objective</w:t>
      </w:r>
      <w:r w:rsidR="00AB710E">
        <w:t>s</w:t>
      </w:r>
      <w:r>
        <w:t xml:space="preserve"> </w:t>
      </w:r>
      <w:r w:rsidR="00610005">
        <w:t xml:space="preserve">of mandatory EDI training for all leaders and line managers, the </w:t>
      </w:r>
      <w:r>
        <w:t>inclu</w:t>
      </w:r>
      <w:r w:rsidR="00610005">
        <w:t>sion</w:t>
      </w:r>
      <w:r>
        <w:t xml:space="preserve"> </w:t>
      </w:r>
      <w:r w:rsidR="00610005">
        <w:t xml:space="preserve">of </w:t>
      </w:r>
      <w:r>
        <w:t>a</w:t>
      </w:r>
      <w:r w:rsidR="00610005">
        <w:t>n equality</w:t>
      </w:r>
      <w:r>
        <w:t xml:space="preserve"> question in </w:t>
      </w:r>
      <w:r w:rsidR="00610005">
        <w:t xml:space="preserve">all </w:t>
      </w:r>
      <w:r>
        <w:t>interviews</w:t>
      </w:r>
      <w:r w:rsidR="00610005">
        <w:t xml:space="preserve"> regardless of the role, </w:t>
      </w:r>
      <w:r>
        <w:t xml:space="preserve">and a mandatory </w:t>
      </w:r>
      <w:r w:rsidR="00610005">
        <w:t>equality</w:t>
      </w:r>
      <w:r>
        <w:t xml:space="preserve"> objective in </w:t>
      </w:r>
      <w:r w:rsidR="00610005">
        <w:t xml:space="preserve">all </w:t>
      </w:r>
      <w:r>
        <w:t>staff appraisals.</w:t>
      </w:r>
    </w:p>
    <w:p w14:paraId="6724B993" w14:textId="77777777" w:rsidR="00D716E6" w:rsidRDefault="00D716E6" w:rsidP="00D716E6">
      <w:pPr>
        <w:pStyle w:val="Numberedpara"/>
        <w:numPr>
          <w:ilvl w:val="0"/>
          <w:numId w:val="0"/>
        </w:numPr>
        <w:ind w:firstLine="426"/>
      </w:pPr>
    </w:p>
    <w:p w14:paraId="79525F8B" w14:textId="30435CB2" w:rsidR="005A365F" w:rsidRDefault="002A74B6" w:rsidP="00D716E6">
      <w:pPr>
        <w:pStyle w:val="Numberedpara"/>
        <w:ind w:left="357" w:hanging="357"/>
      </w:pPr>
      <w:r>
        <w:t>ET discussed the creation of more diverse interview panels</w:t>
      </w:r>
      <w:r w:rsidR="00845C2B">
        <w:t xml:space="preserve"> for roles at band 8</w:t>
      </w:r>
      <w:r w:rsidR="00947F4D">
        <w:t xml:space="preserve"> </w:t>
      </w:r>
      <w:r w:rsidR="00845C2B">
        <w:t>and above.  This</w:t>
      </w:r>
      <w:r>
        <w:t xml:space="preserve"> was supported but with the caveat that there </w:t>
      </w:r>
      <w:r w:rsidR="00AB710E">
        <w:t>will</w:t>
      </w:r>
      <w:r>
        <w:t xml:space="preserve"> be a </w:t>
      </w:r>
      <w:r w:rsidR="001F3BB7">
        <w:t xml:space="preserve">resource </w:t>
      </w:r>
      <w:r>
        <w:t xml:space="preserve">requirement </w:t>
      </w:r>
      <w:r w:rsidR="001F3BB7">
        <w:t xml:space="preserve">to </w:t>
      </w:r>
      <w:r>
        <w:t>do this</w:t>
      </w:r>
      <w:r w:rsidR="00947F4D">
        <w:t>,</w:t>
      </w:r>
      <w:r>
        <w:t xml:space="preserve"> so </w:t>
      </w:r>
      <w:r w:rsidR="00AB710E">
        <w:t xml:space="preserve">that </w:t>
      </w:r>
      <w:r>
        <w:t xml:space="preserve">the responsibility does not fall to the same </w:t>
      </w:r>
      <w:r w:rsidR="001F3BB7">
        <w:t xml:space="preserve">group of </w:t>
      </w:r>
      <w:r>
        <w:t xml:space="preserve">staff who already have a high workload.  </w:t>
      </w:r>
      <w:r w:rsidR="00947F4D">
        <w:t>Grace gave an assurance that</w:t>
      </w:r>
      <w:r w:rsidR="00AB710E">
        <w:t xml:space="preserve"> the numbers had been checked and</w:t>
      </w:r>
      <w:r w:rsidR="00947F4D">
        <w:t xml:space="preserve"> it would be manageable to support internally with </w:t>
      </w:r>
      <w:r w:rsidR="00E159BC">
        <w:t xml:space="preserve">a </w:t>
      </w:r>
      <w:r w:rsidR="00947F4D">
        <w:t>training</w:t>
      </w:r>
      <w:r w:rsidR="00E159BC">
        <w:t xml:space="preserve"> programme</w:t>
      </w:r>
      <w:r w:rsidR="00AB710E">
        <w:t xml:space="preserve"> provided</w:t>
      </w:r>
      <w:r w:rsidR="00947F4D">
        <w:t>.</w:t>
      </w:r>
      <w:r w:rsidR="005A365F">
        <w:t xml:space="preserve">  ET welcomed support from an external source if this would help ease the burden with interview panels.</w:t>
      </w:r>
    </w:p>
    <w:p w14:paraId="399D2E7E" w14:textId="77777777" w:rsidR="00D716E6" w:rsidRDefault="00D716E6" w:rsidP="00D716E6">
      <w:pPr>
        <w:pStyle w:val="Numberedpara"/>
        <w:numPr>
          <w:ilvl w:val="0"/>
          <w:numId w:val="0"/>
        </w:numPr>
        <w:ind w:left="426"/>
      </w:pPr>
    </w:p>
    <w:p w14:paraId="1658A976" w14:textId="3C103720" w:rsidR="00F724A3" w:rsidRDefault="005A365F" w:rsidP="00F36494">
      <w:pPr>
        <w:pStyle w:val="Numberedpara"/>
        <w:spacing w:after="240"/>
        <w:ind w:left="357" w:hanging="357"/>
      </w:pPr>
      <w:r>
        <w:t xml:space="preserve">ET </w:t>
      </w:r>
      <w:r w:rsidR="00B5064A">
        <w:t xml:space="preserve">approved </w:t>
      </w:r>
      <w:r>
        <w:t xml:space="preserve">the action plan </w:t>
      </w:r>
      <w:r w:rsidR="000B19EA">
        <w:t xml:space="preserve">and </w:t>
      </w:r>
      <w:r>
        <w:t xml:space="preserve">asked Grace and her team to think about the timing of the activities within the first six months </w:t>
      </w:r>
      <w:r w:rsidR="00D716E6">
        <w:t>in view of</w:t>
      </w:r>
      <w:r>
        <w:t xml:space="preserve"> capacity issues within teams</w:t>
      </w:r>
      <w:r w:rsidR="00B5064A">
        <w:t>.</w:t>
      </w:r>
    </w:p>
    <w:p w14:paraId="281BA44A" w14:textId="05526F16" w:rsidR="009F0CD8" w:rsidRPr="009F0CD8" w:rsidRDefault="009F0CD8" w:rsidP="009F0CD8">
      <w:pPr>
        <w:pStyle w:val="Heading2"/>
        <w:spacing w:after="240"/>
      </w:pPr>
      <w:r>
        <w:t>Criteria for evaluating structured guideline authoring tools</w:t>
      </w:r>
    </w:p>
    <w:p w14:paraId="3079CDB3" w14:textId="053EFB41" w:rsidR="009F0CD8" w:rsidRPr="003144E6" w:rsidRDefault="00B06672" w:rsidP="009F0CD8">
      <w:pPr>
        <w:pStyle w:val="Numberedpara"/>
        <w:spacing w:after="240"/>
        <w:ind w:left="357" w:hanging="357"/>
      </w:pPr>
      <w:r w:rsidRPr="003144E6">
        <w:t xml:space="preserve">Fiona Glen </w:t>
      </w:r>
      <w:r w:rsidR="00EC1B35">
        <w:t>sought ET’s views on the criteria selected by the cross-institute group</w:t>
      </w:r>
      <w:r w:rsidR="00F85F91">
        <w:t xml:space="preserve"> </w:t>
      </w:r>
      <w:r w:rsidR="00EC1B35">
        <w:t xml:space="preserve">for assessing structured guideline authoring tools, in order that a shortlist of tools can be drawn up for further review.  ET accepted that the timescale available for the work did not allow for an extensive deep dive, but the evaluation themes would enable a reasonable level of due diligence to be undertaken.  It was suggested that an excel table showing a high level fit against each of the ten themes would be helpful. </w:t>
      </w:r>
    </w:p>
    <w:p w14:paraId="5F6544DE" w14:textId="72FE91A2" w:rsidR="009F0CD8" w:rsidRDefault="00052390" w:rsidP="004F3543">
      <w:pPr>
        <w:pStyle w:val="Numberedpara"/>
        <w:spacing w:after="240"/>
        <w:ind w:left="357" w:hanging="357"/>
      </w:pPr>
      <w:r>
        <w:t xml:space="preserve">ET discussed the level of risk around funding and investment which Fiona agreed to include in the next paper.  It was also queried </w:t>
      </w:r>
      <w:r w:rsidR="00840CE8">
        <w:t xml:space="preserve">what the indirect costs would be and </w:t>
      </w:r>
      <w:r>
        <w:t>whether it would be possible to measure the efficiency and effectiveness of the selected tool.</w:t>
      </w:r>
      <w:r w:rsidR="00840CE8">
        <w:t xml:space="preserve">  It was thought that effectiveness would be easier to measure than efficiencies gained.</w:t>
      </w:r>
    </w:p>
    <w:p w14:paraId="6FD1F135" w14:textId="5C377290" w:rsidR="00052390" w:rsidRDefault="00052390" w:rsidP="004F3543">
      <w:pPr>
        <w:pStyle w:val="Numberedpara"/>
        <w:spacing w:after="240"/>
        <w:ind w:left="357" w:hanging="357"/>
      </w:pPr>
      <w:r>
        <w:t>It was noted that the DIT team w</w:t>
      </w:r>
      <w:r w:rsidR="00C64020">
        <w:t>as</w:t>
      </w:r>
      <w:r>
        <w:t xml:space="preserve"> </w:t>
      </w:r>
      <w:r w:rsidR="00840CE8">
        <w:t>currently assessing</w:t>
      </w:r>
      <w:r>
        <w:t xml:space="preserve"> </w:t>
      </w:r>
      <w:r w:rsidR="00CA4348">
        <w:t xml:space="preserve">the expected </w:t>
      </w:r>
      <w:r>
        <w:t xml:space="preserve">connectivity </w:t>
      </w:r>
      <w:r w:rsidR="00CA4348">
        <w:t xml:space="preserve">of new tools </w:t>
      </w:r>
      <w:r>
        <w:t xml:space="preserve">with </w:t>
      </w:r>
      <w:r w:rsidR="00CA4348">
        <w:t>existing tools</w:t>
      </w:r>
      <w:r>
        <w:t>, and this work will be added to the next report.</w:t>
      </w:r>
    </w:p>
    <w:p w14:paraId="5D5A4EF0" w14:textId="4977A45D" w:rsidR="00052390" w:rsidRDefault="00052390" w:rsidP="004F3543">
      <w:pPr>
        <w:pStyle w:val="Numberedpara"/>
        <w:spacing w:after="240"/>
        <w:ind w:left="357" w:hanging="357"/>
      </w:pPr>
      <w:r>
        <w:t>The criteria were approved to enable the selection process to proceed</w:t>
      </w:r>
      <w:r w:rsidR="00A57151">
        <w:t>.  Fiona advised that a short list of tools would be available by the end of the week</w:t>
      </w:r>
      <w:r w:rsidR="00C64020">
        <w:t xml:space="preserve"> and </w:t>
      </w:r>
      <w:r w:rsidR="00A57151">
        <w:t xml:space="preserve">the next paper would come back to </w:t>
      </w:r>
      <w:r w:rsidR="00C64020">
        <w:t xml:space="preserve">ET </w:t>
      </w:r>
      <w:r w:rsidR="00A57151">
        <w:t>on 2 March 2021.</w:t>
      </w:r>
    </w:p>
    <w:p w14:paraId="385C86D6" w14:textId="4F51A088" w:rsidR="004214ED" w:rsidRDefault="004214ED" w:rsidP="001C1B34">
      <w:pPr>
        <w:pStyle w:val="Heading2"/>
      </w:pPr>
      <w:r>
        <w:t xml:space="preserve">London office move (item </w:t>
      </w:r>
      <w:r w:rsidR="00D058A1">
        <w:t>1</w:t>
      </w:r>
      <w:r w:rsidR="00D8696A">
        <w:t>1</w:t>
      </w:r>
      <w:r>
        <w:t>)</w:t>
      </w:r>
    </w:p>
    <w:p w14:paraId="7860F8CA" w14:textId="3B3546F5" w:rsidR="004214ED" w:rsidRDefault="004214ED" w:rsidP="003A436B">
      <w:pPr>
        <w:pStyle w:val="Paragraph"/>
        <w:numPr>
          <w:ilvl w:val="0"/>
          <w:numId w:val="0"/>
        </w:numPr>
        <w:ind w:left="567" w:hanging="499"/>
      </w:pPr>
    </w:p>
    <w:p w14:paraId="338ABB98" w14:textId="31E7A7AA" w:rsidR="00D8696A" w:rsidRDefault="006A7C7D" w:rsidP="00D8696A">
      <w:pPr>
        <w:pStyle w:val="Numberedpara"/>
        <w:spacing w:after="240"/>
        <w:rPr>
          <w:color w:val="auto"/>
        </w:rPr>
      </w:pPr>
      <w:r>
        <w:rPr>
          <w:color w:val="auto"/>
        </w:rPr>
        <w:t xml:space="preserve">The </w:t>
      </w:r>
      <w:r w:rsidR="00B06672" w:rsidRPr="006A7C7D">
        <w:rPr>
          <w:color w:val="auto"/>
        </w:rPr>
        <w:t xml:space="preserve">ET </w:t>
      </w:r>
      <w:r>
        <w:rPr>
          <w:color w:val="auto"/>
        </w:rPr>
        <w:t xml:space="preserve">was asked </w:t>
      </w:r>
      <w:r w:rsidR="00B06672" w:rsidRPr="006A7C7D">
        <w:rPr>
          <w:color w:val="auto"/>
        </w:rPr>
        <w:t xml:space="preserve">to consider options for </w:t>
      </w:r>
      <w:r w:rsidR="00DB70B5" w:rsidRPr="006A7C7D">
        <w:rPr>
          <w:color w:val="auto"/>
        </w:rPr>
        <w:t xml:space="preserve">the </w:t>
      </w:r>
      <w:r w:rsidR="00D716E6" w:rsidRPr="006A7C7D">
        <w:rPr>
          <w:color w:val="auto"/>
        </w:rPr>
        <w:t xml:space="preserve">AV/VC systems fit </w:t>
      </w:r>
      <w:r w:rsidR="00DB70B5" w:rsidRPr="006A7C7D">
        <w:rPr>
          <w:color w:val="auto"/>
        </w:rPr>
        <w:t xml:space="preserve">out of the meeting </w:t>
      </w:r>
      <w:r>
        <w:rPr>
          <w:color w:val="auto"/>
        </w:rPr>
        <w:t>suite</w:t>
      </w:r>
      <w:r w:rsidR="00DB70B5" w:rsidRPr="006A7C7D">
        <w:rPr>
          <w:color w:val="auto"/>
        </w:rPr>
        <w:t xml:space="preserve"> in Redman Place.</w:t>
      </w:r>
      <w:r>
        <w:rPr>
          <w:color w:val="auto"/>
        </w:rPr>
        <w:t xml:space="preserve">  There were 3 levels of kit depending on NICE’s needs.  ET discussed whether the most expensive option was justified given the future ways of working are still to be decided and may change again in 12 months.  It was considered whether it would be possible to have a flexible option whereby additional kit could be added as </w:t>
      </w:r>
      <w:r>
        <w:rPr>
          <w:color w:val="auto"/>
        </w:rPr>
        <w:lastRenderedPageBreak/>
        <w:t xml:space="preserve">technologies </w:t>
      </w:r>
      <w:r w:rsidR="000F2B92">
        <w:rPr>
          <w:color w:val="auto"/>
        </w:rPr>
        <w:t>develop</w:t>
      </w:r>
      <w:r>
        <w:rPr>
          <w:color w:val="auto"/>
        </w:rPr>
        <w:t xml:space="preserve">.  Alexia stated that the basic principle </w:t>
      </w:r>
      <w:r w:rsidR="004B4AD6">
        <w:rPr>
          <w:color w:val="auto"/>
        </w:rPr>
        <w:t>was that the software was interoperable with existing internal systems and easily accessible externally.  ET commented that given the importance of NICE’s advisory committees, a good spec was essential.</w:t>
      </w:r>
    </w:p>
    <w:p w14:paraId="5BB204B8" w14:textId="53236600" w:rsidR="004B4AD6" w:rsidRDefault="004B4AD6" w:rsidP="00D8696A">
      <w:pPr>
        <w:pStyle w:val="Numberedpara"/>
        <w:spacing w:after="240"/>
        <w:rPr>
          <w:color w:val="auto"/>
        </w:rPr>
      </w:pPr>
      <w:r>
        <w:rPr>
          <w:color w:val="auto"/>
        </w:rPr>
        <w:t>It was agreed to proceed with a request to the DHSC on the basis of the highest spec (option 3) in the Thames suite (largest room), option 2 in Wandle and option 1 in Westbourne.</w:t>
      </w:r>
    </w:p>
    <w:p w14:paraId="711DA876" w14:textId="4ED1DACA" w:rsidR="004B4AD6" w:rsidRPr="004B4AD6" w:rsidRDefault="004B4AD6" w:rsidP="004B4AD6">
      <w:pPr>
        <w:pStyle w:val="Numberedpara"/>
        <w:numPr>
          <w:ilvl w:val="0"/>
          <w:numId w:val="0"/>
        </w:numPr>
        <w:spacing w:after="240"/>
        <w:ind w:left="360"/>
        <w:jc w:val="right"/>
        <w:rPr>
          <w:b/>
          <w:bCs/>
          <w:color w:val="auto"/>
        </w:rPr>
      </w:pPr>
      <w:r w:rsidRPr="004B4AD6">
        <w:rPr>
          <w:b/>
          <w:bCs/>
          <w:color w:val="auto"/>
        </w:rPr>
        <w:t>ACTION: AT</w:t>
      </w:r>
    </w:p>
    <w:p w14:paraId="6F7968E8" w14:textId="1DFB1B07" w:rsidR="00D058A1" w:rsidRDefault="00D058A1" w:rsidP="00D8696A">
      <w:pPr>
        <w:pStyle w:val="Heading2"/>
      </w:pPr>
      <w:r>
        <w:t>Gold group (item 1</w:t>
      </w:r>
      <w:r w:rsidR="00D8696A">
        <w:t>2</w:t>
      </w:r>
      <w:r>
        <w:t>)</w:t>
      </w:r>
    </w:p>
    <w:p w14:paraId="4548A4F9" w14:textId="77777777" w:rsidR="00D8696A" w:rsidRPr="00D8696A" w:rsidRDefault="00D8696A" w:rsidP="00D8696A">
      <w:pPr>
        <w:pStyle w:val="Paragraph"/>
        <w:numPr>
          <w:ilvl w:val="0"/>
          <w:numId w:val="0"/>
        </w:numPr>
        <w:ind w:left="720"/>
      </w:pPr>
    </w:p>
    <w:p w14:paraId="3D8B7077" w14:textId="1B6E0A4E" w:rsidR="00D058A1" w:rsidRPr="00DB70B5" w:rsidRDefault="00F91449" w:rsidP="00D058A1">
      <w:pPr>
        <w:pStyle w:val="Numberedpara"/>
        <w:spacing w:after="240"/>
        <w:rPr>
          <w:color w:val="000000" w:themeColor="text1"/>
        </w:rPr>
      </w:pPr>
      <w:r w:rsidRPr="00DB70B5">
        <w:rPr>
          <w:color w:val="000000" w:themeColor="text1"/>
        </w:rPr>
        <w:t xml:space="preserve">The </w:t>
      </w:r>
      <w:r w:rsidR="00F46A45" w:rsidRPr="00DB70B5">
        <w:rPr>
          <w:color w:val="000000" w:themeColor="text1"/>
        </w:rPr>
        <w:t xml:space="preserve">ET </w:t>
      </w:r>
      <w:r w:rsidR="006175B7" w:rsidRPr="00DB70B5">
        <w:rPr>
          <w:color w:val="000000" w:themeColor="text1"/>
        </w:rPr>
        <w:t>not</w:t>
      </w:r>
      <w:r w:rsidR="00F46A45" w:rsidRPr="00DB70B5">
        <w:rPr>
          <w:color w:val="000000" w:themeColor="text1"/>
        </w:rPr>
        <w:t>ed the following decision</w:t>
      </w:r>
      <w:r w:rsidR="00300A4F" w:rsidRPr="00DB70B5">
        <w:rPr>
          <w:color w:val="000000" w:themeColor="text1"/>
        </w:rPr>
        <w:t>s</w:t>
      </w:r>
      <w:r w:rsidR="00F46A45" w:rsidRPr="00DB70B5">
        <w:rPr>
          <w:color w:val="000000" w:themeColor="text1"/>
        </w:rPr>
        <w:t xml:space="preserve"> made </w:t>
      </w:r>
      <w:r w:rsidR="00350DA4" w:rsidRPr="00DB70B5">
        <w:rPr>
          <w:color w:val="000000" w:themeColor="text1"/>
        </w:rPr>
        <w:t>at</w:t>
      </w:r>
      <w:r w:rsidR="00F46A45" w:rsidRPr="00DB70B5">
        <w:rPr>
          <w:color w:val="000000" w:themeColor="text1"/>
        </w:rPr>
        <w:t xml:space="preserve"> the </w:t>
      </w:r>
      <w:proofErr w:type="gramStart"/>
      <w:r w:rsidR="00F46A45" w:rsidRPr="00DB70B5">
        <w:rPr>
          <w:color w:val="000000" w:themeColor="text1"/>
        </w:rPr>
        <w:t>Gold</w:t>
      </w:r>
      <w:proofErr w:type="gramEnd"/>
      <w:r w:rsidR="00F46A45" w:rsidRPr="00DB70B5">
        <w:rPr>
          <w:color w:val="000000" w:themeColor="text1"/>
        </w:rPr>
        <w:t xml:space="preserve"> group</w:t>
      </w:r>
      <w:r w:rsidR="005A5595" w:rsidRPr="00DB70B5">
        <w:rPr>
          <w:color w:val="000000" w:themeColor="text1"/>
        </w:rPr>
        <w:t xml:space="preserve"> in relation to the reprioritisation of work programmes in Q4</w:t>
      </w:r>
      <w:r w:rsidR="00865EEA">
        <w:rPr>
          <w:color w:val="000000" w:themeColor="text1"/>
        </w:rPr>
        <w:t>.  The following will be paused</w:t>
      </w:r>
      <w:r w:rsidR="00F46A45" w:rsidRPr="00DB70B5">
        <w:rPr>
          <w:color w:val="000000" w:themeColor="text1"/>
        </w:rPr>
        <w:t>:</w:t>
      </w:r>
    </w:p>
    <w:p w14:paraId="68528FAA" w14:textId="01EF0A73" w:rsidR="00DB70B5" w:rsidRPr="00DB70B5" w:rsidRDefault="00DB70B5" w:rsidP="00DB70B5">
      <w:pPr>
        <w:pStyle w:val="Numberedpara"/>
        <w:numPr>
          <w:ilvl w:val="0"/>
          <w:numId w:val="0"/>
        </w:numPr>
        <w:ind w:left="357"/>
        <w:rPr>
          <w:b/>
          <w:bCs/>
          <w:color w:val="000000" w:themeColor="text1"/>
        </w:rPr>
      </w:pPr>
      <w:r w:rsidRPr="00DB70B5">
        <w:rPr>
          <w:b/>
          <w:bCs/>
          <w:color w:val="000000" w:themeColor="text1"/>
        </w:rPr>
        <w:t>Corporate office</w:t>
      </w:r>
    </w:p>
    <w:p w14:paraId="1305F01A" w14:textId="61F0F83B" w:rsidR="00FA121B" w:rsidRPr="00DB70B5" w:rsidRDefault="00DB70B5" w:rsidP="00FA121B">
      <w:pPr>
        <w:pStyle w:val="Numberedpara"/>
        <w:numPr>
          <w:ilvl w:val="0"/>
          <w:numId w:val="15"/>
        </w:numPr>
        <w:ind w:left="851" w:hanging="284"/>
        <w:rPr>
          <w:color w:val="000000" w:themeColor="text1"/>
        </w:rPr>
      </w:pPr>
      <w:r w:rsidRPr="007A5A90">
        <w:t>refresh of the corporate risk register to align to 2021/22 business objectives</w:t>
      </w:r>
    </w:p>
    <w:p w14:paraId="746FE3CC" w14:textId="7C3D6482" w:rsidR="00DB70B5" w:rsidRPr="00DB70B5" w:rsidRDefault="00DB70B5" w:rsidP="00FA121B">
      <w:pPr>
        <w:pStyle w:val="Numberedpara"/>
        <w:numPr>
          <w:ilvl w:val="0"/>
          <w:numId w:val="15"/>
        </w:numPr>
        <w:ind w:left="851" w:hanging="284"/>
        <w:rPr>
          <w:color w:val="000000" w:themeColor="text1"/>
        </w:rPr>
      </w:pPr>
      <w:r>
        <w:t>p</w:t>
      </w:r>
      <w:r w:rsidRPr="007A5A90">
        <w:t>rocurement and installation of Board pack software</w:t>
      </w:r>
    </w:p>
    <w:p w14:paraId="5A45C3F7" w14:textId="7F157545" w:rsidR="00DB70B5" w:rsidRPr="00DB70B5" w:rsidRDefault="00DB70B5" w:rsidP="00D716E6">
      <w:pPr>
        <w:pStyle w:val="Numberedpara"/>
        <w:numPr>
          <w:ilvl w:val="0"/>
          <w:numId w:val="15"/>
        </w:numPr>
        <w:spacing w:after="120"/>
        <w:ind w:left="851" w:hanging="284"/>
        <w:rPr>
          <w:color w:val="000000" w:themeColor="text1"/>
        </w:rPr>
      </w:pPr>
      <w:r>
        <w:t>r</w:t>
      </w:r>
      <w:r w:rsidRPr="007A5A90">
        <w:t>eview of committee recruitment policy</w:t>
      </w:r>
    </w:p>
    <w:p w14:paraId="7540D472" w14:textId="3CCFDB0A" w:rsidR="00DB70B5" w:rsidRPr="00DB70B5" w:rsidRDefault="00DB70B5" w:rsidP="00DB70B5">
      <w:pPr>
        <w:pStyle w:val="Numberedpara"/>
        <w:numPr>
          <w:ilvl w:val="0"/>
          <w:numId w:val="0"/>
        </w:numPr>
        <w:ind w:left="927" w:hanging="501"/>
        <w:rPr>
          <w:b/>
          <w:bCs/>
          <w:color w:val="000000" w:themeColor="text1"/>
        </w:rPr>
      </w:pPr>
      <w:r>
        <w:rPr>
          <w:b/>
          <w:bCs/>
        </w:rPr>
        <w:t xml:space="preserve">HR </w:t>
      </w:r>
      <w:r w:rsidR="00E76E2B">
        <w:rPr>
          <w:b/>
          <w:bCs/>
        </w:rPr>
        <w:t>&amp; OD</w:t>
      </w:r>
    </w:p>
    <w:p w14:paraId="30A4241B" w14:textId="361C29F3" w:rsidR="00DB70B5" w:rsidRPr="00DB70B5" w:rsidRDefault="00DB70B5" w:rsidP="00FA121B">
      <w:pPr>
        <w:pStyle w:val="Numberedpara"/>
        <w:numPr>
          <w:ilvl w:val="0"/>
          <w:numId w:val="15"/>
        </w:numPr>
        <w:ind w:left="851" w:hanging="284"/>
        <w:rPr>
          <w:color w:val="000000" w:themeColor="text1"/>
        </w:rPr>
      </w:pPr>
      <w:r w:rsidRPr="007A5A90">
        <w:t>Healthy Work Week surveys –</w:t>
      </w:r>
      <w:r>
        <w:t xml:space="preserve"> </w:t>
      </w:r>
      <w:r w:rsidR="00865EEA">
        <w:t xml:space="preserve">reduced </w:t>
      </w:r>
      <w:r>
        <w:t>to</w:t>
      </w:r>
      <w:r w:rsidRPr="007A5A90">
        <w:t xml:space="preserve"> 1 survey at the end of the week</w:t>
      </w:r>
    </w:p>
    <w:p w14:paraId="7F0C9B04" w14:textId="4C8114EE" w:rsidR="00DB70B5" w:rsidRPr="00DB70B5" w:rsidRDefault="00DB70B5" w:rsidP="00FA121B">
      <w:pPr>
        <w:pStyle w:val="Numberedpara"/>
        <w:numPr>
          <w:ilvl w:val="0"/>
          <w:numId w:val="15"/>
        </w:numPr>
        <w:ind w:left="851" w:hanging="284"/>
        <w:rPr>
          <w:color w:val="000000" w:themeColor="text1"/>
        </w:rPr>
      </w:pPr>
      <w:r>
        <w:t>r</w:t>
      </w:r>
      <w:r w:rsidRPr="007A5A90">
        <w:t>eview of Induction &amp; launch of re-induction (for maternity returners)</w:t>
      </w:r>
    </w:p>
    <w:p w14:paraId="0F0CBC77" w14:textId="3B095C6C" w:rsidR="00DB70B5" w:rsidRPr="00E76E2B" w:rsidRDefault="00E76E2B" w:rsidP="00FA121B">
      <w:pPr>
        <w:pStyle w:val="Numberedpara"/>
        <w:numPr>
          <w:ilvl w:val="0"/>
          <w:numId w:val="15"/>
        </w:numPr>
        <w:ind w:left="851" w:hanging="284"/>
        <w:rPr>
          <w:color w:val="000000" w:themeColor="text1"/>
        </w:rPr>
      </w:pPr>
      <w:r w:rsidRPr="007A5A90">
        <w:t>National Apprenticeship Week 8-14</w:t>
      </w:r>
      <w:r w:rsidRPr="007A5A90">
        <w:rPr>
          <w:vertAlign w:val="superscript"/>
        </w:rPr>
        <w:t>th</w:t>
      </w:r>
      <w:r w:rsidRPr="007A5A90">
        <w:t xml:space="preserve"> February to be a scaled down pla</w:t>
      </w:r>
      <w:r w:rsidR="00865EEA">
        <w:t>n</w:t>
      </w:r>
    </w:p>
    <w:p w14:paraId="338146D0" w14:textId="6BEE2CA0" w:rsidR="00E76E2B" w:rsidRPr="00E76E2B" w:rsidRDefault="00E76E2B" w:rsidP="00FA121B">
      <w:pPr>
        <w:pStyle w:val="Numberedpara"/>
        <w:numPr>
          <w:ilvl w:val="0"/>
          <w:numId w:val="15"/>
        </w:numPr>
        <w:ind w:left="851" w:hanging="284"/>
        <w:rPr>
          <w:color w:val="000000" w:themeColor="text1"/>
        </w:rPr>
      </w:pPr>
      <w:r w:rsidRPr="007A5A90">
        <w:t>Cancel monthly staff survey engagement meeting</w:t>
      </w:r>
      <w:r>
        <w:t>s</w:t>
      </w:r>
      <w:r w:rsidRPr="007A5A90">
        <w:t xml:space="preserve"> &amp; reconvene tied into 2021 survey</w:t>
      </w:r>
    </w:p>
    <w:p w14:paraId="2B32E82B" w14:textId="6EC2374E" w:rsidR="00E76E2B" w:rsidRPr="00E76E2B" w:rsidRDefault="00E76E2B" w:rsidP="00FA121B">
      <w:pPr>
        <w:pStyle w:val="Numberedpara"/>
        <w:numPr>
          <w:ilvl w:val="0"/>
          <w:numId w:val="15"/>
        </w:numPr>
        <w:ind w:left="851" w:hanging="284"/>
        <w:rPr>
          <w:color w:val="000000" w:themeColor="text1"/>
        </w:rPr>
      </w:pPr>
      <w:r w:rsidRPr="007A5A90">
        <w:t>the skills audit &amp; as part of the enabling workforce strategy for the new business strategy, assess the skills required going forward</w:t>
      </w:r>
    </w:p>
    <w:p w14:paraId="1A8A1908" w14:textId="241DD61E" w:rsidR="00E76E2B" w:rsidRPr="00E76E2B" w:rsidRDefault="00E76E2B" w:rsidP="00FA121B">
      <w:pPr>
        <w:pStyle w:val="Numberedpara"/>
        <w:numPr>
          <w:ilvl w:val="0"/>
          <w:numId w:val="15"/>
        </w:numPr>
        <w:ind w:left="851" w:hanging="284"/>
        <w:rPr>
          <w:color w:val="000000" w:themeColor="text1"/>
        </w:rPr>
      </w:pPr>
      <w:r w:rsidRPr="007A5A90">
        <w:t xml:space="preserve">the 360 </w:t>
      </w:r>
      <w:proofErr w:type="gramStart"/>
      <w:r w:rsidRPr="007A5A90">
        <w:t>activity</w:t>
      </w:r>
      <w:proofErr w:type="gramEnd"/>
      <w:r w:rsidRPr="007A5A90">
        <w:t xml:space="preserve"> (for Exec Team &amp; their direct reports) &amp; do as 2</w:t>
      </w:r>
      <w:r w:rsidRPr="007A5A90">
        <w:rPr>
          <w:vertAlign w:val="superscript"/>
        </w:rPr>
        <w:t>nd</w:t>
      </w:r>
      <w:r w:rsidRPr="007A5A90">
        <w:t xml:space="preserve"> phase of talent management</w:t>
      </w:r>
      <w:r>
        <w:t xml:space="preserve"> activity</w:t>
      </w:r>
    </w:p>
    <w:p w14:paraId="39A6530E" w14:textId="43BB4207" w:rsidR="00E76E2B" w:rsidRPr="00E76E2B" w:rsidRDefault="00E76E2B" w:rsidP="00FA121B">
      <w:pPr>
        <w:pStyle w:val="Numberedpara"/>
        <w:numPr>
          <w:ilvl w:val="0"/>
          <w:numId w:val="15"/>
        </w:numPr>
        <w:ind w:left="851" w:hanging="284"/>
        <w:rPr>
          <w:color w:val="000000" w:themeColor="text1"/>
        </w:rPr>
      </w:pPr>
      <w:r w:rsidRPr="007A5A90">
        <w:t>‘</w:t>
      </w:r>
      <w:proofErr w:type="gramStart"/>
      <w:r w:rsidRPr="007A5A90">
        <w:t>new</w:t>
      </w:r>
      <w:proofErr w:type="gramEnd"/>
      <w:r w:rsidRPr="007A5A90">
        <w:t xml:space="preserve"> to line management training’ &amp; remove 360 activity</w:t>
      </w:r>
    </w:p>
    <w:p w14:paraId="248C4AE7" w14:textId="37EFA4C6" w:rsidR="00E76E2B" w:rsidRPr="00E76E2B" w:rsidRDefault="00E76E2B" w:rsidP="00E76E2B">
      <w:pPr>
        <w:pStyle w:val="Numberedpara"/>
        <w:numPr>
          <w:ilvl w:val="0"/>
          <w:numId w:val="15"/>
        </w:numPr>
        <w:spacing w:after="120"/>
        <w:ind w:left="851" w:hanging="284"/>
        <w:rPr>
          <w:color w:val="000000" w:themeColor="text1"/>
        </w:rPr>
      </w:pPr>
      <w:r w:rsidRPr="007A5A90">
        <w:t>Speaking Up – concept paper to be developed but deliver</w:t>
      </w:r>
      <w:r>
        <w:t>ed</w:t>
      </w:r>
      <w:r w:rsidRPr="007A5A90">
        <w:t xml:space="preserve"> in 2021</w:t>
      </w:r>
    </w:p>
    <w:p w14:paraId="7F911D49" w14:textId="0134E79D" w:rsidR="00E76E2B" w:rsidRPr="00E76E2B" w:rsidRDefault="00E76E2B" w:rsidP="00E76E2B">
      <w:pPr>
        <w:pStyle w:val="Numberedpara"/>
        <w:numPr>
          <w:ilvl w:val="0"/>
          <w:numId w:val="0"/>
        </w:numPr>
        <w:ind w:left="567"/>
        <w:rPr>
          <w:b/>
          <w:bCs/>
          <w:color w:val="000000" w:themeColor="text1"/>
        </w:rPr>
      </w:pPr>
      <w:r>
        <w:rPr>
          <w:b/>
          <w:bCs/>
        </w:rPr>
        <w:t>Connect programme</w:t>
      </w:r>
    </w:p>
    <w:p w14:paraId="44893DEC" w14:textId="5A81076F" w:rsidR="00E76E2B" w:rsidRPr="00E76E2B" w:rsidRDefault="00E76E2B" w:rsidP="00FA121B">
      <w:pPr>
        <w:pStyle w:val="Numberedpara"/>
        <w:numPr>
          <w:ilvl w:val="0"/>
          <w:numId w:val="15"/>
        </w:numPr>
        <w:ind w:left="851" w:hanging="284"/>
        <w:rPr>
          <w:color w:val="000000" w:themeColor="text1"/>
        </w:rPr>
      </w:pPr>
      <w:r w:rsidRPr="00E76E2B">
        <w:t>SharePoint business case and pilot</w:t>
      </w:r>
    </w:p>
    <w:p w14:paraId="230717B9" w14:textId="3B686C3C" w:rsidR="00E76E2B" w:rsidRPr="00E76E2B" w:rsidRDefault="00E76E2B" w:rsidP="00FA121B">
      <w:pPr>
        <w:pStyle w:val="Numberedpara"/>
        <w:numPr>
          <w:ilvl w:val="0"/>
          <w:numId w:val="15"/>
        </w:numPr>
        <w:ind w:left="851" w:hanging="284"/>
        <w:rPr>
          <w:color w:val="000000" w:themeColor="text1"/>
        </w:rPr>
      </w:pPr>
      <w:r w:rsidRPr="00E76E2B">
        <w:t>Comment collection tool</w:t>
      </w:r>
    </w:p>
    <w:p w14:paraId="11CA6997" w14:textId="1DD445B3" w:rsidR="00E76E2B" w:rsidRPr="00E76E2B" w:rsidRDefault="00E76E2B" w:rsidP="00FA121B">
      <w:pPr>
        <w:pStyle w:val="Numberedpara"/>
        <w:numPr>
          <w:ilvl w:val="0"/>
          <w:numId w:val="15"/>
        </w:numPr>
        <w:ind w:left="851" w:hanging="284"/>
        <w:rPr>
          <w:color w:val="000000" w:themeColor="text1"/>
        </w:rPr>
      </w:pPr>
      <w:r w:rsidRPr="00E76E2B">
        <w:t>Shared contacts data management to support CRM decision</w:t>
      </w:r>
    </w:p>
    <w:p w14:paraId="261A5AC6" w14:textId="3B419811" w:rsidR="00E76E2B" w:rsidRPr="00E76E2B" w:rsidRDefault="00E76E2B" w:rsidP="00FA121B">
      <w:pPr>
        <w:pStyle w:val="Numberedpara"/>
        <w:numPr>
          <w:ilvl w:val="0"/>
          <w:numId w:val="15"/>
        </w:numPr>
        <w:ind w:left="851" w:hanging="284"/>
        <w:rPr>
          <w:color w:val="000000" w:themeColor="text1"/>
        </w:rPr>
      </w:pPr>
      <w:r w:rsidRPr="00E76E2B">
        <w:t>CHTE process &amp; methods</w:t>
      </w:r>
    </w:p>
    <w:p w14:paraId="0D021EDA" w14:textId="0B64359D" w:rsidR="00E76E2B" w:rsidRPr="00E76E2B" w:rsidRDefault="00E76E2B" w:rsidP="00FA121B">
      <w:pPr>
        <w:pStyle w:val="Numberedpara"/>
        <w:numPr>
          <w:ilvl w:val="0"/>
          <w:numId w:val="15"/>
        </w:numPr>
        <w:ind w:left="851" w:hanging="284"/>
        <w:rPr>
          <w:color w:val="000000" w:themeColor="text1"/>
        </w:rPr>
      </w:pPr>
      <w:r w:rsidRPr="00E76E2B">
        <w:t>Quarterly external engagement meetings</w:t>
      </w:r>
    </w:p>
    <w:p w14:paraId="1513CD88" w14:textId="0F2F599D" w:rsidR="00E76E2B" w:rsidRPr="00E76E2B" w:rsidRDefault="00E76E2B" w:rsidP="00FA121B">
      <w:pPr>
        <w:pStyle w:val="Numberedpara"/>
        <w:numPr>
          <w:ilvl w:val="0"/>
          <w:numId w:val="15"/>
        </w:numPr>
        <w:ind w:left="851" w:hanging="284"/>
        <w:rPr>
          <w:color w:val="000000" w:themeColor="text1"/>
        </w:rPr>
      </w:pPr>
      <w:r w:rsidRPr="00E76E2B">
        <w:t>External engagement plan</w:t>
      </w:r>
    </w:p>
    <w:p w14:paraId="2F8278ED" w14:textId="624529B2" w:rsidR="00E76E2B" w:rsidRPr="00E76E2B" w:rsidRDefault="00E76E2B" w:rsidP="00FA121B">
      <w:pPr>
        <w:pStyle w:val="Numberedpara"/>
        <w:numPr>
          <w:ilvl w:val="0"/>
          <w:numId w:val="15"/>
        </w:numPr>
        <w:ind w:left="851" w:hanging="284"/>
        <w:rPr>
          <w:color w:val="000000" w:themeColor="text1"/>
        </w:rPr>
      </w:pPr>
      <w:r w:rsidRPr="00E76E2B">
        <w:t>Organisational skills gap plan</w:t>
      </w:r>
    </w:p>
    <w:p w14:paraId="79E7178C" w14:textId="293E9E21" w:rsidR="00E76E2B" w:rsidRPr="00E76E2B" w:rsidRDefault="00E76E2B" w:rsidP="00FA121B">
      <w:pPr>
        <w:pStyle w:val="Numberedpara"/>
        <w:numPr>
          <w:ilvl w:val="0"/>
          <w:numId w:val="15"/>
        </w:numPr>
        <w:ind w:left="851" w:hanging="284"/>
        <w:rPr>
          <w:color w:val="000000" w:themeColor="text1"/>
        </w:rPr>
      </w:pPr>
      <w:r w:rsidRPr="00E76E2B">
        <w:t>Stakeholder registration process management</w:t>
      </w:r>
    </w:p>
    <w:p w14:paraId="5B0D70A2" w14:textId="74B77A14" w:rsidR="00E76E2B" w:rsidRPr="00E76E2B" w:rsidRDefault="00E76E2B" w:rsidP="00FA121B">
      <w:pPr>
        <w:pStyle w:val="Numberedpara"/>
        <w:numPr>
          <w:ilvl w:val="0"/>
          <w:numId w:val="15"/>
        </w:numPr>
        <w:ind w:left="851" w:hanging="284"/>
        <w:rPr>
          <w:color w:val="000000" w:themeColor="text1"/>
        </w:rPr>
      </w:pPr>
      <w:r w:rsidRPr="00E76E2B">
        <w:t>NICE wide consultation activities</w:t>
      </w:r>
    </w:p>
    <w:p w14:paraId="4F58E19A" w14:textId="7F87080A" w:rsidR="00E76E2B" w:rsidRPr="00E76E2B" w:rsidRDefault="00E76E2B" w:rsidP="00FA121B">
      <w:pPr>
        <w:pStyle w:val="Numberedpara"/>
        <w:numPr>
          <w:ilvl w:val="0"/>
          <w:numId w:val="15"/>
        </w:numPr>
        <w:ind w:left="851" w:hanging="284"/>
        <w:rPr>
          <w:color w:val="000000" w:themeColor="text1"/>
        </w:rPr>
      </w:pPr>
      <w:r w:rsidRPr="00E76E2B">
        <w:t>Integrated guidance</w:t>
      </w:r>
      <w:r>
        <w:t xml:space="preserve"> </w:t>
      </w:r>
      <w:r w:rsidRPr="00E76E2B">
        <w:t>prototypes</w:t>
      </w:r>
    </w:p>
    <w:p w14:paraId="65EDA4C2" w14:textId="30971029" w:rsidR="00E76E2B" w:rsidRPr="006F5608" w:rsidRDefault="00E76E2B" w:rsidP="006F5608">
      <w:pPr>
        <w:pStyle w:val="Numberedpara"/>
        <w:numPr>
          <w:ilvl w:val="0"/>
          <w:numId w:val="15"/>
        </w:numPr>
        <w:spacing w:after="120"/>
        <w:ind w:left="851" w:hanging="284"/>
        <w:rPr>
          <w:color w:val="000000" w:themeColor="text1"/>
        </w:rPr>
      </w:pPr>
      <w:r w:rsidRPr="00E76E2B">
        <w:t xml:space="preserve">Life sciences hub – DIT to continue with </w:t>
      </w:r>
      <w:r>
        <w:t xml:space="preserve">the </w:t>
      </w:r>
      <w:r w:rsidRPr="00E76E2B">
        <w:t>discovery phase</w:t>
      </w:r>
    </w:p>
    <w:p w14:paraId="2E53BEB3" w14:textId="5165451F" w:rsidR="006F5608" w:rsidRPr="006F5608" w:rsidRDefault="006F5608" w:rsidP="006F5608">
      <w:pPr>
        <w:pStyle w:val="Numberedpara"/>
        <w:numPr>
          <w:ilvl w:val="0"/>
          <w:numId w:val="0"/>
        </w:numPr>
        <w:ind w:left="567"/>
        <w:rPr>
          <w:color w:val="000000" w:themeColor="text1"/>
        </w:rPr>
      </w:pPr>
      <w:r w:rsidRPr="006F5608">
        <w:rPr>
          <w:b/>
          <w:bCs/>
        </w:rPr>
        <w:t>CHTE</w:t>
      </w:r>
      <w:r>
        <w:rPr>
          <w:b/>
          <w:bCs/>
        </w:rPr>
        <w:t xml:space="preserve"> </w:t>
      </w:r>
      <w:r>
        <w:t>(not considered a priority)</w:t>
      </w:r>
    </w:p>
    <w:p w14:paraId="43CD88D1" w14:textId="6A111A1E" w:rsidR="006F5608" w:rsidRPr="007A5A90" w:rsidRDefault="006F5608" w:rsidP="006F5608">
      <w:pPr>
        <w:pStyle w:val="Heading1"/>
        <w:numPr>
          <w:ilvl w:val="0"/>
          <w:numId w:val="19"/>
        </w:numPr>
        <w:spacing w:before="60" w:after="0"/>
        <w:ind w:left="851" w:hanging="284"/>
        <w:rPr>
          <w:b w:val="0"/>
          <w:bCs w:val="0"/>
          <w:sz w:val="22"/>
          <w:szCs w:val="22"/>
        </w:rPr>
      </w:pPr>
      <w:r w:rsidRPr="007A5A90">
        <w:rPr>
          <w:b w:val="0"/>
          <w:bCs w:val="0"/>
          <w:sz w:val="22"/>
          <w:szCs w:val="22"/>
        </w:rPr>
        <w:t>Topic Selection Oversight Group</w:t>
      </w:r>
    </w:p>
    <w:p w14:paraId="3F069E68" w14:textId="230FC0E7" w:rsidR="006F5608" w:rsidRPr="007A5A90" w:rsidRDefault="006F5608" w:rsidP="006F5608">
      <w:pPr>
        <w:pStyle w:val="Paragraphnonumbers"/>
        <w:numPr>
          <w:ilvl w:val="0"/>
          <w:numId w:val="19"/>
        </w:numPr>
        <w:spacing w:after="0" w:line="240" w:lineRule="auto"/>
        <w:ind w:left="851" w:hanging="284"/>
        <w:rPr>
          <w:sz w:val="22"/>
          <w:szCs w:val="22"/>
        </w:rPr>
      </w:pPr>
      <w:r w:rsidRPr="007A5A90">
        <w:rPr>
          <w:sz w:val="22"/>
          <w:szCs w:val="22"/>
        </w:rPr>
        <w:t>Office for Market Access</w:t>
      </w:r>
    </w:p>
    <w:p w14:paraId="7BF7C582" w14:textId="77777777" w:rsidR="006F5608" w:rsidRPr="007A5A90" w:rsidRDefault="006F5608" w:rsidP="006F5608">
      <w:pPr>
        <w:pStyle w:val="Paragraphnonumbers"/>
        <w:numPr>
          <w:ilvl w:val="0"/>
          <w:numId w:val="19"/>
        </w:numPr>
        <w:spacing w:after="0" w:line="240" w:lineRule="auto"/>
        <w:ind w:left="851" w:hanging="284"/>
        <w:rPr>
          <w:sz w:val="22"/>
          <w:szCs w:val="22"/>
        </w:rPr>
      </w:pPr>
      <w:r w:rsidRPr="007A5A90">
        <w:rPr>
          <w:sz w:val="22"/>
          <w:szCs w:val="22"/>
        </w:rPr>
        <w:t>NICE Scientific Advice</w:t>
      </w:r>
    </w:p>
    <w:p w14:paraId="75F9B137" w14:textId="1B2ABA2A" w:rsidR="006F5608" w:rsidRPr="006F5608" w:rsidRDefault="006F5608" w:rsidP="006F5608">
      <w:pPr>
        <w:pStyle w:val="Numberedpara"/>
        <w:numPr>
          <w:ilvl w:val="0"/>
          <w:numId w:val="15"/>
        </w:numPr>
        <w:ind w:left="851" w:hanging="284"/>
        <w:rPr>
          <w:color w:val="000000" w:themeColor="text1"/>
        </w:rPr>
      </w:pPr>
      <w:r w:rsidRPr="007A5A90">
        <w:t>NICE International</w:t>
      </w:r>
    </w:p>
    <w:p w14:paraId="7FF42F79" w14:textId="72C53501" w:rsidR="00003F33" w:rsidRPr="00003F33" w:rsidRDefault="006F5608" w:rsidP="00003F33">
      <w:pPr>
        <w:pStyle w:val="Numberedpara"/>
        <w:numPr>
          <w:ilvl w:val="0"/>
          <w:numId w:val="0"/>
        </w:numPr>
        <w:ind w:left="567"/>
        <w:rPr>
          <w:color w:val="000000" w:themeColor="text1"/>
        </w:rPr>
      </w:pPr>
      <w:r>
        <w:rPr>
          <w:color w:val="000000" w:themeColor="text1"/>
        </w:rPr>
        <w:t>(</w:t>
      </w:r>
      <w:proofErr w:type="gramStart"/>
      <w:r>
        <w:rPr>
          <w:color w:val="000000" w:themeColor="text1"/>
        </w:rPr>
        <w:t>partly</w:t>
      </w:r>
      <w:proofErr w:type="gramEnd"/>
      <w:r>
        <w:rPr>
          <w:color w:val="000000" w:themeColor="text1"/>
        </w:rPr>
        <w:t xml:space="preserve"> considered a priority)</w:t>
      </w:r>
    </w:p>
    <w:p w14:paraId="0777C76E" w14:textId="128F6CAA" w:rsidR="006F5608" w:rsidRPr="00003F33" w:rsidRDefault="00003F33" w:rsidP="006F5608">
      <w:pPr>
        <w:pStyle w:val="Numberedpara"/>
        <w:numPr>
          <w:ilvl w:val="0"/>
          <w:numId w:val="15"/>
        </w:numPr>
        <w:ind w:left="851" w:hanging="284"/>
        <w:rPr>
          <w:color w:val="000000" w:themeColor="text1"/>
        </w:rPr>
      </w:pPr>
      <w:proofErr w:type="spellStart"/>
      <w:r w:rsidRPr="007A5A90">
        <w:t>HTAi</w:t>
      </w:r>
      <w:proofErr w:type="spellEnd"/>
      <w:r w:rsidRPr="007A5A90">
        <w:t xml:space="preserve"> – virtual meeting</w:t>
      </w:r>
      <w:r>
        <w:t xml:space="preserve"> only</w:t>
      </w:r>
    </w:p>
    <w:p w14:paraId="23486EA1" w14:textId="7C49E231" w:rsidR="00003F33" w:rsidRPr="00003F33" w:rsidRDefault="00003F33" w:rsidP="006F5608">
      <w:pPr>
        <w:pStyle w:val="Numberedpara"/>
        <w:numPr>
          <w:ilvl w:val="0"/>
          <w:numId w:val="15"/>
        </w:numPr>
        <w:ind w:left="851" w:hanging="284"/>
        <w:rPr>
          <w:color w:val="000000" w:themeColor="text1"/>
        </w:rPr>
      </w:pPr>
      <w:r w:rsidRPr="007A5A90">
        <w:t>MTEP guidance – focus on therapeutically critical and digital</w:t>
      </w:r>
    </w:p>
    <w:p w14:paraId="39775AA0" w14:textId="22BF0D10" w:rsidR="00003F33" w:rsidRPr="00003F33" w:rsidRDefault="00003F33" w:rsidP="006F5608">
      <w:pPr>
        <w:pStyle w:val="Numberedpara"/>
        <w:numPr>
          <w:ilvl w:val="0"/>
          <w:numId w:val="15"/>
        </w:numPr>
        <w:ind w:left="851" w:hanging="284"/>
        <w:rPr>
          <w:color w:val="000000" w:themeColor="text1"/>
        </w:rPr>
      </w:pPr>
      <w:r w:rsidRPr="007A5A90">
        <w:t>DAP guidance - focus on therapeutically critical and digital</w:t>
      </w:r>
    </w:p>
    <w:p w14:paraId="1664D6A3" w14:textId="6E54D2BB" w:rsidR="00003F33" w:rsidRPr="00003F33" w:rsidRDefault="00003F33" w:rsidP="006F5608">
      <w:pPr>
        <w:pStyle w:val="Numberedpara"/>
        <w:numPr>
          <w:ilvl w:val="0"/>
          <w:numId w:val="15"/>
        </w:numPr>
        <w:ind w:left="851" w:hanging="284"/>
        <w:rPr>
          <w:color w:val="000000" w:themeColor="text1"/>
        </w:rPr>
      </w:pPr>
      <w:r w:rsidRPr="007568B8">
        <w:lastRenderedPageBreak/>
        <w:t>MIBs – All COVID MIBs will continue</w:t>
      </w:r>
    </w:p>
    <w:p w14:paraId="47254712" w14:textId="6010A72D" w:rsidR="00003F33" w:rsidRPr="00003F33" w:rsidRDefault="00003F33" w:rsidP="00003F33">
      <w:pPr>
        <w:pStyle w:val="Numberedpara"/>
        <w:numPr>
          <w:ilvl w:val="0"/>
          <w:numId w:val="15"/>
        </w:numPr>
        <w:ind w:left="851" w:hanging="284"/>
        <w:rPr>
          <w:color w:val="000000" w:themeColor="text1"/>
        </w:rPr>
      </w:pPr>
      <w:r>
        <w:t>Transformation – CHTE 2020 and Connect</w:t>
      </w:r>
    </w:p>
    <w:p w14:paraId="79EA4C79" w14:textId="2C84CA13" w:rsidR="00003F33" w:rsidRPr="00003F33" w:rsidRDefault="00003F33" w:rsidP="00003F33">
      <w:pPr>
        <w:pStyle w:val="Numberedpara"/>
        <w:numPr>
          <w:ilvl w:val="0"/>
          <w:numId w:val="15"/>
        </w:numPr>
        <w:spacing w:after="120"/>
        <w:ind w:left="851" w:hanging="284"/>
        <w:rPr>
          <w:color w:val="000000" w:themeColor="text1"/>
        </w:rPr>
      </w:pPr>
      <w:r w:rsidRPr="711E3CB7">
        <w:t>Commercial liaison – demand from TA/HST only</w:t>
      </w:r>
    </w:p>
    <w:p w14:paraId="66DF2BBA" w14:textId="75EC2AB4" w:rsidR="00003F33" w:rsidRPr="00003F33" w:rsidRDefault="00003F33" w:rsidP="00003F33">
      <w:pPr>
        <w:pStyle w:val="Numberedpara"/>
        <w:numPr>
          <w:ilvl w:val="0"/>
          <w:numId w:val="0"/>
        </w:numPr>
        <w:ind w:left="567"/>
        <w:rPr>
          <w:b/>
          <w:bCs/>
          <w:color w:val="000000" w:themeColor="text1"/>
        </w:rPr>
      </w:pPr>
      <w:r>
        <w:rPr>
          <w:b/>
          <w:bCs/>
          <w:color w:val="000000" w:themeColor="text1"/>
        </w:rPr>
        <w:t>Health and social care</w:t>
      </w:r>
    </w:p>
    <w:p w14:paraId="347E34F9" w14:textId="7085EEDC" w:rsidR="00D716E6" w:rsidRPr="00D716E6" w:rsidRDefault="00D716E6" w:rsidP="00D716E6">
      <w:pPr>
        <w:pStyle w:val="Numberedpara"/>
        <w:numPr>
          <w:ilvl w:val="0"/>
          <w:numId w:val="15"/>
        </w:numPr>
        <w:ind w:left="851" w:hanging="284"/>
        <w:rPr>
          <w:color w:val="000000" w:themeColor="text1"/>
        </w:rPr>
      </w:pPr>
      <w:r>
        <w:rPr>
          <w:color w:val="000000" w:themeColor="text1"/>
        </w:rPr>
        <w:t>Quality standards</w:t>
      </w:r>
    </w:p>
    <w:p w14:paraId="2FFF7D1A" w14:textId="5F1A1354" w:rsidR="00003F33" w:rsidRDefault="00D716E6" w:rsidP="006F5608">
      <w:pPr>
        <w:pStyle w:val="Numberedpara"/>
        <w:numPr>
          <w:ilvl w:val="0"/>
          <w:numId w:val="15"/>
        </w:numPr>
        <w:ind w:left="851" w:hanging="284"/>
        <w:rPr>
          <w:color w:val="000000" w:themeColor="text1"/>
        </w:rPr>
      </w:pPr>
      <w:r>
        <w:rPr>
          <w:color w:val="000000" w:themeColor="text1"/>
        </w:rPr>
        <w:t>IAC &amp; QSAC committees stood down temporarily</w:t>
      </w:r>
    </w:p>
    <w:p w14:paraId="50898236" w14:textId="7792D71B" w:rsidR="00003F33" w:rsidRDefault="00D716E6" w:rsidP="006F5608">
      <w:pPr>
        <w:pStyle w:val="Numberedpara"/>
        <w:numPr>
          <w:ilvl w:val="0"/>
          <w:numId w:val="15"/>
        </w:numPr>
        <w:ind w:left="851" w:hanging="284"/>
        <w:rPr>
          <w:color w:val="000000" w:themeColor="text1"/>
        </w:rPr>
      </w:pPr>
      <w:r>
        <w:rPr>
          <w:color w:val="000000" w:themeColor="text1"/>
        </w:rPr>
        <w:t>Field Team</w:t>
      </w:r>
    </w:p>
    <w:p w14:paraId="5F1864E2" w14:textId="7D924D73" w:rsidR="00003F33" w:rsidRPr="00D716E6" w:rsidRDefault="00D716E6" w:rsidP="00D716E6">
      <w:pPr>
        <w:pStyle w:val="Numberedpara"/>
        <w:numPr>
          <w:ilvl w:val="0"/>
          <w:numId w:val="15"/>
        </w:numPr>
        <w:spacing w:after="120"/>
        <w:ind w:left="851" w:hanging="284"/>
        <w:rPr>
          <w:color w:val="000000" w:themeColor="text1"/>
        </w:rPr>
      </w:pPr>
      <w:r>
        <w:rPr>
          <w:color w:val="000000" w:themeColor="text1"/>
        </w:rPr>
        <w:t>Impact reports</w:t>
      </w:r>
    </w:p>
    <w:p w14:paraId="6C1A2230" w14:textId="5655B610" w:rsidR="00D716E6" w:rsidRPr="00D716E6" w:rsidRDefault="00003F33" w:rsidP="00D716E6">
      <w:pPr>
        <w:pStyle w:val="Numberedpara"/>
        <w:numPr>
          <w:ilvl w:val="0"/>
          <w:numId w:val="0"/>
        </w:numPr>
        <w:ind w:left="567"/>
        <w:rPr>
          <w:b/>
          <w:bCs/>
          <w:color w:val="000000" w:themeColor="text1"/>
        </w:rPr>
      </w:pPr>
      <w:r w:rsidRPr="00003F33">
        <w:rPr>
          <w:b/>
          <w:bCs/>
          <w:color w:val="000000" w:themeColor="text1"/>
        </w:rPr>
        <w:t>Comms</w:t>
      </w:r>
    </w:p>
    <w:p w14:paraId="5BF48814" w14:textId="716D90F3" w:rsidR="00003F33" w:rsidRDefault="00D716E6" w:rsidP="006F5608">
      <w:pPr>
        <w:pStyle w:val="Numberedpara"/>
        <w:numPr>
          <w:ilvl w:val="0"/>
          <w:numId w:val="15"/>
        </w:numPr>
        <w:ind w:left="851" w:hanging="284"/>
        <w:rPr>
          <w:color w:val="000000" w:themeColor="text1"/>
        </w:rPr>
      </w:pPr>
      <w:r>
        <w:rPr>
          <w:color w:val="000000" w:themeColor="text1"/>
        </w:rPr>
        <w:t>Reduce</w:t>
      </w:r>
      <w:r w:rsidRPr="00D716E6">
        <w:rPr>
          <w:rFonts w:eastAsia="Arial" w:cs="Arial"/>
        </w:rPr>
        <w:t xml:space="preserve"> </w:t>
      </w:r>
      <w:r w:rsidRPr="3A75DBC3">
        <w:rPr>
          <w:rFonts w:eastAsia="Arial" w:cs="Arial"/>
        </w:rPr>
        <w:t>promotion in media of published guidance (on case-by-case</w:t>
      </w:r>
      <w:r>
        <w:rPr>
          <w:rFonts w:eastAsia="Arial" w:cs="Arial"/>
        </w:rPr>
        <w:t xml:space="preserve"> basis)</w:t>
      </w:r>
    </w:p>
    <w:p w14:paraId="1377B4B1" w14:textId="23F61BF3" w:rsidR="00003F33" w:rsidRDefault="00D716E6" w:rsidP="006F5608">
      <w:pPr>
        <w:pStyle w:val="Numberedpara"/>
        <w:numPr>
          <w:ilvl w:val="0"/>
          <w:numId w:val="15"/>
        </w:numPr>
        <w:ind w:left="851" w:hanging="284"/>
        <w:rPr>
          <w:color w:val="000000" w:themeColor="text1"/>
        </w:rPr>
      </w:pPr>
      <w:r>
        <w:rPr>
          <w:color w:val="000000" w:themeColor="text1"/>
        </w:rPr>
        <w:t>Impact report promotion</w:t>
      </w:r>
    </w:p>
    <w:p w14:paraId="718B1E6C" w14:textId="21F1459A" w:rsidR="00003F33" w:rsidRPr="00D716E6" w:rsidRDefault="00D716E6" w:rsidP="006F5608">
      <w:pPr>
        <w:pStyle w:val="Numberedpara"/>
        <w:numPr>
          <w:ilvl w:val="0"/>
          <w:numId w:val="15"/>
        </w:numPr>
        <w:ind w:left="851" w:hanging="284"/>
        <w:rPr>
          <w:color w:val="000000" w:themeColor="text1"/>
        </w:rPr>
      </w:pPr>
      <w:r w:rsidRPr="3A75DBC3">
        <w:rPr>
          <w:rFonts w:eastAsia="Arial" w:cs="Arial"/>
        </w:rPr>
        <w:t>Social care ‘how to use our guidance’</w:t>
      </w:r>
      <w:r>
        <w:rPr>
          <w:rFonts w:eastAsia="Arial" w:cs="Arial"/>
        </w:rPr>
        <w:t xml:space="preserve"> toolkit</w:t>
      </w:r>
    </w:p>
    <w:p w14:paraId="4007E10A" w14:textId="4B99A192" w:rsidR="00D716E6" w:rsidRPr="00D716E6" w:rsidRDefault="00D716E6" w:rsidP="006F5608">
      <w:pPr>
        <w:pStyle w:val="Numberedpara"/>
        <w:numPr>
          <w:ilvl w:val="0"/>
          <w:numId w:val="15"/>
        </w:numPr>
        <w:ind w:left="851" w:hanging="284"/>
        <w:rPr>
          <w:color w:val="000000" w:themeColor="text1"/>
        </w:rPr>
      </w:pPr>
      <w:r>
        <w:rPr>
          <w:rFonts w:eastAsia="Arial" w:cs="Arial"/>
        </w:rPr>
        <w:t>Weekly policy digest</w:t>
      </w:r>
    </w:p>
    <w:p w14:paraId="5FD84B48" w14:textId="79F6AAC8" w:rsidR="00D716E6" w:rsidRPr="00D716E6" w:rsidRDefault="00D716E6" w:rsidP="006F5608">
      <w:pPr>
        <w:pStyle w:val="Numberedpara"/>
        <w:numPr>
          <w:ilvl w:val="0"/>
          <w:numId w:val="15"/>
        </w:numPr>
        <w:ind w:left="851" w:hanging="284"/>
        <w:rPr>
          <w:color w:val="000000" w:themeColor="text1"/>
        </w:rPr>
      </w:pPr>
      <w:r>
        <w:rPr>
          <w:rFonts w:eastAsia="Arial" w:cs="Arial"/>
        </w:rPr>
        <w:t>Monthly CEO update</w:t>
      </w:r>
    </w:p>
    <w:p w14:paraId="0702C701" w14:textId="6055393B" w:rsidR="00D716E6" w:rsidRPr="00D716E6" w:rsidRDefault="00D716E6" w:rsidP="006F5608">
      <w:pPr>
        <w:pStyle w:val="Numberedpara"/>
        <w:numPr>
          <w:ilvl w:val="0"/>
          <w:numId w:val="15"/>
        </w:numPr>
        <w:ind w:left="851" w:hanging="284"/>
        <w:rPr>
          <w:color w:val="000000" w:themeColor="text1"/>
        </w:rPr>
      </w:pPr>
      <w:r>
        <w:rPr>
          <w:rFonts w:eastAsia="Arial" w:cs="Arial"/>
        </w:rPr>
        <w:t>NICE times</w:t>
      </w:r>
    </w:p>
    <w:p w14:paraId="40816BE4" w14:textId="0978C7F3" w:rsidR="00D716E6" w:rsidRDefault="00D716E6" w:rsidP="006F5608">
      <w:pPr>
        <w:pStyle w:val="Numberedpara"/>
        <w:numPr>
          <w:ilvl w:val="0"/>
          <w:numId w:val="15"/>
        </w:numPr>
        <w:ind w:left="851" w:hanging="284"/>
        <w:rPr>
          <w:color w:val="000000" w:themeColor="text1"/>
        </w:rPr>
      </w:pPr>
      <w:r>
        <w:rPr>
          <w:color w:val="000000" w:themeColor="text1"/>
        </w:rPr>
        <w:t>Comms work to support OMA project</w:t>
      </w:r>
    </w:p>
    <w:p w14:paraId="799B6873" w14:textId="5EF6F881" w:rsidR="00D716E6" w:rsidRDefault="00D716E6" w:rsidP="006F5608">
      <w:pPr>
        <w:pStyle w:val="Numberedpara"/>
        <w:numPr>
          <w:ilvl w:val="0"/>
          <w:numId w:val="15"/>
        </w:numPr>
        <w:ind w:left="851" w:hanging="284"/>
        <w:rPr>
          <w:color w:val="000000" w:themeColor="text1"/>
        </w:rPr>
      </w:pPr>
      <w:r>
        <w:rPr>
          <w:color w:val="000000" w:themeColor="text1"/>
        </w:rPr>
        <w:t>Planned system development for Enquiries</w:t>
      </w:r>
    </w:p>
    <w:p w14:paraId="60F0E0E8" w14:textId="50306DA6" w:rsidR="00D716E6" w:rsidRPr="00D716E6" w:rsidRDefault="00D716E6" w:rsidP="00D716E6">
      <w:pPr>
        <w:pStyle w:val="Numberedpara"/>
        <w:numPr>
          <w:ilvl w:val="0"/>
          <w:numId w:val="15"/>
        </w:numPr>
        <w:ind w:left="851" w:hanging="284"/>
        <w:rPr>
          <w:color w:val="000000" w:themeColor="text1"/>
        </w:rPr>
      </w:pPr>
      <w:r>
        <w:rPr>
          <w:color w:val="000000" w:themeColor="text1"/>
        </w:rPr>
        <w:t>Prioritising FOI/PQs/MP/NHS &amp; DHSC responses</w:t>
      </w:r>
    </w:p>
    <w:p w14:paraId="4DA77104" w14:textId="6972BE17" w:rsidR="00003F33" w:rsidRPr="00003F33" w:rsidRDefault="00003F33" w:rsidP="00003F33">
      <w:pPr>
        <w:pStyle w:val="Paragraphnonumbers"/>
        <w:spacing w:before="60" w:after="0" w:line="240" w:lineRule="auto"/>
        <w:rPr>
          <w:sz w:val="22"/>
          <w:szCs w:val="22"/>
        </w:rPr>
      </w:pPr>
    </w:p>
    <w:p w14:paraId="0A718C54" w14:textId="40D366A3" w:rsidR="006A5012" w:rsidRPr="00237B78" w:rsidRDefault="00350DA4" w:rsidP="00350DA4">
      <w:pPr>
        <w:pStyle w:val="Heading2"/>
        <w:spacing w:after="240"/>
      </w:pPr>
      <w:r w:rsidRPr="00237B78">
        <w:t>Strategy and business planning (item 1</w:t>
      </w:r>
      <w:r w:rsidR="00296D46" w:rsidRPr="00237B78">
        <w:t>3</w:t>
      </w:r>
      <w:r w:rsidRPr="00237B78">
        <w:t>)</w:t>
      </w:r>
    </w:p>
    <w:p w14:paraId="77CFFF32" w14:textId="454583F5" w:rsidR="00AD1855" w:rsidRDefault="00B06672" w:rsidP="000617F4">
      <w:pPr>
        <w:pStyle w:val="Numberedpara"/>
        <w:spacing w:after="240"/>
        <w:rPr>
          <w:color w:val="000000" w:themeColor="text1"/>
        </w:rPr>
      </w:pPr>
      <w:r w:rsidRPr="00237B78">
        <w:rPr>
          <w:color w:val="000000" w:themeColor="text1"/>
        </w:rPr>
        <w:t>Jennifer Howells gave a progress update on the 2021/22 budget setting discussions.</w:t>
      </w:r>
      <w:r w:rsidR="00237B78" w:rsidRPr="00237B78">
        <w:rPr>
          <w:color w:val="000000" w:themeColor="text1"/>
        </w:rPr>
        <w:t xml:space="preserve">  A scenario planning paper will come to ET next week for review.  Ahead of the meeting ET members were asked to consider their priorities based on a 2% overall budget reduction and a 5% vacancy rate.</w:t>
      </w:r>
    </w:p>
    <w:p w14:paraId="16E43A6E" w14:textId="025C21B4" w:rsidR="00A74841" w:rsidRPr="00A74841" w:rsidRDefault="00A74841" w:rsidP="00A74841">
      <w:pPr>
        <w:pStyle w:val="Numberedpara"/>
        <w:numPr>
          <w:ilvl w:val="0"/>
          <w:numId w:val="0"/>
        </w:numPr>
        <w:spacing w:after="240"/>
        <w:ind w:left="360"/>
        <w:jc w:val="right"/>
        <w:rPr>
          <w:b/>
          <w:bCs/>
          <w:color w:val="000000" w:themeColor="text1"/>
        </w:rPr>
      </w:pPr>
      <w:r w:rsidRPr="00A74841">
        <w:rPr>
          <w:b/>
          <w:bCs/>
          <w:color w:val="000000" w:themeColor="text1"/>
        </w:rPr>
        <w:t>ACTION: All</w:t>
      </w:r>
    </w:p>
    <w:p w14:paraId="2C2566C4" w14:textId="116A1766"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296D46">
        <w:rPr>
          <w:b/>
          <w:bCs/>
          <w:color w:val="000000" w:themeColor="text1"/>
        </w:rPr>
        <w:t>4</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2A36AF1E" w14:textId="32C7E288" w:rsidR="00B06672" w:rsidRDefault="00FA121B" w:rsidP="00B06672">
      <w:pPr>
        <w:pStyle w:val="Numberedpara"/>
        <w:spacing w:after="120"/>
        <w:ind w:left="357" w:hanging="357"/>
        <w:rPr>
          <w:color w:val="000000" w:themeColor="text1"/>
        </w:rPr>
      </w:pPr>
      <w:r>
        <w:rPr>
          <w:color w:val="000000" w:themeColor="text1"/>
        </w:rPr>
        <w:t xml:space="preserve">ET </w:t>
      </w:r>
      <w:r w:rsidR="00AB515C">
        <w:rPr>
          <w:color w:val="000000" w:themeColor="text1"/>
        </w:rPr>
        <w:t xml:space="preserve">considered whether </w:t>
      </w:r>
      <w:r w:rsidR="00B06672">
        <w:rPr>
          <w:color w:val="000000" w:themeColor="text1"/>
        </w:rPr>
        <w:t xml:space="preserve">the medical revalidation paper was </w:t>
      </w:r>
      <w:r w:rsidR="00CB56DA">
        <w:rPr>
          <w:color w:val="000000" w:themeColor="text1"/>
        </w:rPr>
        <w:t>too</w:t>
      </w:r>
      <w:r w:rsidR="00B06672">
        <w:rPr>
          <w:color w:val="000000" w:themeColor="text1"/>
        </w:rPr>
        <w:t xml:space="preserve"> long </w:t>
      </w:r>
      <w:r w:rsidR="00CB56DA">
        <w:rPr>
          <w:color w:val="000000" w:themeColor="text1"/>
        </w:rPr>
        <w:t xml:space="preserve">and </w:t>
      </w:r>
      <w:r w:rsidR="00B06672">
        <w:rPr>
          <w:color w:val="000000" w:themeColor="text1"/>
        </w:rPr>
        <w:t xml:space="preserve">queried whether it needed to be reviewed by ET.  It was agreed to check whether the policy </w:t>
      </w:r>
      <w:r w:rsidR="00CB56DA">
        <w:rPr>
          <w:color w:val="000000" w:themeColor="text1"/>
        </w:rPr>
        <w:t>required board</w:t>
      </w:r>
      <w:r w:rsidR="00B06672">
        <w:rPr>
          <w:color w:val="000000" w:themeColor="text1"/>
        </w:rPr>
        <w:t xml:space="preserve"> approv</w:t>
      </w:r>
      <w:r w:rsidR="00CB56DA">
        <w:rPr>
          <w:color w:val="000000" w:themeColor="text1"/>
        </w:rPr>
        <w:t>al</w:t>
      </w:r>
      <w:r w:rsidR="00B06672">
        <w:rPr>
          <w:color w:val="000000" w:themeColor="text1"/>
        </w:rPr>
        <w:t xml:space="preserve"> or whether just the </w:t>
      </w:r>
      <w:r w:rsidR="007F3E93">
        <w:rPr>
          <w:color w:val="000000" w:themeColor="text1"/>
        </w:rPr>
        <w:t xml:space="preserve">annual </w:t>
      </w:r>
      <w:r w:rsidR="00B06672">
        <w:rPr>
          <w:color w:val="000000" w:themeColor="text1"/>
        </w:rPr>
        <w:t xml:space="preserve">compliance report for submission to the GMC needed to be approved by the </w:t>
      </w:r>
      <w:r w:rsidR="007F3E93">
        <w:rPr>
          <w:color w:val="000000" w:themeColor="text1"/>
        </w:rPr>
        <w:t xml:space="preserve">NICE </w:t>
      </w:r>
      <w:r w:rsidR="00B06672">
        <w:rPr>
          <w:color w:val="000000" w:themeColor="text1"/>
        </w:rPr>
        <w:t>board.</w:t>
      </w:r>
    </w:p>
    <w:p w14:paraId="1DC9EB58" w14:textId="4B63C02B" w:rsidR="00B06672" w:rsidRPr="00B06672" w:rsidRDefault="00B06672" w:rsidP="00B06672">
      <w:pPr>
        <w:pStyle w:val="Numberedpara"/>
        <w:numPr>
          <w:ilvl w:val="0"/>
          <w:numId w:val="0"/>
        </w:numPr>
        <w:spacing w:after="120"/>
        <w:ind w:left="357"/>
        <w:jc w:val="right"/>
        <w:rPr>
          <w:b/>
          <w:bCs/>
          <w:color w:val="000000" w:themeColor="text1"/>
        </w:rPr>
      </w:pPr>
      <w:r w:rsidRPr="00B06672">
        <w:rPr>
          <w:b/>
          <w:bCs/>
          <w:color w:val="000000" w:themeColor="text1"/>
        </w:rPr>
        <w:t>ACTION: ER</w:t>
      </w:r>
    </w:p>
    <w:p w14:paraId="6697D6D5" w14:textId="14732871" w:rsidR="00392591" w:rsidRPr="00392591" w:rsidRDefault="00392591" w:rsidP="00750819">
      <w:pPr>
        <w:pStyle w:val="Numberedpara"/>
        <w:numPr>
          <w:ilvl w:val="0"/>
          <w:numId w:val="0"/>
        </w:numPr>
        <w:spacing w:after="120"/>
        <w:ind w:left="357"/>
        <w:jc w:val="right"/>
        <w:rPr>
          <w:b/>
          <w:bCs/>
          <w:color w:val="000000" w:themeColor="text1"/>
        </w:rPr>
      </w:pPr>
    </w:p>
    <w:p w14:paraId="4816FA64" w14:textId="3B1A4E3C" w:rsidR="006F3BE2" w:rsidRPr="00FA4D12" w:rsidRDefault="00E71D83" w:rsidP="00750819">
      <w:pPr>
        <w:pStyle w:val="Heading2"/>
        <w:spacing w:after="240"/>
      </w:pPr>
      <w:r>
        <w:t>O</w:t>
      </w:r>
      <w:r w:rsidR="006F3BE2">
        <w:t>ther business (</w:t>
      </w:r>
      <w:r w:rsidR="006F3BE2" w:rsidRPr="00FF68A5">
        <w:t>item</w:t>
      </w:r>
      <w:r w:rsidR="006F3BE2">
        <w:t xml:space="preserve"> </w:t>
      </w:r>
      <w:r w:rsidR="008C78B4">
        <w:t>1</w:t>
      </w:r>
      <w:r w:rsidR="00D8696A">
        <w:t>5</w:t>
      </w:r>
      <w:r w:rsidR="006F3BE2">
        <w:t>)</w:t>
      </w:r>
    </w:p>
    <w:p w14:paraId="63C6F38A" w14:textId="0C6739F0" w:rsidR="009439A9" w:rsidRDefault="00B06672" w:rsidP="00D8696A">
      <w:pPr>
        <w:pStyle w:val="Numberedpara"/>
      </w:pPr>
      <w:r>
        <w:t>It was agreed to remove AOB from future agendas as any urgent items would be raised under the hot topics section.</w:t>
      </w:r>
    </w:p>
    <w:sectPr w:rsidR="009439A9" w:rsidSect="00C12890">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09CF3433" w:rsidR="006367F8" w:rsidRPr="007D0457" w:rsidRDefault="006367F8"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6"/>
  </w:num>
  <w:num w:numId="2">
    <w:abstractNumId w:val="5"/>
  </w:num>
  <w:num w:numId="3">
    <w:abstractNumId w:val="3"/>
  </w:num>
  <w:num w:numId="4">
    <w:abstractNumId w:val="14"/>
  </w:num>
  <w:num w:numId="5">
    <w:abstractNumId w:val="4"/>
  </w:num>
  <w:num w:numId="6">
    <w:abstractNumId w:val="6"/>
  </w:num>
  <w:num w:numId="7">
    <w:abstractNumId w:val="9"/>
  </w:num>
  <w:num w:numId="8">
    <w:abstractNumId w:val="17"/>
  </w:num>
  <w:num w:numId="9">
    <w:abstractNumId w:val="7"/>
  </w:num>
  <w:num w:numId="10">
    <w:abstractNumId w:val="8"/>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5"/>
  </w:num>
  <w:num w:numId="16">
    <w:abstractNumId w:val="11"/>
  </w:num>
  <w:num w:numId="17">
    <w:abstractNumId w:val="12"/>
  </w:num>
  <w:num w:numId="18">
    <w:abstractNumId w:val="0"/>
  </w:num>
  <w:num w:numId="19">
    <w:abstractNumId w:val="1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708C"/>
    <w:rsid w:val="00010AAB"/>
    <w:rsid w:val="000111B4"/>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5728"/>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62D6"/>
    <w:rsid w:val="00046388"/>
    <w:rsid w:val="000470AC"/>
    <w:rsid w:val="000472DC"/>
    <w:rsid w:val="0004790B"/>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56A"/>
    <w:rsid w:val="000A48C2"/>
    <w:rsid w:val="000A4CEB"/>
    <w:rsid w:val="000A4D3E"/>
    <w:rsid w:val="000A4FEE"/>
    <w:rsid w:val="000A5E67"/>
    <w:rsid w:val="000A6E1A"/>
    <w:rsid w:val="000A792A"/>
    <w:rsid w:val="000B0B7C"/>
    <w:rsid w:val="000B0DFD"/>
    <w:rsid w:val="000B0FF9"/>
    <w:rsid w:val="000B1394"/>
    <w:rsid w:val="000B19EA"/>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560"/>
    <w:rsid w:val="001136BD"/>
    <w:rsid w:val="001140A7"/>
    <w:rsid w:val="00114B6E"/>
    <w:rsid w:val="00114FFA"/>
    <w:rsid w:val="00115E02"/>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2BCA"/>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981"/>
    <w:rsid w:val="00183B64"/>
    <w:rsid w:val="0018450A"/>
    <w:rsid w:val="00184F4B"/>
    <w:rsid w:val="001860C4"/>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06"/>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B3E"/>
    <w:rsid w:val="001F5C38"/>
    <w:rsid w:val="001F6247"/>
    <w:rsid w:val="001F73BE"/>
    <w:rsid w:val="002002E2"/>
    <w:rsid w:val="0020148B"/>
    <w:rsid w:val="002015BD"/>
    <w:rsid w:val="00201C5B"/>
    <w:rsid w:val="00201EA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60966"/>
    <w:rsid w:val="00260AEC"/>
    <w:rsid w:val="002614C1"/>
    <w:rsid w:val="00261A45"/>
    <w:rsid w:val="00262D72"/>
    <w:rsid w:val="002638A8"/>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96D46"/>
    <w:rsid w:val="002A0A54"/>
    <w:rsid w:val="002A0ECE"/>
    <w:rsid w:val="002A0ED1"/>
    <w:rsid w:val="002A33F4"/>
    <w:rsid w:val="002A440E"/>
    <w:rsid w:val="002A4D11"/>
    <w:rsid w:val="002A507B"/>
    <w:rsid w:val="002A583F"/>
    <w:rsid w:val="002A74B6"/>
    <w:rsid w:val="002A7A04"/>
    <w:rsid w:val="002B03AD"/>
    <w:rsid w:val="002B0E8B"/>
    <w:rsid w:val="002B1216"/>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B85"/>
    <w:rsid w:val="003210F7"/>
    <w:rsid w:val="003215D6"/>
    <w:rsid w:val="003217E5"/>
    <w:rsid w:val="00321F71"/>
    <w:rsid w:val="003228BD"/>
    <w:rsid w:val="0032394A"/>
    <w:rsid w:val="00323D33"/>
    <w:rsid w:val="00324CAB"/>
    <w:rsid w:val="0032523A"/>
    <w:rsid w:val="0032535C"/>
    <w:rsid w:val="0032539E"/>
    <w:rsid w:val="0032567D"/>
    <w:rsid w:val="00325875"/>
    <w:rsid w:val="00325F0E"/>
    <w:rsid w:val="00327625"/>
    <w:rsid w:val="00327AC3"/>
    <w:rsid w:val="003303EC"/>
    <w:rsid w:val="003315DC"/>
    <w:rsid w:val="00331D51"/>
    <w:rsid w:val="00331E1E"/>
    <w:rsid w:val="003325E2"/>
    <w:rsid w:val="003328B7"/>
    <w:rsid w:val="00333503"/>
    <w:rsid w:val="00334A54"/>
    <w:rsid w:val="00334CAE"/>
    <w:rsid w:val="00334ED8"/>
    <w:rsid w:val="00337126"/>
    <w:rsid w:val="00337789"/>
    <w:rsid w:val="003408D2"/>
    <w:rsid w:val="00341876"/>
    <w:rsid w:val="003418B0"/>
    <w:rsid w:val="00342CC8"/>
    <w:rsid w:val="00343214"/>
    <w:rsid w:val="003479CD"/>
    <w:rsid w:val="0035023C"/>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DB8"/>
    <w:rsid w:val="00392591"/>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9EE"/>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511D"/>
    <w:rsid w:val="003B5956"/>
    <w:rsid w:val="003B62C1"/>
    <w:rsid w:val="003B67D7"/>
    <w:rsid w:val="003B70DD"/>
    <w:rsid w:val="003C06E6"/>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216"/>
    <w:rsid w:val="00482B20"/>
    <w:rsid w:val="00482BB3"/>
    <w:rsid w:val="004830A9"/>
    <w:rsid w:val="0048348A"/>
    <w:rsid w:val="00483678"/>
    <w:rsid w:val="00484BBD"/>
    <w:rsid w:val="00486491"/>
    <w:rsid w:val="004867C3"/>
    <w:rsid w:val="00486F94"/>
    <w:rsid w:val="00487EEA"/>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595"/>
    <w:rsid w:val="004A6FBC"/>
    <w:rsid w:val="004A7C2A"/>
    <w:rsid w:val="004B0805"/>
    <w:rsid w:val="004B08D9"/>
    <w:rsid w:val="004B130A"/>
    <w:rsid w:val="004B171F"/>
    <w:rsid w:val="004B3F64"/>
    <w:rsid w:val="004B3FDC"/>
    <w:rsid w:val="004B482D"/>
    <w:rsid w:val="004B4AD6"/>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7F5"/>
    <w:rsid w:val="004F4DBC"/>
    <w:rsid w:val="004F521A"/>
    <w:rsid w:val="004F524D"/>
    <w:rsid w:val="004F5CD3"/>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1794"/>
    <w:rsid w:val="00581ED6"/>
    <w:rsid w:val="00581EED"/>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365F"/>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EB6"/>
    <w:rsid w:val="005E4F5C"/>
    <w:rsid w:val="005E7A42"/>
    <w:rsid w:val="005F0331"/>
    <w:rsid w:val="005F084B"/>
    <w:rsid w:val="005F12C3"/>
    <w:rsid w:val="005F1EF4"/>
    <w:rsid w:val="005F309F"/>
    <w:rsid w:val="005F5EF6"/>
    <w:rsid w:val="005F6B3D"/>
    <w:rsid w:val="005F7A53"/>
    <w:rsid w:val="005F7A61"/>
    <w:rsid w:val="005F7F24"/>
    <w:rsid w:val="00600413"/>
    <w:rsid w:val="00600802"/>
    <w:rsid w:val="00601420"/>
    <w:rsid w:val="00601D97"/>
    <w:rsid w:val="0060217D"/>
    <w:rsid w:val="00602BF9"/>
    <w:rsid w:val="0060329E"/>
    <w:rsid w:val="006037B0"/>
    <w:rsid w:val="0060492D"/>
    <w:rsid w:val="00605307"/>
    <w:rsid w:val="00606F91"/>
    <w:rsid w:val="00610005"/>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1883"/>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A85"/>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56D"/>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0B6"/>
    <w:rsid w:val="006831E0"/>
    <w:rsid w:val="00683288"/>
    <w:rsid w:val="006837A8"/>
    <w:rsid w:val="00683DFE"/>
    <w:rsid w:val="00683F1E"/>
    <w:rsid w:val="00684843"/>
    <w:rsid w:val="00684D80"/>
    <w:rsid w:val="006858DE"/>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835"/>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5608"/>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6DF3"/>
    <w:rsid w:val="00707352"/>
    <w:rsid w:val="00710220"/>
    <w:rsid w:val="0071055D"/>
    <w:rsid w:val="007109E5"/>
    <w:rsid w:val="007116E8"/>
    <w:rsid w:val="00711CCE"/>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3A58"/>
    <w:rsid w:val="00744033"/>
    <w:rsid w:val="00744336"/>
    <w:rsid w:val="00744BF0"/>
    <w:rsid w:val="00745C4C"/>
    <w:rsid w:val="00745C8D"/>
    <w:rsid w:val="00750330"/>
    <w:rsid w:val="00750816"/>
    <w:rsid w:val="00750819"/>
    <w:rsid w:val="00750DF5"/>
    <w:rsid w:val="007514C7"/>
    <w:rsid w:val="007516F7"/>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6AC"/>
    <w:rsid w:val="00787A63"/>
    <w:rsid w:val="00790035"/>
    <w:rsid w:val="007911F1"/>
    <w:rsid w:val="0079159A"/>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4DC"/>
    <w:rsid w:val="007C1C4D"/>
    <w:rsid w:val="007C305C"/>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3E93"/>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07BD0"/>
    <w:rsid w:val="00810168"/>
    <w:rsid w:val="008103E8"/>
    <w:rsid w:val="00810EC8"/>
    <w:rsid w:val="008113C6"/>
    <w:rsid w:val="0081146B"/>
    <w:rsid w:val="00811D65"/>
    <w:rsid w:val="00812C16"/>
    <w:rsid w:val="00812C36"/>
    <w:rsid w:val="00813B67"/>
    <w:rsid w:val="00813EED"/>
    <w:rsid w:val="0081490E"/>
    <w:rsid w:val="00814E05"/>
    <w:rsid w:val="008159B5"/>
    <w:rsid w:val="00815A44"/>
    <w:rsid w:val="00816677"/>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6037"/>
    <w:rsid w:val="00837398"/>
    <w:rsid w:val="00837A3B"/>
    <w:rsid w:val="00840612"/>
    <w:rsid w:val="00840CE8"/>
    <w:rsid w:val="00842872"/>
    <w:rsid w:val="008433E6"/>
    <w:rsid w:val="00843AC3"/>
    <w:rsid w:val="00844B6A"/>
    <w:rsid w:val="00845325"/>
    <w:rsid w:val="008456A8"/>
    <w:rsid w:val="00845C2B"/>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5EEA"/>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E0955"/>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4D"/>
    <w:rsid w:val="00947FD9"/>
    <w:rsid w:val="0095012A"/>
    <w:rsid w:val="009503F7"/>
    <w:rsid w:val="00950CDF"/>
    <w:rsid w:val="00951014"/>
    <w:rsid w:val="009514BA"/>
    <w:rsid w:val="0095236B"/>
    <w:rsid w:val="009527BE"/>
    <w:rsid w:val="00953B44"/>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128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15E5"/>
    <w:rsid w:val="009B2939"/>
    <w:rsid w:val="009B3464"/>
    <w:rsid w:val="009B4401"/>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BD3"/>
    <w:rsid w:val="009F0CD8"/>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151"/>
    <w:rsid w:val="00A5766E"/>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288"/>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15C"/>
    <w:rsid w:val="00AB5270"/>
    <w:rsid w:val="00AB5365"/>
    <w:rsid w:val="00AB710E"/>
    <w:rsid w:val="00AB74C7"/>
    <w:rsid w:val="00AC148F"/>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5E84"/>
    <w:rsid w:val="00AD6292"/>
    <w:rsid w:val="00AD7456"/>
    <w:rsid w:val="00AD7D79"/>
    <w:rsid w:val="00AE0D2A"/>
    <w:rsid w:val="00AE1F4F"/>
    <w:rsid w:val="00AE215C"/>
    <w:rsid w:val="00AE216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55A"/>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672"/>
    <w:rsid w:val="00B06C37"/>
    <w:rsid w:val="00B071B3"/>
    <w:rsid w:val="00B07A8B"/>
    <w:rsid w:val="00B10773"/>
    <w:rsid w:val="00B10D8C"/>
    <w:rsid w:val="00B1173D"/>
    <w:rsid w:val="00B12D48"/>
    <w:rsid w:val="00B136CB"/>
    <w:rsid w:val="00B13F30"/>
    <w:rsid w:val="00B13FFB"/>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49E3"/>
    <w:rsid w:val="00B465E1"/>
    <w:rsid w:val="00B46C0A"/>
    <w:rsid w:val="00B471CE"/>
    <w:rsid w:val="00B4722F"/>
    <w:rsid w:val="00B4756E"/>
    <w:rsid w:val="00B47631"/>
    <w:rsid w:val="00B47DC4"/>
    <w:rsid w:val="00B5064A"/>
    <w:rsid w:val="00B506FF"/>
    <w:rsid w:val="00B50760"/>
    <w:rsid w:val="00B51E25"/>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102C"/>
    <w:rsid w:val="00B8122C"/>
    <w:rsid w:val="00B81BBE"/>
    <w:rsid w:val="00B81F1F"/>
    <w:rsid w:val="00B83436"/>
    <w:rsid w:val="00B84AC1"/>
    <w:rsid w:val="00B85554"/>
    <w:rsid w:val="00B8622F"/>
    <w:rsid w:val="00B8653A"/>
    <w:rsid w:val="00B86EA8"/>
    <w:rsid w:val="00B8791C"/>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197"/>
    <w:rsid w:val="00BC620C"/>
    <w:rsid w:val="00BC6548"/>
    <w:rsid w:val="00BC6B06"/>
    <w:rsid w:val="00BC778E"/>
    <w:rsid w:val="00BD106A"/>
    <w:rsid w:val="00BD10EC"/>
    <w:rsid w:val="00BD2933"/>
    <w:rsid w:val="00BD2E4C"/>
    <w:rsid w:val="00BD5636"/>
    <w:rsid w:val="00BD5A68"/>
    <w:rsid w:val="00BD714D"/>
    <w:rsid w:val="00BE04BE"/>
    <w:rsid w:val="00BE0CDA"/>
    <w:rsid w:val="00BE0DC5"/>
    <w:rsid w:val="00BE0F7C"/>
    <w:rsid w:val="00BE2215"/>
    <w:rsid w:val="00BE290F"/>
    <w:rsid w:val="00BE4115"/>
    <w:rsid w:val="00BE683F"/>
    <w:rsid w:val="00BE690B"/>
    <w:rsid w:val="00BE6ADF"/>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1F41"/>
    <w:rsid w:val="00C2338F"/>
    <w:rsid w:val="00C237D5"/>
    <w:rsid w:val="00C2522F"/>
    <w:rsid w:val="00C25808"/>
    <w:rsid w:val="00C25F15"/>
    <w:rsid w:val="00C269B8"/>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52"/>
    <w:rsid w:val="00C5528F"/>
    <w:rsid w:val="00C558E4"/>
    <w:rsid w:val="00C56F50"/>
    <w:rsid w:val="00C57520"/>
    <w:rsid w:val="00C5794A"/>
    <w:rsid w:val="00C57C66"/>
    <w:rsid w:val="00C57CB3"/>
    <w:rsid w:val="00C600A8"/>
    <w:rsid w:val="00C61617"/>
    <w:rsid w:val="00C61949"/>
    <w:rsid w:val="00C63E1A"/>
    <w:rsid w:val="00C64020"/>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0ACD"/>
    <w:rsid w:val="00C81104"/>
    <w:rsid w:val="00C817C4"/>
    <w:rsid w:val="00C82570"/>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330"/>
    <w:rsid w:val="00C9555B"/>
    <w:rsid w:val="00C9561D"/>
    <w:rsid w:val="00C95BE8"/>
    <w:rsid w:val="00C95F45"/>
    <w:rsid w:val="00C9621E"/>
    <w:rsid w:val="00C96411"/>
    <w:rsid w:val="00C97ECC"/>
    <w:rsid w:val="00CA02E4"/>
    <w:rsid w:val="00CA0F75"/>
    <w:rsid w:val="00CA1F93"/>
    <w:rsid w:val="00CA2F7D"/>
    <w:rsid w:val="00CA2FEB"/>
    <w:rsid w:val="00CA4348"/>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65EA"/>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16E6"/>
    <w:rsid w:val="00D72A75"/>
    <w:rsid w:val="00D72AAB"/>
    <w:rsid w:val="00D746AA"/>
    <w:rsid w:val="00D747C1"/>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C68"/>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9F"/>
    <w:rsid w:val="00DC2B5E"/>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4923"/>
    <w:rsid w:val="00E44C2E"/>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32"/>
    <w:rsid w:val="00E95412"/>
    <w:rsid w:val="00E9644D"/>
    <w:rsid w:val="00E964E4"/>
    <w:rsid w:val="00E96E0C"/>
    <w:rsid w:val="00E9794C"/>
    <w:rsid w:val="00E97FB2"/>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213"/>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099F"/>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36494"/>
    <w:rsid w:val="00F40DA6"/>
    <w:rsid w:val="00F40F7C"/>
    <w:rsid w:val="00F4150C"/>
    <w:rsid w:val="00F44607"/>
    <w:rsid w:val="00F44E7C"/>
    <w:rsid w:val="00F46A45"/>
    <w:rsid w:val="00F46C18"/>
    <w:rsid w:val="00F471C5"/>
    <w:rsid w:val="00F47C58"/>
    <w:rsid w:val="00F50A3A"/>
    <w:rsid w:val="00F50B75"/>
    <w:rsid w:val="00F51860"/>
    <w:rsid w:val="00F525EC"/>
    <w:rsid w:val="00F53362"/>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0F6C"/>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4152-B379-4379-A549-3687928D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2307</Words>
  <Characters>11823</Characters>
  <Application>Microsoft Office Word</Application>
  <DocSecurity>0</DocSecurity>
  <Lines>98</Lines>
  <Paragraphs>28</Paragraphs>
  <ScaleCrop>false</ScaleCrop>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2021-08-04T08:48:00Z</dcterms:created>
  <dcterms:modified xsi:type="dcterms:W3CDTF">2021-08-04T08:48:00Z</dcterms:modified>
</cp:coreProperties>
</file>