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0BE1634E" w:rsidR="00975C12" w:rsidRPr="00F40D3F" w:rsidRDefault="00975C12" w:rsidP="00975C12">
      <w:pPr>
        <w:pStyle w:val="Heading1"/>
        <w:jc w:val="center"/>
      </w:pPr>
      <w:r w:rsidRPr="00F40D3F">
        <w:t xml:space="preserve">Minutes of the meeting held on </w:t>
      </w:r>
      <w:r w:rsidR="00E95322">
        <w:t>16 March</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CB43FD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6B675813" w:rsidR="00E6613F" w:rsidRPr="000140B0"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32611">
        <w:rPr>
          <w:rFonts w:cs="Arial"/>
          <w:color w:val="000000" w:themeColor="text1"/>
          <w:sz w:val="22"/>
          <w:szCs w:val="22"/>
          <w:lang w:val="en-GB"/>
        </w:rPr>
        <w:t xml:space="preserve"> </w:t>
      </w:r>
      <w:r w:rsidR="000140B0" w:rsidRPr="000140B0">
        <w:rPr>
          <w:rFonts w:cs="Arial"/>
          <w:color w:val="000000" w:themeColor="text1"/>
          <w:sz w:val="22"/>
          <w:szCs w:val="22"/>
          <w:lang w:val="en-GB"/>
        </w:rPr>
        <w:t>(for item 8 onwards)</w:t>
      </w:r>
    </w:p>
    <w:p w14:paraId="2525C183" w14:textId="0F888E97"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r w:rsidR="00E95322">
        <w:rPr>
          <w:rFonts w:cs="Arial"/>
          <w:color w:val="000000" w:themeColor="text1"/>
          <w:sz w:val="22"/>
          <w:szCs w:val="22"/>
          <w:lang w:val="en-GB"/>
        </w:rPr>
        <w:t xml:space="preserve"> </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E6A90A1"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w:t>
      </w:r>
      <w:proofErr w:type="spellStart"/>
      <w:r w:rsidR="0051570B">
        <w:rPr>
          <w:rFonts w:cs="Arial"/>
          <w:sz w:val="22"/>
          <w:szCs w:val="22"/>
          <w:lang w:val="en-GB"/>
        </w:rPr>
        <w:t>Tonnel</w:t>
      </w:r>
      <w:proofErr w:type="spellEnd"/>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77777777" w:rsidR="007D0457" w:rsidRPr="00940904" w:rsidRDefault="007D0457" w:rsidP="006F3BE2">
      <w:pPr>
        <w:pStyle w:val="Heading2"/>
        <w:rPr>
          <w:szCs w:val="22"/>
          <w:lang w:eastAsia="en-US"/>
        </w:rPr>
      </w:pPr>
      <w:r w:rsidRPr="00940904">
        <w:rPr>
          <w:szCs w:val="22"/>
          <w:lang w:eastAsia="en-US"/>
        </w:rPr>
        <w:t>In attendance</w:t>
      </w:r>
    </w:p>
    <w:p w14:paraId="1CACEF9A" w14:textId="1B5A71BD" w:rsidR="00E95322" w:rsidRDefault="00E95322" w:rsidP="007F1B30">
      <w:pPr>
        <w:pStyle w:val="NICEnormal"/>
        <w:spacing w:after="0" w:line="240" w:lineRule="auto"/>
        <w:ind w:left="2160" w:hanging="2160"/>
        <w:rPr>
          <w:color w:val="000000" w:themeColor="text1"/>
          <w:sz w:val="22"/>
          <w:szCs w:val="22"/>
        </w:rPr>
      </w:pPr>
      <w:r>
        <w:rPr>
          <w:color w:val="000000" w:themeColor="text1"/>
          <w:sz w:val="22"/>
          <w:szCs w:val="22"/>
        </w:rPr>
        <w:t>David Coombs</w:t>
      </w:r>
      <w:r>
        <w:rPr>
          <w:color w:val="000000" w:themeColor="text1"/>
          <w:sz w:val="22"/>
          <w:szCs w:val="22"/>
        </w:rPr>
        <w:tab/>
        <w:t>Associate Director – Corporate Office (minutes)</w:t>
      </w:r>
    </w:p>
    <w:p w14:paraId="36942B91" w14:textId="5E7A8CA6" w:rsidR="00E95322" w:rsidRPr="000140B0" w:rsidRDefault="00E95322" w:rsidP="007F1B30">
      <w:pPr>
        <w:pStyle w:val="NICEnormal"/>
        <w:spacing w:after="0" w:line="240" w:lineRule="auto"/>
        <w:ind w:left="2160" w:hanging="2160"/>
        <w:rPr>
          <w:color w:val="000000" w:themeColor="text1"/>
          <w:sz w:val="22"/>
          <w:szCs w:val="22"/>
        </w:rPr>
      </w:pPr>
      <w:r w:rsidRPr="000140B0">
        <w:rPr>
          <w:color w:val="000000" w:themeColor="text1"/>
          <w:sz w:val="22"/>
          <w:szCs w:val="22"/>
        </w:rPr>
        <w:t xml:space="preserve">Rebecca </w:t>
      </w:r>
      <w:proofErr w:type="spellStart"/>
      <w:r w:rsidRPr="000140B0">
        <w:rPr>
          <w:color w:val="000000" w:themeColor="text1"/>
          <w:sz w:val="22"/>
          <w:szCs w:val="22"/>
        </w:rPr>
        <w:t>Albrow</w:t>
      </w:r>
      <w:proofErr w:type="spellEnd"/>
      <w:r w:rsidRPr="000140B0">
        <w:rPr>
          <w:color w:val="000000" w:themeColor="text1"/>
          <w:sz w:val="22"/>
          <w:szCs w:val="22"/>
        </w:rPr>
        <w:tab/>
        <w:t xml:space="preserve">Associate Director – </w:t>
      </w:r>
      <w:r w:rsidR="00DF7E1D" w:rsidRPr="000140B0">
        <w:rPr>
          <w:color w:val="000000" w:themeColor="text1"/>
          <w:sz w:val="22"/>
          <w:szCs w:val="22"/>
        </w:rPr>
        <w:t xml:space="preserve">Centre for Health Technology Evaluation </w:t>
      </w:r>
      <w:r w:rsidRPr="000140B0">
        <w:rPr>
          <w:color w:val="000000" w:themeColor="text1"/>
          <w:sz w:val="22"/>
          <w:szCs w:val="22"/>
        </w:rPr>
        <w:t>(item 8)</w:t>
      </w:r>
    </w:p>
    <w:p w14:paraId="61402737" w14:textId="7114EA5A" w:rsidR="000140B0" w:rsidRPr="000140B0" w:rsidRDefault="000140B0" w:rsidP="007F1B30">
      <w:pPr>
        <w:pStyle w:val="NICEnormal"/>
        <w:spacing w:after="0" w:line="240" w:lineRule="auto"/>
        <w:ind w:left="2160" w:hanging="2160"/>
        <w:rPr>
          <w:color w:val="000000" w:themeColor="text1"/>
          <w:sz w:val="22"/>
          <w:szCs w:val="22"/>
        </w:rPr>
      </w:pPr>
      <w:r w:rsidRPr="000140B0">
        <w:rPr>
          <w:color w:val="000000" w:themeColor="text1"/>
          <w:sz w:val="22"/>
          <w:szCs w:val="22"/>
        </w:rPr>
        <w:t>Martin Davison</w:t>
      </w:r>
      <w:r w:rsidRPr="000140B0">
        <w:rPr>
          <w:color w:val="000000" w:themeColor="text1"/>
          <w:sz w:val="22"/>
          <w:szCs w:val="22"/>
        </w:rPr>
        <w:tab/>
        <w:t>Acting Associate Director – Finance (item 6)</w:t>
      </w:r>
    </w:p>
    <w:p w14:paraId="20E7D963" w14:textId="36046269" w:rsidR="00E95322" w:rsidRPr="000140B0" w:rsidRDefault="00E95322" w:rsidP="007F1B30">
      <w:pPr>
        <w:pStyle w:val="NICEnormal"/>
        <w:spacing w:after="0" w:line="240" w:lineRule="auto"/>
        <w:ind w:left="2160" w:hanging="2160"/>
        <w:rPr>
          <w:color w:val="000000" w:themeColor="text1"/>
          <w:sz w:val="22"/>
          <w:szCs w:val="22"/>
        </w:rPr>
      </w:pPr>
      <w:r w:rsidRPr="000140B0">
        <w:rPr>
          <w:color w:val="000000" w:themeColor="text1"/>
          <w:sz w:val="22"/>
          <w:szCs w:val="22"/>
        </w:rPr>
        <w:t>Lee Dobson</w:t>
      </w:r>
      <w:r w:rsidRPr="000140B0">
        <w:rPr>
          <w:color w:val="000000" w:themeColor="text1"/>
          <w:sz w:val="22"/>
          <w:szCs w:val="22"/>
        </w:rPr>
        <w:tab/>
      </w:r>
      <w:proofErr w:type="spellStart"/>
      <w:r w:rsidRPr="000140B0">
        <w:rPr>
          <w:color w:val="000000" w:themeColor="text1"/>
          <w:sz w:val="22"/>
          <w:szCs w:val="22"/>
        </w:rPr>
        <w:t>Programme</w:t>
      </w:r>
      <w:proofErr w:type="spellEnd"/>
      <w:r w:rsidRPr="000140B0">
        <w:rPr>
          <w:color w:val="000000" w:themeColor="text1"/>
          <w:sz w:val="22"/>
          <w:szCs w:val="22"/>
        </w:rPr>
        <w:t xml:space="preserve"> Manager – </w:t>
      </w:r>
      <w:r w:rsidR="003D5200" w:rsidRPr="000140B0">
        <w:rPr>
          <w:color w:val="000000" w:themeColor="text1"/>
          <w:sz w:val="22"/>
          <w:szCs w:val="22"/>
        </w:rPr>
        <w:t xml:space="preserve">MTEP </w:t>
      </w:r>
      <w:r w:rsidRPr="000140B0">
        <w:rPr>
          <w:color w:val="000000" w:themeColor="text1"/>
          <w:sz w:val="22"/>
          <w:szCs w:val="22"/>
        </w:rPr>
        <w:t>(item 6)</w:t>
      </w:r>
    </w:p>
    <w:p w14:paraId="0BB09ECA" w14:textId="44CE3642" w:rsidR="00E95322" w:rsidRPr="000140B0" w:rsidRDefault="00E95322" w:rsidP="007F1B30">
      <w:pPr>
        <w:pStyle w:val="NICEnormal"/>
        <w:spacing w:after="0" w:line="240" w:lineRule="auto"/>
        <w:ind w:left="2160" w:hanging="2160"/>
        <w:rPr>
          <w:color w:val="000000" w:themeColor="text1"/>
          <w:sz w:val="22"/>
          <w:szCs w:val="22"/>
        </w:rPr>
      </w:pPr>
      <w:r w:rsidRPr="000140B0">
        <w:rPr>
          <w:color w:val="000000" w:themeColor="text1"/>
          <w:sz w:val="22"/>
          <w:szCs w:val="22"/>
        </w:rPr>
        <w:t>Lisa Hooley</w:t>
      </w:r>
      <w:r w:rsidRPr="000140B0">
        <w:rPr>
          <w:color w:val="000000" w:themeColor="text1"/>
          <w:sz w:val="22"/>
          <w:szCs w:val="22"/>
        </w:rPr>
        <w:tab/>
      </w:r>
      <w:r w:rsidR="000140B0" w:rsidRPr="000140B0">
        <w:rPr>
          <w:color w:val="000000" w:themeColor="text1"/>
          <w:sz w:val="22"/>
          <w:szCs w:val="22"/>
        </w:rPr>
        <w:t xml:space="preserve">Senior OD, Learning and Talent Manager </w:t>
      </w:r>
      <w:r w:rsidRPr="000140B0">
        <w:rPr>
          <w:color w:val="000000" w:themeColor="text1"/>
          <w:sz w:val="22"/>
          <w:szCs w:val="22"/>
        </w:rPr>
        <w:t>(item 7)</w:t>
      </w:r>
    </w:p>
    <w:p w14:paraId="0C7508E6" w14:textId="3F071831" w:rsidR="008869B1" w:rsidRPr="000140B0" w:rsidRDefault="008869B1" w:rsidP="008869B1">
      <w:pPr>
        <w:pStyle w:val="NICEnormal"/>
        <w:spacing w:after="0" w:line="240" w:lineRule="auto"/>
        <w:ind w:left="2160" w:hanging="2160"/>
        <w:rPr>
          <w:color w:val="000000" w:themeColor="text1"/>
          <w:sz w:val="22"/>
          <w:szCs w:val="22"/>
        </w:rPr>
      </w:pPr>
      <w:r w:rsidRPr="000140B0">
        <w:rPr>
          <w:color w:val="000000" w:themeColor="text1"/>
          <w:sz w:val="22"/>
          <w:szCs w:val="22"/>
        </w:rPr>
        <w:t>Helen Knight</w:t>
      </w:r>
      <w:r w:rsidRPr="000140B0">
        <w:rPr>
          <w:color w:val="000000" w:themeColor="text1"/>
          <w:sz w:val="22"/>
          <w:szCs w:val="22"/>
        </w:rPr>
        <w:tab/>
      </w:r>
      <w:proofErr w:type="spellStart"/>
      <w:r w:rsidRPr="000140B0">
        <w:rPr>
          <w:color w:val="000000" w:themeColor="text1"/>
          <w:sz w:val="22"/>
          <w:szCs w:val="22"/>
        </w:rPr>
        <w:t>Programme</w:t>
      </w:r>
      <w:proofErr w:type="spellEnd"/>
      <w:r w:rsidRPr="000140B0">
        <w:rPr>
          <w:color w:val="000000" w:themeColor="text1"/>
          <w:sz w:val="22"/>
          <w:szCs w:val="22"/>
        </w:rPr>
        <w:t xml:space="preserve"> Director – Centre for Health Technology Evaluation (items 1 to </w:t>
      </w:r>
      <w:r w:rsidR="000140B0" w:rsidRPr="000140B0">
        <w:rPr>
          <w:color w:val="000000" w:themeColor="text1"/>
          <w:sz w:val="22"/>
          <w:szCs w:val="22"/>
        </w:rPr>
        <w:t>8</w:t>
      </w:r>
      <w:r w:rsidRPr="000140B0">
        <w:rPr>
          <w:color w:val="000000" w:themeColor="text1"/>
          <w:sz w:val="22"/>
          <w:szCs w:val="22"/>
        </w:rPr>
        <w:t>)</w:t>
      </w:r>
    </w:p>
    <w:p w14:paraId="0F47EA11" w14:textId="77777777" w:rsidR="000140B0" w:rsidRPr="000140B0" w:rsidRDefault="000140B0" w:rsidP="007F1B30">
      <w:pPr>
        <w:pStyle w:val="NICEnormal"/>
        <w:spacing w:after="0" w:line="240" w:lineRule="auto"/>
        <w:ind w:left="2160" w:hanging="2160"/>
        <w:rPr>
          <w:color w:val="000000" w:themeColor="text1"/>
          <w:sz w:val="22"/>
          <w:szCs w:val="22"/>
        </w:rPr>
      </w:pPr>
    </w:p>
    <w:p w14:paraId="1B86B58B" w14:textId="7FFC1BC7" w:rsidR="000140B0" w:rsidRPr="000140B0" w:rsidRDefault="000140B0" w:rsidP="007F1B30">
      <w:pPr>
        <w:pStyle w:val="NICEnormal"/>
        <w:spacing w:after="0" w:line="240" w:lineRule="auto"/>
        <w:ind w:left="2160" w:hanging="2160"/>
        <w:rPr>
          <w:color w:val="000000" w:themeColor="text1"/>
          <w:sz w:val="22"/>
          <w:szCs w:val="22"/>
        </w:rPr>
      </w:pPr>
      <w:r w:rsidRPr="000140B0">
        <w:rPr>
          <w:color w:val="000000" w:themeColor="text1"/>
          <w:sz w:val="22"/>
          <w:szCs w:val="22"/>
        </w:rPr>
        <w:t>Jane Lynn</w:t>
      </w:r>
      <w:r w:rsidRPr="000140B0">
        <w:rPr>
          <w:color w:val="000000" w:themeColor="text1"/>
          <w:sz w:val="22"/>
          <w:szCs w:val="22"/>
        </w:rPr>
        <w:tab/>
        <w:t>Head of Financial Accounts (item 11)</w:t>
      </w:r>
    </w:p>
    <w:p w14:paraId="7EF1FC00" w14:textId="4B0BB760" w:rsidR="00E95322" w:rsidRPr="000140B0" w:rsidRDefault="00E95322" w:rsidP="007F1B30">
      <w:pPr>
        <w:pStyle w:val="NICEnormal"/>
        <w:spacing w:after="0" w:line="240" w:lineRule="auto"/>
        <w:ind w:left="2160" w:hanging="2160"/>
        <w:rPr>
          <w:color w:val="000000" w:themeColor="text1"/>
          <w:sz w:val="22"/>
          <w:szCs w:val="22"/>
        </w:rPr>
      </w:pPr>
      <w:r w:rsidRPr="000140B0">
        <w:rPr>
          <w:color w:val="000000" w:themeColor="text1"/>
          <w:sz w:val="22"/>
          <w:szCs w:val="22"/>
        </w:rPr>
        <w:t>Grace Marguerie</w:t>
      </w:r>
      <w:r w:rsidRPr="000140B0">
        <w:rPr>
          <w:color w:val="000000" w:themeColor="text1"/>
          <w:sz w:val="22"/>
          <w:szCs w:val="22"/>
        </w:rPr>
        <w:tab/>
        <w:t>Associate Director – HR (items 7 and 11)</w:t>
      </w:r>
    </w:p>
    <w:p w14:paraId="038C4E68" w14:textId="788AC69A" w:rsidR="00E95322" w:rsidRPr="000140B0" w:rsidRDefault="00E95322" w:rsidP="007F1B30">
      <w:pPr>
        <w:pStyle w:val="NICEnormal"/>
        <w:spacing w:after="0" w:line="240" w:lineRule="auto"/>
        <w:ind w:left="2160" w:hanging="2160"/>
        <w:rPr>
          <w:color w:val="000000" w:themeColor="text1"/>
          <w:sz w:val="22"/>
          <w:szCs w:val="22"/>
        </w:rPr>
      </w:pPr>
      <w:r w:rsidRPr="000140B0">
        <w:rPr>
          <w:color w:val="000000" w:themeColor="text1"/>
          <w:sz w:val="22"/>
          <w:szCs w:val="22"/>
        </w:rPr>
        <w:t>Jenniffer Prescott</w:t>
      </w:r>
      <w:r w:rsidRPr="000140B0">
        <w:rPr>
          <w:color w:val="000000" w:themeColor="text1"/>
          <w:sz w:val="22"/>
          <w:szCs w:val="22"/>
        </w:rPr>
        <w:tab/>
      </w:r>
      <w:proofErr w:type="spellStart"/>
      <w:r w:rsidRPr="000140B0">
        <w:rPr>
          <w:color w:val="000000" w:themeColor="text1"/>
          <w:sz w:val="22"/>
          <w:szCs w:val="22"/>
        </w:rPr>
        <w:t>Programme</w:t>
      </w:r>
      <w:proofErr w:type="spellEnd"/>
      <w:r w:rsidRPr="000140B0">
        <w:rPr>
          <w:color w:val="000000" w:themeColor="text1"/>
          <w:sz w:val="22"/>
          <w:szCs w:val="22"/>
        </w:rPr>
        <w:t xml:space="preserve"> Director – Centre for Health Technology Evaluation (item 6)</w:t>
      </w:r>
    </w:p>
    <w:p w14:paraId="2D31DD87" w14:textId="49075F56" w:rsidR="00E95322" w:rsidRPr="000140B0" w:rsidRDefault="00E95322" w:rsidP="005578BC">
      <w:pPr>
        <w:pStyle w:val="NICEnormal"/>
        <w:spacing w:after="0" w:line="240" w:lineRule="auto"/>
        <w:ind w:left="2160" w:hanging="2160"/>
        <w:rPr>
          <w:color w:val="000000" w:themeColor="text1"/>
          <w:sz w:val="22"/>
          <w:szCs w:val="22"/>
        </w:rPr>
      </w:pPr>
      <w:r w:rsidRPr="000140B0">
        <w:rPr>
          <w:color w:val="000000" w:themeColor="text1"/>
          <w:sz w:val="22"/>
          <w:szCs w:val="22"/>
        </w:rPr>
        <w:t>Mark Salmon</w:t>
      </w:r>
      <w:r w:rsidRPr="000140B0">
        <w:rPr>
          <w:color w:val="000000" w:themeColor="text1"/>
          <w:sz w:val="22"/>
          <w:szCs w:val="22"/>
        </w:rPr>
        <w:tab/>
      </w:r>
      <w:proofErr w:type="spellStart"/>
      <w:r w:rsidRPr="000140B0">
        <w:rPr>
          <w:color w:val="000000" w:themeColor="text1"/>
          <w:sz w:val="22"/>
          <w:szCs w:val="22"/>
        </w:rPr>
        <w:t>Programme</w:t>
      </w:r>
      <w:proofErr w:type="spellEnd"/>
      <w:r w:rsidRPr="000140B0">
        <w:rPr>
          <w:color w:val="000000" w:themeColor="text1"/>
          <w:sz w:val="22"/>
          <w:szCs w:val="22"/>
        </w:rPr>
        <w:t xml:space="preserve"> Director – </w:t>
      </w:r>
      <w:r w:rsidR="005578BC" w:rsidRPr="000140B0">
        <w:rPr>
          <w:color w:val="000000" w:themeColor="text1"/>
          <w:sz w:val="22"/>
          <w:szCs w:val="22"/>
        </w:rPr>
        <w:t xml:space="preserve">Information Resources </w:t>
      </w:r>
      <w:r w:rsidRPr="000140B0">
        <w:rPr>
          <w:color w:val="000000" w:themeColor="text1"/>
          <w:sz w:val="22"/>
          <w:szCs w:val="22"/>
        </w:rPr>
        <w:t>(item 10)</w:t>
      </w:r>
    </w:p>
    <w:p w14:paraId="278213A3" w14:textId="6B5168E4" w:rsidR="00E95322" w:rsidRPr="000140B0" w:rsidRDefault="00E95322" w:rsidP="007F1B30">
      <w:pPr>
        <w:pStyle w:val="NICEnormal"/>
        <w:spacing w:after="0" w:line="240" w:lineRule="auto"/>
        <w:ind w:left="2160" w:hanging="2160"/>
        <w:rPr>
          <w:color w:val="000000" w:themeColor="text1"/>
          <w:sz w:val="22"/>
          <w:szCs w:val="22"/>
        </w:rPr>
      </w:pPr>
      <w:r w:rsidRPr="000140B0">
        <w:rPr>
          <w:color w:val="000000" w:themeColor="text1"/>
          <w:sz w:val="22"/>
          <w:szCs w:val="22"/>
        </w:rPr>
        <w:t>Tanya Slinn</w:t>
      </w:r>
      <w:r w:rsidRPr="000140B0">
        <w:rPr>
          <w:color w:val="000000" w:themeColor="text1"/>
          <w:sz w:val="22"/>
          <w:szCs w:val="22"/>
        </w:rPr>
        <w:tab/>
        <w:t>Head of Digital Workplace (item 9)</w:t>
      </w:r>
    </w:p>
    <w:p w14:paraId="0542C059" w14:textId="798B6123" w:rsidR="007F1B30" w:rsidRDefault="007F1B30" w:rsidP="007F1B30">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68415E72" w14:textId="32D75A1B" w:rsidR="007F1B30" w:rsidRDefault="007F1B30" w:rsidP="00E817AC">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4134CCE7" w:rsidR="006F3BE2" w:rsidRPr="00E6613F" w:rsidRDefault="00E95322" w:rsidP="00C50606">
      <w:pPr>
        <w:pStyle w:val="Numberedpara"/>
        <w:rPr>
          <w:color w:val="auto"/>
        </w:rPr>
      </w:pPr>
      <w:r>
        <w:rPr>
          <w:color w:val="auto"/>
        </w:rPr>
        <w:t xml:space="preserve">Meindert </w:t>
      </w:r>
      <w:r w:rsidR="00482097">
        <w:rPr>
          <w:color w:val="auto"/>
        </w:rPr>
        <w:t xml:space="preserve">Boysen </w:t>
      </w:r>
      <w:r>
        <w:rPr>
          <w:color w:val="auto"/>
        </w:rPr>
        <w:t xml:space="preserve">gave apologies for the start of the meeting and was represented by Helen Knight until item </w:t>
      </w:r>
      <w:r w:rsidR="000140B0">
        <w:rPr>
          <w:color w:val="auto"/>
        </w:rPr>
        <w:t>8</w:t>
      </w:r>
      <w:r w:rsidRPr="000140B0">
        <w:rPr>
          <w:color w:val="000000" w:themeColor="text1"/>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276EDB1C" w:rsidR="003D7EDA" w:rsidRDefault="006F3BE2" w:rsidP="00FF68A5">
      <w:pPr>
        <w:pStyle w:val="Numberedpara"/>
      </w:pPr>
      <w:r>
        <w:t>The previously declared interests were noted</w:t>
      </w:r>
      <w:r w:rsidR="003503B7">
        <w:t xml:space="preserve">. </w:t>
      </w:r>
      <w:r w:rsidR="000140B0">
        <w:t xml:space="preserve">Alexia </w:t>
      </w:r>
      <w:proofErr w:type="spellStart"/>
      <w:r w:rsidR="000140B0">
        <w:t>Tonnel</w:t>
      </w:r>
      <w:proofErr w:type="spellEnd"/>
      <w:r w:rsidR="000140B0">
        <w:t xml:space="preserve"> stated that her role as I</w:t>
      </w:r>
      <w:r w:rsidR="000140B0" w:rsidRPr="000140B0">
        <w:t>nterim Director, Insight Devices Ltd</w:t>
      </w:r>
      <w:r w:rsidR="000140B0">
        <w:t>, had now ended as the company had closed.</w:t>
      </w:r>
    </w:p>
    <w:p w14:paraId="50E209A6" w14:textId="77777777" w:rsidR="00866A01" w:rsidRDefault="00866A01" w:rsidP="00C111CD">
      <w:pPr>
        <w:pStyle w:val="Numberedpara"/>
        <w:numPr>
          <w:ilvl w:val="0"/>
          <w:numId w:val="0"/>
        </w:numPr>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0E130F56" w14:textId="1BE8AD8F" w:rsidR="0043491E" w:rsidRPr="00E6613F" w:rsidRDefault="006F3BE2" w:rsidP="00826DF2">
      <w:pPr>
        <w:pStyle w:val="Numberedpara"/>
        <w:rPr>
          <w:color w:val="auto"/>
        </w:rPr>
      </w:pPr>
      <w:r>
        <w:t xml:space="preserve">The minutes of the meeting held on </w:t>
      </w:r>
      <w:r w:rsidR="00E95322">
        <w:t>9 March</w:t>
      </w:r>
      <w:r w:rsidR="00EC5281">
        <w:t xml:space="preserve"> 2021 </w:t>
      </w:r>
      <w:r>
        <w:t>were ag</w:t>
      </w:r>
      <w:r w:rsidR="006037B0">
        <w:t>reed as a correct record</w:t>
      </w:r>
      <w:r w:rsidR="000140B0">
        <w:t xml:space="preserve"> subject to amendments to paragraphs 11 and 12.</w:t>
      </w:r>
      <w:r w:rsidR="00E95322">
        <w:t xml:space="preserve"> </w:t>
      </w:r>
    </w:p>
    <w:p w14:paraId="4D3B8B6A"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0229DA7E" w14:textId="62D884E8" w:rsidR="00273BFA" w:rsidRDefault="006F3BE2" w:rsidP="00273BFA">
      <w:pPr>
        <w:pStyle w:val="Numberedpara"/>
        <w:spacing w:after="240"/>
      </w:pPr>
      <w:r>
        <w:t xml:space="preserve">The actions from the meeting held on </w:t>
      </w:r>
      <w:r w:rsidR="00E95322">
        <w:t>9 March</w:t>
      </w:r>
      <w:r w:rsidR="009D68B8">
        <w:t xml:space="preserve"> 2021 </w:t>
      </w:r>
      <w:r>
        <w:t>were noted as complete or in hand.</w:t>
      </w:r>
    </w:p>
    <w:p w14:paraId="60CFC5FC" w14:textId="784C0DD8" w:rsidR="000140B0" w:rsidRDefault="000140B0" w:rsidP="000140B0">
      <w:pPr>
        <w:pStyle w:val="Numberedpara"/>
        <w:spacing w:after="240"/>
      </w:pPr>
      <w:r>
        <w:t xml:space="preserve">Gill Leng stated that a further round of </w:t>
      </w:r>
      <w:r w:rsidR="00C35362">
        <w:t>interviews</w:t>
      </w:r>
      <w:r>
        <w:t xml:space="preserve"> </w:t>
      </w:r>
      <w:r w:rsidR="00C86C0A">
        <w:t>w</w:t>
      </w:r>
      <w:r w:rsidR="00D74AF0">
        <w:t>as</w:t>
      </w:r>
      <w:r w:rsidR="00C86C0A">
        <w:t xml:space="preserve"> unable </w:t>
      </w:r>
      <w:r>
        <w:t xml:space="preserve">to appoint an interim programme </w:t>
      </w:r>
      <w:r w:rsidR="00C35362">
        <w:t>director</w:t>
      </w:r>
      <w:r>
        <w:t xml:space="preserve"> to take forward the </w:t>
      </w:r>
      <w:r w:rsidR="00C35362">
        <w:t>organisational</w:t>
      </w:r>
      <w:r>
        <w:t xml:space="preserve"> design (OD) </w:t>
      </w:r>
      <w:r w:rsidR="00C86C0A">
        <w:t>review</w:t>
      </w:r>
      <w:r>
        <w:t xml:space="preserve"> and </w:t>
      </w:r>
      <w:r w:rsidR="00C35362">
        <w:t>therefore</w:t>
      </w:r>
      <w:r>
        <w:t xml:space="preserve"> </w:t>
      </w:r>
      <w:r w:rsidR="00482097">
        <w:t xml:space="preserve">a proposal for </w:t>
      </w:r>
      <w:r>
        <w:t xml:space="preserve">SCW to provide </w:t>
      </w:r>
      <w:r w:rsidR="00482097">
        <w:t xml:space="preserve">further </w:t>
      </w:r>
      <w:r>
        <w:t xml:space="preserve">support is </w:t>
      </w:r>
      <w:r w:rsidR="00482097">
        <w:t xml:space="preserve">under </w:t>
      </w:r>
      <w:r>
        <w:t>consider</w:t>
      </w:r>
      <w:r w:rsidR="00482097">
        <w:t xml:space="preserve">ation. </w:t>
      </w:r>
      <w:r>
        <w:t xml:space="preserve">ET agreed that it </w:t>
      </w:r>
      <w:r>
        <w:lastRenderedPageBreak/>
        <w:t xml:space="preserve">would be </w:t>
      </w:r>
      <w:r w:rsidR="00C35362">
        <w:t>helpful</w:t>
      </w:r>
      <w:r>
        <w:t xml:space="preserve"> for the Chief </w:t>
      </w:r>
      <w:r w:rsidR="00C35362">
        <w:t>Executive’s</w:t>
      </w:r>
      <w:r>
        <w:t xml:space="preserve"> update </w:t>
      </w:r>
      <w:r w:rsidR="00482097">
        <w:t>at</w:t>
      </w:r>
      <w:r>
        <w:t xml:space="preserve"> </w:t>
      </w:r>
      <w:r w:rsidR="00482097">
        <w:t xml:space="preserve">tomorrow’s </w:t>
      </w:r>
      <w:r>
        <w:t xml:space="preserve">all </w:t>
      </w:r>
      <w:r w:rsidR="00482097">
        <w:t xml:space="preserve">staff </w:t>
      </w:r>
      <w:r>
        <w:t xml:space="preserve">meeting to </w:t>
      </w:r>
      <w:r w:rsidR="00482097">
        <w:t xml:space="preserve">highlight </w:t>
      </w:r>
      <w:r w:rsidR="00D74AF0">
        <w:t>how the work will be taken forward within next steps</w:t>
      </w:r>
      <w:r>
        <w:t xml:space="preserve">. </w:t>
      </w:r>
    </w:p>
    <w:p w14:paraId="1D693200" w14:textId="37B51470" w:rsidR="000140B0" w:rsidRDefault="000140B0" w:rsidP="000140B0">
      <w:pPr>
        <w:pStyle w:val="SMTActions"/>
      </w:pPr>
      <w:r>
        <w:t>ACTION: RT</w:t>
      </w:r>
    </w:p>
    <w:p w14:paraId="38DDECD2" w14:textId="34D30FDA" w:rsidR="000140B0" w:rsidRDefault="000140B0" w:rsidP="000140B0">
      <w:pPr>
        <w:pStyle w:val="SMTActions"/>
      </w:pPr>
    </w:p>
    <w:p w14:paraId="2013F6B0" w14:textId="2EFF6595" w:rsidR="000140B0" w:rsidRDefault="000140B0" w:rsidP="000140B0">
      <w:pPr>
        <w:pStyle w:val="Numberedpara"/>
      </w:pPr>
      <w:r>
        <w:t xml:space="preserve">It was noted that information had been collated on the practice </w:t>
      </w:r>
      <w:r w:rsidR="00482097">
        <w:t xml:space="preserve">around working board dinners </w:t>
      </w:r>
      <w:r>
        <w:t xml:space="preserve">in other public sector organisations. It was agreed this would be shared with Gill Leng and Jennifer Howells for </w:t>
      </w:r>
      <w:r w:rsidR="00E544DA">
        <w:t>consideration</w:t>
      </w:r>
      <w:r>
        <w:t xml:space="preserve"> of the next steps</w:t>
      </w:r>
      <w:r w:rsidR="00E544DA">
        <w:t xml:space="preserve">. </w:t>
      </w:r>
    </w:p>
    <w:p w14:paraId="03D5DEF3" w14:textId="3ED6BB10" w:rsidR="00E544DA" w:rsidRDefault="00E544DA" w:rsidP="00E544DA">
      <w:pPr>
        <w:pStyle w:val="Numberedpara"/>
        <w:numPr>
          <w:ilvl w:val="0"/>
          <w:numId w:val="0"/>
        </w:numPr>
        <w:ind w:left="357" w:hanging="357"/>
      </w:pPr>
    </w:p>
    <w:p w14:paraId="4ED323C9" w14:textId="2A3CDED9" w:rsidR="00E544DA" w:rsidRDefault="00E544DA" w:rsidP="00E544DA">
      <w:pPr>
        <w:pStyle w:val="SMTActions"/>
      </w:pPr>
      <w:r>
        <w:t>ACTION: DC/RT/GL/JH</w:t>
      </w:r>
    </w:p>
    <w:p w14:paraId="3ECC7ED9" w14:textId="25C69BB2" w:rsidR="00E544DA" w:rsidRDefault="00E544DA" w:rsidP="00E544DA">
      <w:pPr>
        <w:pStyle w:val="Numberedpara"/>
        <w:numPr>
          <w:ilvl w:val="0"/>
          <w:numId w:val="0"/>
        </w:numPr>
        <w:ind w:left="357" w:hanging="357"/>
      </w:pPr>
    </w:p>
    <w:p w14:paraId="4F4FCCF6" w14:textId="43A08C59" w:rsidR="00E544DA" w:rsidRDefault="00E544DA" w:rsidP="00E544DA">
      <w:pPr>
        <w:pStyle w:val="Numberedpara"/>
      </w:pPr>
      <w:r>
        <w:t>ET reflected on the arrangements for the new monthly face to face ET and Guidance Executive (GE) meetings</w:t>
      </w:r>
      <w:r w:rsidR="00482097">
        <w:t xml:space="preserve"> </w:t>
      </w:r>
      <w:r>
        <w:t xml:space="preserve">and agreed the GE meeting should run for 90 minutes rather than </w:t>
      </w:r>
      <w:r w:rsidR="00C35362">
        <w:t>an</w:t>
      </w:r>
      <w:r>
        <w:t xml:space="preserve"> hour</w:t>
      </w:r>
      <w:r w:rsidR="00C86C0A">
        <w:t xml:space="preserve">. </w:t>
      </w:r>
    </w:p>
    <w:p w14:paraId="410744A0" w14:textId="77777777" w:rsidR="00E544DA" w:rsidRDefault="00E544DA" w:rsidP="00E544DA">
      <w:pPr>
        <w:pStyle w:val="Numberedpara"/>
        <w:numPr>
          <w:ilvl w:val="0"/>
          <w:numId w:val="0"/>
        </w:numPr>
        <w:ind w:left="357" w:hanging="357"/>
      </w:pPr>
    </w:p>
    <w:p w14:paraId="6D2FE6BD" w14:textId="7527E3BA" w:rsidR="00E544DA" w:rsidRDefault="00E544DA" w:rsidP="00E544DA">
      <w:pPr>
        <w:pStyle w:val="SMTActions"/>
      </w:pPr>
      <w:r>
        <w:t>ACTION: DC</w:t>
      </w:r>
    </w:p>
    <w:p w14:paraId="4AC6A70D" w14:textId="77777777" w:rsidR="00E544DA" w:rsidRDefault="00E544DA" w:rsidP="00E544DA">
      <w:pPr>
        <w:pStyle w:val="Numberedpara"/>
        <w:numPr>
          <w:ilvl w:val="0"/>
          <w:numId w:val="0"/>
        </w:numPr>
        <w:ind w:left="357" w:hanging="357"/>
      </w:pPr>
    </w:p>
    <w:p w14:paraId="35535398" w14:textId="1AAFC9CD" w:rsidR="00944699" w:rsidRDefault="00310E90" w:rsidP="00273BFA">
      <w:pPr>
        <w:pStyle w:val="Heading2"/>
      </w:pPr>
      <w:r>
        <w:t>Hot topic</w:t>
      </w:r>
      <w:r w:rsidR="00D74E6F">
        <w:t>s</w:t>
      </w:r>
      <w:r w:rsidR="003F00E3">
        <w:t xml:space="preserve"> (item </w:t>
      </w:r>
      <w:r w:rsidR="00EE4B2E">
        <w:t>5</w:t>
      </w:r>
      <w:r w:rsidR="003F00E3">
        <w:t>)</w:t>
      </w:r>
    </w:p>
    <w:p w14:paraId="704D67A5" w14:textId="033ADE25" w:rsidR="003F00E3" w:rsidRDefault="003F00E3" w:rsidP="003F00E3">
      <w:pPr>
        <w:pStyle w:val="Paragraph"/>
        <w:numPr>
          <w:ilvl w:val="0"/>
          <w:numId w:val="0"/>
        </w:numPr>
        <w:ind w:left="720" w:hanging="360"/>
      </w:pPr>
    </w:p>
    <w:p w14:paraId="30E31E2B" w14:textId="673C132E" w:rsidR="00273BFA" w:rsidRDefault="00E544DA" w:rsidP="00E544DA">
      <w:pPr>
        <w:pStyle w:val="Numberedpara"/>
      </w:pPr>
      <w:r>
        <w:t>Jennifer Howells briefly advised ET that:</w:t>
      </w:r>
    </w:p>
    <w:p w14:paraId="06B8BB22" w14:textId="3A48F444" w:rsidR="00E544DA" w:rsidRDefault="00E544DA" w:rsidP="00E544DA">
      <w:pPr>
        <w:pStyle w:val="Numberedpara"/>
        <w:numPr>
          <w:ilvl w:val="1"/>
          <w:numId w:val="4"/>
        </w:numPr>
      </w:pPr>
      <w:r>
        <w:t xml:space="preserve">ET members </w:t>
      </w:r>
      <w:r w:rsidR="00482097">
        <w:t xml:space="preserve">would be asked by email to identify </w:t>
      </w:r>
      <w:r>
        <w:t xml:space="preserve">any issues that may require a provision in the annual accounts, including for example </w:t>
      </w:r>
      <w:r w:rsidR="00C35362">
        <w:t>potential</w:t>
      </w:r>
      <w:r>
        <w:t xml:space="preserve"> or ongoing legal action.</w:t>
      </w:r>
    </w:p>
    <w:p w14:paraId="147AF391" w14:textId="6F9B9514" w:rsidR="00E544DA" w:rsidRDefault="00E544DA" w:rsidP="00E544DA">
      <w:pPr>
        <w:pStyle w:val="Numberedpara"/>
        <w:numPr>
          <w:ilvl w:val="1"/>
          <w:numId w:val="4"/>
        </w:numPr>
      </w:pPr>
      <w:r>
        <w:t xml:space="preserve">NICE’s Head of </w:t>
      </w:r>
      <w:r w:rsidR="00C35362">
        <w:t>Information</w:t>
      </w:r>
      <w:r>
        <w:t xml:space="preserve"> </w:t>
      </w:r>
      <w:r w:rsidR="00C35362">
        <w:t>Governance</w:t>
      </w:r>
      <w:r>
        <w:t xml:space="preserve"> and Records </w:t>
      </w:r>
      <w:r w:rsidR="00C35362">
        <w:t>Management</w:t>
      </w:r>
      <w:r>
        <w:t xml:space="preserve"> (who is also the Data </w:t>
      </w:r>
      <w:r w:rsidR="00C35362">
        <w:t>Protection</w:t>
      </w:r>
      <w:r>
        <w:t xml:space="preserve"> Officer) has </w:t>
      </w:r>
      <w:r w:rsidR="00C35362">
        <w:t>resigned</w:t>
      </w:r>
      <w:r>
        <w:t xml:space="preserve"> and there is a need to urgently consider how to replace the role and ensure NICE can meet its </w:t>
      </w:r>
      <w:r w:rsidR="00C35362">
        <w:t>statutory</w:t>
      </w:r>
      <w:r>
        <w:t xml:space="preserve"> </w:t>
      </w:r>
      <w:r w:rsidR="00C35362">
        <w:t>obligations</w:t>
      </w:r>
      <w:r>
        <w:t xml:space="preserve"> around data protection and information governance.</w:t>
      </w:r>
    </w:p>
    <w:p w14:paraId="67EB6B10" w14:textId="74DF90AB" w:rsidR="00E544DA" w:rsidRDefault="00E544DA" w:rsidP="00E544DA">
      <w:pPr>
        <w:pStyle w:val="Numberedpara"/>
        <w:numPr>
          <w:ilvl w:val="1"/>
          <w:numId w:val="4"/>
        </w:numPr>
      </w:pPr>
      <w:r>
        <w:t xml:space="preserve">The </w:t>
      </w:r>
      <w:r w:rsidR="00C35362">
        <w:t>temporary</w:t>
      </w:r>
      <w:r>
        <w:t xml:space="preserve"> staff leading the strategy work and the London office move will be leaving at the end of the month</w:t>
      </w:r>
      <w:r w:rsidR="00482097">
        <w:t xml:space="preserve">. </w:t>
      </w:r>
    </w:p>
    <w:p w14:paraId="041CF2EF" w14:textId="4D0C0FE8" w:rsidR="00E544DA" w:rsidRPr="00E544DA" w:rsidRDefault="00E544DA" w:rsidP="00E544DA">
      <w:pPr>
        <w:pStyle w:val="Numberedpara"/>
        <w:numPr>
          <w:ilvl w:val="1"/>
          <w:numId w:val="4"/>
        </w:numPr>
      </w:pPr>
      <w:r>
        <w:t xml:space="preserve">SCW are undertaking a short piece of work </w:t>
      </w:r>
      <w:r w:rsidR="00482097">
        <w:t xml:space="preserve">to consider </w:t>
      </w:r>
      <w:r>
        <w:t xml:space="preserve">how the </w:t>
      </w:r>
      <w:r w:rsidR="00C35362">
        <w:t>governance</w:t>
      </w:r>
      <w:r>
        <w:t xml:space="preserve"> structure can </w:t>
      </w:r>
      <w:r w:rsidR="00C35362">
        <w:t>align</w:t>
      </w:r>
      <w:r>
        <w:t xml:space="preserve"> with the </w:t>
      </w:r>
      <w:r w:rsidR="00C35362">
        <w:t>ambition</w:t>
      </w:r>
      <w:r>
        <w:t xml:space="preserve"> in the </w:t>
      </w:r>
      <w:r w:rsidR="00C35362">
        <w:t>strategy</w:t>
      </w:r>
      <w:r>
        <w:t xml:space="preserve"> and the OD </w:t>
      </w:r>
      <w:proofErr w:type="gramStart"/>
      <w:r>
        <w:t>review</w:t>
      </w:r>
      <w:r w:rsidR="00482097">
        <w:t>, and</w:t>
      </w:r>
      <w:proofErr w:type="gramEnd"/>
      <w:r w:rsidR="00482097">
        <w:t xml:space="preserve"> </w:t>
      </w:r>
      <w:r w:rsidR="00C35362">
        <w:t>ensure</w:t>
      </w:r>
      <w:r>
        <w:t xml:space="preserve"> efficient decision-making. </w:t>
      </w:r>
      <w:r w:rsidR="00482097">
        <w:t>SCW</w:t>
      </w:r>
      <w:r>
        <w:t xml:space="preserve"> will also </w:t>
      </w:r>
      <w:r w:rsidR="00C35362">
        <w:t>look</w:t>
      </w:r>
      <w:r>
        <w:t xml:space="preserve"> at the terms of </w:t>
      </w:r>
      <w:r w:rsidR="00C35362">
        <w:t>reference</w:t>
      </w:r>
      <w:r>
        <w:t xml:space="preserve"> of </w:t>
      </w:r>
      <w:r w:rsidR="00C86C0A">
        <w:t>the</w:t>
      </w:r>
      <w:r>
        <w:t xml:space="preserve"> key meetings. </w:t>
      </w:r>
    </w:p>
    <w:p w14:paraId="5C5E2533" w14:textId="22C600C0" w:rsidR="00E95322" w:rsidRDefault="00E95322" w:rsidP="003F00E3">
      <w:pPr>
        <w:pStyle w:val="Paragraph"/>
        <w:numPr>
          <w:ilvl w:val="0"/>
          <w:numId w:val="0"/>
        </w:numPr>
        <w:ind w:left="720" w:hanging="360"/>
      </w:pPr>
    </w:p>
    <w:p w14:paraId="21179CD2" w14:textId="3AA80813" w:rsidR="00E95322" w:rsidRDefault="00BE16F4" w:rsidP="00BE16F4">
      <w:pPr>
        <w:pStyle w:val="Heading2"/>
      </w:pPr>
      <w:r>
        <w:t xml:space="preserve">External Assessment Centres </w:t>
      </w:r>
      <w:r w:rsidR="008869B1">
        <w:t xml:space="preserve">(EACs) </w:t>
      </w:r>
      <w:r>
        <w:t>contract funding (item 6)</w:t>
      </w:r>
    </w:p>
    <w:p w14:paraId="52C0BE82" w14:textId="4695716E" w:rsidR="00BE16F4" w:rsidRDefault="00BE16F4" w:rsidP="00BE16F4">
      <w:pPr>
        <w:pStyle w:val="Heading2"/>
      </w:pPr>
    </w:p>
    <w:p w14:paraId="64283D22" w14:textId="571BC409" w:rsidR="00A10CD1" w:rsidRDefault="00FA46FC" w:rsidP="00A46645">
      <w:pPr>
        <w:pStyle w:val="Numberedpara"/>
      </w:pPr>
      <w:r>
        <w:t>Helen Knight</w:t>
      </w:r>
      <w:r w:rsidR="008869B1">
        <w:t xml:space="preserve"> presented the paper that updated ET on the utilisation of the EAC contracts</w:t>
      </w:r>
      <w:r w:rsidR="00482097">
        <w:t xml:space="preserve"> in 2020/21</w:t>
      </w:r>
      <w:r w:rsidR="008869B1">
        <w:t>.</w:t>
      </w:r>
      <w:r w:rsidRPr="00FA46FC">
        <w:t xml:space="preserve"> </w:t>
      </w:r>
      <w:r>
        <w:t xml:space="preserve">Following the COVID-19 re-prioritisation exercise in March/April 2020, the EACs were not allocated work and asked to pause most activity for 3 months of the financial year. This led to a portion of the funding to not be productively utilised during 2020/21. The under-utilised funds have been reduced </w:t>
      </w:r>
      <w:r w:rsidR="00482097">
        <w:t xml:space="preserve">by </w:t>
      </w:r>
      <w:r>
        <w:t>allocating projects in the last 5 months of the financial year and agreeing to transfer some of the unused budget into the 2021/22 financial year. However, there remains £98,792 of funds tha</w:t>
      </w:r>
      <w:r w:rsidR="00A10CD1">
        <w:t xml:space="preserve">t will remain under-utilised. </w:t>
      </w:r>
    </w:p>
    <w:p w14:paraId="7AE301E5" w14:textId="77777777" w:rsidR="00A10CD1" w:rsidRDefault="00A10CD1" w:rsidP="00A10CD1">
      <w:pPr>
        <w:pStyle w:val="Numberedpara"/>
        <w:numPr>
          <w:ilvl w:val="0"/>
          <w:numId w:val="0"/>
        </w:numPr>
        <w:ind w:left="357"/>
      </w:pPr>
    </w:p>
    <w:p w14:paraId="48949D88" w14:textId="1B5D23F8" w:rsidR="00BE16F4" w:rsidRDefault="00A10CD1" w:rsidP="00A46645">
      <w:pPr>
        <w:pStyle w:val="Numberedpara"/>
      </w:pPr>
      <w:r>
        <w:t xml:space="preserve">ET noted the work undertaken to successfully reduce the under-utilised </w:t>
      </w:r>
      <w:r w:rsidR="00C35362">
        <w:t>funds and</w:t>
      </w:r>
      <w:r>
        <w:t xml:space="preserve"> were pleased to note this was not likely to reoccur in 2021/22 due to the</w:t>
      </w:r>
      <w:r w:rsidR="00C86C0A">
        <w:t xml:space="preserve"> return to usual activity levels, with </w:t>
      </w:r>
      <w:r>
        <w:t xml:space="preserve">projects already allocated to the EACs. ET highlighted the need to ensure that the contracts are used to support activity across NICE where appropriate, which would help avoid the </w:t>
      </w:r>
      <w:r w:rsidR="00C35362">
        <w:t>risk</w:t>
      </w:r>
      <w:r>
        <w:t xml:space="preserve"> of any future under-utilisation. In this context, ET noted and welcomed the work underway </w:t>
      </w:r>
      <w:r w:rsidR="00482097">
        <w:t xml:space="preserve">to consider </w:t>
      </w:r>
      <w:r>
        <w:t xml:space="preserve">the scope for bringing together procurement and management of </w:t>
      </w:r>
      <w:r w:rsidR="00482097">
        <w:t xml:space="preserve">similar contracts with the </w:t>
      </w:r>
      <w:r>
        <w:t xml:space="preserve">academic centres </w:t>
      </w:r>
      <w:r w:rsidR="00C86C0A">
        <w:t xml:space="preserve">that </w:t>
      </w:r>
      <w:r w:rsidR="00482097">
        <w:t xml:space="preserve">support </w:t>
      </w:r>
      <w:r>
        <w:t xml:space="preserve">the </w:t>
      </w:r>
      <w:r w:rsidR="00C35362">
        <w:t>various</w:t>
      </w:r>
      <w:r>
        <w:t xml:space="preserve"> NICE programmes. </w:t>
      </w:r>
    </w:p>
    <w:p w14:paraId="54E9EB9C" w14:textId="77777777" w:rsidR="00A10CD1" w:rsidRDefault="00A10CD1" w:rsidP="00A10CD1">
      <w:pPr>
        <w:pStyle w:val="ListParagraph"/>
      </w:pPr>
    </w:p>
    <w:p w14:paraId="51CD8812" w14:textId="167BFC11" w:rsidR="00A10CD1" w:rsidRDefault="00A10CD1" w:rsidP="00A46645">
      <w:pPr>
        <w:pStyle w:val="Numberedpara"/>
      </w:pPr>
      <w:r>
        <w:lastRenderedPageBreak/>
        <w:t xml:space="preserve">Martin Davison stated that he would highlight the under-utilised funds with external audit to confirm whether this required disclosure in the 2020/21 annual report and </w:t>
      </w:r>
      <w:r w:rsidR="00C35362">
        <w:t>accounts</w:t>
      </w:r>
      <w:r>
        <w:t xml:space="preserve">. </w:t>
      </w:r>
    </w:p>
    <w:p w14:paraId="2AB86F84" w14:textId="77777777" w:rsidR="00A10CD1" w:rsidRDefault="00A10CD1" w:rsidP="00A10CD1">
      <w:pPr>
        <w:pStyle w:val="ListParagraph"/>
      </w:pPr>
    </w:p>
    <w:p w14:paraId="7BE21123" w14:textId="116F43D5" w:rsidR="00A10CD1" w:rsidRDefault="00A10CD1" w:rsidP="00A10CD1">
      <w:pPr>
        <w:pStyle w:val="SMTActions"/>
      </w:pPr>
      <w:r>
        <w:t>ACTION: MD</w:t>
      </w:r>
    </w:p>
    <w:p w14:paraId="6827761E" w14:textId="77777777" w:rsidR="00BE16F4" w:rsidRDefault="00BE16F4" w:rsidP="00BE16F4">
      <w:pPr>
        <w:pStyle w:val="Heading2"/>
      </w:pPr>
    </w:p>
    <w:p w14:paraId="213B4F69" w14:textId="6BA305EE" w:rsidR="00BE16F4" w:rsidRDefault="00BE16F4" w:rsidP="00BE16F4">
      <w:pPr>
        <w:pStyle w:val="Heading2"/>
      </w:pPr>
      <w:r>
        <w:t>Talent management and succession planning (item 7)</w:t>
      </w:r>
    </w:p>
    <w:p w14:paraId="19011DBA" w14:textId="5ADE38F8" w:rsidR="00BE16F4" w:rsidRDefault="00BE16F4" w:rsidP="003F00E3">
      <w:pPr>
        <w:pStyle w:val="Paragraph"/>
        <w:numPr>
          <w:ilvl w:val="0"/>
          <w:numId w:val="0"/>
        </w:numPr>
        <w:ind w:left="720" w:hanging="360"/>
      </w:pPr>
    </w:p>
    <w:p w14:paraId="1A3C581D" w14:textId="15241DE2" w:rsidR="00BE16F4" w:rsidRDefault="008869B1" w:rsidP="00A46645">
      <w:pPr>
        <w:pStyle w:val="Numberedpara"/>
      </w:pPr>
      <w:r>
        <w:t xml:space="preserve">Grace Marguerie </w:t>
      </w:r>
      <w:r w:rsidR="002759A9">
        <w:t xml:space="preserve">and Lisa Hooley </w:t>
      </w:r>
      <w:r>
        <w:t>presented the proposals for the introduction of a talent management and succession planning approach for the ET and their direct reports (the Senior Leadership Cohort).</w:t>
      </w:r>
      <w:r w:rsidR="002759A9">
        <w:t xml:space="preserve"> </w:t>
      </w:r>
    </w:p>
    <w:p w14:paraId="259B242C" w14:textId="77777777" w:rsidR="002759A9" w:rsidRDefault="002759A9" w:rsidP="002759A9">
      <w:pPr>
        <w:pStyle w:val="Numberedpara"/>
        <w:numPr>
          <w:ilvl w:val="0"/>
          <w:numId w:val="0"/>
        </w:numPr>
        <w:ind w:left="357"/>
      </w:pPr>
    </w:p>
    <w:p w14:paraId="43AF9616" w14:textId="78731949" w:rsidR="00BC2A0B" w:rsidRDefault="002759A9" w:rsidP="00A46645">
      <w:pPr>
        <w:pStyle w:val="Numberedpara"/>
      </w:pPr>
      <w:r>
        <w:t xml:space="preserve">ET discussed the proposals and the </w:t>
      </w:r>
      <w:r w:rsidR="00C35362">
        <w:t>anticipated</w:t>
      </w:r>
      <w:r>
        <w:t xml:space="preserve"> </w:t>
      </w:r>
      <w:r w:rsidR="00C35362">
        <w:t>timescale</w:t>
      </w:r>
      <w:r>
        <w:t xml:space="preserve">, which </w:t>
      </w:r>
      <w:r w:rsidR="00482097">
        <w:t xml:space="preserve">requires </w:t>
      </w:r>
      <w:r>
        <w:t xml:space="preserve">ET </w:t>
      </w:r>
      <w:r w:rsidR="00482097">
        <w:t xml:space="preserve">members to </w:t>
      </w:r>
      <w:r>
        <w:t xml:space="preserve">complete the discussions with each of their direct </w:t>
      </w:r>
      <w:r w:rsidR="00C35362">
        <w:t>reports</w:t>
      </w:r>
      <w:r>
        <w:t xml:space="preserve"> by early June so ET c</w:t>
      </w:r>
      <w:r w:rsidR="00482097">
        <w:t xml:space="preserve">an </w:t>
      </w:r>
      <w:r w:rsidR="00C35362">
        <w:t>collectively</w:t>
      </w:r>
      <w:r>
        <w:t xml:space="preserve"> calibrate the </w:t>
      </w:r>
      <w:r w:rsidR="00C35362">
        <w:t>allocation of</w:t>
      </w:r>
      <w:r>
        <w:t xml:space="preserve"> the senior </w:t>
      </w:r>
      <w:r w:rsidR="00C35362">
        <w:t>leadership</w:t>
      </w:r>
      <w:r>
        <w:t xml:space="preserve"> cohort to the </w:t>
      </w:r>
      <w:r w:rsidR="00C35362">
        <w:t>9-box</w:t>
      </w:r>
      <w:r>
        <w:t xml:space="preserve"> grid. </w:t>
      </w:r>
      <w:r w:rsidR="00BC2A0B">
        <w:t xml:space="preserve">ET agreed that the language in the paper should be amended to note that the </w:t>
      </w:r>
      <w:r w:rsidR="00C35362">
        <w:t>individual</w:t>
      </w:r>
      <w:r w:rsidR="00BC2A0B">
        <w:t xml:space="preserve"> feedback sessions between ET members and their direct reports after the calibration should be an interactive discussion</w:t>
      </w:r>
      <w:r w:rsidR="00C86C0A">
        <w:t xml:space="preserve">, and the example populated grid should be more diverse. </w:t>
      </w:r>
      <w:r w:rsidR="003263CE">
        <w:t>G</w:t>
      </w:r>
      <w:r w:rsidR="00BC2A0B">
        <w:t xml:space="preserve">iven the current pressures on the organisation, </w:t>
      </w:r>
      <w:r w:rsidR="00482097">
        <w:t>ET agre</w:t>
      </w:r>
      <w:r w:rsidR="003263CE">
        <w:t xml:space="preserve">ed that </w:t>
      </w:r>
      <w:r w:rsidR="00C35362">
        <w:t>360-degree</w:t>
      </w:r>
      <w:r w:rsidR="00BC2A0B">
        <w:t xml:space="preserve"> feedback would not be used in this first year’s </w:t>
      </w:r>
      <w:proofErr w:type="gramStart"/>
      <w:r w:rsidR="00BC2A0B">
        <w:t>exercise</w:t>
      </w:r>
      <w:r w:rsidR="003263CE">
        <w:t>, but</w:t>
      </w:r>
      <w:proofErr w:type="gramEnd"/>
      <w:r w:rsidR="003263CE">
        <w:t xml:space="preserve"> </w:t>
      </w:r>
      <w:r w:rsidR="00BC2A0B">
        <w:t xml:space="preserve">would be part of the annual process in future. Subject to these amendments, ET approved the proposals. </w:t>
      </w:r>
    </w:p>
    <w:p w14:paraId="26143F4A" w14:textId="77777777" w:rsidR="00BC2A0B" w:rsidRDefault="00BC2A0B" w:rsidP="00BC2A0B">
      <w:pPr>
        <w:pStyle w:val="ListParagraph"/>
      </w:pPr>
    </w:p>
    <w:p w14:paraId="704BC6BD" w14:textId="11F65302" w:rsidR="00BC2A0B" w:rsidRDefault="00BC2A0B" w:rsidP="00BC2A0B">
      <w:pPr>
        <w:pStyle w:val="SMTActions"/>
      </w:pPr>
      <w:r>
        <w:t>ACTION: GM/LH</w:t>
      </w:r>
    </w:p>
    <w:p w14:paraId="421D9140" w14:textId="77777777" w:rsidR="00BC2A0B" w:rsidRDefault="00BC2A0B" w:rsidP="00BC2A0B">
      <w:pPr>
        <w:pStyle w:val="ListParagraph"/>
      </w:pPr>
    </w:p>
    <w:p w14:paraId="069ECCD1" w14:textId="3E07442D" w:rsidR="002759A9" w:rsidRDefault="002759A9" w:rsidP="00A46645">
      <w:pPr>
        <w:pStyle w:val="Numberedpara"/>
      </w:pPr>
      <w:r>
        <w:t>ET noted this w</w:t>
      </w:r>
      <w:r w:rsidR="00C86C0A">
        <w:t xml:space="preserve">ill </w:t>
      </w:r>
      <w:r>
        <w:t xml:space="preserve">be a new approach for NICE and </w:t>
      </w:r>
      <w:r w:rsidR="003263CE">
        <w:t xml:space="preserve">individuals may have </w:t>
      </w:r>
      <w:proofErr w:type="gramStart"/>
      <w:r w:rsidR="003263CE">
        <w:t xml:space="preserve">particular </w:t>
      </w:r>
      <w:r w:rsidR="00063BE7">
        <w:t>concerns</w:t>
      </w:r>
      <w:proofErr w:type="gramEnd"/>
      <w:r w:rsidR="00063BE7">
        <w:t xml:space="preserve"> </w:t>
      </w:r>
      <w:r w:rsidR="00C86C0A">
        <w:t xml:space="preserve">in the </w:t>
      </w:r>
      <w:r w:rsidR="00063BE7">
        <w:t xml:space="preserve">context </w:t>
      </w:r>
      <w:r w:rsidR="00C35362">
        <w:t>of</w:t>
      </w:r>
      <w:r w:rsidR="00063BE7">
        <w:t xml:space="preserve"> the OD review. It was </w:t>
      </w:r>
      <w:r>
        <w:t xml:space="preserve">agreed that the proposals should be outlined further at the next senior </w:t>
      </w:r>
      <w:proofErr w:type="gramStart"/>
      <w:r>
        <w:t>leaders</w:t>
      </w:r>
      <w:proofErr w:type="gramEnd"/>
      <w:r>
        <w:t xml:space="preserve"> fo</w:t>
      </w:r>
      <w:r w:rsidR="00BC2A0B">
        <w:t xml:space="preserve">rum and also highlighted at a future all staff meeting. These </w:t>
      </w:r>
      <w:r w:rsidR="00C35362">
        <w:t>communications</w:t>
      </w:r>
      <w:r w:rsidR="00BC2A0B">
        <w:t xml:space="preserve"> </w:t>
      </w:r>
      <w:r w:rsidR="00C35362">
        <w:t>should</w:t>
      </w:r>
      <w:r w:rsidR="00BC2A0B">
        <w:t xml:space="preserve"> clearly frame this as </w:t>
      </w:r>
      <w:r w:rsidR="00C86C0A">
        <w:t xml:space="preserve">a </w:t>
      </w:r>
      <w:r w:rsidR="00BC2A0B">
        <w:t xml:space="preserve">talent management not </w:t>
      </w:r>
      <w:r w:rsidR="00C35362">
        <w:t>performance</w:t>
      </w:r>
      <w:r w:rsidR="00BC2A0B">
        <w:t xml:space="preserve"> management</w:t>
      </w:r>
      <w:r w:rsidR="003263CE">
        <w:t xml:space="preserve"> process</w:t>
      </w:r>
      <w:r w:rsidR="00BC2A0B">
        <w:t xml:space="preserve">. </w:t>
      </w:r>
      <w:r w:rsidR="00C86C0A">
        <w:t>It</w:t>
      </w:r>
      <w:r w:rsidR="00BC2A0B">
        <w:t xml:space="preserve"> was </w:t>
      </w:r>
      <w:r w:rsidR="00C35362">
        <w:t>requested</w:t>
      </w:r>
      <w:r w:rsidR="00BC2A0B">
        <w:t xml:space="preserve"> that time is identified</w:t>
      </w:r>
      <w:r w:rsidR="00C86C0A">
        <w:t xml:space="preserve"> at an early stage</w:t>
      </w:r>
      <w:r w:rsidR="00BC2A0B">
        <w:t xml:space="preserve"> for the </w:t>
      </w:r>
      <w:r w:rsidR="003263CE">
        <w:t xml:space="preserve">required </w:t>
      </w:r>
      <w:r w:rsidR="00BC2A0B">
        <w:t xml:space="preserve">ET briefing on the new process and for ET to </w:t>
      </w:r>
      <w:proofErr w:type="gramStart"/>
      <w:r w:rsidR="00BC2A0B">
        <w:t>then collectively calibrate the allocation of the senior leaders</w:t>
      </w:r>
      <w:proofErr w:type="gramEnd"/>
      <w:r w:rsidR="00BC2A0B">
        <w:t xml:space="preserve"> to the </w:t>
      </w:r>
      <w:r w:rsidR="00C35362">
        <w:t>9-box</w:t>
      </w:r>
      <w:r w:rsidR="00BC2A0B">
        <w:t xml:space="preserve"> grid. </w:t>
      </w:r>
    </w:p>
    <w:p w14:paraId="789F6B4F" w14:textId="3E6C75F3" w:rsidR="00BE16F4" w:rsidRDefault="00BE16F4" w:rsidP="003F00E3">
      <w:pPr>
        <w:pStyle w:val="Paragraph"/>
        <w:numPr>
          <w:ilvl w:val="0"/>
          <w:numId w:val="0"/>
        </w:numPr>
        <w:ind w:left="720" w:hanging="360"/>
      </w:pPr>
    </w:p>
    <w:p w14:paraId="61F5AE56" w14:textId="4F4BF415" w:rsidR="00BC2A0B" w:rsidRDefault="00BC2A0B" w:rsidP="00BC2A0B">
      <w:pPr>
        <w:pStyle w:val="SMTActions"/>
      </w:pPr>
      <w:r>
        <w:t>ACTION: GM/LH</w:t>
      </w:r>
    </w:p>
    <w:p w14:paraId="6617B8AA" w14:textId="77777777" w:rsidR="00BC2A0B" w:rsidRDefault="00BC2A0B" w:rsidP="003F00E3">
      <w:pPr>
        <w:pStyle w:val="Paragraph"/>
        <w:numPr>
          <w:ilvl w:val="0"/>
          <w:numId w:val="0"/>
        </w:numPr>
        <w:ind w:left="720" w:hanging="360"/>
      </w:pPr>
    </w:p>
    <w:p w14:paraId="1A271198" w14:textId="3021AE81" w:rsidR="00BE16F4" w:rsidRDefault="00BE16F4" w:rsidP="00BE16F4">
      <w:pPr>
        <w:pStyle w:val="Heading2"/>
      </w:pPr>
      <w:r>
        <w:t>Early CDT Lung for lung cancer risk classification of indeterminate pulmonary nodules (item 8)</w:t>
      </w:r>
    </w:p>
    <w:p w14:paraId="173056FE" w14:textId="77777777" w:rsidR="00BE16F4" w:rsidRDefault="00BE16F4" w:rsidP="003F00E3">
      <w:pPr>
        <w:pStyle w:val="Paragraph"/>
        <w:numPr>
          <w:ilvl w:val="0"/>
          <w:numId w:val="0"/>
        </w:numPr>
        <w:ind w:left="720" w:hanging="360"/>
      </w:pPr>
    </w:p>
    <w:p w14:paraId="46275D37" w14:textId="3119AC32" w:rsidR="00BE16F4" w:rsidRDefault="00DF7E1D" w:rsidP="00A46645">
      <w:pPr>
        <w:pStyle w:val="Numberedpara"/>
      </w:pPr>
      <w:r>
        <w:t xml:space="preserve">Rebecca </w:t>
      </w:r>
      <w:proofErr w:type="spellStart"/>
      <w:r>
        <w:t>Albrow</w:t>
      </w:r>
      <w:proofErr w:type="spellEnd"/>
      <w:r>
        <w:t xml:space="preserve"> presented the proposal to adapt the diagnostics assessment process for the assessment of </w:t>
      </w:r>
      <w:r w:rsidR="003263CE">
        <w:t>‘</w:t>
      </w:r>
      <w:proofErr w:type="spellStart"/>
      <w:r>
        <w:t>EarlyCDT</w:t>
      </w:r>
      <w:proofErr w:type="spellEnd"/>
      <w:r>
        <w:t xml:space="preserve"> Lung for lung cancer risk classification of indeterminate pulmonary nodules assessment</w:t>
      </w:r>
      <w:r w:rsidR="003263CE">
        <w:t>’</w:t>
      </w:r>
      <w:r w:rsidR="00E164B9">
        <w:t xml:space="preserve">. During the scoping stage it became apparent that the </w:t>
      </w:r>
      <w:r w:rsidR="00C35362">
        <w:t>evidence</w:t>
      </w:r>
      <w:r w:rsidR="00E164B9">
        <w:t xml:space="preserve"> base is such that the committee would only be able to make recommendations for further research. </w:t>
      </w:r>
      <w:r w:rsidR="00C86C0A">
        <w:t>An</w:t>
      </w:r>
      <w:r w:rsidR="00E164B9">
        <w:t xml:space="preserve"> expedited process that would enable the committee to issue these recommendations more quickly</w:t>
      </w:r>
      <w:r w:rsidR="00C86C0A">
        <w:t xml:space="preserve"> is therefore proposed</w:t>
      </w:r>
      <w:r w:rsidR="00E164B9">
        <w:t>.</w:t>
      </w:r>
    </w:p>
    <w:p w14:paraId="7D6002EE" w14:textId="77777777" w:rsidR="00E164B9" w:rsidRDefault="00E164B9" w:rsidP="00E164B9">
      <w:pPr>
        <w:pStyle w:val="Numberedpara"/>
        <w:numPr>
          <w:ilvl w:val="0"/>
          <w:numId w:val="0"/>
        </w:numPr>
        <w:ind w:left="357"/>
      </w:pPr>
    </w:p>
    <w:p w14:paraId="34F0568F" w14:textId="43BDA5DF" w:rsidR="00FA6A21" w:rsidRDefault="00FA6A21" w:rsidP="00A46645">
      <w:pPr>
        <w:pStyle w:val="Numberedpara"/>
      </w:pPr>
      <w:r>
        <w:t>ET considered the request and noted the rationale for not producing an economic model</w:t>
      </w:r>
      <w:r w:rsidR="003263CE">
        <w:t>. H</w:t>
      </w:r>
      <w:r>
        <w:t>owever</w:t>
      </w:r>
      <w:r w:rsidR="003263CE">
        <w:t>,</w:t>
      </w:r>
      <w:r>
        <w:t xml:space="preserve"> it was noted that consultation is one of NICE’s key principles, is used in other programmes when a research recommendation is proposed and is an important part of managing risk and stakeholder engagement. ET therefore supported option 2 in the paper, in which the </w:t>
      </w:r>
      <w:r w:rsidR="00C35362">
        <w:t>external</w:t>
      </w:r>
      <w:r>
        <w:t xml:space="preserve"> assessment group would not develop an </w:t>
      </w:r>
      <w:r w:rsidR="00C35362">
        <w:t>economic</w:t>
      </w:r>
      <w:r>
        <w:t xml:space="preserve"> </w:t>
      </w:r>
      <w:r w:rsidR="00C35362">
        <w:t>model</w:t>
      </w:r>
      <w:r>
        <w:t xml:space="preserve">, </w:t>
      </w:r>
      <w:r w:rsidR="003263CE">
        <w:t>but</w:t>
      </w:r>
      <w:r>
        <w:t xml:space="preserve"> the committee’s draft </w:t>
      </w:r>
      <w:r w:rsidR="00C35362">
        <w:t>recommendations</w:t>
      </w:r>
      <w:r>
        <w:t xml:space="preserve"> would be subject to </w:t>
      </w:r>
      <w:r w:rsidR="00C35362">
        <w:t>consultation</w:t>
      </w:r>
      <w:r>
        <w:t>. ET encouraged the team to consider</w:t>
      </w:r>
      <w:r w:rsidR="003263CE">
        <w:t xml:space="preserve"> the scope for expediting any steps in the process. </w:t>
      </w:r>
    </w:p>
    <w:p w14:paraId="03357D7A" w14:textId="77777777" w:rsidR="00FA6A21" w:rsidRDefault="00FA6A21" w:rsidP="00FA6A21">
      <w:pPr>
        <w:pStyle w:val="ListParagraph"/>
      </w:pPr>
    </w:p>
    <w:p w14:paraId="0CF142A3" w14:textId="51D3F63A" w:rsidR="00E164B9" w:rsidRDefault="00FA6A21" w:rsidP="00FA6A21">
      <w:pPr>
        <w:pStyle w:val="SMTActions"/>
      </w:pPr>
      <w:r>
        <w:t xml:space="preserve">ACTION: RA/MB </w:t>
      </w:r>
    </w:p>
    <w:p w14:paraId="03CAA668" w14:textId="456C9C4E" w:rsidR="00BE16F4" w:rsidRDefault="00BE16F4" w:rsidP="003F00E3">
      <w:pPr>
        <w:pStyle w:val="Paragraph"/>
        <w:numPr>
          <w:ilvl w:val="0"/>
          <w:numId w:val="0"/>
        </w:numPr>
        <w:ind w:left="720" w:hanging="360"/>
      </w:pPr>
    </w:p>
    <w:p w14:paraId="2E8BA7EB" w14:textId="77777777" w:rsidR="00EE6D09" w:rsidRDefault="00EE6D09">
      <w:pPr>
        <w:rPr>
          <w:rFonts w:ascii="Arial" w:hAnsi="Arial"/>
          <w:b/>
          <w:bCs/>
          <w:iCs/>
          <w:sz w:val="22"/>
          <w:szCs w:val="26"/>
        </w:rPr>
      </w:pPr>
      <w:r>
        <w:br w:type="page"/>
      </w:r>
    </w:p>
    <w:p w14:paraId="72B544EF" w14:textId="4769526B" w:rsidR="00BE16F4" w:rsidRDefault="00BE16F4" w:rsidP="00BE16F4">
      <w:pPr>
        <w:pStyle w:val="Heading2"/>
      </w:pPr>
      <w:r>
        <w:lastRenderedPageBreak/>
        <w:t>Application management policy (item 9)</w:t>
      </w:r>
    </w:p>
    <w:p w14:paraId="57DDCBBE" w14:textId="40FE8A3E" w:rsidR="00BE16F4" w:rsidRDefault="00DF5B8A" w:rsidP="00DF5B8A">
      <w:pPr>
        <w:pStyle w:val="Paragraph"/>
        <w:numPr>
          <w:ilvl w:val="0"/>
          <w:numId w:val="0"/>
        </w:numPr>
        <w:tabs>
          <w:tab w:val="clear" w:pos="567"/>
          <w:tab w:val="left" w:pos="7890"/>
        </w:tabs>
        <w:ind w:left="720" w:hanging="360"/>
      </w:pPr>
      <w:r>
        <w:tab/>
      </w:r>
      <w:r>
        <w:tab/>
      </w:r>
    </w:p>
    <w:p w14:paraId="3189305E" w14:textId="681DDB34" w:rsidR="00BE16F4" w:rsidRDefault="00DF5B8A" w:rsidP="00A46645">
      <w:pPr>
        <w:pStyle w:val="Numberedpara"/>
      </w:pPr>
      <w:r>
        <w:t>Tanya Slinn</w:t>
      </w:r>
      <w:r w:rsidR="005578BC">
        <w:t xml:space="preserve"> presented the Application Management Policy for ET’s approval</w:t>
      </w:r>
      <w:r>
        <w:t xml:space="preserve"> and explained the </w:t>
      </w:r>
      <w:r w:rsidR="00C35362">
        <w:t>background</w:t>
      </w:r>
      <w:r>
        <w:t xml:space="preserve"> to the </w:t>
      </w:r>
      <w:r w:rsidR="005578BC">
        <w:t xml:space="preserve">new policy that </w:t>
      </w:r>
      <w:r w:rsidR="00C86C0A">
        <w:t>outlines</w:t>
      </w:r>
      <w:r w:rsidR="005578BC">
        <w:t xml:space="preserve"> a mandated process for staff seeking access to new software applications.</w:t>
      </w:r>
    </w:p>
    <w:p w14:paraId="779DFB23" w14:textId="77777777" w:rsidR="00DF5B8A" w:rsidRDefault="00DF5B8A" w:rsidP="00DF5B8A">
      <w:pPr>
        <w:pStyle w:val="Numberedpara"/>
        <w:numPr>
          <w:ilvl w:val="0"/>
          <w:numId w:val="0"/>
        </w:numPr>
        <w:ind w:left="357"/>
      </w:pPr>
    </w:p>
    <w:p w14:paraId="470B4953" w14:textId="2457A385" w:rsidR="003263CE" w:rsidRDefault="00DF5B8A" w:rsidP="00A46645">
      <w:pPr>
        <w:pStyle w:val="Numberedpara"/>
      </w:pPr>
      <w:r>
        <w:t xml:space="preserve">ET noted the rationale for the policy and the need for controls around the </w:t>
      </w:r>
      <w:r w:rsidR="00C35362">
        <w:t>introduction</w:t>
      </w:r>
      <w:r>
        <w:t xml:space="preserve"> of new softwar</w:t>
      </w:r>
      <w:r w:rsidR="00226528">
        <w:t xml:space="preserve">e but highlighted the importance of a </w:t>
      </w:r>
      <w:r>
        <w:t xml:space="preserve">proportionate approach and ensuring staff have access to the tools that can help </w:t>
      </w:r>
      <w:r w:rsidR="003263CE">
        <w:t xml:space="preserve">them </w:t>
      </w:r>
      <w:r>
        <w:t xml:space="preserve">work in efficient and </w:t>
      </w:r>
      <w:r w:rsidR="00C35362">
        <w:t>innovative</w:t>
      </w:r>
      <w:r>
        <w:t xml:space="preserve"> ways. </w:t>
      </w:r>
    </w:p>
    <w:p w14:paraId="1708DB0F" w14:textId="77777777" w:rsidR="003263CE" w:rsidRDefault="003263CE" w:rsidP="003263CE">
      <w:pPr>
        <w:pStyle w:val="ListParagraph"/>
      </w:pPr>
    </w:p>
    <w:p w14:paraId="27EDEDA9" w14:textId="67C05D73" w:rsidR="00DF5B8A" w:rsidRDefault="00226528" w:rsidP="00A46645">
      <w:pPr>
        <w:pStyle w:val="Numberedpara"/>
      </w:pPr>
      <w:r>
        <w:t xml:space="preserve">ET </w:t>
      </w:r>
      <w:r w:rsidR="00C35362">
        <w:t>approved</w:t>
      </w:r>
      <w:r>
        <w:t xml:space="preserve"> </w:t>
      </w:r>
      <w:r w:rsidR="003263CE">
        <w:t xml:space="preserve">the policy </w:t>
      </w:r>
      <w:r w:rsidR="00C35362">
        <w:t>with</w:t>
      </w:r>
      <w:r>
        <w:t xml:space="preserve"> a revised </w:t>
      </w:r>
      <w:r w:rsidR="00C35362">
        <w:t>title</w:t>
      </w:r>
      <w:r>
        <w:t xml:space="preserve"> of ‘software application </w:t>
      </w:r>
      <w:r w:rsidR="00C35362">
        <w:t>management</w:t>
      </w:r>
      <w:r>
        <w:t xml:space="preserve"> policy’ or </w:t>
      </w:r>
      <w:proofErr w:type="gramStart"/>
      <w:r w:rsidR="00C35362">
        <w:t>similar</w:t>
      </w:r>
      <w:r>
        <w:t xml:space="preserve"> to</w:t>
      </w:r>
      <w:proofErr w:type="gramEnd"/>
      <w:r>
        <w:t xml:space="preserve"> </w:t>
      </w:r>
      <w:r w:rsidR="00C35362">
        <w:t>reflect</w:t>
      </w:r>
      <w:r>
        <w:t xml:space="preserve"> it relates to software. Minor amendments were requested to </w:t>
      </w:r>
      <w:r w:rsidR="00C35362">
        <w:t>language</w:t>
      </w:r>
      <w:r>
        <w:t xml:space="preserve"> around ‘</w:t>
      </w:r>
      <w:proofErr w:type="gramStart"/>
      <w:r>
        <w:t>rules’</w:t>
      </w:r>
      <w:proofErr w:type="gramEnd"/>
      <w:r>
        <w:t xml:space="preserve"> and Alexia </w:t>
      </w:r>
      <w:proofErr w:type="spellStart"/>
      <w:r>
        <w:t>Tonnel</w:t>
      </w:r>
      <w:proofErr w:type="spellEnd"/>
      <w:r>
        <w:t xml:space="preserve"> was asked to </w:t>
      </w:r>
      <w:r w:rsidR="00C35362">
        <w:t>consider</w:t>
      </w:r>
      <w:r>
        <w:t xml:space="preserve"> whether the policy needed to be amended to </w:t>
      </w:r>
      <w:r w:rsidR="00C35362">
        <w:t>clarify</w:t>
      </w:r>
      <w:r>
        <w:t xml:space="preserve"> the difference between business critical systems and smaller investments. In addition, Alexia was asked to consider further the </w:t>
      </w:r>
      <w:r w:rsidR="00C35362">
        <w:t>arrangements</w:t>
      </w:r>
      <w:r>
        <w:t xml:space="preserve"> for a</w:t>
      </w:r>
      <w:r w:rsidR="00C35362">
        <w:t>ss</w:t>
      </w:r>
      <w:r>
        <w:t xml:space="preserve">essing and </w:t>
      </w:r>
      <w:r w:rsidR="00C35362">
        <w:t>prioritising</w:t>
      </w:r>
      <w:r>
        <w:t xml:space="preserve"> request</w:t>
      </w:r>
      <w:r w:rsidR="003263CE">
        <w:t>s</w:t>
      </w:r>
      <w:r>
        <w:t xml:space="preserve"> for </w:t>
      </w:r>
      <w:r w:rsidR="00C35362">
        <w:t>expenditure</w:t>
      </w:r>
      <w:r>
        <w:t xml:space="preserve"> which present a cost pressure, and how </w:t>
      </w:r>
      <w:r w:rsidR="000E5F7C">
        <w:t>th</w:t>
      </w:r>
      <w:r w:rsidR="003263CE">
        <w:t xml:space="preserve">e process </w:t>
      </w:r>
      <w:r w:rsidR="000E5F7C">
        <w:t xml:space="preserve">links with the technology governance board. </w:t>
      </w:r>
    </w:p>
    <w:p w14:paraId="4CECACFD" w14:textId="77777777" w:rsidR="000E5F7C" w:rsidRDefault="000E5F7C" w:rsidP="000E5F7C">
      <w:pPr>
        <w:pStyle w:val="ListParagraph"/>
      </w:pPr>
    </w:p>
    <w:p w14:paraId="485A57F2" w14:textId="7E8D21AA" w:rsidR="000E5F7C" w:rsidRDefault="000E5F7C" w:rsidP="000E5F7C">
      <w:pPr>
        <w:pStyle w:val="SMTActions"/>
      </w:pPr>
      <w:r>
        <w:t>ACTION: AT/TS</w:t>
      </w:r>
    </w:p>
    <w:p w14:paraId="709C3E94" w14:textId="7B7E07FF" w:rsidR="00BE16F4" w:rsidRDefault="00BE16F4" w:rsidP="003F00E3">
      <w:pPr>
        <w:pStyle w:val="Paragraph"/>
        <w:numPr>
          <w:ilvl w:val="0"/>
          <w:numId w:val="0"/>
        </w:numPr>
        <w:ind w:left="720" w:hanging="360"/>
      </w:pPr>
    </w:p>
    <w:p w14:paraId="2D05BF25" w14:textId="75B29437" w:rsidR="00226528" w:rsidRDefault="00226528" w:rsidP="00226528">
      <w:pPr>
        <w:pStyle w:val="Numberedpara"/>
      </w:pPr>
      <w:r>
        <w:t xml:space="preserve">ET agreed that the new policy should be ‘socialised’ with the senior </w:t>
      </w:r>
      <w:proofErr w:type="gramStart"/>
      <w:r>
        <w:t>leaders</w:t>
      </w:r>
      <w:proofErr w:type="gramEnd"/>
      <w:r>
        <w:t xml:space="preserve"> forum, in particular the </w:t>
      </w:r>
      <w:r w:rsidR="00C35362">
        <w:t>responsibilities</w:t>
      </w:r>
      <w:r>
        <w:t xml:space="preserve"> and </w:t>
      </w:r>
      <w:r w:rsidR="00C35362">
        <w:t>accountabilities</w:t>
      </w:r>
      <w:r>
        <w:t xml:space="preserve"> for the </w:t>
      </w:r>
      <w:r w:rsidR="00C35362">
        <w:t>business</w:t>
      </w:r>
      <w:r>
        <w:t xml:space="preserve"> teams. There should be clear and </w:t>
      </w:r>
      <w:r w:rsidR="00C35362">
        <w:t>accessible</w:t>
      </w:r>
      <w:r>
        <w:t xml:space="preserve"> </w:t>
      </w:r>
      <w:r w:rsidR="00C35362">
        <w:t>communications</w:t>
      </w:r>
      <w:r>
        <w:t xml:space="preserve"> to staff to explain the new processes, which should provide a </w:t>
      </w:r>
      <w:r w:rsidR="00C35362">
        <w:t>positive</w:t>
      </w:r>
      <w:r>
        <w:t xml:space="preserve"> </w:t>
      </w:r>
      <w:r w:rsidR="00C35362">
        <w:t>message</w:t>
      </w:r>
      <w:r>
        <w:t xml:space="preserve"> about the benefits of the new approach which seek</w:t>
      </w:r>
      <w:r w:rsidR="000D28CC">
        <w:t>s</w:t>
      </w:r>
      <w:r>
        <w:t xml:space="preserve"> to </w:t>
      </w:r>
      <w:r w:rsidR="00C35362">
        <w:t>ensure</w:t>
      </w:r>
      <w:r>
        <w:t xml:space="preserve"> staff have access to the tools they need to work effectively, while assessing any potential risks. </w:t>
      </w:r>
    </w:p>
    <w:p w14:paraId="591466B8" w14:textId="3A69E262" w:rsidR="000E5F7C" w:rsidRDefault="000E5F7C" w:rsidP="000E5F7C">
      <w:pPr>
        <w:pStyle w:val="SMTActions"/>
      </w:pPr>
      <w:r>
        <w:br/>
        <w:t>ACTION: TS</w:t>
      </w:r>
      <w:r w:rsidR="00111D37">
        <w:t>/RT</w:t>
      </w:r>
    </w:p>
    <w:p w14:paraId="3FFA757D" w14:textId="77777777" w:rsidR="00226528" w:rsidRDefault="00226528" w:rsidP="003F00E3">
      <w:pPr>
        <w:pStyle w:val="Paragraph"/>
        <w:numPr>
          <w:ilvl w:val="0"/>
          <w:numId w:val="0"/>
        </w:numPr>
        <w:ind w:left="720" w:hanging="360"/>
      </w:pPr>
    </w:p>
    <w:p w14:paraId="360E835C" w14:textId="074B911D" w:rsidR="00BE16F4" w:rsidRDefault="00BE16F4" w:rsidP="00BE16F4">
      <w:pPr>
        <w:pStyle w:val="Heading2"/>
      </w:pPr>
      <w:r>
        <w:t>Proposed changes to licensing arrangements for Clinical Knowledge Summaries (item 10)</w:t>
      </w:r>
    </w:p>
    <w:p w14:paraId="790AC37F" w14:textId="30E875D9" w:rsidR="00BE16F4" w:rsidRDefault="00BE16F4" w:rsidP="00BE16F4">
      <w:pPr>
        <w:pStyle w:val="Heading2"/>
      </w:pPr>
    </w:p>
    <w:p w14:paraId="50C33276" w14:textId="5C6F3A2C" w:rsidR="00A46645" w:rsidRDefault="005B1485" w:rsidP="003D5200">
      <w:pPr>
        <w:pStyle w:val="Numberedpara"/>
      </w:pPr>
      <w:r>
        <w:t xml:space="preserve">Mark Salmon presented the briefing on the contract negotiations with </w:t>
      </w:r>
      <w:r w:rsidR="00A46645">
        <w:t xml:space="preserve">the supplier of the </w:t>
      </w:r>
      <w:r>
        <w:t xml:space="preserve">Clinical Knowledge Summaries (CKS) service and sought ET’s view on </w:t>
      </w:r>
      <w:r w:rsidR="00A46645">
        <w:t xml:space="preserve">NICE’s position in the negotiations, </w:t>
      </w:r>
      <w:proofErr w:type="gramStart"/>
      <w:r w:rsidR="00A46645">
        <w:t>in particular how</w:t>
      </w:r>
      <w:proofErr w:type="gramEnd"/>
      <w:r w:rsidR="00A46645">
        <w:t xml:space="preserve"> to respond to the cost pressures cited by the supplier</w:t>
      </w:r>
      <w:r>
        <w:t>.</w:t>
      </w:r>
      <w:r w:rsidR="00A46645">
        <w:t xml:space="preserve"> </w:t>
      </w:r>
    </w:p>
    <w:p w14:paraId="2085B354" w14:textId="77777777" w:rsidR="00A46645" w:rsidRDefault="00A46645" w:rsidP="00A46645">
      <w:pPr>
        <w:pStyle w:val="Numberedpara"/>
        <w:numPr>
          <w:ilvl w:val="0"/>
          <w:numId w:val="0"/>
        </w:numPr>
        <w:ind w:left="357"/>
      </w:pPr>
    </w:p>
    <w:p w14:paraId="4A88C665" w14:textId="0585C9C6" w:rsidR="003D5200" w:rsidRDefault="00A46645" w:rsidP="000B53A2">
      <w:pPr>
        <w:pStyle w:val="Numberedpara"/>
      </w:pPr>
      <w:r>
        <w:t>ET confirmed that the CKS service is a well-used service tha</w:t>
      </w:r>
      <w:r w:rsidR="003263CE">
        <w:t>t</w:t>
      </w:r>
      <w:r>
        <w:t xml:space="preserve"> </w:t>
      </w:r>
      <w:r w:rsidR="00C86C0A">
        <w:t xml:space="preserve">currently </w:t>
      </w:r>
      <w:r>
        <w:t xml:space="preserve">aligns with NICE’s strategic priorities and is </w:t>
      </w:r>
      <w:r w:rsidR="00C35362">
        <w:t>therefore</w:t>
      </w:r>
      <w:r>
        <w:t xml:space="preserve"> a service NICE wishes to re-procure. ET discussed the best approach to enable this </w:t>
      </w:r>
      <w:r w:rsidR="00C35362">
        <w:t>re-procurement</w:t>
      </w:r>
      <w:r>
        <w:t xml:space="preserve"> </w:t>
      </w:r>
      <w:r w:rsidR="00C35362">
        <w:t>and</w:t>
      </w:r>
      <w:r>
        <w:t xml:space="preserve"> supported option 1 in the paper</w:t>
      </w:r>
      <w:r w:rsidR="000B53A2">
        <w:t xml:space="preserve">. </w:t>
      </w:r>
    </w:p>
    <w:p w14:paraId="53DD148B" w14:textId="77777777" w:rsidR="000B53A2" w:rsidRDefault="000B53A2" w:rsidP="000B53A2">
      <w:pPr>
        <w:pStyle w:val="ListParagraph"/>
      </w:pPr>
    </w:p>
    <w:p w14:paraId="13EB3692" w14:textId="0F05FD29" w:rsidR="00E3514D" w:rsidRDefault="00E3514D" w:rsidP="003263CE">
      <w:pPr>
        <w:pStyle w:val="Numberedpara"/>
      </w:pPr>
      <w:r>
        <w:t xml:space="preserve">ET agreed that while the CKS remained a strategic fit with NICE’s </w:t>
      </w:r>
      <w:r w:rsidR="00C35362">
        <w:t>priorities</w:t>
      </w:r>
      <w:r>
        <w:t xml:space="preserve"> currently, </w:t>
      </w:r>
      <w:r w:rsidR="003263CE">
        <w:t xml:space="preserve">this should be kept under </w:t>
      </w:r>
      <w:r>
        <w:t xml:space="preserve">review as the vision of dynamic, living guidelines may lead to greater overlap and </w:t>
      </w:r>
      <w:r w:rsidR="00C35362">
        <w:t>potential</w:t>
      </w:r>
      <w:r>
        <w:t xml:space="preserve"> duplication between NICE’s output and the CKS.</w:t>
      </w:r>
    </w:p>
    <w:p w14:paraId="2D564213" w14:textId="77777777" w:rsidR="00E3514D" w:rsidRPr="003D5200" w:rsidRDefault="00E3514D" w:rsidP="003D5200">
      <w:pPr>
        <w:pStyle w:val="Paragraph"/>
        <w:numPr>
          <w:ilvl w:val="0"/>
          <w:numId w:val="0"/>
        </w:numPr>
        <w:ind w:left="720" w:hanging="360"/>
      </w:pPr>
    </w:p>
    <w:p w14:paraId="3095F013" w14:textId="6A6526A8" w:rsidR="00BE16F4" w:rsidRDefault="003D5200" w:rsidP="003D5200">
      <w:pPr>
        <w:pStyle w:val="Heading2"/>
      </w:pPr>
      <w:r>
        <w:t>Future employment offer (item 11)</w:t>
      </w:r>
    </w:p>
    <w:p w14:paraId="4588D924" w14:textId="2DFF1950" w:rsidR="003D5200" w:rsidRDefault="003D5200" w:rsidP="003F00E3">
      <w:pPr>
        <w:pStyle w:val="Paragraph"/>
        <w:numPr>
          <w:ilvl w:val="0"/>
          <w:numId w:val="0"/>
        </w:numPr>
        <w:ind w:left="720" w:hanging="360"/>
      </w:pPr>
    </w:p>
    <w:p w14:paraId="6D528483" w14:textId="6E876D02" w:rsidR="006572BC" w:rsidRDefault="005B1485" w:rsidP="0065536E">
      <w:pPr>
        <w:pStyle w:val="Numberedpara"/>
      </w:pPr>
      <w:r>
        <w:t xml:space="preserve">Grace Marguerie presented the </w:t>
      </w:r>
      <w:r w:rsidRPr="005B1485">
        <w:t>proposal for the introduction for a new flexible hybrid employee contract</w:t>
      </w:r>
      <w:r w:rsidR="0065536E">
        <w:t xml:space="preserve"> for </w:t>
      </w:r>
      <w:proofErr w:type="gramStart"/>
      <w:r w:rsidR="0065536E">
        <w:t>the majority of</w:t>
      </w:r>
      <w:proofErr w:type="gramEnd"/>
      <w:r w:rsidR="0065536E">
        <w:t xml:space="preserve"> staff</w:t>
      </w:r>
      <w:r w:rsidR="00BC09A4">
        <w:t xml:space="preserve">, to account for the increased home working once the offices fully reopen </w:t>
      </w:r>
      <w:r w:rsidR="00BC09A4" w:rsidRPr="006572BC">
        <w:t>following</w:t>
      </w:r>
      <w:r w:rsidR="00BC09A4">
        <w:t xml:space="preserve"> the COVID-19 restrictions. It is </w:t>
      </w:r>
      <w:r w:rsidR="00C35362">
        <w:t>proposed</w:t>
      </w:r>
      <w:r w:rsidR="00BC09A4">
        <w:t xml:space="preserve"> that a second phase of work will look at</w:t>
      </w:r>
      <w:r w:rsidR="00C86C0A">
        <w:t xml:space="preserve"> the ability to offer</w:t>
      </w:r>
      <w:r w:rsidR="00BC09A4">
        <w:t xml:space="preserve"> fully home-based contracts, as the </w:t>
      </w:r>
      <w:r w:rsidR="00C86C0A">
        <w:t xml:space="preserve">tax and expenses </w:t>
      </w:r>
      <w:r w:rsidR="00BC09A4">
        <w:t xml:space="preserve">implications </w:t>
      </w:r>
      <w:r w:rsidR="006572BC">
        <w:t>need to be carefully considered. This</w:t>
      </w:r>
      <w:r w:rsidR="0065536E">
        <w:t xml:space="preserve"> subsequent </w:t>
      </w:r>
      <w:r w:rsidR="006572BC">
        <w:t xml:space="preserve">work will also consider the use of timesheets by senior staff, the eligibility for TOIL and the current inconsistencies across directorates. Grace also outlined the proposals in relation </w:t>
      </w:r>
      <w:r w:rsidR="006572BC">
        <w:lastRenderedPageBreak/>
        <w:t xml:space="preserve">to HCAS, which in line with the HRA who will </w:t>
      </w:r>
      <w:r w:rsidR="00C35362">
        <w:t>share</w:t>
      </w:r>
      <w:r w:rsidR="006572BC">
        <w:t xml:space="preserve"> the London office, </w:t>
      </w:r>
      <w:r w:rsidR="00C86C0A">
        <w:t>would</w:t>
      </w:r>
      <w:r w:rsidR="006572BC">
        <w:t xml:space="preserve"> require staff to work in the London office for 2 days a </w:t>
      </w:r>
      <w:r w:rsidR="00C35362">
        <w:t xml:space="preserve">week </w:t>
      </w:r>
      <w:proofErr w:type="gramStart"/>
      <w:r w:rsidR="00C35362">
        <w:t>in</w:t>
      </w:r>
      <w:r w:rsidR="006572BC">
        <w:t xml:space="preserve"> order to</w:t>
      </w:r>
      <w:proofErr w:type="gramEnd"/>
      <w:r w:rsidR="006572BC">
        <w:t xml:space="preserve"> retain the payment. </w:t>
      </w:r>
    </w:p>
    <w:p w14:paraId="660F1868" w14:textId="6C28406B" w:rsidR="006572BC" w:rsidRDefault="006572BC" w:rsidP="006572BC">
      <w:pPr>
        <w:pStyle w:val="Numberedpara"/>
        <w:numPr>
          <w:ilvl w:val="0"/>
          <w:numId w:val="0"/>
        </w:numPr>
        <w:ind w:left="357" w:hanging="357"/>
      </w:pPr>
    </w:p>
    <w:p w14:paraId="5F3C45A0" w14:textId="1A372BFB" w:rsidR="006572BC" w:rsidRDefault="006572BC" w:rsidP="006572BC">
      <w:pPr>
        <w:pStyle w:val="Numberedpara"/>
      </w:pPr>
      <w:r>
        <w:t xml:space="preserve">ET discussed the proposals and </w:t>
      </w:r>
      <w:r w:rsidR="00C35362">
        <w:t>broadly</w:t>
      </w:r>
      <w:r>
        <w:t xml:space="preserve"> supported the </w:t>
      </w:r>
      <w:r w:rsidR="00C35362">
        <w:t>direction</w:t>
      </w:r>
      <w:r>
        <w:t xml:space="preserve"> of travel regarding </w:t>
      </w:r>
      <w:r w:rsidR="0065536E">
        <w:t>the hybrid</w:t>
      </w:r>
      <w:r>
        <w:t xml:space="preserve"> contracts. It was agreed </w:t>
      </w:r>
      <w:r w:rsidR="00C35362">
        <w:t>that</w:t>
      </w:r>
      <w:r>
        <w:t xml:space="preserve"> the preference would be to adopt the new model </w:t>
      </w:r>
      <w:r w:rsidR="00E36596">
        <w:t xml:space="preserve">of staff working on average 2 days a week in the office </w:t>
      </w:r>
      <w:r>
        <w:t xml:space="preserve">through </w:t>
      </w:r>
      <w:r w:rsidR="00C35362">
        <w:t>changes</w:t>
      </w:r>
      <w:r>
        <w:t xml:space="preserve"> to the flexible working policy rather than </w:t>
      </w:r>
      <w:r w:rsidR="00C35362">
        <w:t>amending</w:t>
      </w:r>
      <w:r w:rsidR="00E36596">
        <w:t xml:space="preserve"> </w:t>
      </w:r>
      <w:r>
        <w:t xml:space="preserve">contracts for existing staff. ET noted that the current desk capacity in both offices will only enable staff to work 2 days a week in the office on average (excluding Fridays) and this will need </w:t>
      </w:r>
      <w:r w:rsidR="00C35362">
        <w:t>to</w:t>
      </w:r>
      <w:r>
        <w:t xml:space="preserve"> be carefully managed, </w:t>
      </w:r>
      <w:r w:rsidR="00C35362">
        <w:t>particularly</w:t>
      </w:r>
      <w:r>
        <w:t xml:space="preserve"> if some staff wish to work more than 2 days in the office. </w:t>
      </w:r>
    </w:p>
    <w:p w14:paraId="312DE38B" w14:textId="77777777" w:rsidR="006572BC" w:rsidRDefault="006572BC" w:rsidP="006572BC">
      <w:pPr>
        <w:pStyle w:val="ListParagraph"/>
      </w:pPr>
    </w:p>
    <w:p w14:paraId="3950701A" w14:textId="126EB7E0" w:rsidR="006572BC" w:rsidRDefault="00C35362" w:rsidP="006572BC">
      <w:pPr>
        <w:pStyle w:val="Numberedpara"/>
      </w:pPr>
      <w:r>
        <w:t>Likewise,</w:t>
      </w:r>
      <w:r w:rsidR="006572BC">
        <w:t xml:space="preserve"> ET broadly supported the proposals around HCAS but suggested an </w:t>
      </w:r>
      <w:r>
        <w:t>alternative</w:t>
      </w:r>
      <w:r w:rsidR="006572BC">
        <w:t xml:space="preserve"> approach regarding travel expenses. </w:t>
      </w:r>
      <w:r w:rsidR="007105F2">
        <w:t xml:space="preserve"> </w:t>
      </w:r>
      <w:r w:rsidR="006572BC">
        <w:t>It was agreed this should be discussed further with the Union and checked against the approach being taken by the HRA, and then brought back to ET</w:t>
      </w:r>
      <w:r w:rsidR="00C86C0A">
        <w:t>.</w:t>
      </w:r>
      <w:r w:rsidR="006572BC">
        <w:t xml:space="preserve"> </w:t>
      </w:r>
    </w:p>
    <w:p w14:paraId="562F35F5" w14:textId="77777777" w:rsidR="00E36596" w:rsidRDefault="00E36596" w:rsidP="00E36596">
      <w:pPr>
        <w:pStyle w:val="ListParagraph"/>
      </w:pPr>
    </w:p>
    <w:p w14:paraId="29FFD230" w14:textId="5561B70E" w:rsidR="00E36596" w:rsidRDefault="00E36596" w:rsidP="00E36596">
      <w:pPr>
        <w:pStyle w:val="SMTActions"/>
      </w:pPr>
      <w:r>
        <w:t>ACTION: GM</w:t>
      </w:r>
    </w:p>
    <w:p w14:paraId="4B3DCA05" w14:textId="4E8FF285" w:rsidR="00BE16F4" w:rsidRDefault="00BE16F4" w:rsidP="003F00E3">
      <w:pPr>
        <w:pStyle w:val="Paragraph"/>
        <w:numPr>
          <w:ilvl w:val="0"/>
          <w:numId w:val="0"/>
        </w:numPr>
        <w:ind w:left="720" w:hanging="360"/>
      </w:pPr>
    </w:p>
    <w:p w14:paraId="0357BF92" w14:textId="5CE8D36E" w:rsidR="00C86C0A" w:rsidRDefault="00C86C0A" w:rsidP="00C86C0A">
      <w:pPr>
        <w:pStyle w:val="Numberedpara"/>
      </w:pPr>
      <w:r>
        <w:t xml:space="preserve">Jennifer Howells highlighted that deviating from the national agenda for change </w:t>
      </w:r>
      <w:r w:rsidR="00BF0E92">
        <w:t xml:space="preserve">terms and conditions </w:t>
      </w:r>
      <w:r>
        <w:t xml:space="preserve">may have implications for </w:t>
      </w:r>
      <w:r w:rsidR="00BF0E92">
        <w:t xml:space="preserve">the ability to offer any national pay award. </w:t>
      </w:r>
    </w:p>
    <w:p w14:paraId="034B00B6" w14:textId="77777777" w:rsidR="00C86C0A" w:rsidRDefault="00C86C0A" w:rsidP="003F00E3">
      <w:pPr>
        <w:pStyle w:val="Paragraph"/>
        <w:numPr>
          <w:ilvl w:val="0"/>
          <w:numId w:val="0"/>
        </w:numPr>
        <w:ind w:left="720" w:hanging="360"/>
      </w:pPr>
    </w:p>
    <w:p w14:paraId="6F7968E8" w14:textId="1DFB1B07" w:rsidR="00D058A1" w:rsidRDefault="00D058A1" w:rsidP="00D8696A">
      <w:pPr>
        <w:pStyle w:val="Heading2"/>
      </w:pPr>
      <w:r>
        <w:t>Gold group (item 1</w:t>
      </w:r>
      <w:r w:rsidR="00D8696A">
        <w:t>2</w:t>
      </w:r>
      <w:r>
        <w:t>)</w:t>
      </w:r>
    </w:p>
    <w:p w14:paraId="4548A4F9" w14:textId="77777777" w:rsidR="00D8696A" w:rsidRPr="00D8696A" w:rsidRDefault="00D8696A" w:rsidP="00D8696A">
      <w:pPr>
        <w:pStyle w:val="Paragraph"/>
        <w:numPr>
          <w:ilvl w:val="0"/>
          <w:numId w:val="0"/>
        </w:numPr>
        <w:ind w:left="720"/>
      </w:pPr>
    </w:p>
    <w:p w14:paraId="3D8B7077" w14:textId="0BA876A7" w:rsidR="00D058A1" w:rsidRDefault="00F91449" w:rsidP="00D058A1">
      <w:pPr>
        <w:pStyle w:val="Numberedpara"/>
        <w:spacing w:after="240"/>
        <w:rPr>
          <w:color w:val="000000" w:themeColor="text1"/>
        </w:rPr>
      </w:pPr>
      <w:r>
        <w:rPr>
          <w:color w:val="000000" w:themeColor="text1"/>
        </w:rPr>
        <w:t xml:space="preserve">The </w:t>
      </w:r>
      <w:r w:rsidR="00F46A45">
        <w:rPr>
          <w:color w:val="000000" w:themeColor="text1"/>
        </w:rPr>
        <w:t xml:space="preserve">ET </w:t>
      </w:r>
      <w:r w:rsidR="006175B7">
        <w:rPr>
          <w:color w:val="000000" w:themeColor="text1"/>
        </w:rPr>
        <w:t>not</w:t>
      </w:r>
      <w:r w:rsidR="00F46A45">
        <w:rPr>
          <w:color w:val="000000" w:themeColor="text1"/>
        </w:rPr>
        <w:t>ed the decision</w:t>
      </w:r>
      <w:r w:rsidR="00300A4F">
        <w:rPr>
          <w:color w:val="000000" w:themeColor="text1"/>
        </w:rPr>
        <w:t>s</w:t>
      </w:r>
      <w:r w:rsidR="00F46A45">
        <w:rPr>
          <w:color w:val="000000" w:themeColor="text1"/>
        </w:rPr>
        <w:t xml:space="preserve"> </w:t>
      </w:r>
      <w:r w:rsidR="00350DA4">
        <w:rPr>
          <w:color w:val="000000" w:themeColor="text1"/>
        </w:rPr>
        <w:t>at</w:t>
      </w:r>
      <w:r w:rsidR="00F46A45">
        <w:rPr>
          <w:color w:val="000000" w:themeColor="text1"/>
        </w:rPr>
        <w:t xml:space="preserve"> the </w:t>
      </w:r>
      <w:proofErr w:type="gramStart"/>
      <w:r w:rsidR="00F46A45">
        <w:rPr>
          <w:color w:val="000000" w:themeColor="text1"/>
        </w:rPr>
        <w:t>Gold</w:t>
      </w:r>
      <w:proofErr w:type="gramEnd"/>
      <w:r w:rsidR="00F46A45">
        <w:rPr>
          <w:color w:val="000000" w:themeColor="text1"/>
        </w:rPr>
        <w:t xml:space="preserve"> group</w:t>
      </w:r>
      <w:r w:rsidR="00023CFF">
        <w:rPr>
          <w:color w:val="000000" w:themeColor="text1"/>
        </w:rPr>
        <w:t xml:space="preserve"> to</w:t>
      </w:r>
      <w:r w:rsidR="003D5200" w:rsidRPr="003D5200">
        <w:rPr>
          <w:color w:val="000000" w:themeColor="text1"/>
        </w:rPr>
        <w:t xml:space="preserve"> purchase </w:t>
      </w:r>
      <w:r w:rsidR="003D5200">
        <w:rPr>
          <w:color w:val="000000" w:themeColor="text1"/>
        </w:rPr>
        <w:t xml:space="preserve">an </w:t>
      </w:r>
      <w:r w:rsidR="003D5200" w:rsidRPr="003D5200">
        <w:rPr>
          <w:color w:val="000000" w:themeColor="text1"/>
        </w:rPr>
        <w:t>enterprise account for MIRO with 75 licences.</w:t>
      </w:r>
    </w:p>
    <w:p w14:paraId="58DC9FA3" w14:textId="647592E7" w:rsidR="000D28CC" w:rsidRDefault="000D28CC" w:rsidP="00D058A1">
      <w:pPr>
        <w:pStyle w:val="Numberedpara"/>
        <w:spacing w:after="240"/>
        <w:rPr>
          <w:color w:val="000000" w:themeColor="text1"/>
        </w:rPr>
      </w:pPr>
      <w:r>
        <w:rPr>
          <w:color w:val="000000" w:themeColor="text1"/>
        </w:rPr>
        <w:t xml:space="preserve">Jane Gizbert was asked to ensure the reinstatement of the carers leave policy is </w:t>
      </w:r>
      <w:r w:rsidR="00C35362">
        <w:rPr>
          <w:color w:val="000000" w:themeColor="text1"/>
        </w:rPr>
        <w:t>communicated</w:t>
      </w:r>
      <w:r>
        <w:rPr>
          <w:color w:val="000000" w:themeColor="text1"/>
        </w:rPr>
        <w:t xml:space="preserve"> to staff. </w:t>
      </w:r>
    </w:p>
    <w:p w14:paraId="45596C3A" w14:textId="2CB8B362" w:rsidR="000D28CC" w:rsidRDefault="000D28CC" w:rsidP="000D28CC">
      <w:pPr>
        <w:pStyle w:val="SMTActions"/>
      </w:pPr>
      <w:r>
        <w:t>ACTION: JG</w:t>
      </w:r>
    </w:p>
    <w:p w14:paraId="0A718C54" w14:textId="0804C099" w:rsidR="006A5012" w:rsidRPr="00350DA4" w:rsidRDefault="00350DA4" w:rsidP="00350DA4">
      <w:pPr>
        <w:pStyle w:val="Heading2"/>
        <w:spacing w:after="240"/>
      </w:pPr>
      <w:r>
        <w:t>Strategy and business planning (item 1</w:t>
      </w:r>
      <w:r w:rsidR="003D5200">
        <w:t>3</w:t>
      </w:r>
      <w:r>
        <w:t>)</w:t>
      </w:r>
    </w:p>
    <w:p w14:paraId="2B55A603" w14:textId="36F3C18A" w:rsidR="000D28CC" w:rsidRDefault="000D28CC" w:rsidP="000D28CC">
      <w:pPr>
        <w:pStyle w:val="Numberedpara"/>
      </w:pPr>
      <w:r>
        <w:t>Jennifer Howells noted there is no further update on the financial allocation from the Department of Health and Social Care (DHSC). The aim is to however share an updated draft of the business plan with the sponsor team at DHSC early next week.</w:t>
      </w:r>
    </w:p>
    <w:p w14:paraId="2C2566C4" w14:textId="55F4CC7C"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3D5200">
        <w:rPr>
          <w:b/>
          <w:bCs/>
          <w:color w:val="000000" w:themeColor="text1"/>
        </w:rPr>
        <w:t>4</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5F62CEA1" w14:textId="77C88F3B" w:rsidR="00FF68A5" w:rsidRDefault="00FA121B" w:rsidP="00686373">
      <w:pPr>
        <w:pStyle w:val="Numberedpara"/>
      </w:pPr>
      <w:r w:rsidRPr="00686373">
        <w:t xml:space="preserve">ET </w:t>
      </w:r>
      <w:r w:rsidR="000D28CC" w:rsidRPr="00686373">
        <w:t xml:space="preserve">reviewed the agenda and agreed </w:t>
      </w:r>
      <w:r w:rsidR="00686373" w:rsidRPr="00686373">
        <w:t>that</w:t>
      </w:r>
      <w:r w:rsidR="000D28CC" w:rsidRPr="00686373">
        <w:t xml:space="preserve"> the paper on the EACs did not need to have come to an ET meeting. Reflecting on the lung cancer paper, it was </w:t>
      </w:r>
      <w:r w:rsidR="00C35362" w:rsidRPr="00686373">
        <w:t>agreed</w:t>
      </w:r>
      <w:r w:rsidR="000D28CC" w:rsidRPr="00686373">
        <w:t xml:space="preserve"> that in future directors should have discretion to vary the guidance </w:t>
      </w:r>
      <w:r w:rsidR="00C35362" w:rsidRPr="00686373">
        <w:t>development</w:t>
      </w:r>
      <w:r w:rsidR="000D28CC" w:rsidRPr="00686373">
        <w:t xml:space="preserve"> process, providing the</w:t>
      </w:r>
      <w:r w:rsidR="00686373" w:rsidRPr="00686373">
        <w:t xml:space="preserve">y have documented the decision and </w:t>
      </w:r>
      <w:r w:rsidR="00BF0E92">
        <w:t xml:space="preserve">a robust </w:t>
      </w:r>
      <w:r w:rsidR="00686373" w:rsidRPr="00686373">
        <w:t xml:space="preserve">rationale. </w:t>
      </w:r>
    </w:p>
    <w:sectPr w:rsidR="00FF68A5" w:rsidSect="00C1289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E773" w14:textId="77777777" w:rsidR="00BD33D8" w:rsidRDefault="00BD33D8" w:rsidP="00446BEE">
      <w:r>
        <w:separator/>
      </w:r>
    </w:p>
  </w:endnote>
  <w:endnote w:type="continuationSeparator" w:id="0">
    <w:p w14:paraId="5C0BB910" w14:textId="77777777" w:rsidR="00BD33D8" w:rsidRDefault="00BD33D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E237" w14:textId="77777777" w:rsidR="00BD33D8" w:rsidRDefault="00BD33D8" w:rsidP="00446BEE">
      <w:r>
        <w:separator/>
      </w:r>
    </w:p>
  </w:footnote>
  <w:footnote w:type="continuationSeparator" w:id="0">
    <w:p w14:paraId="5CCDE83C" w14:textId="77777777" w:rsidR="00BD33D8" w:rsidRDefault="00BD33D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1"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2"/>
  </w:num>
  <w:num w:numId="2">
    <w:abstractNumId w:val="4"/>
  </w:num>
  <w:num w:numId="3">
    <w:abstractNumId w:val="2"/>
  </w:num>
  <w:num w:numId="4">
    <w:abstractNumId w:val="10"/>
  </w:num>
  <w:num w:numId="5">
    <w:abstractNumId w:val="3"/>
  </w:num>
  <w:num w:numId="6">
    <w:abstractNumId w:val="5"/>
  </w:num>
  <w:num w:numId="7">
    <w:abstractNumId w:val="8"/>
  </w:num>
  <w:num w:numId="8">
    <w:abstractNumId w:val="13"/>
  </w:num>
  <w:num w:numId="9">
    <w:abstractNumId w:val="6"/>
  </w:num>
  <w:num w:numId="10">
    <w:abstractNumId w:val="7"/>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503C"/>
    <w:rsid w:val="000053F8"/>
    <w:rsid w:val="000064CB"/>
    <w:rsid w:val="0000687D"/>
    <w:rsid w:val="00010AAB"/>
    <w:rsid w:val="000111B4"/>
    <w:rsid w:val="00011451"/>
    <w:rsid w:val="00012355"/>
    <w:rsid w:val="00012BBC"/>
    <w:rsid w:val="000140B0"/>
    <w:rsid w:val="00015050"/>
    <w:rsid w:val="00017F48"/>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9B6"/>
    <w:rsid w:val="000462D6"/>
    <w:rsid w:val="00046388"/>
    <w:rsid w:val="000470AC"/>
    <w:rsid w:val="000472DC"/>
    <w:rsid w:val="0004790B"/>
    <w:rsid w:val="00050204"/>
    <w:rsid w:val="00052377"/>
    <w:rsid w:val="000535F9"/>
    <w:rsid w:val="00053B5D"/>
    <w:rsid w:val="00054460"/>
    <w:rsid w:val="000549BD"/>
    <w:rsid w:val="00054CC7"/>
    <w:rsid w:val="0005540E"/>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BE7"/>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792"/>
    <w:rsid w:val="000B3EA3"/>
    <w:rsid w:val="000B45C6"/>
    <w:rsid w:val="000B53A2"/>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8CC"/>
    <w:rsid w:val="000D2C42"/>
    <w:rsid w:val="000D3184"/>
    <w:rsid w:val="000D3277"/>
    <w:rsid w:val="000D3DCC"/>
    <w:rsid w:val="000D4DED"/>
    <w:rsid w:val="000D53A2"/>
    <w:rsid w:val="000D57F2"/>
    <w:rsid w:val="000D63AB"/>
    <w:rsid w:val="000D6D85"/>
    <w:rsid w:val="000D6DF3"/>
    <w:rsid w:val="000E0109"/>
    <w:rsid w:val="000E121F"/>
    <w:rsid w:val="000E1D01"/>
    <w:rsid w:val="000E21D2"/>
    <w:rsid w:val="000E32B5"/>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1D37"/>
    <w:rsid w:val="0011301F"/>
    <w:rsid w:val="001131C4"/>
    <w:rsid w:val="001134E7"/>
    <w:rsid w:val="0011352A"/>
    <w:rsid w:val="001136BD"/>
    <w:rsid w:val="001140A7"/>
    <w:rsid w:val="00114B6E"/>
    <w:rsid w:val="00114FFA"/>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A02"/>
    <w:rsid w:val="00136D52"/>
    <w:rsid w:val="00137077"/>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B64"/>
    <w:rsid w:val="0018450A"/>
    <w:rsid w:val="00184F4B"/>
    <w:rsid w:val="00186E84"/>
    <w:rsid w:val="0018767F"/>
    <w:rsid w:val="00187CB2"/>
    <w:rsid w:val="00190CC4"/>
    <w:rsid w:val="00191BEA"/>
    <w:rsid w:val="001931EE"/>
    <w:rsid w:val="00194B1C"/>
    <w:rsid w:val="001956B8"/>
    <w:rsid w:val="00196622"/>
    <w:rsid w:val="00196F14"/>
    <w:rsid w:val="00197C29"/>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2170"/>
    <w:rsid w:val="00222C87"/>
    <w:rsid w:val="00223165"/>
    <w:rsid w:val="002237AA"/>
    <w:rsid w:val="002247AD"/>
    <w:rsid w:val="00224CEA"/>
    <w:rsid w:val="00224D5A"/>
    <w:rsid w:val="00226528"/>
    <w:rsid w:val="002269CD"/>
    <w:rsid w:val="00226F7F"/>
    <w:rsid w:val="002271B8"/>
    <w:rsid w:val="00227B50"/>
    <w:rsid w:val="0023081D"/>
    <w:rsid w:val="0023140B"/>
    <w:rsid w:val="00231F8F"/>
    <w:rsid w:val="00232A13"/>
    <w:rsid w:val="002338FF"/>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BA7"/>
    <w:rsid w:val="00254C33"/>
    <w:rsid w:val="00255A5A"/>
    <w:rsid w:val="00255C16"/>
    <w:rsid w:val="00256291"/>
    <w:rsid w:val="0025681F"/>
    <w:rsid w:val="00256EB6"/>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611F"/>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B7B"/>
    <w:rsid w:val="002A0A54"/>
    <w:rsid w:val="002A0ECE"/>
    <w:rsid w:val="002A0ED1"/>
    <w:rsid w:val="002A33F4"/>
    <w:rsid w:val="002A440E"/>
    <w:rsid w:val="002A4D11"/>
    <w:rsid w:val="002A507B"/>
    <w:rsid w:val="002A583F"/>
    <w:rsid w:val="002A7A04"/>
    <w:rsid w:val="002B03AD"/>
    <w:rsid w:val="002B1216"/>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209"/>
    <w:rsid w:val="002C32AD"/>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2BF"/>
    <w:rsid w:val="002E3E34"/>
    <w:rsid w:val="002E41F8"/>
    <w:rsid w:val="002E431B"/>
    <w:rsid w:val="002E47A0"/>
    <w:rsid w:val="002E4AF2"/>
    <w:rsid w:val="002E57C5"/>
    <w:rsid w:val="002E5B7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7126"/>
    <w:rsid w:val="00337789"/>
    <w:rsid w:val="003408D2"/>
    <w:rsid w:val="00341876"/>
    <w:rsid w:val="003418B0"/>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75B6"/>
    <w:rsid w:val="00410E3E"/>
    <w:rsid w:val="004113F2"/>
    <w:rsid w:val="00411D73"/>
    <w:rsid w:val="004136FF"/>
    <w:rsid w:val="004140D5"/>
    <w:rsid w:val="0041431E"/>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9BE"/>
    <w:rsid w:val="00446BEE"/>
    <w:rsid w:val="00451411"/>
    <w:rsid w:val="00451925"/>
    <w:rsid w:val="00451F99"/>
    <w:rsid w:val="00452528"/>
    <w:rsid w:val="00453BE9"/>
    <w:rsid w:val="00454340"/>
    <w:rsid w:val="00454CD1"/>
    <w:rsid w:val="004555C1"/>
    <w:rsid w:val="0045646C"/>
    <w:rsid w:val="0045652F"/>
    <w:rsid w:val="00457636"/>
    <w:rsid w:val="00457915"/>
    <w:rsid w:val="00457FCA"/>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E8D"/>
    <w:rsid w:val="00480FEC"/>
    <w:rsid w:val="00482097"/>
    <w:rsid w:val="00482B20"/>
    <w:rsid w:val="00482BB3"/>
    <w:rsid w:val="004830A9"/>
    <w:rsid w:val="0048348A"/>
    <w:rsid w:val="00483678"/>
    <w:rsid w:val="00484BBD"/>
    <w:rsid w:val="00486491"/>
    <w:rsid w:val="004867C3"/>
    <w:rsid w:val="00486F94"/>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6FBC"/>
    <w:rsid w:val="004A7C2A"/>
    <w:rsid w:val="004B0805"/>
    <w:rsid w:val="004B08D9"/>
    <w:rsid w:val="004B130A"/>
    <w:rsid w:val="004B171F"/>
    <w:rsid w:val="004B3FDC"/>
    <w:rsid w:val="004B482D"/>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4CA"/>
    <w:rsid w:val="00504B23"/>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402F7"/>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ED5"/>
    <w:rsid w:val="00583D7F"/>
    <w:rsid w:val="00583E72"/>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980"/>
    <w:rsid w:val="005A1061"/>
    <w:rsid w:val="005A16D5"/>
    <w:rsid w:val="005A2342"/>
    <w:rsid w:val="005A2690"/>
    <w:rsid w:val="005A2BC2"/>
    <w:rsid w:val="005A489F"/>
    <w:rsid w:val="005A5C67"/>
    <w:rsid w:val="005A6290"/>
    <w:rsid w:val="005A6C72"/>
    <w:rsid w:val="005A6E4F"/>
    <w:rsid w:val="005A77A7"/>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45BB"/>
    <w:rsid w:val="005D605B"/>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EF6"/>
    <w:rsid w:val="005F7F24"/>
    <w:rsid w:val="00600413"/>
    <w:rsid w:val="00600802"/>
    <w:rsid w:val="00601420"/>
    <w:rsid w:val="00601D97"/>
    <w:rsid w:val="0060217D"/>
    <w:rsid w:val="00602BF9"/>
    <w:rsid w:val="0060329E"/>
    <w:rsid w:val="006037B0"/>
    <w:rsid w:val="0060492D"/>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30902"/>
    <w:rsid w:val="00630987"/>
    <w:rsid w:val="00630EF1"/>
    <w:rsid w:val="00631046"/>
    <w:rsid w:val="006325A8"/>
    <w:rsid w:val="00632D1D"/>
    <w:rsid w:val="00632DF3"/>
    <w:rsid w:val="00632F70"/>
    <w:rsid w:val="0063337A"/>
    <w:rsid w:val="0063374A"/>
    <w:rsid w:val="006345EF"/>
    <w:rsid w:val="00635777"/>
    <w:rsid w:val="006367F8"/>
    <w:rsid w:val="00636AE2"/>
    <w:rsid w:val="00636E3E"/>
    <w:rsid w:val="00637B57"/>
    <w:rsid w:val="00637C90"/>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B0BE3"/>
    <w:rsid w:val="006B1325"/>
    <w:rsid w:val="006B1553"/>
    <w:rsid w:val="006B1567"/>
    <w:rsid w:val="006B2683"/>
    <w:rsid w:val="006B2D63"/>
    <w:rsid w:val="006B30D4"/>
    <w:rsid w:val="006B3E39"/>
    <w:rsid w:val="006B40F3"/>
    <w:rsid w:val="006B4946"/>
    <w:rsid w:val="006B554D"/>
    <w:rsid w:val="006B5DA6"/>
    <w:rsid w:val="006B6A42"/>
    <w:rsid w:val="006B6EBF"/>
    <w:rsid w:val="006B7882"/>
    <w:rsid w:val="006C000B"/>
    <w:rsid w:val="006C0B15"/>
    <w:rsid w:val="006C1746"/>
    <w:rsid w:val="006C1B6D"/>
    <w:rsid w:val="006C214B"/>
    <w:rsid w:val="006C2219"/>
    <w:rsid w:val="006C2E23"/>
    <w:rsid w:val="006C2FAC"/>
    <w:rsid w:val="006C3222"/>
    <w:rsid w:val="006C35A0"/>
    <w:rsid w:val="006C3658"/>
    <w:rsid w:val="006C40A4"/>
    <w:rsid w:val="006C4D7B"/>
    <w:rsid w:val="006C6AA7"/>
    <w:rsid w:val="006C73A9"/>
    <w:rsid w:val="006C75BB"/>
    <w:rsid w:val="006C7B86"/>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7352"/>
    <w:rsid w:val="00710220"/>
    <w:rsid w:val="0071055D"/>
    <w:rsid w:val="007105F2"/>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2A9F"/>
    <w:rsid w:val="007B34AB"/>
    <w:rsid w:val="007B43A1"/>
    <w:rsid w:val="007B4D14"/>
    <w:rsid w:val="007B6434"/>
    <w:rsid w:val="007B744C"/>
    <w:rsid w:val="007B79A0"/>
    <w:rsid w:val="007B7DC1"/>
    <w:rsid w:val="007C0E6A"/>
    <w:rsid w:val="007C12FB"/>
    <w:rsid w:val="007C1C4D"/>
    <w:rsid w:val="007C305C"/>
    <w:rsid w:val="007C54F6"/>
    <w:rsid w:val="007C5FAB"/>
    <w:rsid w:val="007C6172"/>
    <w:rsid w:val="007C63DF"/>
    <w:rsid w:val="007C65CB"/>
    <w:rsid w:val="007C67AB"/>
    <w:rsid w:val="007C7754"/>
    <w:rsid w:val="007C7E4D"/>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61BA"/>
    <w:rsid w:val="007F6555"/>
    <w:rsid w:val="007F6671"/>
    <w:rsid w:val="007F787A"/>
    <w:rsid w:val="00801E07"/>
    <w:rsid w:val="00801E48"/>
    <w:rsid w:val="0080266C"/>
    <w:rsid w:val="00802815"/>
    <w:rsid w:val="008045A1"/>
    <w:rsid w:val="00804E27"/>
    <w:rsid w:val="008057D9"/>
    <w:rsid w:val="00805FF0"/>
    <w:rsid w:val="0080602B"/>
    <w:rsid w:val="00806FAA"/>
    <w:rsid w:val="00807433"/>
    <w:rsid w:val="00810168"/>
    <w:rsid w:val="008103E8"/>
    <w:rsid w:val="00810EC8"/>
    <w:rsid w:val="008113C6"/>
    <w:rsid w:val="0081146B"/>
    <w:rsid w:val="00812C36"/>
    <w:rsid w:val="00813B67"/>
    <w:rsid w:val="00813EED"/>
    <w:rsid w:val="0081490E"/>
    <w:rsid w:val="00814E05"/>
    <w:rsid w:val="008159B5"/>
    <w:rsid w:val="00815A44"/>
    <w:rsid w:val="00816677"/>
    <w:rsid w:val="00816FCD"/>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4713"/>
    <w:rsid w:val="00837398"/>
    <w:rsid w:val="00837A3B"/>
    <w:rsid w:val="00840612"/>
    <w:rsid w:val="00842872"/>
    <w:rsid w:val="008433E6"/>
    <w:rsid w:val="00843AC3"/>
    <w:rsid w:val="00844B6A"/>
    <w:rsid w:val="00845325"/>
    <w:rsid w:val="008456A8"/>
    <w:rsid w:val="00850ABF"/>
    <w:rsid w:val="008517C8"/>
    <w:rsid w:val="008541ED"/>
    <w:rsid w:val="0085566B"/>
    <w:rsid w:val="0085598A"/>
    <w:rsid w:val="00855E40"/>
    <w:rsid w:val="00856635"/>
    <w:rsid w:val="008568E7"/>
    <w:rsid w:val="00856FDC"/>
    <w:rsid w:val="00857B3A"/>
    <w:rsid w:val="00860013"/>
    <w:rsid w:val="008610A9"/>
    <w:rsid w:val="00861B92"/>
    <w:rsid w:val="00862B23"/>
    <w:rsid w:val="008635F6"/>
    <w:rsid w:val="00864C2A"/>
    <w:rsid w:val="00865647"/>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C6A"/>
    <w:rsid w:val="0087729F"/>
    <w:rsid w:val="008775D5"/>
    <w:rsid w:val="008814FB"/>
    <w:rsid w:val="00881BCD"/>
    <w:rsid w:val="0088342D"/>
    <w:rsid w:val="00883D17"/>
    <w:rsid w:val="00885131"/>
    <w:rsid w:val="0088521A"/>
    <w:rsid w:val="00886165"/>
    <w:rsid w:val="0088695D"/>
    <w:rsid w:val="008869B1"/>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85C"/>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AF6"/>
    <w:rsid w:val="008E4B09"/>
    <w:rsid w:val="008F028C"/>
    <w:rsid w:val="008F0292"/>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C88"/>
    <w:rsid w:val="009A218C"/>
    <w:rsid w:val="009A273B"/>
    <w:rsid w:val="009A2765"/>
    <w:rsid w:val="009A29B8"/>
    <w:rsid w:val="009A3E07"/>
    <w:rsid w:val="009A5473"/>
    <w:rsid w:val="009A7421"/>
    <w:rsid w:val="009B0F41"/>
    <w:rsid w:val="009B14F7"/>
    <w:rsid w:val="009B2939"/>
    <w:rsid w:val="009B3464"/>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80B"/>
    <w:rsid w:val="009E6DD9"/>
    <w:rsid w:val="009E7BD3"/>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5FB4"/>
    <w:rsid w:val="00A77DE5"/>
    <w:rsid w:val="00A80937"/>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270"/>
    <w:rsid w:val="00AB5365"/>
    <w:rsid w:val="00AB74C7"/>
    <w:rsid w:val="00AC148F"/>
    <w:rsid w:val="00AC1B55"/>
    <w:rsid w:val="00AC251A"/>
    <w:rsid w:val="00AC3CD2"/>
    <w:rsid w:val="00AC3DB5"/>
    <w:rsid w:val="00AC400E"/>
    <w:rsid w:val="00AC4B15"/>
    <w:rsid w:val="00AC69D3"/>
    <w:rsid w:val="00AC6BBC"/>
    <w:rsid w:val="00AC6D08"/>
    <w:rsid w:val="00AD0485"/>
    <w:rsid w:val="00AD10EF"/>
    <w:rsid w:val="00AD1117"/>
    <w:rsid w:val="00AD1855"/>
    <w:rsid w:val="00AD1A21"/>
    <w:rsid w:val="00AD45C1"/>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5C"/>
    <w:rsid w:val="00B05868"/>
    <w:rsid w:val="00B06C37"/>
    <w:rsid w:val="00B071B3"/>
    <w:rsid w:val="00B07A8B"/>
    <w:rsid w:val="00B10773"/>
    <w:rsid w:val="00B10D8C"/>
    <w:rsid w:val="00B1173D"/>
    <w:rsid w:val="00B12D48"/>
    <w:rsid w:val="00B136CB"/>
    <w:rsid w:val="00B13F30"/>
    <w:rsid w:val="00B14F04"/>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65E1"/>
    <w:rsid w:val="00B46C0A"/>
    <w:rsid w:val="00B471CE"/>
    <w:rsid w:val="00B4722F"/>
    <w:rsid w:val="00B4756E"/>
    <w:rsid w:val="00B47631"/>
    <w:rsid w:val="00B47DC4"/>
    <w:rsid w:val="00B506FF"/>
    <w:rsid w:val="00B50760"/>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3436"/>
    <w:rsid w:val="00B84AC1"/>
    <w:rsid w:val="00B85554"/>
    <w:rsid w:val="00B8622F"/>
    <w:rsid w:val="00B8653A"/>
    <w:rsid w:val="00B90073"/>
    <w:rsid w:val="00B904D9"/>
    <w:rsid w:val="00B919DE"/>
    <w:rsid w:val="00B92BC4"/>
    <w:rsid w:val="00B9349A"/>
    <w:rsid w:val="00B94951"/>
    <w:rsid w:val="00B95724"/>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9A4"/>
    <w:rsid w:val="00BC0C90"/>
    <w:rsid w:val="00BC1476"/>
    <w:rsid w:val="00BC2A0B"/>
    <w:rsid w:val="00BC324D"/>
    <w:rsid w:val="00BC337E"/>
    <w:rsid w:val="00BC5264"/>
    <w:rsid w:val="00BC57BA"/>
    <w:rsid w:val="00BC620C"/>
    <w:rsid w:val="00BC6548"/>
    <w:rsid w:val="00BC6B06"/>
    <w:rsid w:val="00BC778E"/>
    <w:rsid w:val="00BD106A"/>
    <w:rsid w:val="00BD10EC"/>
    <w:rsid w:val="00BD2933"/>
    <w:rsid w:val="00BD2E4C"/>
    <w:rsid w:val="00BD33D8"/>
    <w:rsid w:val="00BD5636"/>
    <w:rsid w:val="00BD5A68"/>
    <w:rsid w:val="00BD714D"/>
    <w:rsid w:val="00BE04BE"/>
    <w:rsid w:val="00BE0CDA"/>
    <w:rsid w:val="00BE0DC5"/>
    <w:rsid w:val="00BE0F7C"/>
    <w:rsid w:val="00BE16F4"/>
    <w:rsid w:val="00BE2215"/>
    <w:rsid w:val="00BE290F"/>
    <w:rsid w:val="00BE4115"/>
    <w:rsid w:val="00BE683F"/>
    <w:rsid w:val="00BE690B"/>
    <w:rsid w:val="00BE756A"/>
    <w:rsid w:val="00BF0E92"/>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6D6C"/>
    <w:rsid w:val="00C2338F"/>
    <w:rsid w:val="00C237D5"/>
    <w:rsid w:val="00C2522F"/>
    <w:rsid w:val="00C25808"/>
    <w:rsid w:val="00C25F15"/>
    <w:rsid w:val="00C271B9"/>
    <w:rsid w:val="00C27383"/>
    <w:rsid w:val="00C313D9"/>
    <w:rsid w:val="00C3153A"/>
    <w:rsid w:val="00C3165C"/>
    <w:rsid w:val="00C32EB2"/>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372B"/>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58A1"/>
    <w:rsid w:val="00D07F6F"/>
    <w:rsid w:val="00D1056A"/>
    <w:rsid w:val="00D106BB"/>
    <w:rsid w:val="00D10A5B"/>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7D"/>
    <w:rsid w:val="00D72A75"/>
    <w:rsid w:val="00D72AAB"/>
    <w:rsid w:val="00D746AA"/>
    <w:rsid w:val="00D74AF0"/>
    <w:rsid w:val="00D74E6F"/>
    <w:rsid w:val="00D7520D"/>
    <w:rsid w:val="00D7535D"/>
    <w:rsid w:val="00D762B4"/>
    <w:rsid w:val="00D76725"/>
    <w:rsid w:val="00D7744A"/>
    <w:rsid w:val="00D80278"/>
    <w:rsid w:val="00D829FF"/>
    <w:rsid w:val="00D8391E"/>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3B7B"/>
    <w:rsid w:val="00DB4378"/>
    <w:rsid w:val="00DB45D5"/>
    <w:rsid w:val="00DB47FE"/>
    <w:rsid w:val="00DB5B20"/>
    <w:rsid w:val="00DB6BE1"/>
    <w:rsid w:val="00DB6D1A"/>
    <w:rsid w:val="00DB782A"/>
    <w:rsid w:val="00DC0570"/>
    <w:rsid w:val="00DC159F"/>
    <w:rsid w:val="00DC2B5E"/>
    <w:rsid w:val="00DC4595"/>
    <w:rsid w:val="00DC5842"/>
    <w:rsid w:val="00DC72B8"/>
    <w:rsid w:val="00DC7E24"/>
    <w:rsid w:val="00DD0853"/>
    <w:rsid w:val="00DD09D8"/>
    <w:rsid w:val="00DD0E13"/>
    <w:rsid w:val="00DD0F2D"/>
    <w:rsid w:val="00DD1611"/>
    <w:rsid w:val="00DD1F43"/>
    <w:rsid w:val="00DD22B5"/>
    <w:rsid w:val="00DD28F1"/>
    <w:rsid w:val="00DD36B8"/>
    <w:rsid w:val="00DD5398"/>
    <w:rsid w:val="00DD551B"/>
    <w:rsid w:val="00DD698F"/>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737"/>
    <w:rsid w:val="00E22EEA"/>
    <w:rsid w:val="00E258D1"/>
    <w:rsid w:val="00E25F0F"/>
    <w:rsid w:val="00E26216"/>
    <w:rsid w:val="00E27CC5"/>
    <w:rsid w:val="00E27E75"/>
    <w:rsid w:val="00E30D7F"/>
    <w:rsid w:val="00E3177E"/>
    <w:rsid w:val="00E32025"/>
    <w:rsid w:val="00E33340"/>
    <w:rsid w:val="00E33713"/>
    <w:rsid w:val="00E3514D"/>
    <w:rsid w:val="00E35E90"/>
    <w:rsid w:val="00E36596"/>
    <w:rsid w:val="00E3660B"/>
    <w:rsid w:val="00E3683B"/>
    <w:rsid w:val="00E36862"/>
    <w:rsid w:val="00E37B72"/>
    <w:rsid w:val="00E40E00"/>
    <w:rsid w:val="00E40EBA"/>
    <w:rsid w:val="00E412FB"/>
    <w:rsid w:val="00E41806"/>
    <w:rsid w:val="00E41D3D"/>
    <w:rsid w:val="00E42CA1"/>
    <w:rsid w:val="00E44923"/>
    <w:rsid w:val="00E44C2E"/>
    <w:rsid w:val="00E46DB1"/>
    <w:rsid w:val="00E4729E"/>
    <w:rsid w:val="00E473DE"/>
    <w:rsid w:val="00E4767E"/>
    <w:rsid w:val="00E5060D"/>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4184"/>
    <w:rsid w:val="00E75F24"/>
    <w:rsid w:val="00E76843"/>
    <w:rsid w:val="00E7691A"/>
    <w:rsid w:val="00E76E61"/>
    <w:rsid w:val="00E77218"/>
    <w:rsid w:val="00E8008B"/>
    <w:rsid w:val="00E817AC"/>
    <w:rsid w:val="00E827D1"/>
    <w:rsid w:val="00E828E3"/>
    <w:rsid w:val="00E834F2"/>
    <w:rsid w:val="00E84AED"/>
    <w:rsid w:val="00E84FBF"/>
    <w:rsid w:val="00E863E1"/>
    <w:rsid w:val="00E91FFB"/>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B2837"/>
    <w:rsid w:val="00EB32F7"/>
    <w:rsid w:val="00EB3BD6"/>
    <w:rsid w:val="00EB3BDE"/>
    <w:rsid w:val="00EB3C0C"/>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6D09"/>
    <w:rsid w:val="00EE7119"/>
    <w:rsid w:val="00EF0E36"/>
    <w:rsid w:val="00EF2721"/>
    <w:rsid w:val="00EF49A6"/>
    <w:rsid w:val="00EF5B9C"/>
    <w:rsid w:val="00EF60E3"/>
    <w:rsid w:val="00EF61B8"/>
    <w:rsid w:val="00EF6397"/>
    <w:rsid w:val="00EF7182"/>
    <w:rsid w:val="00F0072D"/>
    <w:rsid w:val="00F00A3C"/>
    <w:rsid w:val="00F00DA3"/>
    <w:rsid w:val="00F01980"/>
    <w:rsid w:val="00F02EDC"/>
    <w:rsid w:val="00F031DB"/>
    <w:rsid w:val="00F03E0C"/>
    <w:rsid w:val="00F055F1"/>
    <w:rsid w:val="00F065B9"/>
    <w:rsid w:val="00F0696D"/>
    <w:rsid w:val="00F104D3"/>
    <w:rsid w:val="00F10BAC"/>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3260E"/>
    <w:rsid w:val="00F33965"/>
    <w:rsid w:val="00F34385"/>
    <w:rsid w:val="00F34A1A"/>
    <w:rsid w:val="00F34E43"/>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928"/>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5030"/>
    <w:rsid w:val="00F755DB"/>
    <w:rsid w:val="00F757D9"/>
    <w:rsid w:val="00F76692"/>
    <w:rsid w:val="00F777DD"/>
    <w:rsid w:val="00F81C1E"/>
    <w:rsid w:val="00F8325B"/>
    <w:rsid w:val="00F83409"/>
    <w:rsid w:val="00F84A9B"/>
    <w:rsid w:val="00F84B4D"/>
    <w:rsid w:val="00F84B69"/>
    <w:rsid w:val="00F84BCB"/>
    <w:rsid w:val="00F85272"/>
    <w:rsid w:val="00F85A62"/>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6FC"/>
    <w:rsid w:val="00FA47DD"/>
    <w:rsid w:val="00FA4D12"/>
    <w:rsid w:val="00FA573E"/>
    <w:rsid w:val="00FA594C"/>
    <w:rsid w:val="00FA5CDF"/>
    <w:rsid w:val="00FA6A21"/>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50A09-3A4C-4E27-A09A-B994D6691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2122</Words>
  <Characters>11103</Characters>
  <Application>Microsoft Office Word</Application>
  <DocSecurity>0</DocSecurity>
  <Lines>92</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2021-09-01T08:26:00Z</dcterms:created>
  <dcterms:modified xsi:type="dcterms:W3CDTF">2021-09-01T08:26:00Z</dcterms:modified>
</cp:coreProperties>
</file>