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7A303C2E" w:rsidR="00975C12" w:rsidRPr="00F40D3F" w:rsidRDefault="00975C12" w:rsidP="00975C12">
      <w:pPr>
        <w:pStyle w:val="Heading1"/>
        <w:jc w:val="center"/>
      </w:pPr>
      <w:r w:rsidRPr="00F40D3F">
        <w:t xml:space="preserve">Minutes of the meeting held on </w:t>
      </w:r>
      <w:r w:rsidR="009F69A2">
        <w:t>30</w:t>
      </w:r>
      <w:r w:rsidR="00E95322">
        <w:t xml:space="preserve"> March</w:t>
      </w:r>
      <w:r w:rsidR="00892B11">
        <w:t xml:space="preserve"> 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0CB43FDE"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7850233D" w14:textId="3A44156B" w:rsidR="00E6613F" w:rsidRPr="000140B0"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w:t>
      </w:r>
      <w:r w:rsidR="00B12427">
        <w:rPr>
          <w:rFonts w:cs="Arial"/>
          <w:color w:val="000000" w:themeColor="text1"/>
          <w:sz w:val="22"/>
          <w:szCs w:val="22"/>
          <w:lang w:val="en-GB"/>
        </w:rPr>
        <w:t xml:space="preserve">, </w:t>
      </w:r>
      <w:r>
        <w:rPr>
          <w:rFonts w:cs="Arial"/>
          <w:color w:val="000000" w:themeColor="text1"/>
          <w:sz w:val="22"/>
          <w:szCs w:val="22"/>
          <w:lang w:val="en-GB"/>
        </w:rPr>
        <w:t>Centre for Health Technology Evaluation</w:t>
      </w:r>
      <w:r w:rsidR="00A32611">
        <w:rPr>
          <w:rFonts w:cs="Arial"/>
          <w:color w:val="000000" w:themeColor="text1"/>
          <w:sz w:val="22"/>
          <w:szCs w:val="22"/>
          <w:lang w:val="en-GB"/>
        </w:rPr>
        <w:t xml:space="preserve"> </w:t>
      </w:r>
    </w:p>
    <w:p w14:paraId="2525C183" w14:textId="64E3996A" w:rsidR="00186E84" w:rsidRDefault="00186E84"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w:t>
      </w:r>
      <w:r w:rsidR="00B12427">
        <w:rPr>
          <w:rFonts w:cs="Arial"/>
          <w:color w:val="000000" w:themeColor="text1"/>
          <w:sz w:val="22"/>
          <w:szCs w:val="22"/>
          <w:lang w:val="en-GB"/>
        </w:rPr>
        <w:t>,</w:t>
      </w:r>
      <w:r>
        <w:rPr>
          <w:rFonts w:cs="Arial"/>
          <w:color w:val="000000" w:themeColor="text1"/>
          <w:sz w:val="22"/>
          <w:szCs w:val="22"/>
          <w:lang w:val="en-GB"/>
        </w:rPr>
        <w:t xml:space="preserve"> Centre for Guidelines</w:t>
      </w:r>
      <w:r w:rsidR="00E95322">
        <w:rPr>
          <w:rFonts w:cs="Arial"/>
          <w:color w:val="000000" w:themeColor="text1"/>
          <w:sz w:val="22"/>
          <w:szCs w:val="22"/>
          <w:lang w:val="en-GB"/>
        </w:rPr>
        <w:t xml:space="preserve"> </w:t>
      </w:r>
    </w:p>
    <w:p w14:paraId="193B3A85" w14:textId="4D0FED4E"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Director</w:t>
      </w:r>
      <w:r w:rsidR="00B12427">
        <w:rPr>
          <w:rFonts w:cs="Arial"/>
          <w:sz w:val="22"/>
          <w:szCs w:val="22"/>
          <w:lang w:val="en-GB"/>
        </w:rPr>
        <w:t>,</w:t>
      </w:r>
      <w:r>
        <w:rPr>
          <w:rFonts w:cs="Arial"/>
          <w:sz w:val="22"/>
          <w:szCs w:val="22"/>
          <w:lang w:val="en-GB"/>
        </w:rPr>
        <w:t xml:space="preserve"> Communications </w:t>
      </w:r>
    </w:p>
    <w:p w14:paraId="0D86CAA2" w14:textId="740EDFAB"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w:t>
      </w:r>
      <w:r w:rsidR="00B12427">
        <w:rPr>
          <w:rFonts w:cs="Arial"/>
          <w:sz w:val="22"/>
          <w:szCs w:val="22"/>
          <w:lang w:val="en-GB"/>
        </w:rPr>
        <w:t>,</w:t>
      </w:r>
      <w:r>
        <w:rPr>
          <w:rFonts w:cs="Arial"/>
          <w:sz w:val="22"/>
          <w:szCs w:val="22"/>
          <w:lang w:val="en-GB"/>
        </w:rPr>
        <w:t xml:space="preserve"> Science, Evidence and Analytics</w:t>
      </w:r>
      <w:r w:rsidR="004A53E9">
        <w:rPr>
          <w:rFonts w:cs="Arial"/>
          <w:sz w:val="22"/>
          <w:szCs w:val="22"/>
          <w:lang w:val="en-GB"/>
        </w:rPr>
        <w:t xml:space="preserve"> </w:t>
      </w:r>
    </w:p>
    <w:p w14:paraId="34A76FA7" w14:textId="304E0C2C"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Director</w:t>
      </w:r>
      <w:r w:rsidR="00B12427">
        <w:rPr>
          <w:rFonts w:cs="Arial"/>
          <w:sz w:val="22"/>
          <w:szCs w:val="22"/>
          <w:lang w:val="en-GB"/>
        </w:rPr>
        <w:t>,</w:t>
      </w:r>
      <w:r>
        <w:rPr>
          <w:rFonts w:cs="Arial"/>
          <w:sz w:val="22"/>
          <w:szCs w:val="22"/>
          <w:lang w:val="en-GB"/>
        </w:rPr>
        <w:t xml:space="preserve"> Finance, Strategy and Transformation </w:t>
      </w:r>
    </w:p>
    <w:p w14:paraId="217895DB" w14:textId="45D95E49"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Judith</w:t>
      </w:r>
      <w:r w:rsidR="0051570B">
        <w:rPr>
          <w:rFonts w:cs="Arial"/>
          <w:sz w:val="22"/>
          <w:szCs w:val="22"/>
          <w:lang w:val="en-GB"/>
        </w:rPr>
        <w:t xml:space="preserve"> Richardson</w:t>
      </w:r>
      <w:r w:rsidR="0051570B">
        <w:rPr>
          <w:rFonts w:cs="Arial"/>
          <w:sz w:val="22"/>
          <w:szCs w:val="22"/>
          <w:lang w:val="en-GB"/>
        </w:rPr>
        <w:tab/>
        <w:t>Acting Director</w:t>
      </w:r>
      <w:r w:rsidR="00B12427">
        <w:rPr>
          <w:rFonts w:cs="Arial"/>
          <w:sz w:val="22"/>
          <w:szCs w:val="22"/>
          <w:lang w:val="en-GB"/>
        </w:rPr>
        <w:t xml:space="preserve">, </w:t>
      </w:r>
      <w:r w:rsidR="0051570B">
        <w:rPr>
          <w:rFonts w:cs="Arial"/>
          <w:sz w:val="22"/>
          <w:szCs w:val="22"/>
          <w:lang w:val="en-GB"/>
        </w:rPr>
        <w:t>Health and Social Care</w:t>
      </w:r>
      <w:r w:rsidR="000F68E3">
        <w:rPr>
          <w:rFonts w:cs="Arial"/>
          <w:sz w:val="22"/>
          <w:szCs w:val="22"/>
          <w:lang w:val="en-GB"/>
        </w:rPr>
        <w:t xml:space="preserve"> </w:t>
      </w:r>
      <w:r w:rsidR="000F68E3" w:rsidRPr="00ED1DC6">
        <w:rPr>
          <w:rFonts w:cs="Arial"/>
          <w:color w:val="000000" w:themeColor="text1"/>
          <w:sz w:val="22"/>
          <w:szCs w:val="22"/>
          <w:lang w:val="en-GB"/>
        </w:rPr>
        <w:t>(f</w:t>
      </w:r>
      <w:r w:rsidR="00ED1DC6" w:rsidRPr="00ED1DC6">
        <w:rPr>
          <w:rFonts w:cs="Arial"/>
          <w:color w:val="000000" w:themeColor="text1"/>
          <w:sz w:val="22"/>
          <w:szCs w:val="22"/>
          <w:lang w:val="en-GB"/>
        </w:rPr>
        <w:t xml:space="preserve">or item </w:t>
      </w:r>
      <w:r w:rsidR="00ED1DC6">
        <w:rPr>
          <w:rFonts w:cs="Arial"/>
          <w:color w:val="000000" w:themeColor="text1"/>
          <w:sz w:val="22"/>
          <w:szCs w:val="22"/>
          <w:lang w:val="en-GB"/>
        </w:rPr>
        <w:t>8</w:t>
      </w:r>
      <w:r w:rsidR="00ED1DC6" w:rsidRPr="00ED1DC6">
        <w:rPr>
          <w:rFonts w:cs="Arial"/>
          <w:color w:val="000000" w:themeColor="text1"/>
          <w:sz w:val="22"/>
          <w:szCs w:val="22"/>
          <w:lang w:val="en-GB"/>
        </w:rPr>
        <w:t xml:space="preserve"> onwards</w:t>
      </w:r>
      <w:r w:rsidR="000F68E3" w:rsidRPr="00ED1DC6">
        <w:rPr>
          <w:rFonts w:cs="Arial"/>
          <w:color w:val="000000" w:themeColor="text1"/>
          <w:sz w:val="22"/>
          <w:szCs w:val="22"/>
          <w:lang w:val="en-GB"/>
        </w:rPr>
        <w:t>)</w:t>
      </w:r>
    </w:p>
    <w:p w14:paraId="454AF59E" w14:textId="4A36D2D1"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Alexia</w:t>
      </w:r>
      <w:r w:rsidR="0051570B">
        <w:rPr>
          <w:rFonts w:cs="Arial"/>
          <w:sz w:val="22"/>
          <w:szCs w:val="22"/>
          <w:lang w:val="en-GB"/>
        </w:rPr>
        <w:t xml:space="preserve"> Tonnel</w:t>
      </w:r>
      <w:r w:rsidR="0051570B">
        <w:rPr>
          <w:rFonts w:cs="Arial"/>
          <w:sz w:val="22"/>
          <w:szCs w:val="22"/>
          <w:lang w:val="en-GB"/>
        </w:rPr>
        <w:tab/>
        <w:t>Director</w:t>
      </w:r>
      <w:r w:rsidR="00B12427">
        <w:rPr>
          <w:rFonts w:cs="Arial"/>
          <w:sz w:val="22"/>
          <w:szCs w:val="22"/>
          <w:lang w:val="en-GB"/>
        </w:rPr>
        <w:t>,</w:t>
      </w:r>
      <w:r w:rsidR="0051570B">
        <w:rPr>
          <w:rFonts w:cs="Arial"/>
          <w:sz w:val="22"/>
          <w:szCs w:val="22"/>
          <w:lang w:val="en-GB"/>
        </w:rPr>
        <w:t xml:space="preserve"> Digital, Information and Technology</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1CACEF9A" w14:textId="1631CF05" w:rsidR="00E95322" w:rsidRPr="00060696" w:rsidRDefault="00E95322" w:rsidP="007F1B30">
      <w:pPr>
        <w:pStyle w:val="NICEnormal"/>
        <w:spacing w:after="0" w:line="240" w:lineRule="auto"/>
        <w:ind w:left="2160" w:hanging="2160"/>
        <w:rPr>
          <w:color w:val="000000" w:themeColor="text1"/>
          <w:sz w:val="22"/>
          <w:szCs w:val="22"/>
        </w:rPr>
      </w:pPr>
      <w:r w:rsidRPr="00060696">
        <w:rPr>
          <w:color w:val="000000" w:themeColor="text1"/>
          <w:sz w:val="22"/>
          <w:szCs w:val="22"/>
        </w:rPr>
        <w:t>David Coombs</w:t>
      </w:r>
      <w:r w:rsidRPr="00060696">
        <w:rPr>
          <w:color w:val="000000" w:themeColor="text1"/>
          <w:sz w:val="22"/>
          <w:szCs w:val="22"/>
        </w:rPr>
        <w:tab/>
        <w:t>Associate Director</w:t>
      </w:r>
      <w:r w:rsidR="00B12427">
        <w:rPr>
          <w:color w:val="000000" w:themeColor="text1"/>
          <w:sz w:val="22"/>
          <w:szCs w:val="22"/>
        </w:rPr>
        <w:t>,</w:t>
      </w:r>
      <w:r w:rsidRPr="00060696">
        <w:rPr>
          <w:color w:val="000000" w:themeColor="text1"/>
          <w:sz w:val="22"/>
          <w:szCs w:val="22"/>
        </w:rPr>
        <w:t xml:space="preserve"> Corporate Office (minutes)</w:t>
      </w:r>
    </w:p>
    <w:p w14:paraId="47E5F29D" w14:textId="6AD23DDD" w:rsidR="000F68E3" w:rsidRDefault="000F68E3" w:rsidP="007F1B30">
      <w:pPr>
        <w:pStyle w:val="NICEnormal"/>
        <w:spacing w:after="0" w:line="240" w:lineRule="auto"/>
        <w:ind w:left="2160" w:hanging="2160"/>
        <w:rPr>
          <w:color w:val="000000" w:themeColor="text1"/>
          <w:sz w:val="22"/>
          <w:szCs w:val="22"/>
        </w:rPr>
      </w:pPr>
      <w:r>
        <w:rPr>
          <w:color w:val="000000" w:themeColor="text1"/>
          <w:sz w:val="22"/>
          <w:szCs w:val="22"/>
        </w:rPr>
        <w:t>Moya Alcock</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w:t>
      </w:r>
      <w:r w:rsidR="00B12427">
        <w:rPr>
          <w:color w:val="000000" w:themeColor="text1"/>
          <w:sz w:val="22"/>
          <w:szCs w:val="22"/>
        </w:rPr>
        <w:t>,</w:t>
      </w:r>
      <w:r>
        <w:rPr>
          <w:color w:val="000000" w:themeColor="text1"/>
          <w:sz w:val="22"/>
          <w:szCs w:val="22"/>
        </w:rPr>
        <w:t xml:space="preserve"> Health and Social </w:t>
      </w:r>
      <w:r w:rsidRPr="00ED1DC6">
        <w:rPr>
          <w:color w:val="000000" w:themeColor="text1"/>
          <w:sz w:val="22"/>
          <w:szCs w:val="22"/>
        </w:rPr>
        <w:t xml:space="preserve">Care (items 1 to </w:t>
      </w:r>
      <w:r w:rsidR="00ED1DC6" w:rsidRPr="00ED1DC6">
        <w:rPr>
          <w:color w:val="000000" w:themeColor="text1"/>
          <w:sz w:val="22"/>
          <w:szCs w:val="22"/>
        </w:rPr>
        <w:t>7 inclusive</w:t>
      </w:r>
      <w:r w:rsidRPr="00ED1DC6">
        <w:rPr>
          <w:color w:val="000000" w:themeColor="text1"/>
          <w:sz w:val="22"/>
          <w:szCs w:val="22"/>
        </w:rPr>
        <w:t>)</w:t>
      </w:r>
    </w:p>
    <w:p w14:paraId="1499FF58" w14:textId="71CC0729" w:rsidR="00060696" w:rsidRPr="00060696" w:rsidRDefault="00060696" w:rsidP="007F1B30">
      <w:pPr>
        <w:pStyle w:val="NICEnormal"/>
        <w:spacing w:after="0" w:line="240" w:lineRule="auto"/>
        <w:ind w:left="2160" w:hanging="2160"/>
        <w:rPr>
          <w:color w:val="000000" w:themeColor="text1"/>
          <w:sz w:val="22"/>
          <w:szCs w:val="22"/>
        </w:rPr>
      </w:pPr>
      <w:r w:rsidRPr="00060696">
        <w:rPr>
          <w:color w:val="000000" w:themeColor="text1"/>
          <w:sz w:val="22"/>
          <w:szCs w:val="22"/>
        </w:rPr>
        <w:t>Javier Alonso</w:t>
      </w:r>
      <w:r w:rsidRPr="00060696">
        <w:rPr>
          <w:color w:val="000000" w:themeColor="text1"/>
          <w:sz w:val="22"/>
          <w:szCs w:val="22"/>
        </w:rPr>
        <w:tab/>
      </w:r>
      <w:proofErr w:type="spellStart"/>
      <w:r w:rsidRPr="00060696">
        <w:rPr>
          <w:color w:val="000000" w:themeColor="text1"/>
          <w:sz w:val="22"/>
          <w:szCs w:val="22"/>
        </w:rPr>
        <w:t>Programme</w:t>
      </w:r>
      <w:proofErr w:type="spellEnd"/>
      <w:r w:rsidRPr="00060696">
        <w:rPr>
          <w:color w:val="000000" w:themeColor="text1"/>
          <w:sz w:val="22"/>
          <w:szCs w:val="22"/>
        </w:rPr>
        <w:t xml:space="preserve"> Manager</w:t>
      </w:r>
      <w:r w:rsidR="00B12427">
        <w:rPr>
          <w:color w:val="000000" w:themeColor="text1"/>
          <w:sz w:val="22"/>
          <w:szCs w:val="22"/>
        </w:rPr>
        <w:t>,</w:t>
      </w:r>
      <w:r w:rsidRPr="00060696">
        <w:rPr>
          <w:color w:val="000000" w:themeColor="text1"/>
          <w:sz w:val="22"/>
          <w:szCs w:val="22"/>
        </w:rPr>
        <w:t xml:space="preserve"> Digital, Information and Technology (item 9)</w:t>
      </w:r>
    </w:p>
    <w:p w14:paraId="42E2C0A5" w14:textId="7B736296" w:rsidR="00060696" w:rsidRPr="00060696" w:rsidRDefault="00060696" w:rsidP="007F1B30">
      <w:pPr>
        <w:pStyle w:val="NICEnormal"/>
        <w:spacing w:after="0" w:line="240" w:lineRule="auto"/>
        <w:ind w:left="2160" w:hanging="2160"/>
        <w:rPr>
          <w:color w:val="000000" w:themeColor="text1"/>
          <w:sz w:val="22"/>
          <w:szCs w:val="22"/>
        </w:rPr>
      </w:pPr>
      <w:r w:rsidRPr="00060696">
        <w:rPr>
          <w:color w:val="000000" w:themeColor="text1"/>
          <w:sz w:val="22"/>
          <w:szCs w:val="22"/>
        </w:rPr>
        <w:t>Chris Flood</w:t>
      </w:r>
      <w:r w:rsidRPr="00060696">
        <w:rPr>
          <w:color w:val="000000" w:themeColor="text1"/>
          <w:sz w:val="22"/>
          <w:szCs w:val="22"/>
        </w:rPr>
        <w:tab/>
        <w:t>Content Strategy Lead (item 10)</w:t>
      </w:r>
    </w:p>
    <w:p w14:paraId="0BB09ECA" w14:textId="15824D78" w:rsidR="00E95322" w:rsidRPr="00060696" w:rsidRDefault="00E95322" w:rsidP="007F1B30">
      <w:pPr>
        <w:pStyle w:val="NICEnormal"/>
        <w:spacing w:after="0" w:line="240" w:lineRule="auto"/>
        <w:ind w:left="2160" w:hanging="2160"/>
        <w:rPr>
          <w:color w:val="000000" w:themeColor="text1"/>
          <w:sz w:val="22"/>
          <w:szCs w:val="22"/>
        </w:rPr>
      </w:pPr>
      <w:r w:rsidRPr="00060696">
        <w:rPr>
          <w:color w:val="000000" w:themeColor="text1"/>
          <w:sz w:val="22"/>
          <w:szCs w:val="22"/>
        </w:rPr>
        <w:t>Lisa Hooley</w:t>
      </w:r>
      <w:r w:rsidRPr="00060696">
        <w:rPr>
          <w:color w:val="000000" w:themeColor="text1"/>
          <w:sz w:val="22"/>
          <w:szCs w:val="22"/>
        </w:rPr>
        <w:tab/>
      </w:r>
      <w:r w:rsidR="000140B0" w:rsidRPr="00060696">
        <w:rPr>
          <w:color w:val="000000" w:themeColor="text1"/>
          <w:sz w:val="22"/>
          <w:szCs w:val="22"/>
        </w:rPr>
        <w:t xml:space="preserve">Senior OD, Learning and Talent Manager </w:t>
      </w:r>
      <w:r w:rsidRPr="00060696">
        <w:rPr>
          <w:color w:val="000000" w:themeColor="text1"/>
          <w:sz w:val="22"/>
          <w:szCs w:val="22"/>
        </w:rPr>
        <w:t>(item 7)</w:t>
      </w:r>
    </w:p>
    <w:p w14:paraId="4FB9DF7D" w14:textId="799E0277" w:rsidR="00060696" w:rsidRPr="00060696" w:rsidRDefault="00060696" w:rsidP="007F1B30">
      <w:pPr>
        <w:pStyle w:val="NICEnormal"/>
        <w:spacing w:after="0" w:line="240" w:lineRule="auto"/>
        <w:ind w:left="2160" w:hanging="2160"/>
        <w:rPr>
          <w:color w:val="000000" w:themeColor="text1"/>
          <w:sz w:val="22"/>
          <w:szCs w:val="22"/>
        </w:rPr>
      </w:pPr>
      <w:r w:rsidRPr="00060696">
        <w:rPr>
          <w:color w:val="000000" w:themeColor="text1"/>
          <w:sz w:val="22"/>
          <w:szCs w:val="22"/>
        </w:rPr>
        <w:t>Alison Liddell</w:t>
      </w:r>
      <w:r w:rsidRPr="00060696">
        <w:rPr>
          <w:color w:val="000000" w:themeColor="text1"/>
          <w:sz w:val="22"/>
          <w:szCs w:val="22"/>
        </w:rPr>
        <w:tab/>
      </w:r>
      <w:proofErr w:type="spellStart"/>
      <w:r w:rsidRPr="00060696">
        <w:rPr>
          <w:color w:val="000000" w:themeColor="text1"/>
          <w:sz w:val="22"/>
          <w:szCs w:val="22"/>
        </w:rPr>
        <w:t>Programme</w:t>
      </w:r>
      <w:proofErr w:type="spellEnd"/>
      <w:r w:rsidRPr="00060696">
        <w:rPr>
          <w:color w:val="000000" w:themeColor="text1"/>
          <w:sz w:val="22"/>
          <w:szCs w:val="22"/>
        </w:rPr>
        <w:t xml:space="preserve"> Director</w:t>
      </w:r>
      <w:r w:rsidR="00B12427">
        <w:rPr>
          <w:color w:val="000000" w:themeColor="text1"/>
          <w:sz w:val="22"/>
          <w:szCs w:val="22"/>
        </w:rPr>
        <w:t>,</w:t>
      </w:r>
      <w:r w:rsidRPr="00060696">
        <w:rPr>
          <w:color w:val="000000" w:themeColor="text1"/>
          <w:sz w:val="22"/>
          <w:szCs w:val="22"/>
        </w:rPr>
        <w:t xml:space="preserve"> Digital, Information and Technology (item 9)</w:t>
      </w:r>
    </w:p>
    <w:p w14:paraId="4309488E" w14:textId="4718BCCF" w:rsidR="00060696" w:rsidRPr="00060696" w:rsidRDefault="00060696" w:rsidP="007F1B30">
      <w:pPr>
        <w:pStyle w:val="NICEnormal"/>
        <w:spacing w:after="0" w:line="240" w:lineRule="auto"/>
        <w:ind w:left="2160" w:hanging="2160"/>
        <w:rPr>
          <w:color w:val="000000" w:themeColor="text1"/>
          <w:sz w:val="22"/>
          <w:szCs w:val="22"/>
        </w:rPr>
      </w:pPr>
      <w:r w:rsidRPr="00060696">
        <w:rPr>
          <w:color w:val="000000" w:themeColor="text1"/>
          <w:sz w:val="22"/>
          <w:szCs w:val="22"/>
        </w:rPr>
        <w:t>Suzie Panek</w:t>
      </w:r>
      <w:r w:rsidRPr="00060696">
        <w:rPr>
          <w:color w:val="000000" w:themeColor="text1"/>
          <w:sz w:val="22"/>
          <w:szCs w:val="22"/>
        </w:rPr>
        <w:tab/>
        <w:t>Payroll Liaison Officer (item 7)</w:t>
      </w:r>
    </w:p>
    <w:p w14:paraId="278213A3" w14:textId="45937253" w:rsidR="00E95322" w:rsidRPr="00060696" w:rsidRDefault="00E95322" w:rsidP="00060696">
      <w:pPr>
        <w:pStyle w:val="NICEnormal"/>
        <w:spacing w:after="0" w:line="240" w:lineRule="auto"/>
        <w:ind w:left="2160" w:hanging="2160"/>
        <w:rPr>
          <w:color w:val="000000" w:themeColor="text1"/>
          <w:sz w:val="22"/>
          <w:szCs w:val="22"/>
        </w:rPr>
      </w:pPr>
      <w:r w:rsidRPr="00060696">
        <w:rPr>
          <w:color w:val="000000" w:themeColor="text1"/>
          <w:sz w:val="22"/>
          <w:szCs w:val="22"/>
        </w:rPr>
        <w:t>Tanya Slinn</w:t>
      </w:r>
      <w:r w:rsidRPr="00060696">
        <w:rPr>
          <w:color w:val="000000" w:themeColor="text1"/>
          <w:sz w:val="22"/>
          <w:szCs w:val="22"/>
        </w:rPr>
        <w:tab/>
        <w:t>Head of Digital Workplace</w:t>
      </w:r>
      <w:r w:rsidR="00B12427">
        <w:rPr>
          <w:color w:val="000000" w:themeColor="text1"/>
          <w:sz w:val="22"/>
          <w:szCs w:val="22"/>
        </w:rPr>
        <w:t>,</w:t>
      </w:r>
      <w:r w:rsidR="00060696" w:rsidRPr="00060696">
        <w:rPr>
          <w:color w:val="000000" w:themeColor="text1"/>
          <w:sz w:val="22"/>
          <w:szCs w:val="22"/>
        </w:rPr>
        <w:t xml:space="preserve"> Digital, Information and Technology</w:t>
      </w:r>
      <w:r w:rsidRPr="00060696">
        <w:rPr>
          <w:color w:val="000000" w:themeColor="text1"/>
          <w:sz w:val="22"/>
          <w:szCs w:val="22"/>
        </w:rPr>
        <w:t xml:space="preserve"> (item 9)</w:t>
      </w:r>
    </w:p>
    <w:p w14:paraId="0542C059" w14:textId="798B6123" w:rsidR="007F1B30" w:rsidRPr="00060696" w:rsidRDefault="007F1B30" w:rsidP="007F1B30">
      <w:pPr>
        <w:pStyle w:val="NICEnormal"/>
        <w:spacing w:after="0" w:line="240" w:lineRule="auto"/>
        <w:ind w:left="2160" w:hanging="2160"/>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68415E72" w14:textId="32D75A1B" w:rsidR="007F1B30" w:rsidRDefault="007F1B30" w:rsidP="00E817AC">
      <w:pPr>
        <w:pStyle w:val="NICEnormal"/>
        <w:spacing w:after="0" w:line="240" w:lineRule="auto"/>
        <w:ind w:left="2160" w:hanging="2160"/>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52405FD9" w:rsidR="000F68E3" w:rsidRPr="00E6613F" w:rsidRDefault="000F68E3" w:rsidP="000F68E3">
      <w:pPr>
        <w:pStyle w:val="Numberedpara"/>
        <w:rPr>
          <w:color w:val="auto"/>
        </w:rPr>
      </w:pPr>
      <w:r>
        <w:rPr>
          <w:color w:val="auto"/>
        </w:rPr>
        <w:t xml:space="preserve">Judith Richardson gave apologies for the start of the meeting and was represented by Moya Alcock until item </w:t>
      </w:r>
      <w:r w:rsidR="00ED1DC6" w:rsidRPr="00ED1DC6">
        <w:rPr>
          <w:color w:val="000000" w:themeColor="text1"/>
        </w:rPr>
        <w:t>8</w:t>
      </w:r>
      <w:r w:rsidRPr="000140B0">
        <w:rPr>
          <w:color w:val="000000" w:themeColor="text1"/>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1F7F4241" w:rsidR="003D7EDA" w:rsidRDefault="006F3BE2" w:rsidP="00FF68A5">
      <w:pPr>
        <w:pStyle w:val="Numberedpara"/>
      </w:pPr>
      <w:r>
        <w:t>The previously declared interests were noted</w:t>
      </w:r>
      <w:r w:rsidR="003503B7">
        <w:t>.</w:t>
      </w:r>
    </w:p>
    <w:p w14:paraId="50E209A6" w14:textId="77777777" w:rsidR="00866A01" w:rsidRDefault="00866A01" w:rsidP="00C111CD">
      <w:pPr>
        <w:pStyle w:val="Numberedpara"/>
        <w:numPr>
          <w:ilvl w:val="0"/>
          <w:numId w:val="0"/>
        </w:numPr>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4D3B8B6A" w14:textId="00CC1EBF" w:rsidR="00FF68A5" w:rsidRDefault="006F3BE2" w:rsidP="00B12427">
      <w:pPr>
        <w:pStyle w:val="Numberedpara"/>
      </w:pPr>
      <w:r>
        <w:t xml:space="preserve">The minutes of the </w:t>
      </w:r>
      <w:r w:rsidRPr="00B12427">
        <w:t>meeting</w:t>
      </w:r>
      <w:r>
        <w:t xml:space="preserve"> held on </w:t>
      </w:r>
      <w:r w:rsidR="00060696">
        <w:t>23</w:t>
      </w:r>
      <w:r w:rsidR="00E95322">
        <w:t xml:space="preserve"> March</w:t>
      </w:r>
      <w:r w:rsidR="00EC5281">
        <w:t xml:space="preserve"> 2021 </w:t>
      </w:r>
      <w:r>
        <w:t>were ag</w:t>
      </w:r>
      <w:r w:rsidR="006037B0">
        <w:t>reed as a correct record</w:t>
      </w:r>
      <w:r w:rsidR="00ED1DC6">
        <w:t xml:space="preserve"> subject to amendments to paragraphs 11 and 13.</w:t>
      </w:r>
    </w:p>
    <w:p w14:paraId="45504F30" w14:textId="77777777" w:rsidR="00060696" w:rsidRDefault="00060696" w:rsidP="00FE413E">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0229DA7E" w14:textId="18C490B6" w:rsidR="00273BFA" w:rsidRDefault="006F3BE2" w:rsidP="00273BFA">
      <w:pPr>
        <w:pStyle w:val="Numberedpara"/>
        <w:spacing w:after="240"/>
      </w:pPr>
      <w:r>
        <w:t xml:space="preserve">The actions from the meeting held on </w:t>
      </w:r>
      <w:r w:rsidR="00060696">
        <w:t>23</w:t>
      </w:r>
      <w:r w:rsidR="00E95322">
        <w:t xml:space="preserve"> March</w:t>
      </w:r>
      <w:r w:rsidR="009D68B8">
        <w:t xml:space="preserve"> 2021 </w:t>
      </w:r>
      <w:r>
        <w:t>were noted as complete or in hand.</w:t>
      </w:r>
    </w:p>
    <w:p w14:paraId="47F055E2" w14:textId="131CA0BE" w:rsidR="00ED1DC6" w:rsidRDefault="00ED1DC6" w:rsidP="00273BFA">
      <w:pPr>
        <w:pStyle w:val="Numberedpara"/>
        <w:spacing w:after="240"/>
      </w:pPr>
      <w:r>
        <w:t xml:space="preserve">It was agreed to reconsider </w:t>
      </w:r>
      <w:r w:rsidR="00B12427">
        <w:t xml:space="preserve">the need for </w:t>
      </w:r>
      <w:r>
        <w:t xml:space="preserve">communications about the use of laptops and VMware </w:t>
      </w:r>
      <w:r w:rsidR="00DD2804">
        <w:t>when the offices reopen once</w:t>
      </w:r>
      <w:r>
        <w:t xml:space="preserve"> the feedback from the current staff survey on working </w:t>
      </w:r>
      <w:r w:rsidR="00C045C7">
        <w:t>arrangements</w:t>
      </w:r>
      <w:r>
        <w:t xml:space="preserve"> is </w:t>
      </w:r>
      <w:r w:rsidR="00DD2804">
        <w:t>available</w:t>
      </w:r>
      <w:r>
        <w:t xml:space="preserve">. </w:t>
      </w:r>
    </w:p>
    <w:p w14:paraId="4AC6A70D" w14:textId="12BF0F98" w:rsidR="00E544DA" w:rsidRDefault="00ED1DC6" w:rsidP="00ED1DC6">
      <w:pPr>
        <w:pStyle w:val="Numberedpara"/>
      </w:pPr>
      <w:r>
        <w:t xml:space="preserve">It was agreed to </w:t>
      </w:r>
      <w:r w:rsidR="00B12427">
        <w:t>consider</w:t>
      </w:r>
      <w:r>
        <w:t xml:space="preserve"> the role of the </w:t>
      </w:r>
      <w:r w:rsidR="00C045C7">
        <w:t>patient</w:t>
      </w:r>
      <w:r>
        <w:t xml:space="preserve"> safety oversight group when the SCW report on NICE’s governance structure is </w:t>
      </w:r>
      <w:r w:rsidR="00C045C7">
        <w:t>available</w:t>
      </w:r>
      <w:r>
        <w:t xml:space="preserve">. </w:t>
      </w:r>
    </w:p>
    <w:p w14:paraId="19BB41F2" w14:textId="77777777" w:rsidR="00ED1DC6" w:rsidRDefault="00ED1DC6" w:rsidP="00ED1DC6">
      <w:pPr>
        <w:pStyle w:val="Numberedpara"/>
        <w:numPr>
          <w:ilvl w:val="0"/>
          <w:numId w:val="0"/>
        </w:numPr>
        <w:ind w:left="357"/>
      </w:pPr>
    </w:p>
    <w:p w14:paraId="18B1C488" w14:textId="77777777" w:rsidR="00060696" w:rsidRDefault="00060696" w:rsidP="00273BFA">
      <w:pPr>
        <w:pStyle w:val="Heading2"/>
      </w:pPr>
      <w:r>
        <w:lastRenderedPageBreak/>
        <w:t>Board meetings (item 5)</w:t>
      </w:r>
    </w:p>
    <w:p w14:paraId="3EADDE0A" w14:textId="77777777" w:rsidR="00060696" w:rsidRDefault="00060696" w:rsidP="00273BFA">
      <w:pPr>
        <w:pStyle w:val="Heading2"/>
      </w:pPr>
    </w:p>
    <w:p w14:paraId="43BB703C" w14:textId="724D6233" w:rsidR="00060696" w:rsidRPr="00C06A57" w:rsidRDefault="00060696" w:rsidP="00060696">
      <w:pPr>
        <w:pStyle w:val="Numberedpara"/>
      </w:pPr>
      <w:r w:rsidRPr="00C06A57">
        <w:t>ET reviewed the actions from the Board meetings on 24 March 2021.</w:t>
      </w:r>
      <w:r w:rsidR="00ED1DC6" w:rsidRPr="00C06A57">
        <w:t xml:space="preserve"> David Coombs agreed </w:t>
      </w:r>
      <w:r w:rsidR="00C045C7" w:rsidRPr="00C06A57">
        <w:t>to</w:t>
      </w:r>
      <w:r w:rsidR="00ED1DC6" w:rsidRPr="00C06A57">
        <w:t xml:space="preserve"> circulate the </w:t>
      </w:r>
      <w:r w:rsidR="00DD2804" w:rsidRPr="00C06A57">
        <w:t>table</w:t>
      </w:r>
      <w:r w:rsidR="00ED1DC6" w:rsidRPr="00C06A57">
        <w:t xml:space="preserve"> he had </w:t>
      </w:r>
      <w:r w:rsidR="00C045C7" w:rsidRPr="00C06A57">
        <w:t>produced</w:t>
      </w:r>
      <w:r w:rsidR="00ED1DC6" w:rsidRPr="00C06A57">
        <w:t xml:space="preserve"> that compared the planned 2021/22 </w:t>
      </w:r>
      <w:r w:rsidR="00C045C7" w:rsidRPr="00C06A57">
        <w:t>outputs</w:t>
      </w:r>
      <w:r w:rsidR="00ED1DC6" w:rsidRPr="00C06A57">
        <w:t xml:space="preserve"> with the original </w:t>
      </w:r>
      <w:r w:rsidR="00C045C7" w:rsidRPr="00C06A57">
        <w:t>plan</w:t>
      </w:r>
      <w:r w:rsidR="00ED1DC6" w:rsidRPr="00C06A57">
        <w:t xml:space="preserve"> for 2020/21 and the revised forecast outputs in the </w:t>
      </w:r>
      <w:r w:rsidR="00C045C7" w:rsidRPr="00C06A57">
        <w:t>business</w:t>
      </w:r>
      <w:r w:rsidR="00ED1DC6" w:rsidRPr="00C06A57">
        <w:t xml:space="preserve"> </w:t>
      </w:r>
      <w:r w:rsidR="00DD2804" w:rsidRPr="00C06A57">
        <w:t>plan</w:t>
      </w:r>
      <w:r w:rsidR="00ED1DC6" w:rsidRPr="00C06A57">
        <w:t xml:space="preserve"> approved in May 2020. </w:t>
      </w:r>
    </w:p>
    <w:p w14:paraId="4B564547" w14:textId="47AC9A79" w:rsidR="00ED1DC6" w:rsidRPr="00C06A57" w:rsidRDefault="00ED1DC6" w:rsidP="00ED1DC6">
      <w:pPr>
        <w:pStyle w:val="Numberedpara"/>
        <w:numPr>
          <w:ilvl w:val="0"/>
          <w:numId w:val="0"/>
        </w:numPr>
        <w:ind w:left="357"/>
      </w:pPr>
    </w:p>
    <w:p w14:paraId="43AEF118" w14:textId="34DC53A9" w:rsidR="00ED1DC6" w:rsidRDefault="00ED1DC6" w:rsidP="00ED1DC6">
      <w:pPr>
        <w:pStyle w:val="SMTActions"/>
      </w:pPr>
      <w:r w:rsidRPr="00C06A57">
        <w:t>ACTION: DC</w:t>
      </w:r>
    </w:p>
    <w:p w14:paraId="26B9CC0C" w14:textId="77777777" w:rsidR="00060696" w:rsidRDefault="00060696" w:rsidP="00060696">
      <w:pPr>
        <w:pStyle w:val="Numberedpara"/>
        <w:numPr>
          <w:ilvl w:val="0"/>
          <w:numId w:val="0"/>
        </w:numPr>
        <w:ind w:left="357"/>
      </w:pPr>
    </w:p>
    <w:p w14:paraId="4E56FB0E" w14:textId="35C777BF" w:rsidR="00060696" w:rsidRDefault="00060696" w:rsidP="00060696">
      <w:pPr>
        <w:pStyle w:val="Numberedpara"/>
      </w:pPr>
      <w:r>
        <w:t xml:space="preserve">The proposed agenda items for the Board strategy meeting on 21 April were </w:t>
      </w:r>
      <w:r w:rsidR="00B12427">
        <w:t>discussed</w:t>
      </w:r>
      <w:r>
        <w:t>.</w:t>
      </w:r>
      <w:r w:rsidR="00ED1DC6">
        <w:t xml:space="preserve"> It was agreed that the Chief </w:t>
      </w:r>
      <w:r w:rsidR="00C045C7">
        <w:t>Executive’s</w:t>
      </w:r>
      <w:r w:rsidR="00ED1DC6">
        <w:t xml:space="preserve"> update would </w:t>
      </w:r>
      <w:r w:rsidR="00DD2804">
        <w:t>include</w:t>
      </w:r>
      <w:r w:rsidR="00ED1DC6">
        <w:t xml:space="preserve"> an update </w:t>
      </w:r>
      <w:r w:rsidR="00C045C7">
        <w:t>on</w:t>
      </w:r>
      <w:r w:rsidR="00ED1DC6">
        <w:t xml:space="preserve"> the </w:t>
      </w:r>
      <w:r w:rsidR="00DD2804">
        <w:t>methods</w:t>
      </w:r>
      <w:r w:rsidR="00ED1DC6">
        <w:t xml:space="preserve"> and process </w:t>
      </w:r>
      <w:proofErr w:type="gramStart"/>
      <w:r w:rsidR="00C045C7">
        <w:t>review</w:t>
      </w:r>
      <w:proofErr w:type="gramEnd"/>
      <w:r w:rsidR="00ED1DC6">
        <w:t xml:space="preserve"> </w:t>
      </w:r>
      <w:r w:rsidR="00DD2804">
        <w:t>and</w:t>
      </w:r>
      <w:r w:rsidR="00ED1DC6">
        <w:t xml:space="preserve"> this did not require a </w:t>
      </w:r>
      <w:r w:rsidR="00C045C7">
        <w:t>standalone</w:t>
      </w:r>
      <w:r w:rsidR="00ED1DC6">
        <w:t xml:space="preserve"> item given the intention to hold a dedicated session on the methods and </w:t>
      </w:r>
      <w:r w:rsidR="00C045C7">
        <w:t>process</w:t>
      </w:r>
      <w:r w:rsidR="00ED1DC6">
        <w:t xml:space="preserve"> review for the new Non-Executive </w:t>
      </w:r>
      <w:r w:rsidR="00C045C7">
        <w:t>Directors</w:t>
      </w:r>
      <w:r w:rsidR="00ED1DC6">
        <w:t xml:space="preserve"> (NEDs).</w:t>
      </w:r>
    </w:p>
    <w:p w14:paraId="3442430B" w14:textId="08865D21" w:rsidR="00ED1DC6" w:rsidRDefault="00ED1DC6" w:rsidP="00ED1DC6">
      <w:pPr>
        <w:pStyle w:val="Numberedpara"/>
        <w:numPr>
          <w:ilvl w:val="0"/>
          <w:numId w:val="0"/>
        </w:numPr>
        <w:ind w:left="357"/>
      </w:pPr>
    </w:p>
    <w:p w14:paraId="25AF5FA2" w14:textId="07A89932" w:rsidR="00ED1DC6" w:rsidRDefault="00ED1DC6" w:rsidP="00ED1DC6">
      <w:pPr>
        <w:pStyle w:val="SMTActions"/>
      </w:pPr>
      <w:r>
        <w:t>ACTION: RT/MB</w:t>
      </w:r>
    </w:p>
    <w:p w14:paraId="669AC826" w14:textId="77777777" w:rsidR="00ED1DC6" w:rsidRDefault="00ED1DC6" w:rsidP="00ED1DC6">
      <w:pPr>
        <w:pStyle w:val="Numberedpara"/>
        <w:numPr>
          <w:ilvl w:val="0"/>
          <w:numId w:val="0"/>
        </w:numPr>
        <w:ind w:left="357"/>
      </w:pPr>
    </w:p>
    <w:p w14:paraId="7FA8BD01" w14:textId="2649456F" w:rsidR="00ED1DC6" w:rsidRPr="00C06A57" w:rsidRDefault="00ED1DC6" w:rsidP="00060696">
      <w:pPr>
        <w:pStyle w:val="Numberedpara"/>
      </w:pPr>
      <w:r w:rsidRPr="00C06A57">
        <w:t xml:space="preserve">It was agreed that the paper on key performance </w:t>
      </w:r>
      <w:r w:rsidR="00C045C7" w:rsidRPr="00C06A57">
        <w:t>indicators</w:t>
      </w:r>
      <w:r w:rsidRPr="00C06A57">
        <w:t xml:space="preserve"> would </w:t>
      </w:r>
      <w:r w:rsidR="00DD2804" w:rsidRPr="00C06A57">
        <w:t>refer</w:t>
      </w:r>
      <w:r w:rsidRPr="00C06A57">
        <w:t xml:space="preserve"> to the measures of </w:t>
      </w:r>
      <w:r w:rsidR="00C045C7" w:rsidRPr="00C06A57">
        <w:t>success</w:t>
      </w:r>
      <w:r w:rsidRPr="00C06A57">
        <w:t xml:space="preserve"> for </w:t>
      </w:r>
      <w:r w:rsidR="00DD2804" w:rsidRPr="00C06A57">
        <w:t>the</w:t>
      </w:r>
      <w:r w:rsidRPr="00C06A57">
        <w:t xml:space="preserve"> Innovative </w:t>
      </w:r>
      <w:r w:rsidR="00C045C7" w:rsidRPr="00C06A57">
        <w:t>Licensing</w:t>
      </w:r>
      <w:r w:rsidRPr="00C06A57">
        <w:t xml:space="preserve"> and Access Pathway (ILAP). </w:t>
      </w:r>
      <w:r w:rsidRPr="00C06A57">
        <w:br/>
      </w:r>
    </w:p>
    <w:p w14:paraId="203D8A84" w14:textId="5E1493BF" w:rsidR="00ED1DC6" w:rsidRDefault="00ED1DC6" w:rsidP="00ED1DC6">
      <w:pPr>
        <w:pStyle w:val="SMTActions"/>
      </w:pPr>
      <w:r>
        <w:t>ACTION: JH/FG</w:t>
      </w:r>
    </w:p>
    <w:p w14:paraId="4EB8BD28" w14:textId="77777777" w:rsidR="00ED1DC6" w:rsidRDefault="00ED1DC6" w:rsidP="00ED1DC6">
      <w:pPr>
        <w:pStyle w:val="Numberedpara"/>
        <w:numPr>
          <w:ilvl w:val="0"/>
          <w:numId w:val="0"/>
        </w:numPr>
        <w:ind w:left="357"/>
      </w:pPr>
    </w:p>
    <w:p w14:paraId="35535398" w14:textId="08CD9188" w:rsidR="00944699" w:rsidRDefault="00310E90" w:rsidP="00273BFA">
      <w:pPr>
        <w:pStyle w:val="Heading2"/>
      </w:pPr>
      <w:r>
        <w:t>Hot topic</w:t>
      </w:r>
      <w:r w:rsidR="00D74E6F">
        <w:t>s</w:t>
      </w:r>
      <w:r w:rsidR="003F00E3">
        <w:t xml:space="preserve"> (item </w:t>
      </w:r>
      <w:r w:rsidR="00060696">
        <w:t>6</w:t>
      </w:r>
      <w:r w:rsidR="003F00E3">
        <w:t>)</w:t>
      </w:r>
    </w:p>
    <w:p w14:paraId="704D67A5" w14:textId="033ADE25" w:rsidR="003F00E3" w:rsidRDefault="003F00E3" w:rsidP="003F00E3">
      <w:pPr>
        <w:pStyle w:val="Paragraph"/>
        <w:numPr>
          <w:ilvl w:val="0"/>
          <w:numId w:val="0"/>
        </w:numPr>
        <w:ind w:left="720" w:hanging="360"/>
      </w:pPr>
    </w:p>
    <w:p w14:paraId="22176832" w14:textId="44EFB28E" w:rsidR="00060696" w:rsidRPr="00B12427" w:rsidRDefault="00B15750" w:rsidP="00B12427">
      <w:pPr>
        <w:pStyle w:val="Numberedpara"/>
      </w:pPr>
      <w:r w:rsidRPr="00B15750">
        <w:rPr>
          <w:color w:val="000000" w:themeColor="text1"/>
        </w:rPr>
        <w:t xml:space="preserve">Felix Greaves </w:t>
      </w:r>
      <w:r>
        <w:rPr>
          <w:color w:val="000000" w:themeColor="text1"/>
        </w:rPr>
        <w:t>noted that NICE has contribute</w:t>
      </w:r>
      <w:r w:rsidR="00DD2804">
        <w:rPr>
          <w:color w:val="000000" w:themeColor="text1"/>
        </w:rPr>
        <w:t>d</w:t>
      </w:r>
      <w:r>
        <w:rPr>
          <w:color w:val="000000" w:themeColor="text1"/>
        </w:rPr>
        <w:t xml:space="preserve"> to Ben Goldacre’s </w:t>
      </w:r>
      <w:r w:rsidR="00C045C7">
        <w:rPr>
          <w:color w:val="000000" w:themeColor="text1"/>
        </w:rPr>
        <w:t>review</w:t>
      </w:r>
      <w:r>
        <w:rPr>
          <w:color w:val="000000" w:themeColor="text1"/>
        </w:rPr>
        <w:t xml:space="preserve"> into how </w:t>
      </w:r>
      <w:r w:rsidRPr="00B15750">
        <w:rPr>
          <w:color w:val="000000" w:themeColor="text1"/>
        </w:rPr>
        <w:t>health data for research and analysis can be used efficiently and safely</w:t>
      </w:r>
      <w:r w:rsidR="00B12427">
        <w:rPr>
          <w:color w:val="000000" w:themeColor="text1"/>
        </w:rPr>
        <w:t>,</w:t>
      </w:r>
      <w:r>
        <w:rPr>
          <w:color w:val="000000" w:themeColor="text1"/>
        </w:rPr>
        <w:t xml:space="preserve"> and a formal submission</w:t>
      </w:r>
      <w:r w:rsidR="00B12427">
        <w:rPr>
          <w:color w:val="000000" w:themeColor="text1"/>
        </w:rPr>
        <w:t xml:space="preserve"> is being prepared</w:t>
      </w:r>
      <w:r>
        <w:rPr>
          <w:color w:val="000000" w:themeColor="text1"/>
        </w:rPr>
        <w:t xml:space="preserve">. It was agreed that the submission did not require </w:t>
      </w:r>
      <w:r w:rsidR="00C045C7">
        <w:rPr>
          <w:color w:val="000000" w:themeColor="text1"/>
        </w:rPr>
        <w:t>sign</w:t>
      </w:r>
      <w:r>
        <w:rPr>
          <w:color w:val="000000" w:themeColor="text1"/>
        </w:rPr>
        <w:t xml:space="preserve">-off from ET. </w:t>
      </w:r>
    </w:p>
    <w:p w14:paraId="3AA1D53E" w14:textId="77777777" w:rsidR="00B12427" w:rsidRDefault="00B12427" w:rsidP="00B12427">
      <w:pPr>
        <w:pStyle w:val="Numberedpara"/>
        <w:numPr>
          <w:ilvl w:val="0"/>
          <w:numId w:val="0"/>
        </w:numPr>
        <w:ind w:left="357"/>
      </w:pPr>
    </w:p>
    <w:p w14:paraId="20F7B564" w14:textId="4DD0032D" w:rsidR="00B15750" w:rsidRDefault="00B15750" w:rsidP="00B15750">
      <w:pPr>
        <w:pStyle w:val="Numberedpara"/>
      </w:pPr>
      <w:r>
        <w:t xml:space="preserve">Paul Chrisp highlighted that the </w:t>
      </w:r>
      <w:r w:rsidR="00C045C7">
        <w:t>final</w:t>
      </w:r>
      <w:r>
        <w:t xml:space="preserve"> publication of the </w:t>
      </w:r>
      <w:r w:rsidR="00B12427">
        <w:t xml:space="preserve">ME/CFS </w:t>
      </w:r>
      <w:r>
        <w:t>guideline has been delayed, most likely to August</w:t>
      </w:r>
      <w:r w:rsidR="00B12427">
        <w:t>,</w:t>
      </w:r>
      <w:r w:rsidR="00DD2804">
        <w:t xml:space="preserve"> to provide sufficient opportunity to consider </w:t>
      </w:r>
      <w:r>
        <w:t xml:space="preserve">the large number of responses to the </w:t>
      </w:r>
      <w:r w:rsidR="00C045C7">
        <w:t>consultation</w:t>
      </w:r>
      <w:r>
        <w:t xml:space="preserve"> on the </w:t>
      </w:r>
      <w:r w:rsidR="00C045C7">
        <w:t>draft</w:t>
      </w:r>
      <w:r>
        <w:t xml:space="preserve"> </w:t>
      </w:r>
      <w:r w:rsidR="00C045C7">
        <w:t>guideline</w:t>
      </w:r>
      <w:r w:rsidR="00DD2804">
        <w:t xml:space="preserve">. </w:t>
      </w:r>
    </w:p>
    <w:p w14:paraId="50682A12" w14:textId="77777777" w:rsidR="00B15750" w:rsidRDefault="00B15750" w:rsidP="00B15750">
      <w:pPr>
        <w:pStyle w:val="Numberedpara"/>
        <w:numPr>
          <w:ilvl w:val="0"/>
          <w:numId w:val="0"/>
        </w:numPr>
        <w:ind w:left="357"/>
      </w:pPr>
    </w:p>
    <w:p w14:paraId="5BB1B607" w14:textId="7541F756" w:rsidR="00B15750" w:rsidRDefault="00B15750" w:rsidP="00B15750">
      <w:pPr>
        <w:pStyle w:val="Numberedpara"/>
      </w:pPr>
      <w:r>
        <w:t xml:space="preserve">Meindert Boysen updated ET on </w:t>
      </w:r>
      <w:r w:rsidR="00C045C7">
        <w:t>recent</w:t>
      </w:r>
      <w:r>
        <w:t xml:space="preserve"> meetings with Lord Bethell, including the </w:t>
      </w:r>
      <w:r w:rsidR="00C045C7">
        <w:t>development</w:t>
      </w:r>
      <w:r>
        <w:t xml:space="preserve"> of an </w:t>
      </w:r>
      <w:r w:rsidR="00C045C7">
        <w:t>Innovation</w:t>
      </w:r>
      <w:r>
        <w:t xml:space="preserve"> Manifesto. Gill Leng noted a request for slides on NICE’s innovation </w:t>
      </w:r>
      <w:r w:rsidR="00C045C7">
        <w:t>offer and</w:t>
      </w:r>
      <w:r>
        <w:t xml:space="preserve"> asked these are shared with her and Jane Gizbert. </w:t>
      </w:r>
    </w:p>
    <w:p w14:paraId="4BA1195D" w14:textId="77777777" w:rsidR="00B15750" w:rsidRDefault="00B15750" w:rsidP="00B15750">
      <w:pPr>
        <w:pStyle w:val="ListParagraph"/>
      </w:pPr>
    </w:p>
    <w:p w14:paraId="639F2934" w14:textId="51402C8F" w:rsidR="00B15750" w:rsidRDefault="00B15750" w:rsidP="00B15750">
      <w:pPr>
        <w:pStyle w:val="SMTActions"/>
      </w:pPr>
      <w:r>
        <w:t>ACTION: MB</w:t>
      </w:r>
    </w:p>
    <w:p w14:paraId="034B00B6" w14:textId="7F4EB0B6" w:rsidR="00C86C0A" w:rsidRDefault="00974715" w:rsidP="00974715">
      <w:pPr>
        <w:pStyle w:val="Heading2"/>
      </w:pPr>
      <w:r>
        <w:t xml:space="preserve">Gender </w:t>
      </w:r>
      <w:proofErr w:type="gramStart"/>
      <w:r>
        <w:t>pay</w:t>
      </w:r>
      <w:proofErr w:type="gramEnd"/>
      <w:r>
        <w:t xml:space="preserve"> reporting (item 7)</w:t>
      </w:r>
    </w:p>
    <w:p w14:paraId="08DE1F8C" w14:textId="48660DFF" w:rsidR="00974715" w:rsidRDefault="00974715" w:rsidP="003F00E3">
      <w:pPr>
        <w:pStyle w:val="Paragraph"/>
        <w:numPr>
          <w:ilvl w:val="0"/>
          <w:numId w:val="0"/>
        </w:numPr>
        <w:ind w:left="720" w:hanging="360"/>
      </w:pPr>
    </w:p>
    <w:p w14:paraId="0E33D697" w14:textId="22986148" w:rsidR="00974715" w:rsidRDefault="00974715" w:rsidP="00FE413E">
      <w:pPr>
        <w:pStyle w:val="Numberedpara"/>
      </w:pPr>
      <w:r>
        <w:t xml:space="preserve">Lisa Hooley presented the paper setting out the mandatory gender pay gap reporting. </w:t>
      </w:r>
      <w:r w:rsidR="00B15750">
        <w:t xml:space="preserve">The report </w:t>
      </w:r>
      <w:r w:rsidR="00C045C7">
        <w:t>indicated</w:t>
      </w:r>
      <w:r w:rsidR="00B15750">
        <w:t xml:space="preserve"> that the mean pay gap has widened every year for the past four years, but the median pay gap has decreased. </w:t>
      </w:r>
    </w:p>
    <w:p w14:paraId="06A7AA17" w14:textId="77777777" w:rsidR="00B15750" w:rsidRDefault="00B15750" w:rsidP="00B15750">
      <w:pPr>
        <w:pStyle w:val="Numberedpara"/>
        <w:numPr>
          <w:ilvl w:val="0"/>
          <w:numId w:val="0"/>
        </w:numPr>
        <w:ind w:left="357"/>
      </w:pPr>
    </w:p>
    <w:p w14:paraId="23882BBA" w14:textId="207E718C" w:rsidR="00B15750" w:rsidRDefault="00B15750" w:rsidP="00FE413E">
      <w:pPr>
        <w:pStyle w:val="Numberedpara"/>
      </w:pPr>
      <w:r>
        <w:t xml:space="preserve">ET reviewed the data and noted that relatively small changes in staff can affect the </w:t>
      </w:r>
      <w:r w:rsidR="00D948BF">
        <w:t xml:space="preserve">mean pay gap given the size of the </w:t>
      </w:r>
      <w:r w:rsidR="0082586A">
        <w:t>organisation</w:t>
      </w:r>
      <w:r w:rsidR="00D948BF">
        <w:t xml:space="preserve">. It was therefore possible that the 2020/21 data may reflect a more positive position given changes in the gender </w:t>
      </w:r>
      <w:r w:rsidR="00C045C7">
        <w:t>balance</w:t>
      </w:r>
      <w:r w:rsidR="00D948BF">
        <w:t xml:space="preserve"> on the ET. ET noted and supported the planned next steps to seek to close the gender pay gap, including further analysis of the differential in starting salaries and internal promotions</w:t>
      </w:r>
      <w:r w:rsidR="0082586A">
        <w:t xml:space="preserve">. </w:t>
      </w:r>
    </w:p>
    <w:p w14:paraId="75EC9003" w14:textId="77777777" w:rsidR="00D948BF" w:rsidRDefault="00D948BF" w:rsidP="00D948BF">
      <w:pPr>
        <w:pStyle w:val="ListParagraph"/>
      </w:pPr>
    </w:p>
    <w:p w14:paraId="57E58CD2" w14:textId="43EF92BD" w:rsidR="0082586A" w:rsidRPr="00C06A57" w:rsidRDefault="00D948BF" w:rsidP="00FE413E">
      <w:pPr>
        <w:pStyle w:val="Numberedpara"/>
      </w:pPr>
      <w:r w:rsidRPr="00C06A57">
        <w:t xml:space="preserve">ET supported the information for publication, subject to amending paragraph 20 to ensure the wording around internal </w:t>
      </w:r>
      <w:r w:rsidR="00C045C7" w:rsidRPr="00C06A57">
        <w:t>promotions</w:t>
      </w:r>
      <w:r w:rsidRPr="00C06A57">
        <w:t xml:space="preserve"> was clear. </w:t>
      </w:r>
    </w:p>
    <w:p w14:paraId="37BD527A" w14:textId="77777777" w:rsidR="0082586A" w:rsidRDefault="0082586A" w:rsidP="0082586A">
      <w:pPr>
        <w:pStyle w:val="ListParagraph"/>
      </w:pPr>
    </w:p>
    <w:p w14:paraId="7511E689" w14:textId="2D373858" w:rsidR="0082586A" w:rsidRDefault="0082586A" w:rsidP="0082586A">
      <w:pPr>
        <w:pStyle w:val="SMTActions"/>
      </w:pPr>
      <w:r>
        <w:t>ACTION: SP/LH</w:t>
      </w:r>
    </w:p>
    <w:p w14:paraId="1C582FEE" w14:textId="77777777" w:rsidR="0082586A" w:rsidRDefault="0082586A" w:rsidP="0082586A">
      <w:pPr>
        <w:pStyle w:val="ListParagraph"/>
      </w:pPr>
    </w:p>
    <w:p w14:paraId="3D8D6F1D" w14:textId="4016BD59" w:rsidR="00D948BF" w:rsidRDefault="00D948BF" w:rsidP="0082586A">
      <w:pPr>
        <w:pStyle w:val="Numberedpara"/>
      </w:pPr>
      <w:r>
        <w:lastRenderedPageBreak/>
        <w:t xml:space="preserve">It was agreed that a summary of the data </w:t>
      </w:r>
      <w:r w:rsidR="0082586A">
        <w:t xml:space="preserve">also </w:t>
      </w:r>
      <w:r>
        <w:t xml:space="preserve">should be included in Chief Executive’s </w:t>
      </w:r>
      <w:r w:rsidR="00C045C7">
        <w:t>update</w:t>
      </w:r>
      <w:r>
        <w:t xml:space="preserve"> to the April Board meeting. </w:t>
      </w:r>
    </w:p>
    <w:p w14:paraId="166FC464" w14:textId="77777777" w:rsidR="00D948BF" w:rsidRDefault="00D948BF" w:rsidP="00D948BF">
      <w:pPr>
        <w:pStyle w:val="ListParagraph"/>
      </w:pPr>
    </w:p>
    <w:p w14:paraId="1D7E6EDD" w14:textId="56E2554F" w:rsidR="00D948BF" w:rsidRPr="00C06A57" w:rsidRDefault="00D948BF" w:rsidP="00D948BF">
      <w:pPr>
        <w:pStyle w:val="SMTActions"/>
      </w:pPr>
      <w:r w:rsidRPr="00C06A57">
        <w:t>ACTION: RT</w:t>
      </w:r>
    </w:p>
    <w:p w14:paraId="2C7DD994" w14:textId="7310C154" w:rsidR="00D948BF" w:rsidRPr="00C06A57" w:rsidRDefault="00D948BF" w:rsidP="00D948BF">
      <w:pPr>
        <w:pStyle w:val="Numberedpara"/>
        <w:numPr>
          <w:ilvl w:val="0"/>
          <w:numId w:val="0"/>
        </w:numPr>
        <w:ind w:left="357"/>
      </w:pPr>
    </w:p>
    <w:p w14:paraId="64D5A70E" w14:textId="1778FF72" w:rsidR="00D948BF" w:rsidRPr="00C06A57" w:rsidRDefault="00D948BF" w:rsidP="00D948BF">
      <w:pPr>
        <w:pStyle w:val="Numberedpara"/>
      </w:pPr>
      <w:r w:rsidRPr="00C06A57">
        <w:t xml:space="preserve">It was agreed that next year’s report should </w:t>
      </w:r>
      <w:r w:rsidR="00C045C7" w:rsidRPr="00C06A57">
        <w:t>provide</w:t>
      </w:r>
      <w:r w:rsidRPr="00C06A57">
        <w:t xml:space="preserve"> further analysis of the differential in starting salaries by gender, including whether this reflected the nature of posts recruited to, or was due to new appointees negotiating </w:t>
      </w:r>
      <w:r w:rsidR="00C045C7" w:rsidRPr="00C06A57">
        <w:t>starting</w:t>
      </w:r>
      <w:r w:rsidRPr="00C06A57">
        <w:t xml:space="preserve"> </w:t>
      </w:r>
      <w:r w:rsidR="00C045C7" w:rsidRPr="00C06A57">
        <w:t>salaries</w:t>
      </w:r>
      <w:r w:rsidRPr="00C06A57">
        <w:t xml:space="preserve"> above the base point in the band and/or payment of recruitment and retention premia. </w:t>
      </w:r>
    </w:p>
    <w:p w14:paraId="4AE1E5CC" w14:textId="5739AE08" w:rsidR="00D948BF" w:rsidRDefault="00D948BF" w:rsidP="00D948BF">
      <w:pPr>
        <w:pStyle w:val="Numberedpara"/>
        <w:numPr>
          <w:ilvl w:val="0"/>
          <w:numId w:val="0"/>
        </w:numPr>
        <w:ind w:left="357"/>
      </w:pPr>
    </w:p>
    <w:p w14:paraId="5AD64A76" w14:textId="2A131BAF" w:rsidR="00D948BF" w:rsidRDefault="00D948BF" w:rsidP="00D948BF">
      <w:pPr>
        <w:pStyle w:val="SMTActions"/>
      </w:pPr>
      <w:r>
        <w:t>ACTION: LH/SP</w:t>
      </w:r>
    </w:p>
    <w:p w14:paraId="4E653287" w14:textId="77777777" w:rsidR="00974715" w:rsidRDefault="00974715" w:rsidP="003F00E3">
      <w:pPr>
        <w:pStyle w:val="Paragraph"/>
        <w:numPr>
          <w:ilvl w:val="0"/>
          <w:numId w:val="0"/>
        </w:numPr>
        <w:ind w:left="720" w:hanging="360"/>
      </w:pPr>
    </w:p>
    <w:p w14:paraId="07FADE5F" w14:textId="32C37A3F" w:rsidR="00974715" w:rsidRDefault="00974715" w:rsidP="00974715">
      <w:pPr>
        <w:pStyle w:val="Heading2"/>
      </w:pPr>
      <w:r>
        <w:t>Publication Executive terms of reference (item 8)</w:t>
      </w:r>
    </w:p>
    <w:p w14:paraId="1035862D" w14:textId="3F99A689" w:rsidR="00974715" w:rsidRDefault="00974715" w:rsidP="003F00E3">
      <w:pPr>
        <w:pStyle w:val="Paragraph"/>
        <w:numPr>
          <w:ilvl w:val="0"/>
          <w:numId w:val="0"/>
        </w:numPr>
        <w:ind w:left="720" w:hanging="360"/>
      </w:pPr>
    </w:p>
    <w:p w14:paraId="0496BB9A" w14:textId="0B1FD12E" w:rsidR="00974715" w:rsidRDefault="00974715" w:rsidP="00974715">
      <w:pPr>
        <w:pStyle w:val="Numberedpara"/>
      </w:pPr>
      <w:r>
        <w:t>Alexia Tonnel presented the proposed amended terms of reference for Publication Executive (PE) to minimise approvals that the group considers unnecessary.</w:t>
      </w:r>
    </w:p>
    <w:p w14:paraId="5EA8990B" w14:textId="77777777" w:rsidR="008E4578" w:rsidRDefault="008E4578" w:rsidP="008E4578">
      <w:pPr>
        <w:pStyle w:val="Numberedpara"/>
        <w:numPr>
          <w:ilvl w:val="0"/>
          <w:numId w:val="0"/>
        </w:numPr>
        <w:ind w:left="357"/>
      </w:pPr>
    </w:p>
    <w:p w14:paraId="4587F070" w14:textId="30735D35" w:rsidR="008E4578" w:rsidRDefault="008E4578" w:rsidP="00FE413E">
      <w:pPr>
        <w:pStyle w:val="Numberedpara"/>
      </w:pPr>
      <w:r>
        <w:t xml:space="preserve">ET approved the amended </w:t>
      </w:r>
      <w:r w:rsidR="00C045C7">
        <w:t>terms</w:t>
      </w:r>
      <w:r>
        <w:t xml:space="preserve"> of </w:t>
      </w:r>
      <w:r w:rsidR="00C045C7">
        <w:t>reference</w:t>
      </w:r>
      <w:r>
        <w:t xml:space="preserve"> subject to clarifying the mechanism for </w:t>
      </w:r>
      <w:r w:rsidR="00C045C7">
        <w:t>approving</w:t>
      </w:r>
      <w:r>
        <w:t xml:space="preserve"> t</w:t>
      </w:r>
      <w:r w:rsidR="0082586A">
        <w:t xml:space="preserve">he Pathways that do not require submission to PE and the </w:t>
      </w:r>
      <w:r>
        <w:t>resource impact statements for medicines that are entering the Cancer Drugs Fund</w:t>
      </w:r>
      <w:r w:rsidR="0082586A">
        <w:t xml:space="preserve">. </w:t>
      </w:r>
    </w:p>
    <w:p w14:paraId="2632F487" w14:textId="77777777" w:rsidR="008E4578" w:rsidRDefault="008E4578" w:rsidP="008E4578">
      <w:pPr>
        <w:pStyle w:val="ListParagraph"/>
      </w:pPr>
    </w:p>
    <w:p w14:paraId="3C9B204D" w14:textId="53FC77A8" w:rsidR="008E4578" w:rsidRDefault="008E4578" w:rsidP="008E4578">
      <w:pPr>
        <w:pStyle w:val="SMTActions"/>
      </w:pPr>
      <w:r>
        <w:t>ACTION: AT</w:t>
      </w:r>
    </w:p>
    <w:p w14:paraId="178739EE" w14:textId="39C62765" w:rsidR="008E4578" w:rsidRDefault="008E4578" w:rsidP="008E4578">
      <w:pPr>
        <w:pStyle w:val="Numberedpara"/>
        <w:numPr>
          <w:ilvl w:val="0"/>
          <w:numId w:val="0"/>
        </w:numPr>
        <w:ind w:left="357" w:hanging="357"/>
      </w:pPr>
    </w:p>
    <w:p w14:paraId="0C9D6BD4" w14:textId="376BB33B" w:rsidR="00974715" w:rsidRDefault="008E4578" w:rsidP="008E4578">
      <w:pPr>
        <w:pStyle w:val="Numberedpara"/>
      </w:pPr>
      <w:r>
        <w:t xml:space="preserve">It was agreed that </w:t>
      </w:r>
      <w:r w:rsidRPr="008E4578">
        <w:t>ET</w:t>
      </w:r>
      <w:r>
        <w:t xml:space="preserve"> would hold a </w:t>
      </w:r>
      <w:r w:rsidR="00C045C7">
        <w:t>further</w:t>
      </w:r>
      <w:r>
        <w:t xml:space="preserve"> </w:t>
      </w:r>
      <w:r w:rsidR="00C045C7">
        <w:t>discussion</w:t>
      </w:r>
      <w:r>
        <w:t xml:space="preserve"> on the </w:t>
      </w:r>
      <w:r w:rsidR="00C045C7">
        <w:t>future</w:t>
      </w:r>
      <w:r>
        <w:t xml:space="preserve"> of NICE Pathways at a suitable future point. </w:t>
      </w:r>
    </w:p>
    <w:p w14:paraId="7185AFE2" w14:textId="30B95BF3" w:rsidR="008E4578" w:rsidRDefault="008E4578" w:rsidP="008E4578">
      <w:pPr>
        <w:pStyle w:val="Numberedpara"/>
        <w:numPr>
          <w:ilvl w:val="0"/>
          <w:numId w:val="0"/>
        </w:numPr>
        <w:ind w:left="357" w:hanging="357"/>
      </w:pPr>
    </w:p>
    <w:p w14:paraId="52095404" w14:textId="03877741" w:rsidR="008E4578" w:rsidRDefault="008E4578" w:rsidP="008E4578">
      <w:pPr>
        <w:pStyle w:val="SMTActions"/>
      </w:pPr>
      <w:r>
        <w:t>ACTION: GL</w:t>
      </w:r>
    </w:p>
    <w:p w14:paraId="6903BF1F" w14:textId="77777777" w:rsidR="008E4578" w:rsidRDefault="008E4578" w:rsidP="008E4578">
      <w:pPr>
        <w:pStyle w:val="Heading2"/>
      </w:pPr>
      <w:r>
        <w:t>Emails and communication (item 11)</w:t>
      </w:r>
    </w:p>
    <w:p w14:paraId="4FC7E493" w14:textId="77777777" w:rsidR="008E4578" w:rsidRDefault="008E4578" w:rsidP="008E4578">
      <w:pPr>
        <w:pStyle w:val="Paragraph"/>
        <w:numPr>
          <w:ilvl w:val="0"/>
          <w:numId w:val="0"/>
        </w:numPr>
        <w:ind w:left="720" w:hanging="360"/>
      </w:pPr>
    </w:p>
    <w:p w14:paraId="052801C5" w14:textId="3DA321D4" w:rsidR="008E4578" w:rsidRDefault="008E4578" w:rsidP="008E4578">
      <w:pPr>
        <w:pStyle w:val="Numberedpara"/>
        <w:rPr>
          <w:color w:val="000000" w:themeColor="text1"/>
        </w:rPr>
      </w:pPr>
      <w:r w:rsidRPr="008E4578">
        <w:rPr>
          <w:color w:val="000000" w:themeColor="text1"/>
        </w:rPr>
        <w:t xml:space="preserve">ET discussed the slides developed by Rebecca Threlfall on the best ways for sharing information between ET members outside of the </w:t>
      </w:r>
      <w:r w:rsidR="0082586A">
        <w:rPr>
          <w:color w:val="000000" w:themeColor="text1"/>
        </w:rPr>
        <w:t>ET</w:t>
      </w:r>
      <w:r w:rsidRPr="008E4578">
        <w:rPr>
          <w:color w:val="000000" w:themeColor="text1"/>
        </w:rPr>
        <w:t xml:space="preserve"> meetings. </w:t>
      </w:r>
      <w:r>
        <w:rPr>
          <w:color w:val="000000" w:themeColor="text1"/>
        </w:rPr>
        <w:t xml:space="preserve">ET colleagues reflected on their </w:t>
      </w:r>
      <w:r w:rsidR="00C045C7">
        <w:rPr>
          <w:color w:val="000000" w:themeColor="text1"/>
        </w:rPr>
        <w:t>preferences</w:t>
      </w:r>
      <w:r>
        <w:rPr>
          <w:color w:val="000000" w:themeColor="text1"/>
        </w:rPr>
        <w:t xml:space="preserve"> for the use of email and MS Teams, with mixed views expressed on the use of Teams.</w:t>
      </w:r>
    </w:p>
    <w:p w14:paraId="4298ACD9" w14:textId="62A4F1DA" w:rsidR="008E4578" w:rsidRDefault="008E4578" w:rsidP="008E4578">
      <w:pPr>
        <w:pStyle w:val="Numberedpara"/>
        <w:numPr>
          <w:ilvl w:val="0"/>
          <w:numId w:val="0"/>
        </w:numPr>
        <w:ind w:left="357"/>
        <w:rPr>
          <w:color w:val="000000" w:themeColor="text1"/>
        </w:rPr>
      </w:pPr>
    </w:p>
    <w:p w14:paraId="2DCDB10E" w14:textId="0EEBC34A" w:rsidR="008E4578" w:rsidRPr="0082586A" w:rsidRDefault="008E4578" w:rsidP="0082586A">
      <w:pPr>
        <w:pStyle w:val="Numberedpara"/>
        <w:rPr>
          <w:color w:val="000000" w:themeColor="text1"/>
        </w:rPr>
      </w:pPr>
      <w:r>
        <w:rPr>
          <w:color w:val="000000" w:themeColor="text1"/>
        </w:rPr>
        <w:t xml:space="preserve">ET agreed to avoid the use of “reply to all” in email traffic, seek to focus on key issues rather than </w:t>
      </w:r>
      <w:r w:rsidR="00C045C7">
        <w:rPr>
          <w:color w:val="000000" w:themeColor="text1"/>
        </w:rPr>
        <w:t>minutiae</w:t>
      </w:r>
      <w:r>
        <w:rPr>
          <w:color w:val="000000" w:themeColor="text1"/>
        </w:rPr>
        <w:t xml:space="preserve">, and be clear in </w:t>
      </w:r>
      <w:r w:rsidR="0082586A">
        <w:rPr>
          <w:color w:val="000000" w:themeColor="text1"/>
        </w:rPr>
        <w:t xml:space="preserve">email </w:t>
      </w:r>
      <w:r>
        <w:rPr>
          <w:color w:val="000000" w:themeColor="text1"/>
        </w:rPr>
        <w:t xml:space="preserve">correspondence who would take ownership of an action. It was agreed that an all </w:t>
      </w:r>
      <w:r w:rsidR="00C045C7">
        <w:rPr>
          <w:color w:val="000000" w:themeColor="text1"/>
        </w:rPr>
        <w:t>staff</w:t>
      </w:r>
      <w:r>
        <w:rPr>
          <w:color w:val="000000" w:themeColor="text1"/>
        </w:rPr>
        <w:t xml:space="preserve"> message should highlight ET’s commitment to adopt these </w:t>
      </w:r>
      <w:r w:rsidR="00C045C7">
        <w:rPr>
          <w:color w:val="000000" w:themeColor="text1"/>
        </w:rPr>
        <w:t>principles</w:t>
      </w:r>
      <w:r>
        <w:rPr>
          <w:color w:val="000000" w:themeColor="text1"/>
        </w:rPr>
        <w:t xml:space="preserve"> and recommend roll-out across the organis</w:t>
      </w:r>
      <w:r w:rsidR="00C045C7">
        <w:rPr>
          <w:color w:val="000000" w:themeColor="text1"/>
        </w:rPr>
        <w:t>ation</w:t>
      </w:r>
      <w:r>
        <w:rPr>
          <w:color w:val="000000" w:themeColor="text1"/>
        </w:rPr>
        <w:t xml:space="preserve">. ET’s use of Teams would be considered further as part of the digital workplace programme, which would also look at </w:t>
      </w:r>
      <w:r w:rsidR="00B12427">
        <w:rPr>
          <w:color w:val="000000" w:themeColor="text1"/>
        </w:rPr>
        <w:t xml:space="preserve">how </w:t>
      </w:r>
      <w:r w:rsidR="0082586A">
        <w:rPr>
          <w:color w:val="000000" w:themeColor="text1"/>
        </w:rPr>
        <w:t xml:space="preserve">information </w:t>
      </w:r>
      <w:r w:rsidR="00B12427">
        <w:rPr>
          <w:color w:val="000000" w:themeColor="text1"/>
        </w:rPr>
        <w:t xml:space="preserve">could be centrally stored for </w:t>
      </w:r>
      <w:r w:rsidR="0082586A">
        <w:rPr>
          <w:color w:val="000000" w:themeColor="text1"/>
        </w:rPr>
        <w:t>access by</w:t>
      </w:r>
      <w:r w:rsidRPr="0082586A">
        <w:rPr>
          <w:color w:val="000000" w:themeColor="text1"/>
        </w:rPr>
        <w:t xml:space="preserve"> multiple ET members. </w:t>
      </w:r>
    </w:p>
    <w:p w14:paraId="0D78FFD2" w14:textId="77777777" w:rsidR="008E4578" w:rsidRDefault="008E4578" w:rsidP="008E4578">
      <w:pPr>
        <w:pStyle w:val="ListParagraph"/>
        <w:rPr>
          <w:color w:val="000000" w:themeColor="text1"/>
        </w:rPr>
      </w:pPr>
    </w:p>
    <w:p w14:paraId="443DAF40" w14:textId="0A3C2375" w:rsidR="008E4578" w:rsidRPr="008E4578" w:rsidRDefault="008E4578" w:rsidP="008E4578">
      <w:pPr>
        <w:pStyle w:val="SMTActions"/>
      </w:pPr>
      <w:r>
        <w:t>ACTION: RT</w:t>
      </w:r>
    </w:p>
    <w:p w14:paraId="20E3650C" w14:textId="4EA83960" w:rsidR="008E4578" w:rsidRDefault="008E4578" w:rsidP="008E4578">
      <w:pPr>
        <w:pStyle w:val="Numberedpara"/>
        <w:numPr>
          <w:ilvl w:val="0"/>
          <w:numId w:val="0"/>
        </w:numPr>
        <w:ind w:left="357" w:hanging="357"/>
      </w:pPr>
    </w:p>
    <w:p w14:paraId="0CAA2FA1" w14:textId="77777777" w:rsidR="008E4578" w:rsidRDefault="008E4578" w:rsidP="008E4578">
      <w:pPr>
        <w:pStyle w:val="Heading2"/>
      </w:pPr>
      <w:r>
        <w:t>Gold group (item 12)</w:t>
      </w:r>
    </w:p>
    <w:p w14:paraId="77F1DE32" w14:textId="77777777" w:rsidR="008E4578" w:rsidRPr="008E4578" w:rsidRDefault="008E4578" w:rsidP="008E4578">
      <w:pPr>
        <w:pStyle w:val="Paragraph"/>
        <w:numPr>
          <w:ilvl w:val="0"/>
          <w:numId w:val="0"/>
        </w:numPr>
        <w:ind w:left="720"/>
        <w:rPr>
          <w:color w:val="000000" w:themeColor="text1"/>
        </w:rPr>
      </w:pPr>
    </w:p>
    <w:p w14:paraId="14E61289" w14:textId="77777777" w:rsidR="008E4578" w:rsidRPr="008E4578" w:rsidRDefault="008E4578" w:rsidP="008E4578">
      <w:pPr>
        <w:pStyle w:val="Numberedpara"/>
        <w:spacing w:after="240"/>
        <w:rPr>
          <w:color w:val="000000" w:themeColor="text1"/>
        </w:rPr>
      </w:pPr>
      <w:r w:rsidRPr="008E4578">
        <w:rPr>
          <w:color w:val="000000" w:themeColor="text1"/>
        </w:rPr>
        <w:t xml:space="preserve">There were no decisions from gold group on 29 March. </w:t>
      </w:r>
    </w:p>
    <w:p w14:paraId="5961DAAC" w14:textId="77777777" w:rsidR="008E4578" w:rsidRPr="00350DA4" w:rsidRDefault="008E4578" w:rsidP="008E4578">
      <w:pPr>
        <w:pStyle w:val="Heading2"/>
        <w:spacing w:after="240"/>
      </w:pPr>
      <w:r>
        <w:t>Strategy and business planning (item 13)</w:t>
      </w:r>
    </w:p>
    <w:p w14:paraId="1A0EEE93" w14:textId="099E2DE7" w:rsidR="008E4578" w:rsidRDefault="008E4578" w:rsidP="008E4578">
      <w:pPr>
        <w:pStyle w:val="Numberedpara"/>
      </w:pPr>
      <w:r>
        <w:t xml:space="preserve">Jennifer Howells stated that NICE awaits </w:t>
      </w:r>
      <w:r w:rsidR="00C045C7">
        <w:t>final</w:t>
      </w:r>
      <w:r>
        <w:t xml:space="preserve"> confirmation of the 2021/22 </w:t>
      </w:r>
      <w:r w:rsidR="00C045C7">
        <w:t>financial</w:t>
      </w:r>
      <w:r>
        <w:t xml:space="preserve"> allocation from the </w:t>
      </w:r>
      <w:r w:rsidR="00C045C7">
        <w:t>Department</w:t>
      </w:r>
      <w:r>
        <w:t xml:space="preserve"> of Health and Social Care (DHSC</w:t>
      </w:r>
      <w:r w:rsidR="00C045C7">
        <w:t>) and</w:t>
      </w:r>
      <w:r>
        <w:t xml:space="preserve"> </w:t>
      </w:r>
      <w:r w:rsidR="0082586A">
        <w:t xml:space="preserve">she </w:t>
      </w:r>
      <w:r>
        <w:t xml:space="preserve">would </w:t>
      </w:r>
      <w:r w:rsidR="006C394B">
        <w:t xml:space="preserve">therefore </w:t>
      </w:r>
      <w:r w:rsidR="00C045C7">
        <w:t>discuss</w:t>
      </w:r>
      <w:r w:rsidR="006C394B">
        <w:t xml:space="preserve"> with </w:t>
      </w:r>
      <w:r w:rsidR="00C045C7">
        <w:t>Martin</w:t>
      </w:r>
      <w:r w:rsidR="006C394B">
        <w:t xml:space="preserve"> Davison when centre/</w:t>
      </w:r>
      <w:r w:rsidR="00C045C7">
        <w:t>directorate</w:t>
      </w:r>
      <w:r w:rsidR="006C394B">
        <w:t xml:space="preserve"> budgets can be confirmed, </w:t>
      </w:r>
      <w:r w:rsidR="00C045C7">
        <w:t>including</w:t>
      </w:r>
      <w:r w:rsidR="006C394B">
        <w:t xml:space="preserve"> the </w:t>
      </w:r>
      <w:r w:rsidR="00C045C7">
        <w:t xml:space="preserve">outcome </w:t>
      </w:r>
      <w:r w:rsidR="006C394B">
        <w:t xml:space="preserve">of any requests for </w:t>
      </w:r>
      <w:r w:rsidR="00C045C7">
        <w:t>additional</w:t>
      </w:r>
      <w:r w:rsidR="006C394B">
        <w:t xml:space="preserve"> funding. </w:t>
      </w:r>
    </w:p>
    <w:p w14:paraId="3D3E76DE" w14:textId="77777777" w:rsidR="006C394B" w:rsidRDefault="006C394B" w:rsidP="006C394B">
      <w:pPr>
        <w:pStyle w:val="Numberedpara"/>
        <w:numPr>
          <w:ilvl w:val="0"/>
          <w:numId w:val="0"/>
        </w:numPr>
        <w:ind w:left="357"/>
      </w:pPr>
    </w:p>
    <w:p w14:paraId="4505FAAF" w14:textId="78A0D091" w:rsidR="006C394B" w:rsidRDefault="006C394B" w:rsidP="006C394B">
      <w:pPr>
        <w:pStyle w:val="SMTActions"/>
      </w:pPr>
      <w:r>
        <w:lastRenderedPageBreak/>
        <w:t>ACTION: JH</w:t>
      </w:r>
    </w:p>
    <w:p w14:paraId="05FB16E6" w14:textId="77777777" w:rsidR="008E4578" w:rsidRDefault="008E4578" w:rsidP="008E4578">
      <w:pPr>
        <w:pStyle w:val="Numberedpara"/>
        <w:numPr>
          <w:ilvl w:val="0"/>
          <w:numId w:val="0"/>
        </w:numPr>
        <w:ind w:left="357" w:hanging="357"/>
      </w:pPr>
    </w:p>
    <w:p w14:paraId="074ADE7C" w14:textId="611B287B" w:rsidR="00974715" w:rsidRDefault="00974715" w:rsidP="00974715">
      <w:pPr>
        <w:pStyle w:val="Heading2"/>
      </w:pPr>
      <w:r>
        <w:t>Digital workplace business case (item 9)</w:t>
      </w:r>
    </w:p>
    <w:p w14:paraId="69ECD949" w14:textId="25A7B0A7" w:rsidR="00974715" w:rsidRDefault="00974715" w:rsidP="003F00E3">
      <w:pPr>
        <w:pStyle w:val="Paragraph"/>
        <w:numPr>
          <w:ilvl w:val="0"/>
          <w:numId w:val="0"/>
        </w:numPr>
        <w:ind w:left="720" w:hanging="360"/>
      </w:pPr>
    </w:p>
    <w:p w14:paraId="1D7B9DCD" w14:textId="0E14387E" w:rsidR="00974715" w:rsidRDefault="00974715" w:rsidP="00FE413E">
      <w:pPr>
        <w:pStyle w:val="Numberedpara"/>
      </w:pPr>
      <w:r>
        <w:t xml:space="preserve">Alexia Tonnel presented the draft business case for ET’s review and comment, prior to finalisation for submission to the Board in April. </w:t>
      </w:r>
      <w:r w:rsidR="00FE413E">
        <w:t>The business case presents 2 options. Option 1 for the first year</w:t>
      </w:r>
      <w:r w:rsidR="00FE413E" w:rsidRPr="00FE413E">
        <w:t xml:space="preserve"> </w:t>
      </w:r>
      <w:r w:rsidR="00FE413E">
        <w:t>aims to close the gap in NICE’s IT environment by offering a modern digital working platform to all staff, addressing widespread productivity challenges across the organisation and transforming day-to-day ways of working</w:t>
      </w:r>
      <w:r w:rsidR="00B12427">
        <w:t xml:space="preserve">. </w:t>
      </w:r>
      <w:proofErr w:type="gramStart"/>
      <w:r w:rsidR="00FE413E">
        <w:t>Option 2,</w:t>
      </w:r>
      <w:proofErr w:type="gramEnd"/>
      <w:r w:rsidR="00FE413E">
        <w:t xml:space="preserve"> builds on this into a second year with more transformative work to support complex cross-organisation challenge. The </w:t>
      </w:r>
      <w:r w:rsidR="00DA0518">
        <w:t>recommendation</w:t>
      </w:r>
      <w:r w:rsidR="00FE413E">
        <w:t xml:space="preserve"> is to pur</w:t>
      </w:r>
      <w:r w:rsidR="00DA0518">
        <w:t xml:space="preserve">sue </w:t>
      </w:r>
      <w:r w:rsidR="00FE413E">
        <w:t xml:space="preserve">option 2 in order to deliver the greatest </w:t>
      </w:r>
      <w:r w:rsidR="00A51491">
        <w:t xml:space="preserve">efficiencies </w:t>
      </w:r>
      <w:r w:rsidR="00FE413E">
        <w:t xml:space="preserve">and transformation. </w:t>
      </w:r>
    </w:p>
    <w:p w14:paraId="1E2FA8DA" w14:textId="77777777" w:rsidR="00FE413E" w:rsidRDefault="00FE413E" w:rsidP="00FE413E">
      <w:pPr>
        <w:pStyle w:val="Numberedpara"/>
        <w:numPr>
          <w:ilvl w:val="0"/>
          <w:numId w:val="0"/>
        </w:numPr>
        <w:ind w:left="357"/>
      </w:pPr>
    </w:p>
    <w:p w14:paraId="69F04886" w14:textId="424AE8E4" w:rsidR="0082586A" w:rsidRDefault="00FE413E" w:rsidP="00FE413E">
      <w:pPr>
        <w:pStyle w:val="Numberedpara"/>
      </w:pPr>
      <w:r>
        <w:t xml:space="preserve">ET </w:t>
      </w:r>
      <w:r w:rsidR="00DA0518">
        <w:t>reviewed</w:t>
      </w:r>
      <w:r>
        <w:t xml:space="preserve"> and scrutinised the proposals, including the level of investment in the </w:t>
      </w:r>
      <w:r w:rsidR="00DA0518">
        <w:t>external</w:t>
      </w:r>
      <w:r>
        <w:t xml:space="preserve"> consultancy, the expenditure on the programme manager role, and the proposed </w:t>
      </w:r>
      <w:r w:rsidR="00A51491">
        <w:t>efficiencies</w:t>
      </w:r>
      <w:r>
        <w:t xml:space="preserve">. Following extensive discussion, ET agreed that there should be a </w:t>
      </w:r>
      <w:r w:rsidR="00DA0518">
        <w:t>2-stage</w:t>
      </w:r>
      <w:r>
        <w:t xml:space="preserve"> process for </w:t>
      </w:r>
      <w:r w:rsidR="00DA0518">
        <w:t>seeking</w:t>
      </w:r>
      <w:r>
        <w:t xml:space="preserve"> approval from the Board, with an initial update to the April </w:t>
      </w:r>
      <w:r w:rsidR="00DA0518">
        <w:t>Board</w:t>
      </w:r>
      <w:r>
        <w:t xml:space="preserve"> Strategy meeting, followed by a request for formal approval </w:t>
      </w:r>
      <w:r w:rsidR="00B12427">
        <w:t>at</w:t>
      </w:r>
      <w:r>
        <w:t xml:space="preserve"> the May Board meeting. </w:t>
      </w:r>
    </w:p>
    <w:p w14:paraId="421B297A" w14:textId="77777777" w:rsidR="0082586A" w:rsidRDefault="0082586A" w:rsidP="0082586A">
      <w:pPr>
        <w:pStyle w:val="ListParagraph"/>
      </w:pPr>
    </w:p>
    <w:p w14:paraId="73B1C159" w14:textId="1453B26A" w:rsidR="00FE413E" w:rsidRDefault="00FE413E" w:rsidP="00FE413E">
      <w:pPr>
        <w:pStyle w:val="Numberedpara"/>
      </w:pPr>
      <w:r>
        <w:t>ET identified a number of issues to address in the Board paper, including:</w:t>
      </w:r>
    </w:p>
    <w:p w14:paraId="6F67C55F" w14:textId="2DA794B8" w:rsidR="00FE413E" w:rsidRDefault="00FE413E" w:rsidP="00FE413E">
      <w:pPr>
        <w:pStyle w:val="Numberedpara"/>
        <w:numPr>
          <w:ilvl w:val="0"/>
          <w:numId w:val="16"/>
        </w:numPr>
      </w:pPr>
      <w:r>
        <w:t xml:space="preserve">more clearly </w:t>
      </w:r>
      <w:r w:rsidR="00DA0518">
        <w:t>articulating</w:t>
      </w:r>
      <w:r>
        <w:t xml:space="preserve"> how the project is central to the wider transformation programme and what the </w:t>
      </w:r>
      <w:r w:rsidR="00DA0518">
        <w:t>investment</w:t>
      </w:r>
      <w:r>
        <w:t xml:space="preserve"> will mean for the </w:t>
      </w:r>
      <w:r w:rsidR="00DA0518">
        <w:t>organisation</w:t>
      </w:r>
      <w:r>
        <w:t xml:space="preserve">, including the </w:t>
      </w:r>
      <w:r w:rsidR="00DA0518">
        <w:t>difference</w:t>
      </w:r>
      <w:r>
        <w:t xml:space="preserve"> between the 2 options</w:t>
      </w:r>
    </w:p>
    <w:p w14:paraId="307C569A" w14:textId="736A3FC4" w:rsidR="00DA0518" w:rsidRDefault="0082586A" w:rsidP="00FE413E">
      <w:pPr>
        <w:pStyle w:val="Numberedpara"/>
        <w:numPr>
          <w:ilvl w:val="0"/>
          <w:numId w:val="16"/>
        </w:numPr>
      </w:pPr>
      <w:r>
        <w:t>c</w:t>
      </w:r>
      <w:r w:rsidR="00DA0518">
        <w:t xml:space="preserve">onsidering whether aspects of the phase 2 work could be brought forward to phase 1 as part of a ‘test and learn’ approach and </w:t>
      </w:r>
      <w:r>
        <w:t xml:space="preserve">to </w:t>
      </w:r>
      <w:r w:rsidR="00DA0518">
        <w:t>h</w:t>
      </w:r>
      <w:r>
        <w:t>elp</w:t>
      </w:r>
      <w:r w:rsidR="00DA0518">
        <w:t xml:space="preserve"> evaluate the case for phase 2</w:t>
      </w:r>
    </w:p>
    <w:p w14:paraId="0E9B6E4F" w14:textId="069FA93A" w:rsidR="00FE413E" w:rsidRDefault="00DA0518" w:rsidP="00FE413E">
      <w:pPr>
        <w:pStyle w:val="Numberedpara"/>
        <w:numPr>
          <w:ilvl w:val="0"/>
          <w:numId w:val="16"/>
        </w:numPr>
      </w:pPr>
      <w:r>
        <w:t>clarifying</w:t>
      </w:r>
      <w:r w:rsidR="00FE413E">
        <w:t xml:space="preserve"> that doing nothing is not a viable </w:t>
      </w:r>
      <w:r>
        <w:t>option</w:t>
      </w:r>
      <w:r w:rsidR="00FE413E">
        <w:t xml:space="preserve"> and still incurs some of the costs in the business case</w:t>
      </w:r>
    </w:p>
    <w:p w14:paraId="5B130F41" w14:textId="3402180F" w:rsidR="00FE413E" w:rsidRDefault="00FE413E" w:rsidP="00FE413E">
      <w:pPr>
        <w:pStyle w:val="Numberedpara"/>
        <w:numPr>
          <w:ilvl w:val="0"/>
          <w:numId w:val="16"/>
        </w:numPr>
      </w:pPr>
      <w:r>
        <w:t>clarifying the extent</w:t>
      </w:r>
      <w:r w:rsidR="00B12427">
        <w:t xml:space="preserve"> that</w:t>
      </w:r>
      <w:r>
        <w:t xml:space="preserve"> the savings will be cash releasing</w:t>
      </w:r>
    </w:p>
    <w:p w14:paraId="419FA067" w14:textId="4F67911F" w:rsidR="00FE413E" w:rsidRDefault="0082586A" w:rsidP="00FE413E">
      <w:pPr>
        <w:pStyle w:val="Numberedpara"/>
        <w:numPr>
          <w:ilvl w:val="0"/>
          <w:numId w:val="16"/>
        </w:numPr>
      </w:pPr>
      <w:r>
        <w:t>o</w:t>
      </w:r>
      <w:r w:rsidR="00DA0518">
        <w:t>utlining</w:t>
      </w:r>
      <w:r w:rsidR="00FE413E">
        <w:t xml:space="preserve"> the </w:t>
      </w:r>
      <w:r w:rsidR="00DA0518">
        <w:t>rationale</w:t>
      </w:r>
      <w:r w:rsidR="00FE413E">
        <w:t xml:space="preserve"> for the </w:t>
      </w:r>
      <w:r w:rsidR="00DA0518">
        <w:t>investment</w:t>
      </w:r>
      <w:r w:rsidR="00FE413E">
        <w:t xml:space="preserve"> in </w:t>
      </w:r>
      <w:r w:rsidR="00DA0518">
        <w:t>external</w:t>
      </w:r>
      <w:r w:rsidR="00FE413E">
        <w:t xml:space="preserve"> support and the assurance that this is </w:t>
      </w:r>
      <w:r w:rsidR="00DA0518">
        <w:t>appropriate</w:t>
      </w:r>
    </w:p>
    <w:p w14:paraId="38AC5AE8" w14:textId="04EBE6E8" w:rsidR="00FE413E" w:rsidRDefault="0082586A" w:rsidP="00FE413E">
      <w:pPr>
        <w:pStyle w:val="Numberedpara"/>
        <w:numPr>
          <w:ilvl w:val="0"/>
          <w:numId w:val="16"/>
        </w:numPr>
      </w:pPr>
      <w:r>
        <w:t>h</w:t>
      </w:r>
      <w:r w:rsidR="00DA0518">
        <w:t>ighlighting</w:t>
      </w:r>
      <w:r w:rsidR="00FE413E">
        <w:t xml:space="preserve"> the level of support that will be required from teams across the org</w:t>
      </w:r>
      <w:r w:rsidR="00DA0518">
        <w:t xml:space="preserve">anisation </w:t>
      </w:r>
      <w:r w:rsidR="00FE413E">
        <w:t>to successfully deliver the programme and realise the anti</w:t>
      </w:r>
      <w:r w:rsidR="00DA0518">
        <w:t xml:space="preserve">cipated </w:t>
      </w:r>
      <w:r w:rsidR="00FE413E">
        <w:t>bene</w:t>
      </w:r>
      <w:r w:rsidR="00DA0518">
        <w:t>f</w:t>
      </w:r>
      <w:r w:rsidR="00FE413E">
        <w:t xml:space="preserve">its. </w:t>
      </w:r>
    </w:p>
    <w:p w14:paraId="6D496CF4" w14:textId="77777777" w:rsidR="00FE413E" w:rsidRDefault="00FE413E" w:rsidP="00FE413E">
      <w:pPr>
        <w:pStyle w:val="Numberedpara"/>
        <w:numPr>
          <w:ilvl w:val="0"/>
          <w:numId w:val="0"/>
        </w:numPr>
        <w:ind w:left="357" w:hanging="357"/>
      </w:pPr>
    </w:p>
    <w:p w14:paraId="6731AF43" w14:textId="134C39E1" w:rsidR="00FE413E" w:rsidRDefault="00FE413E" w:rsidP="00DA0518">
      <w:pPr>
        <w:pStyle w:val="Numberedpara"/>
      </w:pPr>
      <w:r>
        <w:t xml:space="preserve">It was agreed that Alexia Tonnel would agree </w:t>
      </w:r>
      <w:r w:rsidR="00DA0518">
        <w:t>with</w:t>
      </w:r>
      <w:r>
        <w:t xml:space="preserve"> Gill Leng and Jennifer Howells what to include in the papers to the April and May Board, and </w:t>
      </w:r>
      <w:r w:rsidR="00DA0518">
        <w:t>this group would also agree the paper for the April Board strategy meeting</w:t>
      </w:r>
      <w:r w:rsidR="0082586A">
        <w:t xml:space="preserve"> given the timescales precluded review at an ET meeting</w:t>
      </w:r>
      <w:r w:rsidR="00DA0518">
        <w:t xml:space="preserve">. It was agreed that Alexia would also brief the Chairman on the proposed approach. </w:t>
      </w:r>
    </w:p>
    <w:p w14:paraId="5269B30B" w14:textId="3C068C4E" w:rsidR="00DA0518" w:rsidRDefault="00DA0518" w:rsidP="00FE413E">
      <w:pPr>
        <w:pStyle w:val="Numberedpara"/>
        <w:numPr>
          <w:ilvl w:val="0"/>
          <w:numId w:val="0"/>
        </w:numPr>
        <w:ind w:left="357" w:hanging="357"/>
      </w:pPr>
    </w:p>
    <w:p w14:paraId="624167F9" w14:textId="2FFF404D" w:rsidR="00DA0518" w:rsidRDefault="00DA0518" w:rsidP="00DA0518">
      <w:pPr>
        <w:pStyle w:val="SMTActions"/>
      </w:pPr>
      <w:r>
        <w:t>ACTION: AT/JH/GL</w:t>
      </w:r>
    </w:p>
    <w:p w14:paraId="6E528B88" w14:textId="6FBFDE22" w:rsidR="00DA0518" w:rsidRDefault="00DA0518" w:rsidP="00FE413E">
      <w:pPr>
        <w:pStyle w:val="Numberedpara"/>
        <w:numPr>
          <w:ilvl w:val="0"/>
          <w:numId w:val="0"/>
        </w:numPr>
        <w:ind w:left="357" w:hanging="357"/>
      </w:pPr>
    </w:p>
    <w:p w14:paraId="522FE79C" w14:textId="155E3E07" w:rsidR="00DA0518" w:rsidRDefault="00DA0518" w:rsidP="00DA0518">
      <w:pPr>
        <w:pStyle w:val="Numberedpara"/>
      </w:pPr>
      <w:r>
        <w:t xml:space="preserve">ET discussed the impact of the </w:t>
      </w:r>
      <w:r w:rsidR="0082586A">
        <w:t>2-stage</w:t>
      </w:r>
      <w:r>
        <w:t xml:space="preserve"> process on the timescale for procuring the external consultancy </w:t>
      </w:r>
      <w:r w:rsidRPr="00DA0518">
        <w:t>support</w:t>
      </w:r>
      <w:r>
        <w:t xml:space="preserve">. It was agreed </w:t>
      </w:r>
      <w:r w:rsidR="0082586A">
        <w:t xml:space="preserve">to commence </w:t>
      </w:r>
      <w:r>
        <w:t xml:space="preserve">the procurement process, which should include appropriate break clauses after each phase, so that the preferred provider could be engaged once the Board has given formal approval in May. </w:t>
      </w:r>
    </w:p>
    <w:p w14:paraId="237A5F31" w14:textId="28A2A714" w:rsidR="00DA0518" w:rsidRDefault="00DA0518" w:rsidP="00DA0518">
      <w:pPr>
        <w:pStyle w:val="Numberedpara"/>
        <w:numPr>
          <w:ilvl w:val="0"/>
          <w:numId w:val="0"/>
        </w:numPr>
        <w:ind w:left="357" w:hanging="357"/>
      </w:pPr>
    </w:p>
    <w:p w14:paraId="02F080A9" w14:textId="407E7D72" w:rsidR="00DA0518" w:rsidRDefault="00DA0518" w:rsidP="00DA0518">
      <w:pPr>
        <w:pStyle w:val="SMTActions"/>
      </w:pPr>
      <w:r>
        <w:t>ACTION: AT</w:t>
      </w:r>
    </w:p>
    <w:p w14:paraId="6EDF994A" w14:textId="1308A5F2" w:rsidR="00974715" w:rsidRDefault="00974715" w:rsidP="003F00E3">
      <w:pPr>
        <w:pStyle w:val="Paragraph"/>
        <w:numPr>
          <w:ilvl w:val="0"/>
          <w:numId w:val="0"/>
        </w:numPr>
        <w:ind w:left="720" w:hanging="360"/>
      </w:pPr>
    </w:p>
    <w:p w14:paraId="4DD2E458" w14:textId="39A7260C" w:rsidR="00974715" w:rsidRDefault="00974715" w:rsidP="00974715">
      <w:pPr>
        <w:pStyle w:val="Heading2"/>
      </w:pPr>
      <w:r>
        <w:t>Content strategy (item 10)</w:t>
      </w:r>
    </w:p>
    <w:p w14:paraId="5C6B5C38" w14:textId="7DC4E974" w:rsidR="00974715" w:rsidRDefault="00974715" w:rsidP="003F00E3">
      <w:pPr>
        <w:pStyle w:val="Paragraph"/>
        <w:numPr>
          <w:ilvl w:val="0"/>
          <w:numId w:val="0"/>
        </w:numPr>
        <w:ind w:left="720" w:hanging="360"/>
      </w:pPr>
    </w:p>
    <w:p w14:paraId="063D0732" w14:textId="4A3804F0" w:rsidR="00974715" w:rsidRDefault="002247DB" w:rsidP="00FE413E">
      <w:pPr>
        <w:pStyle w:val="Numberedpara"/>
      </w:pPr>
      <w:r>
        <w:t>Paul Chrisp</w:t>
      </w:r>
      <w:r w:rsidR="00974715">
        <w:t xml:space="preserve"> presented the first iteration of the content strategy to support delivery of priority 2 of NICE's 5-year strategy: dynamic, living guideline recommendations.</w:t>
      </w:r>
      <w:r>
        <w:t xml:space="preserve"> Chris Flood explained the </w:t>
      </w:r>
      <w:r w:rsidR="00C045C7">
        <w:t>2-stage</w:t>
      </w:r>
      <w:r>
        <w:t xml:space="preserve"> approach. The first phase, lasting 12 to 24 months</w:t>
      </w:r>
      <w:r w:rsidR="0082586A">
        <w:t>,</w:t>
      </w:r>
      <w:r>
        <w:t xml:space="preserve"> will build </w:t>
      </w:r>
      <w:r>
        <w:lastRenderedPageBreak/>
        <w:t>the foundations for a mature digital publishing approach, with the second phase, lasting a further 24 to 48 months, build</w:t>
      </w:r>
      <w:r w:rsidR="0082586A">
        <w:t>ing</w:t>
      </w:r>
      <w:r>
        <w:t xml:space="preserve"> the foundations for a mature information management approach.</w:t>
      </w:r>
    </w:p>
    <w:p w14:paraId="75C804E1" w14:textId="77777777" w:rsidR="007A2C72" w:rsidRDefault="007A2C72" w:rsidP="007A2C72">
      <w:pPr>
        <w:pStyle w:val="Numberedpara"/>
        <w:numPr>
          <w:ilvl w:val="0"/>
          <w:numId w:val="0"/>
        </w:numPr>
        <w:ind w:left="357"/>
      </w:pPr>
    </w:p>
    <w:p w14:paraId="517B55DC" w14:textId="7B5F0EDA" w:rsidR="007A2C72" w:rsidRDefault="007A2C72" w:rsidP="00FE413E">
      <w:pPr>
        <w:pStyle w:val="Numberedpara"/>
      </w:pPr>
      <w:r>
        <w:t xml:space="preserve">ET reviewed the strategy and supported the principles as a direction of travel. It was agreed that the strategy </w:t>
      </w:r>
      <w:r w:rsidR="00B12427">
        <w:t>sh</w:t>
      </w:r>
      <w:r>
        <w:t xml:space="preserve">ould continue to iterate, with </w:t>
      </w:r>
      <w:r w:rsidR="00C045C7">
        <w:t>future</w:t>
      </w:r>
      <w:r>
        <w:t xml:space="preserve"> versions providing further information on the vision, </w:t>
      </w:r>
      <w:r w:rsidR="00C045C7">
        <w:t>including</w:t>
      </w:r>
      <w:r>
        <w:t xml:space="preserve"> the implications for NICE staff and guidance developers. In addition, the language around users and </w:t>
      </w:r>
      <w:r w:rsidR="00C045C7">
        <w:t>stakeholders</w:t>
      </w:r>
      <w:r>
        <w:t xml:space="preserve"> should be </w:t>
      </w:r>
      <w:r w:rsidR="00C045C7">
        <w:t>reviewed</w:t>
      </w:r>
      <w:r>
        <w:t xml:space="preserve"> to </w:t>
      </w:r>
      <w:r w:rsidR="00C045C7">
        <w:t>ensure</w:t>
      </w:r>
      <w:r>
        <w:t xml:space="preserve"> consistency, and the strategy should note that NICE does currently receive feedback from stakeholders and users of guidance on the format of the guidance. In relation to resources, it was noted </w:t>
      </w:r>
      <w:r w:rsidR="00B12427">
        <w:t xml:space="preserve">that </w:t>
      </w:r>
      <w:r>
        <w:t>the issue may be the need to reconsider the use of existing resources, rather than provid</w:t>
      </w:r>
      <w:r w:rsidR="00B12427">
        <w:t>ing</w:t>
      </w:r>
      <w:r>
        <w:t xml:space="preserve"> additional resources. </w:t>
      </w:r>
    </w:p>
    <w:p w14:paraId="0399C9EC" w14:textId="0300D574" w:rsidR="007A2C72" w:rsidRDefault="007A2C72" w:rsidP="007A2C72">
      <w:pPr>
        <w:pStyle w:val="ListParagraph"/>
      </w:pPr>
    </w:p>
    <w:p w14:paraId="4E4061A7" w14:textId="5D60E01E" w:rsidR="007A2C72" w:rsidRDefault="007A2C72" w:rsidP="00FE413E">
      <w:pPr>
        <w:pStyle w:val="Numberedpara"/>
      </w:pPr>
      <w:r>
        <w:t xml:space="preserve">It was agreed that ET should receive </w:t>
      </w:r>
      <w:r w:rsidR="00B12427">
        <w:t xml:space="preserve">regular updates on </w:t>
      </w:r>
      <w:r>
        <w:t xml:space="preserve">future iterations of the strategy to address the above comments and progress </w:t>
      </w:r>
      <w:r w:rsidR="00C045C7">
        <w:t>updates</w:t>
      </w:r>
      <w:r>
        <w:t xml:space="preserve"> on delivery. </w:t>
      </w:r>
    </w:p>
    <w:p w14:paraId="16EF2A9F" w14:textId="77777777" w:rsidR="007A2C72" w:rsidRDefault="007A2C72" w:rsidP="007A2C72">
      <w:pPr>
        <w:pStyle w:val="ListParagraph"/>
      </w:pPr>
    </w:p>
    <w:p w14:paraId="507C14CF" w14:textId="2D00419E" w:rsidR="007A2C72" w:rsidRDefault="007A2C72" w:rsidP="007A2C72">
      <w:pPr>
        <w:pStyle w:val="SMTActions"/>
      </w:pPr>
      <w:r>
        <w:t>ACTION: PC/CF</w:t>
      </w:r>
    </w:p>
    <w:p w14:paraId="433732A0" w14:textId="77777777" w:rsidR="007A2C72" w:rsidRDefault="007A2C72" w:rsidP="007A2C72">
      <w:pPr>
        <w:pStyle w:val="ListParagraph"/>
      </w:pPr>
    </w:p>
    <w:p w14:paraId="4CC7FD25" w14:textId="4F63C9F1" w:rsidR="00974715" w:rsidRDefault="007A2C72" w:rsidP="00FE413E">
      <w:pPr>
        <w:pStyle w:val="Numberedpara"/>
      </w:pPr>
      <w:r>
        <w:t xml:space="preserve">It was agreed that the transformation team should map </w:t>
      </w:r>
      <w:r w:rsidR="006A25E7">
        <w:t xml:space="preserve">how the content strategy fits with other transformation activity. </w:t>
      </w:r>
    </w:p>
    <w:p w14:paraId="42470FCC" w14:textId="3B35D881" w:rsidR="006A25E7" w:rsidRDefault="006A25E7" w:rsidP="006A25E7">
      <w:pPr>
        <w:pStyle w:val="Numberedpara"/>
        <w:numPr>
          <w:ilvl w:val="0"/>
          <w:numId w:val="0"/>
        </w:numPr>
        <w:ind w:left="357" w:hanging="357"/>
      </w:pPr>
    </w:p>
    <w:p w14:paraId="1BBFAD13" w14:textId="57DA8CA2" w:rsidR="006A25E7" w:rsidRDefault="006A25E7" w:rsidP="006A25E7">
      <w:pPr>
        <w:pStyle w:val="SMTActions"/>
      </w:pPr>
      <w:r>
        <w:t>ACTION: HB</w:t>
      </w:r>
    </w:p>
    <w:p w14:paraId="2C2566C4" w14:textId="55F4CC7C" w:rsidR="008C78B4" w:rsidRPr="008C78B4" w:rsidRDefault="008C78B4" w:rsidP="007257D5">
      <w:pPr>
        <w:pStyle w:val="Heading2"/>
      </w:pPr>
      <w:r>
        <w:t xml:space="preserve">Review of the meeting (item </w:t>
      </w:r>
      <w:r w:rsidR="00D058A1">
        <w:t>1</w:t>
      </w:r>
      <w:r w:rsidR="003D5200">
        <w:t>4</w:t>
      </w:r>
      <w:r>
        <w:t>)</w:t>
      </w:r>
    </w:p>
    <w:p w14:paraId="60B6B50D" w14:textId="39DD0A38" w:rsidR="008C78B4" w:rsidRPr="00060696" w:rsidRDefault="008C78B4" w:rsidP="008C78B4">
      <w:pPr>
        <w:pStyle w:val="Numberedpara"/>
        <w:numPr>
          <w:ilvl w:val="0"/>
          <w:numId w:val="0"/>
        </w:numPr>
        <w:rPr>
          <w:color w:val="FF0000"/>
        </w:rPr>
      </w:pPr>
    </w:p>
    <w:p w14:paraId="5F62CEA1" w14:textId="4B4F64F4" w:rsidR="00FF68A5" w:rsidRDefault="00FA121B" w:rsidP="00686373">
      <w:pPr>
        <w:pStyle w:val="Numberedpara"/>
        <w:rPr>
          <w:color w:val="000000" w:themeColor="text1"/>
        </w:rPr>
      </w:pPr>
      <w:r w:rsidRPr="007257D5">
        <w:rPr>
          <w:color w:val="000000" w:themeColor="text1"/>
        </w:rPr>
        <w:t xml:space="preserve">ET </w:t>
      </w:r>
      <w:r w:rsidR="000D28CC" w:rsidRPr="007257D5">
        <w:rPr>
          <w:color w:val="000000" w:themeColor="text1"/>
        </w:rPr>
        <w:t xml:space="preserve">reviewed the </w:t>
      </w:r>
      <w:r w:rsidR="007257D5" w:rsidRPr="007257D5">
        <w:rPr>
          <w:color w:val="000000" w:themeColor="text1"/>
        </w:rPr>
        <w:t>meeting</w:t>
      </w:r>
      <w:r w:rsidR="000D28CC" w:rsidRPr="007257D5">
        <w:rPr>
          <w:color w:val="000000" w:themeColor="text1"/>
        </w:rPr>
        <w:t xml:space="preserve"> and agreed </w:t>
      </w:r>
      <w:r w:rsidR="00686373" w:rsidRPr="007257D5">
        <w:rPr>
          <w:color w:val="000000" w:themeColor="text1"/>
        </w:rPr>
        <w:t>tha</w:t>
      </w:r>
      <w:r w:rsidR="007257D5" w:rsidRPr="007257D5">
        <w:rPr>
          <w:color w:val="000000" w:themeColor="text1"/>
        </w:rPr>
        <w:t xml:space="preserve">t while it was a busy agenda, all of the items were appropriate for ET discussion. </w:t>
      </w:r>
    </w:p>
    <w:p w14:paraId="3FE0D2B6" w14:textId="2F006370" w:rsidR="007257D5" w:rsidRDefault="007257D5" w:rsidP="007257D5">
      <w:pPr>
        <w:pStyle w:val="Numberedpara"/>
        <w:numPr>
          <w:ilvl w:val="0"/>
          <w:numId w:val="0"/>
        </w:numPr>
        <w:ind w:left="357" w:hanging="357"/>
        <w:rPr>
          <w:color w:val="000000" w:themeColor="text1"/>
        </w:rPr>
      </w:pPr>
    </w:p>
    <w:p w14:paraId="3CF398ED" w14:textId="73546B05" w:rsidR="007257D5" w:rsidRDefault="007257D5" w:rsidP="007257D5">
      <w:pPr>
        <w:pStyle w:val="Heading2"/>
      </w:pPr>
      <w:r>
        <w:t xml:space="preserve">Any other business </w:t>
      </w:r>
    </w:p>
    <w:p w14:paraId="089A925C" w14:textId="2CED8A7F" w:rsidR="007257D5" w:rsidRDefault="007257D5" w:rsidP="007257D5">
      <w:pPr>
        <w:pStyle w:val="Numberedpara"/>
        <w:numPr>
          <w:ilvl w:val="0"/>
          <w:numId w:val="0"/>
        </w:numPr>
        <w:ind w:left="357" w:hanging="357"/>
        <w:rPr>
          <w:color w:val="000000" w:themeColor="text1"/>
        </w:rPr>
      </w:pPr>
    </w:p>
    <w:p w14:paraId="2FE6F105" w14:textId="3122D60A" w:rsidR="007257D5" w:rsidRDefault="007257D5" w:rsidP="007257D5">
      <w:pPr>
        <w:pStyle w:val="Numberedpara"/>
      </w:pPr>
      <w:r>
        <w:t>Jennifer Howells highlighted that SCW had issued their final report on the organisational design review and suggested ET discuss next week their involvement in developing the action plan. ET</w:t>
      </w:r>
      <w:r w:rsidR="0082586A">
        <w:t xml:space="preserve"> agreed</w:t>
      </w:r>
      <w:r>
        <w:t xml:space="preserve"> that the report </w:t>
      </w:r>
      <w:r w:rsidR="00B12427">
        <w:t xml:space="preserve">was not intended for wider distribution </w:t>
      </w:r>
      <w:r>
        <w:t xml:space="preserve">but there </w:t>
      </w:r>
      <w:r w:rsidR="00B12427">
        <w:t>will</w:t>
      </w:r>
      <w:r>
        <w:t xml:space="preserve"> need to be a </w:t>
      </w:r>
      <w:r w:rsidR="00B12427">
        <w:t xml:space="preserve">staff </w:t>
      </w:r>
      <w:r>
        <w:t xml:space="preserve">communications and engagement plan. As an initial step it was agreed the next all staff meeting should receive an update on how this work links to the strategy and other initiatives. </w:t>
      </w:r>
    </w:p>
    <w:p w14:paraId="5613BD56" w14:textId="4E5380AE" w:rsidR="007257D5" w:rsidRDefault="007257D5" w:rsidP="007257D5">
      <w:pPr>
        <w:pStyle w:val="Numberedpara"/>
        <w:numPr>
          <w:ilvl w:val="0"/>
          <w:numId w:val="0"/>
        </w:numPr>
        <w:ind w:left="357" w:hanging="357"/>
      </w:pPr>
    </w:p>
    <w:p w14:paraId="747C7763" w14:textId="11D1CB34" w:rsidR="007257D5" w:rsidRPr="007257D5" w:rsidRDefault="007257D5" w:rsidP="007257D5">
      <w:pPr>
        <w:pStyle w:val="SMTActions"/>
      </w:pPr>
      <w:r>
        <w:t>ACTION: JH/RT</w:t>
      </w:r>
    </w:p>
    <w:sectPr w:rsidR="007257D5" w:rsidRPr="007257D5" w:rsidSect="00C12890">
      <w:head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D57F" w14:textId="77777777" w:rsidR="00FE413E" w:rsidRDefault="00FE413E" w:rsidP="00446BEE">
      <w:r>
        <w:separator/>
      </w:r>
    </w:p>
  </w:endnote>
  <w:endnote w:type="continuationSeparator" w:id="0">
    <w:p w14:paraId="115D9229" w14:textId="77777777" w:rsidR="00FE413E" w:rsidRDefault="00FE413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0AE2" w14:textId="77777777" w:rsidR="00FE413E" w:rsidRDefault="00FE413E" w:rsidP="00446BEE">
      <w:r>
        <w:separator/>
      </w:r>
    </w:p>
  </w:footnote>
  <w:footnote w:type="continuationSeparator" w:id="0">
    <w:p w14:paraId="49BD0E4F" w14:textId="77777777" w:rsidR="00FE413E" w:rsidRDefault="00FE413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5AAC86FF" w:rsidR="00FE413E" w:rsidRPr="007D0457" w:rsidRDefault="00FE413E"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2"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3"/>
  </w:num>
  <w:num w:numId="2">
    <w:abstractNumId w:val="4"/>
  </w:num>
  <w:num w:numId="3">
    <w:abstractNumId w:val="2"/>
  </w:num>
  <w:num w:numId="4">
    <w:abstractNumId w:val="11"/>
  </w:num>
  <w:num w:numId="5">
    <w:abstractNumId w:val="3"/>
  </w:num>
  <w:num w:numId="6">
    <w:abstractNumId w:val="5"/>
  </w:num>
  <w:num w:numId="7">
    <w:abstractNumId w:val="8"/>
  </w:num>
  <w:num w:numId="8">
    <w:abstractNumId w:val="14"/>
  </w:num>
  <w:num w:numId="9">
    <w:abstractNumId w:val="6"/>
  </w:num>
  <w:num w:numId="10">
    <w:abstractNumId w:val="7"/>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12"/>
  </w:num>
  <w:num w:numId="1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503C"/>
    <w:rsid w:val="000053F8"/>
    <w:rsid w:val="000064CB"/>
    <w:rsid w:val="0000687D"/>
    <w:rsid w:val="00010AAB"/>
    <w:rsid w:val="000111B4"/>
    <w:rsid w:val="00011451"/>
    <w:rsid w:val="00012355"/>
    <w:rsid w:val="00012BBC"/>
    <w:rsid w:val="000140B0"/>
    <w:rsid w:val="00015050"/>
    <w:rsid w:val="00017F48"/>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6AB6"/>
    <w:rsid w:val="0002779B"/>
    <w:rsid w:val="00027EDB"/>
    <w:rsid w:val="00032073"/>
    <w:rsid w:val="000320AA"/>
    <w:rsid w:val="0003314A"/>
    <w:rsid w:val="00035962"/>
    <w:rsid w:val="0003682B"/>
    <w:rsid w:val="000368A8"/>
    <w:rsid w:val="0003736D"/>
    <w:rsid w:val="000376CB"/>
    <w:rsid w:val="000405AE"/>
    <w:rsid w:val="00040E50"/>
    <w:rsid w:val="00042909"/>
    <w:rsid w:val="00042D75"/>
    <w:rsid w:val="000439B6"/>
    <w:rsid w:val="000462D6"/>
    <w:rsid w:val="00046388"/>
    <w:rsid w:val="000470AC"/>
    <w:rsid w:val="000472DC"/>
    <w:rsid w:val="0004790B"/>
    <w:rsid w:val="00050204"/>
    <w:rsid w:val="00052377"/>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2232"/>
    <w:rsid w:val="0006260D"/>
    <w:rsid w:val="00063BE7"/>
    <w:rsid w:val="00063E19"/>
    <w:rsid w:val="000669E7"/>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E67"/>
    <w:rsid w:val="000A0395"/>
    <w:rsid w:val="000A1E6D"/>
    <w:rsid w:val="000A2EDB"/>
    <w:rsid w:val="000A4279"/>
    <w:rsid w:val="000A48C2"/>
    <w:rsid w:val="000A4CEB"/>
    <w:rsid w:val="000A4D3E"/>
    <w:rsid w:val="000A4FEE"/>
    <w:rsid w:val="000A5E67"/>
    <w:rsid w:val="000A6E1A"/>
    <w:rsid w:val="000A792A"/>
    <w:rsid w:val="000B0B7C"/>
    <w:rsid w:val="000B0DFD"/>
    <w:rsid w:val="000B0FF9"/>
    <w:rsid w:val="000B1394"/>
    <w:rsid w:val="000B2130"/>
    <w:rsid w:val="000B2792"/>
    <w:rsid w:val="000B3EA3"/>
    <w:rsid w:val="000B45C6"/>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8CC"/>
    <w:rsid w:val="000D2C42"/>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5656"/>
    <w:rsid w:val="000E5F7C"/>
    <w:rsid w:val="000E6121"/>
    <w:rsid w:val="000E654C"/>
    <w:rsid w:val="000E725E"/>
    <w:rsid w:val="000E7DE1"/>
    <w:rsid w:val="000E7E12"/>
    <w:rsid w:val="000E7EC1"/>
    <w:rsid w:val="000F071A"/>
    <w:rsid w:val="000F1617"/>
    <w:rsid w:val="000F24AA"/>
    <w:rsid w:val="000F2D16"/>
    <w:rsid w:val="000F321A"/>
    <w:rsid w:val="000F4108"/>
    <w:rsid w:val="000F4903"/>
    <w:rsid w:val="000F4A2C"/>
    <w:rsid w:val="000F508D"/>
    <w:rsid w:val="000F5ECC"/>
    <w:rsid w:val="000F5ED0"/>
    <w:rsid w:val="000F6356"/>
    <w:rsid w:val="000F68E3"/>
    <w:rsid w:val="000F792D"/>
    <w:rsid w:val="000F7FD7"/>
    <w:rsid w:val="00100AC1"/>
    <w:rsid w:val="00100E96"/>
    <w:rsid w:val="001035B7"/>
    <w:rsid w:val="00103740"/>
    <w:rsid w:val="00104204"/>
    <w:rsid w:val="00104BD6"/>
    <w:rsid w:val="00104DE8"/>
    <w:rsid w:val="00106046"/>
    <w:rsid w:val="0011018F"/>
    <w:rsid w:val="00110EEF"/>
    <w:rsid w:val="0011108E"/>
    <w:rsid w:val="00111CCE"/>
    <w:rsid w:val="0011301F"/>
    <w:rsid w:val="001131C4"/>
    <w:rsid w:val="001134E7"/>
    <w:rsid w:val="0011352A"/>
    <w:rsid w:val="001136BD"/>
    <w:rsid w:val="001140A7"/>
    <w:rsid w:val="00114B6E"/>
    <w:rsid w:val="00114FFA"/>
    <w:rsid w:val="00116108"/>
    <w:rsid w:val="00116344"/>
    <w:rsid w:val="00116872"/>
    <w:rsid w:val="001169A0"/>
    <w:rsid w:val="00116CD8"/>
    <w:rsid w:val="00121374"/>
    <w:rsid w:val="00121399"/>
    <w:rsid w:val="001237A3"/>
    <w:rsid w:val="001253FF"/>
    <w:rsid w:val="0012725C"/>
    <w:rsid w:val="001302A2"/>
    <w:rsid w:val="00130A69"/>
    <w:rsid w:val="00130B6E"/>
    <w:rsid w:val="001311CD"/>
    <w:rsid w:val="0013385D"/>
    <w:rsid w:val="001343BC"/>
    <w:rsid w:val="00134510"/>
    <w:rsid w:val="001348BE"/>
    <w:rsid w:val="001350F7"/>
    <w:rsid w:val="00136A02"/>
    <w:rsid w:val="00136D52"/>
    <w:rsid w:val="00137077"/>
    <w:rsid w:val="001447E6"/>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69A7"/>
    <w:rsid w:val="00177B91"/>
    <w:rsid w:val="001804ED"/>
    <w:rsid w:val="00180AE3"/>
    <w:rsid w:val="0018188C"/>
    <w:rsid w:val="00181A4A"/>
    <w:rsid w:val="00182009"/>
    <w:rsid w:val="00182C58"/>
    <w:rsid w:val="00182F83"/>
    <w:rsid w:val="00183B64"/>
    <w:rsid w:val="0018450A"/>
    <w:rsid w:val="00184F4B"/>
    <w:rsid w:val="00186E84"/>
    <w:rsid w:val="0018767F"/>
    <w:rsid w:val="00187CB2"/>
    <w:rsid w:val="00190CC4"/>
    <w:rsid w:val="00191BEA"/>
    <w:rsid w:val="001931EE"/>
    <w:rsid w:val="00194B1C"/>
    <w:rsid w:val="001956B8"/>
    <w:rsid w:val="00196622"/>
    <w:rsid w:val="00196F14"/>
    <w:rsid w:val="00197C29"/>
    <w:rsid w:val="001A0D2B"/>
    <w:rsid w:val="001A11C8"/>
    <w:rsid w:val="001A13C1"/>
    <w:rsid w:val="001A1C71"/>
    <w:rsid w:val="001A2394"/>
    <w:rsid w:val="001A2F9F"/>
    <w:rsid w:val="001A38AF"/>
    <w:rsid w:val="001A397D"/>
    <w:rsid w:val="001A4508"/>
    <w:rsid w:val="001A4ABC"/>
    <w:rsid w:val="001A587B"/>
    <w:rsid w:val="001A63BF"/>
    <w:rsid w:val="001A6E40"/>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355B"/>
    <w:rsid w:val="001D54D6"/>
    <w:rsid w:val="001D5AF4"/>
    <w:rsid w:val="001D6E7E"/>
    <w:rsid w:val="001D7284"/>
    <w:rsid w:val="001D7547"/>
    <w:rsid w:val="001D7881"/>
    <w:rsid w:val="001D7D74"/>
    <w:rsid w:val="001E0085"/>
    <w:rsid w:val="001E0A9D"/>
    <w:rsid w:val="001E0E32"/>
    <w:rsid w:val="001E192F"/>
    <w:rsid w:val="001E2A65"/>
    <w:rsid w:val="001E2F52"/>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3BE"/>
    <w:rsid w:val="0020148B"/>
    <w:rsid w:val="002015BD"/>
    <w:rsid w:val="00201C5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AA"/>
    <w:rsid w:val="0022038A"/>
    <w:rsid w:val="00222170"/>
    <w:rsid w:val="00222C87"/>
    <w:rsid w:val="00223165"/>
    <w:rsid w:val="002237AA"/>
    <w:rsid w:val="002247AD"/>
    <w:rsid w:val="002247DB"/>
    <w:rsid w:val="00224CEA"/>
    <w:rsid w:val="00224D5A"/>
    <w:rsid w:val="00226528"/>
    <w:rsid w:val="002269CD"/>
    <w:rsid w:val="00226F7F"/>
    <w:rsid w:val="002271B8"/>
    <w:rsid w:val="00227B50"/>
    <w:rsid w:val="0023081D"/>
    <w:rsid w:val="0023140B"/>
    <w:rsid w:val="00231F8F"/>
    <w:rsid w:val="00232A13"/>
    <w:rsid w:val="002338FF"/>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BA7"/>
    <w:rsid w:val="00254C33"/>
    <w:rsid w:val="00255A5A"/>
    <w:rsid w:val="00255C16"/>
    <w:rsid w:val="00256291"/>
    <w:rsid w:val="0025681F"/>
    <w:rsid w:val="00256EB6"/>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59A9"/>
    <w:rsid w:val="0027611F"/>
    <w:rsid w:val="00277177"/>
    <w:rsid w:val="002771C6"/>
    <w:rsid w:val="00280973"/>
    <w:rsid w:val="00280CF4"/>
    <w:rsid w:val="00280F6D"/>
    <w:rsid w:val="002816F2"/>
    <w:rsid w:val="002819D7"/>
    <w:rsid w:val="00281ADF"/>
    <w:rsid w:val="00282192"/>
    <w:rsid w:val="0028282D"/>
    <w:rsid w:val="00282B27"/>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A583F"/>
    <w:rsid w:val="002A7A04"/>
    <w:rsid w:val="002B03AD"/>
    <w:rsid w:val="002B1216"/>
    <w:rsid w:val="002B3D2F"/>
    <w:rsid w:val="002B3E46"/>
    <w:rsid w:val="002B4299"/>
    <w:rsid w:val="002B4582"/>
    <w:rsid w:val="002B4B0D"/>
    <w:rsid w:val="002B5323"/>
    <w:rsid w:val="002B5DEB"/>
    <w:rsid w:val="002B6F27"/>
    <w:rsid w:val="002B7B49"/>
    <w:rsid w:val="002C09EC"/>
    <w:rsid w:val="002C0CC7"/>
    <w:rsid w:val="002C1A7E"/>
    <w:rsid w:val="002C1EB0"/>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5776"/>
    <w:rsid w:val="002D6B0B"/>
    <w:rsid w:val="002D73FA"/>
    <w:rsid w:val="002D75B8"/>
    <w:rsid w:val="002D7674"/>
    <w:rsid w:val="002E137B"/>
    <w:rsid w:val="002E2146"/>
    <w:rsid w:val="002E25FB"/>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23C"/>
    <w:rsid w:val="00311AAA"/>
    <w:rsid w:val="00311EB9"/>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523A"/>
    <w:rsid w:val="0032535C"/>
    <w:rsid w:val="0032539E"/>
    <w:rsid w:val="0032567D"/>
    <w:rsid w:val="00325875"/>
    <w:rsid w:val="00325F0E"/>
    <w:rsid w:val="003263CE"/>
    <w:rsid w:val="00327625"/>
    <w:rsid w:val="00327AC3"/>
    <w:rsid w:val="003303EC"/>
    <w:rsid w:val="003315DC"/>
    <w:rsid w:val="00331D51"/>
    <w:rsid w:val="00331E1E"/>
    <w:rsid w:val="003328B7"/>
    <w:rsid w:val="00333503"/>
    <w:rsid w:val="00334A54"/>
    <w:rsid w:val="00334CAE"/>
    <w:rsid w:val="00334ED8"/>
    <w:rsid w:val="00337126"/>
    <w:rsid w:val="00337789"/>
    <w:rsid w:val="003408D2"/>
    <w:rsid w:val="00341876"/>
    <w:rsid w:val="003418B0"/>
    <w:rsid w:val="00342CC8"/>
    <w:rsid w:val="00343214"/>
    <w:rsid w:val="003479CD"/>
    <w:rsid w:val="003503B7"/>
    <w:rsid w:val="00350A05"/>
    <w:rsid w:val="00350C3C"/>
    <w:rsid w:val="00350DA4"/>
    <w:rsid w:val="0035176E"/>
    <w:rsid w:val="00351C19"/>
    <w:rsid w:val="003522D7"/>
    <w:rsid w:val="00352BE3"/>
    <w:rsid w:val="003537AD"/>
    <w:rsid w:val="00353E7F"/>
    <w:rsid w:val="003541C0"/>
    <w:rsid w:val="003544E5"/>
    <w:rsid w:val="00354FE1"/>
    <w:rsid w:val="00356112"/>
    <w:rsid w:val="00356A25"/>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A1C"/>
    <w:rsid w:val="00390BA5"/>
    <w:rsid w:val="00393715"/>
    <w:rsid w:val="00394CCB"/>
    <w:rsid w:val="00394E99"/>
    <w:rsid w:val="0039655C"/>
    <w:rsid w:val="00396757"/>
    <w:rsid w:val="00396B70"/>
    <w:rsid w:val="00397BD5"/>
    <w:rsid w:val="00397CD4"/>
    <w:rsid w:val="00397E31"/>
    <w:rsid w:val="003A047B"/>
    <w:rsid w:val="003A0872"/>
    <w:rsid w:val="003A10AA"/>
    <w:rsid w:val="003A1F06"/>
    <w:rsid w:val="003A2699"/>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5200"/>
    <w:rsid w:val="003D7EDA"/>
    <w:rsid w:val="003E06BB"/>
    <w:rsid w:val="003E0F65"/>
    <w:rsid w:val="003E12C9"/>
    <w:rsid w:val="003E1BFF"/>
    <w:rsid w:val="003E2F9B"/>
    <w:rsid w:val="003E3BF1"/>
    <w:rsid w:val="003E4F5A"/>
    <w:rsid w:val="003E5E2E"/>
    <w:rsid w:val="003E6116"/>
    <w:rsid w:val="003E6372"/>
    <w:rsid w:val="003E68FB"/>
    <w:rsid w:val="003E6C12"/>
    <w:rsid w:val="003F00E3"/>
    <w:rsid w:val="003F0601"/>
    <w:rsid w:val="003F0AF7"/>
    <w:rsid w:val="003F0E44"/>
    <w:rsid w:val="003F2268"/>
    <w:rsid w:val="003F426C"/>
    <w:rsid w:val="003F5829"/>
    <w:rsid w:val="003F603D"/>
    <w:rsid w:val="003F6819"/>
    <w:rsid w:val="003F79C4"/>
    <w:rsid w:val="003F7C67"/>
    <w:rsid w:val="004011F3"/>
    <w:rsid w:val="0040147E"/>
    <w:rsid w:val="00401DA7"/>
    <w:rsid w:val="00401E13"/>
    <w:rsid w:val="00402005"/>
    <w:rsid w:val="00402ECF"/>
    <w:rsid w:val="00402F33"/>
    <w:rsid w:val="00403439"/>
    <w:rsid w:val="00403555"/>
    <w:rsid w:val="00405163"/>
    <w:rsid w:val="00405A7D"/>
    <w:rsid w:val="004068BE"/>
    <w:rsid w:val="004075B6"/>
    <w:rsid w:val="00410E3E"/>
    <w:rsid w:val="004113F2"/>
    <w:rsid w:val="00411D73"/>
    <w:rsid w:val="004136FF"/>
    <w:rsid w:val="004140D5"/>
    <w:rsid w:val="0041431E"/>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3081"/>
    <w:rsid w:val="00443083"/>
    <w:rsid w:val="004433EC"/>
    <w:rsid w:val="00443584"/>
    <w:rsid w:val="00443C46"/>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5D1A"/>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CBD"/>
    <w:rsid w:val="004801C8"/>
    <w:rsid w:val="0048066A"/>
    <w:rsid w:val="00480E8D"/>
    <w:rsid w:val="00480FEC"/>
    <w:rsid w:val="00482097"/>
    <w:rsid w:val="00482B20"/>
    <w:rsid w:val="00482BB3"/>
    <w:rsid w:val="004830A9"/>
    <w:rsid w:val="0048348A"/>
    <w:rsid w:val="00483678"/>
    <w:rsid w:val="00484BBD"/>
    <w:rsid w:val="00486491"/>
    <w:rsid w:val="004867C3"/>
    <w:rsid w:val="00486F94"/>
    <w:rsid w:val="00491FE8"/>
    <w:rsid w:val="0049307F"/>
    <w:rsid w:val="00493A6F"/>
    <w:rsid w:val="004953C7"/>
    <w:rsid w:val="00496397"/>
    <w:rsid w:val="004967DD"/>
    <w:rsid w:val="00497F9E"/>
    <w:rsid w:val="004A03EA"/>
    <w:rsid w:val="004A302A"/>
    <w:rsid w:val="004A319A"/>
    <w:rsid w:val="004A323C"/>
    <w:rsid w:val="004A3748"/>
    <w:rsid w:val="004A38F9"/>
    <w:rsid w:val="004A3FD7"/>
    <w:rsid w:val="004A3FD9"/>
    <w:rsid w:val="004A52CA"/>
    <w:rsid w:val="004A53E9"/>
    <w:rsid w:val="004A6FBC"/>
    <w:rsid w:val="004A7C2A"/>
    <w:rsid w:val="004B0805"/>
    <w:rsid w:val="004B08D9"/>
    <w:rsid w:val="004B130A"/>
    <w:rsid w:val="004B171F"/>
    <w:rsid w:val="004B3FDC"/>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466"/>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92A"/>
    <w:rsid w:val="00520A8F"/>
    <w:rsid w:val="00521143"/>
    <w:rsid w:val="005219C7"/>
    <w:rsid w:val="00522D8D"/>
    <w:rsid w:val="00523770"/>
    <w:rsid w:val="00523996"/>
    <w:rsid w:val="00524E32"/>
    <w:rsid w:val="005252FD"/>
    <w:rsid w:val="005255D3"/>
    <w:rsid w:val="00526BF9"/>
    <w:rsid w:val="00527074"/>
    <w:rsid w:val="00531386"/>
    <w:rsid w:val="0053187F"/>
    <w:rsid w:val="00531F80"/>
    <w:rsid w:val="005326BE"/>
    <w:rsid w:val="00533727"/>
    <w:rsid w:val="00533B83"/>
    <w:rsid w:val="0053493B"/>
    <w:rsid w:val="0053603A"/>
    <w:rsid w:val="005360F2"/>
    <w:rsid w:val="00536153"/>
    <w:rsid w:val="005362E1"/>
    <w:rsid w:val="005377D0"/>
    <w:rsid w:val="005402F7"/>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8BC"/>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64DA"/>
    <w:rsid w:val="00577489"/>
    <w:rsid w:val="00581794"/>
    <w:rsid w:val="00581EED"/>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489F"/>
    <w:rsid w:val="005A5C67"/>
    <w:rsid w:val="005A6290"/>
    <w:rsid w:val="005A6C72"/>
    <w:rsid w:val="005A6E4F"/>
    <w:rsid w:val="005A77A7"/>
    <w:rsid w:val="005B0493"/>
    <w:rsid w:val="005B0BD6"/>
    <w:rsid w:val="005B0C31"/>
    <w:rsid w:val="005B103D"/>
    <w:rsid w:val="005B1485"/>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F5C"/>
    <w:rsid w:val="005F0331"/>
    <w:rsid w:val="005F084B"/>
    <w:rsid w:val="005F12C3"/>
    <w:rsid w:val="005F1EF4"/>
    <w:rsid w:val="005F309F"/>
    <w:rsid w:val="005F5EF6"/>
    <w:rsid w:val="005F7F24"/>
    <w:rsid w:val="00600413"/>
    <w:rsid w:val="00600802"/>
    <w:rsid w:val="00601420"/>
    <w:rsid w:val="00601D97"/>
    <w:rsid w:val="0060217D"/>
    <w:rsid w:val="00602BF9"/>
    <w:rsid w:val="0060329E"/>
    <w:rsid w:val="006037B0"/>
    <w:rsid w:val="0060492D"/>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30902"/>
    <w:rsid w:val="00630987"/>
    <w:rsid w:val="00630EF1"/>
    <w:rsid w:val="00631046"/>
    <w:rsid w:val="006325A8"/>
    <w:rsid w:val="00632D1D"/>
    <w:rsid w:val="00632DF3"/>
    <w:rsid w:val="00632F70"/>
    <w:rsid w:val="0063337A"/>
    <w:rsid w:val="0063374A"/>
    <w:rsid w:val="006345EF"/>
    <w:rsid w:val="00635777"/>
    <w:rsid w:val="006367F8"/>
    <w:rsid w:val="00636AE2"/>
    <w:rsid w:val="00636E3E"/>
    <w:rsid w:val="00637B57"/>
    <w:rsid w:val="00637C90"/>
    <w:rsid w:val="00640495"/>
    <w:rsid w:val="00640637"/>
    <w:rsid w:val="00640BE4"/>
    <w:rsid w:val="00640E39"/>
    <w:rsid w:val="00641180"/>
    <w:rsid w:val="00642012"/>
    <w:rsid w:val="00643B62"/>
    <w:rsid w:val="006451A2"/>
    <w:rsid w:val="0064524B"/>
    <w:rsid w:val="00645A68"/>
    <w:rsid w:val="00646546"/>
    <w:rsid w:val="00646A63"/>
    <w:rsid w:val="006474BE"/>
    <w:rsid w:val="006478F0"/>
    <w:rsid w:val="0065082A"/>
    <w:rsid w:val="00651133"/>
    <w:rsid w:val="00651CC5"/>
    <w:rsid w:val="0065336A"/>
    <w:rsid w:val="006538DD"/>
    <w:rsid w:val="00654978"/>
    <w:rsid w:val="00654AAE"/>
    <w:rsid w:val="0065536E"/>
    <w:rsid w:val="0065588B"/>
    <w:rsid w:val="00655B1E"/>
    <w:rsid w:val="006569AD"/>
    <w:rsid w:val="006572BC"/>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373"/>
    <w:rsid w:val="00686881"/>
    <w:rsid w:val="006875CA"/>
    <w:rsid w:val="00687FC1"/>
    <w:rsid w:val="006900FC"/>
    <w:rsid w:val="00690502"/>
    <w:rsid w:val="00690987"/>
    <w:rsid w:val="0069194C"/>
    <w:rsid w:val="006921E1"/>
    <w:rsid w:val="006928CF"/>
    <w:rsid w:val="0069653C"/>
    <w:rsid w:val="0069726A"/>
    <w:rsid w:val="00697A5B"/>
    <w:rsid w:val="00697D0D"/>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B0BE3"/>
    <w:rsid w:val="006B1325"/>
    <w:rsid w:val="006B1553"/>
    <w:rsid w:val="006B1567"/>
    <w:rsid w:val="006B2683"/>
    <w:rsid w:val="006B2D63"/>
    <w:rsid w:val="006B30D4"/>
    <w:rsid w:val="006B3E39"/>
    <w:rsid w:val="006B40F3"/>
    <w:rsid w:val="006B4946"/>
    <w:rsid w:val="006B554D"/>
    <w:rsid w:val="006B5DA6"/>
    <w:rsid w:val="006B6A42"/>
    <w:rsid w:val="006B6EBF"/>
    <w:rsid w:val="006B7882"/>
    <w:rsid w:val="006C000B"/>
    <w:rsid w:val="006C0B15"/>
    <w:rsid w:val="006C1746"/>
    <w:rsid w:val="006C1B6D"/>
    <w:rsid w:val="006C214B"/>
    <w:rsid w:val="006C2219"/>
    <w:rsid w:val="006C2E23"/>
    <w:rsid w:val="006C2FAC"/>
    <w:rsid w:val="006C3222"/>
    <w:rsid w:val="006C35A0"/>
    <w:rsid w:val="006C3658"/>
    <w:rsid w:val="006C394B"/>
    <w:rsid w:val="006C40A4"/>
    <w:rsid w:val="006C4D7B"/>
    <w:rsid w:val="006C6AA7"/>
    <w:rsid w:val="006C73A9"/>
    <w:rsid w:val="006C75BB"/>
    <w:rsid w:val="006C7B86"/>
    <w:rsid w:val="006D2446"/>
    <w:rsid w:val="006D2A09"/>
    <w:rsid w:val="006D3D7F"/>
    <w:rsid w:val="006D4126"/>
    <w:rsid w:val="006D50CB"/>
    <w:rsid w:val="006D58E9"/>
    <w:rsid w:val="006D5D86"/>
    <w:rsid w:val="006D5EC8"/>
    <w:rsid w:val="006D5F11"/>
    <w:rsid w:val="006D68EF"/>
    <w:rsid w:val="006D6DA2"/>
    <w:rsid w:val="006D6F91"/>
    <w:rsid w:val="006D74CB"/>
    <w:rsid w:val="006E0F91"/>
    <w:rsid w:val="006E1B3F"/>
    <w:rsid w:val="006E1B53"/>
    <w:rsid w:val="006E2856"/>
    <w:rsid w:val="006E4665"/>
    <w:rsid w:val="006E49EF"/>
    <w:rsid w:val="006E4F5F"/>
    <w:rsid w:val="006E5370"/>
    <w:rsid w:val="006E54EC"/>
    <w:rsid w:val="006E5881"/>
    <w:rsid w:val="006E6085"/>
    <w:rsid w:val="006E6B3B"/>
    <w:rsid w:val="006E6F4A"/>
    <w:rsid w:val="006E7ABA"/>
    <w:rsid w:val="006F1CD8"/>
    <w:rsid w:val="006F2546"/>
    <w:rsid w:val="006F30BE"/>
    <w:rsid w:val="006F3BE2"/>
    <w:rsid w:val="006F3EFF"/>
    <w:rsid w:val="006F495B"/>
    <w:rsid w:val="006F4B25"/>
    <w:rsid w:val="006F531B"/>
    <w:rsid w:val="006F6496"/>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1119"/>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39A7"/>
    <w:rsid w:val="007539C5"/>
    <w:rsid w:val="00755326"/>
    <w:rsid w:val="00755543"/>
    <w:rsid w:val="0075661F"/>
    <w:rsid w:val="00756A5E"/>
    <w:rsid w:val="00756D26"/>
    <w:rsid w:val="007571FD"/>
    <w:rsid w:val="00757DDF"/>
    <w:rsid w:val="00757DF9"/>
    <w:rsid w:val="00760908"/>
    <w:rsid w:val="00760CC2"/>
    <w:rsid w:val="0076114C"/>
    <w:rsid w:val="00762787"/>
    <w:rsid w:val="00763944"/>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72"/>
    <w:rsid w:val="007A2CDD"/>
    <w:rsid w:val="007A3A2F"/>
    <w:rsid w:val="007A3BB0"/>
    <w:rsid w:val="007A4088"/>
    <w:rsid w:val="007A425C"/>
    <w:rsid w:val="007A5086"/>
    <w:rsid w:val="007A72AA"/>
    <w:rsid w:val="007A7AC3"/>
    <w:rsid w:val="007B2A9F"/>
    <w:rsid w:val="007B34AB"/>
    <w:rsid w:val="007B43A1"/>
    <w:rsid w:val="007B4D14"/>
    <w:rsid w:val="007B6434"/>
    <w:rsid w:val="007B744C"/>
    <w:rsid w:val="007B79A0"/>
    <w:rsid w:val="007B7DC1"/>
    <w:rsid w:val="007C0E6A"/>
    <w:rsid w:val="007C12FB"/>
    <w:rsid w:val="007C1C4D"/>
    <w:rsid w:val="007C305C"/>
    <w:rsid w:val="007C54F6"/>
    <w:rsid w:val="007C5FAB"/>
    <w:rsid w:val="007C6172"/>
    <w:rsid w:val="007C63DF"/>
    <w:rsid w:val="007C65CB"/>
    <w:rsid w:val="007C67AB"/>
    <w:rsid w:val="007C7754"/>
    <w:rsid w:val="007C7E4D"/>
    <w:rsid w:val="007D0457"/>
    <w:rsid w:val="007D0578"/>
    <w:rsid w:val="007D0755"/>
    <w:rsid w:val="007D1BFE"/>
    <w:rsid w:val="007D297B"/>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DE"/>
    <w:rsid w:val="007E090F"/>
    <w:rsid w:val="007E0F9A"/>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4ED3"/>
    <w:rsid w:val="007F61BA"/>
    <w:rsid w:val="007F6555"/>
    <w:rsid w:val="007F6671"/>
    <w:rsid w:val="007F787A"/>
    <w:rsid w:val="00801E07"/>
    <w:rsid w:val="00801E48"/>
    <w:rsid w:val="0080266C"/>
    <w:rsid w:val="00802815"/>
    <w:rsid w:val="008045A1"/>
    <w:rsid w:val="00804E27"/>
    <w:rsid w:val="008057D9"/>
    <w:rsid w:val="00805FF0"/>
    <w:rsid w:val="0080602B"/>
    <w:rsid w:val="00806FAA"/>
    <w:rsid w:val="00807433"/>
    <w:rsid w:val="00810168"/>
    <w:rsid w:val="008103E8"/>
    <w:rsid w:val="00810EC8"/>
    <w:rsid w:val="008113C6"/>
    <w:rsid w:val="0081146B"/>
    <w:rsid w:val="00812C36"/>
    <w:rsid w:val="00813B67"/>
    <w:rsid w:val="00813EED"/>
    <w:rsid w:val="0081490E"/>
    <w:rsid w:val="00814E05"/>
    <w:rsid w:val="008159B5"/>
    <w:rsid w:val="00815A44"/>
    <w:rsid w:val="00816677"/>
    <w:rsid w:val="00816FCD"/>
    <w:rsid w:val="00820158"/>
    <w:rsid w:val="00820A8A"/>
    <w:rsid w:val="00820DD1"/>
    <w:rsid w:val="00821296"/>
    <w:rsid w:val="00822179"/>
    <w:rsid w:val="00822901"/>
    <w:rsid w:val="0082425B"/>
    <w:rsid w:val="00824E03"/>
    <w:rsid w:val="00825597"/>
    <w:rsid w:val="0082586A"/>
    <w:rsid w:val="00825A03"/>
    <w:rsid w:val="00826444"/>
    <w:rsid w:val="00826445"/>
    <w:rsid w:val="00826930"/>
    <w:rsid w:val="00826B19"/>
    <w:rsid w:val="00826D99"/>
    <w:rsid w:val="00826DF2"/>
    <w:rsid w:val="008308D2"/>
    <w:rsid w:val="00832FB7"/>
    <w:rsid w:val="00833315"/>
    <w:rsid w:val="008338EB"/>
    <w:rsid w:val="00834713"/>
    <w:rsid w:val="00837398"/>
    <w:rsid w:val="00837A3B"/>
    <w:rsid w:val="00840612"/>
    <w:rsid w:val="00842872"/>
    <w:rsid w:val="008433E6"/>
    <w:rsid w:val="00843AC3"/>
    <w:rsid w:val="00844B6A"/>
    <w:rsid w:val="00845325"/>
    <w:rsid w:val="008456A8"/>
    <w:rsid w:val="00850ABF"/>
    <w:rsid w:val="008517C8"/>
    <w:rsid w:val="008541ED"/>
    <w:rsid w:val="0085566B"/>
    <w:rsid w:val="0085598A"/>
    <w:rsid w:val="00855C44"/>
    <w:rsid w:val="00855E40"/>
    <w:rsid w:val="00856635"/>
    <w:rsid w:val="008568E7"/>
    <w:rsid w:val="00856FDC"/>
    <w:rsid w:val="00857B3A"/>
    <w:rsid w:val="00860013"/>
    <w:rsid w:val="008610A9"/>
    <w:rsid w:val="00861B92"/>
    <w:rsid w:val="00862B23"/>
    <w:rsid w:val="008635F6"/>
    <w:rsid w:val="00864C2A"/>
    <w:rsid w:val="00865647"/>
    <w:rsid w:val="00866159"/>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D25"/>
    <w:rsid w:val="0087623B"/>
    <w:rsid w:val="00876C6A"/>
    <w:rsid w:val="0087729F"/>
    <w:rsid w:val="008775D5"/>
    <w:rsid w:val="008814FB"/>
    <w:rsid w:val="00881BCD"/>
    <w:rsid w:val="0088342D"/>
    <w:rsid w:val="00883D17"/>
    <w:rsid w:val="00885131"/>
    <w:rsid w:val="0088521A"/>
    <w:rsid w:val="00886165"/>
    <w:rsid w:val="0088695D"/>
    <w:rsid w:val="008869B1"/>
    <w:rsid w:val="0089189C"/>
    <w:rsid w:val="008919E6"/>
    <w:rsid w:val="00892B11"/>
    <w:rsid w:val="00892CCE"/>
    <w:rsid w:val="00892DDD"/>
    <w:rsid w:val="00894866"/>
    <w:rsid w:val="00894894"/>
    <w:rsid w:val="008953F9"/>
    <w:rsid w:val="00896325"/>
    <w:rsid w:val="00896DF2"/>
    <w:rsid w:val="00897931"/>
    <w:rsid w:val="008A1D4D"/>
    <w:rsid w:val="008A3679"/>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578"/>
    <w:rsid w:val="008E4AF6"/>
    <w:rsid w:val="008E4B09"/>
    <w:rsid w:val="008F028C"/>
    <w:rsid w:val="008F0292"/>
    <w:rsid w:val="008F2DB6"/>
    <w:rsid w:val="008F34BF"/>
    <w:rsid w:val="008F5743"/>
    <w:rsid w:val="008F5E30"/>
    <w:rsid w:val="008F6CD0"/>
    <w:rsid w:val="008F6F03"/>
    <w:rsid w:val="008F73FA"/>
    <w:rsid w:val="008F7D10"/>
    <w:rsid w:val="009008B8"/>
    <w:rsid w:val="00901016"/>
    <w:rsid w:val="00901C8C"/>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682A"/>
    <w:rsid w:val="00927154"/>
    <w:rsid w:val="009272DC"/>
    <w:rsid w:val="00931120"/>
    <w:rsid w:val="00932268"/>
    <w:rsid w:val="00932840"/>
    <w:rsid w:val="00933175"/>
    <w:rsid w:val="009332F5"/>
    <w:rsid w:val="0093341E"/>
    <w:rsid w:val="0093375A"/>
    <w:rsid w:val="00934391"/>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19BC"/>
    <w:rsid w:val="0096300D"/>
    <w:rsid w:val="0096356D"/>
    <w:rsid w:val="00964350"/>
    <w:rsid w:val="00964C03"/>
    <w:rsid w:val="009660C9"/>
    <w:rsid w:val="00966E36"/>
    <w:rsid w:val="009672B4"/>
    <w:rsid w:val="009715C3"/>
    <w:rsid w:val="009719CB"/>
    <w:rsid w:val="00971EB7"/>
    <w:rsid w:val="00974141"/>
    <w:rsid w:val="00974715"/>
    <w:rsid w:val="009749A9"/>
    <w:rsid w:val="0097530B"/>
    <w:rsid w:val="00975323"/>
    <w:rsid w:val="00975C12"/>
    <w:rsid w:val="0097696C"/>
    <w:rsid w:val="00976CDC"/>
    <w:rsid w:val="00977522"/>
    <w:rsid w:val="0098092C"/>
    <w:rsid w:val="009812D5"/>
    <w:rsid w:val="0098273D"/>
    <w:rsid w:val="00982837"/>
    <w:rsid w:val="00983CD4"/>
    <w:rsid w:val="00984BFA"/>
    <w:rsid w:val="00984C68"/>
    <w:rsid w:val="0098533D"/>
    <w:rsid w:val="00985AC0"/>
    <w:rsid w:val="00990CF9"/>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14F7"/>
    <w:rsid w:val="009B2939"/>
    <w:rsid w:val="009B3464"/>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C68F4"/>
    <w:rsid w:val="009C7812"/>
    <w:rsid w:val="009D0230"/>
    <w:rsid w:val="009D0E71"/>
    <w:rsid w:val="009D13C2"/>
    <w:rsid w:val="009D14E0"/>
    <w:rsid w:val="009D184F"/>
    <w:rsid w:val="009D1A8C"/>
    <w:rsid w:val="009D1B6B"/>
    <w:rsid w:val="009D295A"/>
    <w:rsid w:val="009D3A79"/>
    <w:rsid w:val="009D3E0D"/>
    <w:rsid w:val="009D43B7"/>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80B"/>
    <w:rsid w:val="009E6DD9"/>
    <w:rsid w:val="009E7BD3"/>
    <w:rsid w:val="009F1851"/>
    <w:rsid w:val="009F1979"/>
    <w:rsid w:val="009F1C75"/>
    <w:rsid w:val="009F2DDD"/>
    <w:rsid w:val="009F3C77"/>
    <w:rsid w:val="009F5193"/>
    <w:rsid w:val="009F6109"/>
    <w:rsid w:val="009F61CE"/>
    <w:rsid w:val="009F69A2"/>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CD1"/>
    <w:rsid w:val="00A10DD0"/>
    <w:rsid w:val="00A1181E"/>
    <w:rsid w:val="00A1276C"/>
    <w:rsid w:val="00A12799"/>
    <w:rsid w:val="00A15408"/>
    <w:rsid w:val="00A15A1F"/>
    <w:rsid w:val="00A166CF"/>
    <w:rsid w:val="00A169B1"/>
    <w:rsid w:val="00A16A12"/>
    <w:rsid w:val="00A16C96"/>
    <w:rsid w:val="00A170A1"/>
    <w:rsid w:val="00A17930"/>
    <w:rsid w:val="00A205F3"/>
    <w:rsid w:val="00A210B5"/>
    <w:rsid w:val="00A21286"/>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152"/>
    <w:rsid w:val="00A46645"/>
    <w:rsid w:val="00A46EBB"/>
    <w:rsid w:val="00A46FD3"/>
    <w:rsid w:val="00A47341"/>
    <w:rsid w:val="00A478EC"/>
    <w:rsid w:val="00A47CC3"/>
    <w:rsid w:val="00A504E7"/>
    <w:rsid w:val="00A50B4E"/>
    <w:rsid w:val="00A5136B"/>
    <w:rsid w:val="00A51491"/>
    <w:rsid w:val="00A5355C"/>
    <w:rsid w:val="00A54727"/>
    <w:rsid w:val="00A5494E"/>
    <w:rsid w:val="00A5766E"/>
    <w:rsid w:val="00A57D0D"/>
    <w:rsid w:val="00A6091A"/>
    <w:rsid w:val="00A610C9"/>
    <w:rsid w:val="00A63F06"/>
    <w:rsid w:val="00A6420C"/>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5FB4"/>
    <w:rsid w:val="00A77DE5"/>
    <w:rsid w:val="00A80937"/>
    <w:rsid w:val="00A81221"/>
    <w:rsid w:val="00A82275"/>
    <w:rsid w:val="00A836CD"/>
    <w:rsid w:val="00A83E09"/>
    <w:rsid w:val="00A848D4"/>
    <w:rsid w:val="00A84EE0"/>
    <w:rsid w:val="00A865EC"/>
    <w:rsid w:val="00A8751F"/>
    <w:rsid w:val="00A9007A"/>
    <w:rsid w:val="00A903AC"/>
    <w:rsid w:val="00A91492"/>
    <w:rsid w:val="00A91E17"/>
    <w:rsid w:val="00A9397D"/>
    <w:rsid w:val="00A940F8"/>
    <w:rsid w:val="00A946A9"/>
    <w:rsid w:val="00A94B77"/>
    <w:rsid w:val="00A94C02"/>
    <w:rsid w:val="00A9509B"/>
    <w:rsid w:val="00A9545D"/>
    <w:rsid w:val="00A9682D"/>
    <w:rsid w:val="00AA203A"/>
    <w:rsid w:val="00AA24C1"/>
    <w:rsid w:val="00AA3035"/>
    <w:rsid w:val="00AA4D67"/>
    <w:rsid w:val="00AA5E26"/>
    <w:rsid w:val="00AA7130"/>
    <w:rsid w:val="00AA719A"/>
    <w:rsid w:val="00AB11C4"/>
    <w:rsid w:val="00AB1356"/>
    <w:rsid w:val="00AB1417"/>
    <w:rsid w:val="00AB17D5"/>
    <w:rsid w:val="00AB20DE"/>
    <w:rsid w:val="00AB4415"/>
    <w:rsid w:val="00AB4C02"/>
    <w:rsid w:val="00AB5270"/>
    <w:rsid w:val="00AB5365"/>
    <w:rsid w:val="00AB74C7"/>
    <w:rsid w:val="00AC148F"/>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A57"/>
    <w:rsid w:val="00AF6295"/>
    <w:rsid w:val="00AF6C0C"/>
    <w:rsid w:val="00AF7053"/>
    <w:rsid w:val="00AF7542"/>
    <w:rsid w:val="00AF7BCF"/>
    <w:rsid w:val="00B00797"/>
    <w:rsid w:val="00B01423"/>
    <w:rsid w:val="00B017A9"/>
    <w:rsid w:val="00B01B8C"/>
    <w:rsid w:val="00B02E55"/>
    <w:rsid w:val="00B030C6"/>
    <w:rsid w:val="00B036C1"/>
    <w:rsid w:val="00B03801"/>
    <w:rsid w:val="00B03AB7"/>
    <w:rsid w:val="00B0424B"/>
    <w:rsid w:val="00B0446A"/>
    <w:rsid w:val="00B04AC3"/>
    <w:rsid w:val="00B04EBB"/>
    <w:rsid w:val="00B05219"/>
    <w:rsid w:val="00B0555C"/>
    <w:rsid w:val="00B05868"/>
    <w:rsid w:val="00B06C37"/>
    <w:rsid w:val="00B071B3"/>
    <w:rsid w:val="00B07A8B"/>
    <w:rsid w:val="00B10773"/>
    <w:rsid w:val="00B10D8C"/>
    <w:rsid w:val="00B1173D"/>
    <w:rsid w:val="00B12427"/>
    <w:rsid w:val="00B12D48"/>
    <w:rsid w:val="00B136CB"/>
    <w:rsid w:val="00B13F30"/>
    <w:rsid w:val="00B14F04"/>
    <w:rsid w:val="00B15750"/>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74AF"/>
    <w:rsid w:val="00B37B02"/>
    <w:rsid w:val="00B40464"/>
    <w:rsid w:val="00B40A6D"/>
    <w:rsid w:val="00B435A5"/>
    <w:rsid w:val="00B437C3"/>
    <w:rsid w:val="00B43F28"/>
    <w:rsid w:val="00B448B1"/>
    <w:rsid w:val="00B465E1"/>
    <w:rsid w:val="00B46C0A"/>
    <w:rsid w:val="00B471CE"/>
    <w:rsid w:val="00B4722F"/>
    <w:rsid w:val="00B4756E"/>
    <w:rsid w:val="00B47631"/>
    <w:rsid w:val="00B47DC4"/>
    <w:rsid w:val="00B506FF"/>
    <w:rsid w:val="00B50760"/>
    <w:rsid w:val="00B51FD9"/>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1259"/>
    <w:rsid w:val="00B61343"/>
    <w:rsid w:val="00B62510"/>
    <w:rsid w:val="00B63D8A"/>
    <w:rsid w:val="00B63ED4"/>
    <w:rsid w:val="00B64867"/>
    <w:rsid w:val="00B64DB5"/>
    <w:rsid w:val="00B64FFE"/>
    <w:rsid w:val="00B65237"/>
    <w:rsid w:val="00B65336"/>
    <w:rsid w:val="00B663DF"/>
    <w:rsid w:val="00B66A77"/>
    <w:rsid w:val="00B67599"/>
    <w:rsid w:val="00B70313"/>
    <w:rsid w:val="00B70AD1"/>
    <w:rsid w:val="00B70B16"/>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3436"/>
    <w:rsid w:val="00B84AC1"/>
    <w:rsid w:val="00B85554"/>
    <w:rsid w:val="00B8622F"/>
    <w:rsid w:val="00B8653A"/>
    <w:rsid w:val="00B90073"/>
    <w:rsid w:val="00B904D9"/>
    <w:rsid w:val="00B919DE"/>
    <w:rsid w:val="00B92BC4"/>
    <w:rsid w:val="00B9349A"/>
    <w:rsid w:val="00B94951"/>
    <w:rsid w:val="00B95724"/>
    <w:rsid w:val="00BA071A"/>
    <w:rsid w:val="00BA07FD"/>
    <w:rsid w:val="00BA1B9B"/>
    <w:rsid w:val="00BA2D27"/>
    <w:rsid w:val="00BA3EBE"/>
    <w:rsid w:val="00BA3FF6"/>
    <w:rsid w:val="00BA49F0"/>
    <w:rsid w:val="00BA55F5"/>
    <w:rsid w:val="00BA5BD5"/>
    <w:rsid w:val="00BA5C54"/>
    <w:rsid w:val="00BA6418"/>
    <w:rsid w:val="00BA6D66"/>
    <w:rsid w:val="00BA784B"/>
    <w:rsid w:val="00BA7CBD"/>
    <w:rsid w:val="00BB32D9"/>
    <w:rsid w:val="00BB332F"/>
    <w:rsid w:val="00BB4449"/>
    <w:rsid w:val="00BB4A54"/>
    <w:rsid w:val="00BB6DCE"/>
    <w:rsid w:val="00BB73BD"/>
    <w:rsid w:val="00BC09A4"/>
    <w:rsid w:val="00BC0C90"/>
    <w:rsid w:val="00BC1476"/>
    <w:rsid w:val="00BC2A0B"/>
    <w:rsid w:val="00BC324D"/>
    <w:rsid w:val="00BC337E"/>
    <w:rsid w:val="00BC5264"/>
    <w:rsid w:val="00BC57BA"/>
    <w:rsid w:val="00BC620C"/>
    <w:rsid w:val="00BC6548"/>
    <w:rsid w:val="00BC6B06"/>
    <w:rsid w:val="00BC778E"/>
    <w:rsid w:val="00BD106A"/>
    <w:rsid w:val="00BD10EC"/>
    <w:rsid w:val="00BD2933"/>
    <w:rsid w:val="00BD2E4C"/>
    <w:rsid w:val="00BD5636"/>
    <w:rsid w:val="00BD5A68"/>
    <w:rsid w:val="00BD714D"/>
    <w:rsid w:val="00BE04BE"/>
    <w:rsid w:val="00BE0CDA"/>
    <w:rsid w:val="00BE0DC5"/>
    <w:rsid w:val="00BE0F7C"/>
    <w:rsid w:val="00BE16F4"/>
    <w:rsid w:val="00BE2215"/>
    <w:rsid w:val="00BE290F"/>
    <w:rsid w:val="00BE4115"/>
    <w:rsid w:val="00BE683F"/>
    <w:rsid w:val="00BE690B"/>
    <w:rsid w:val="00BE756A"/>
    <w:rsid w:val="00BF0E92"/>
    <w:rsid w:val="00BF13A6"/>
    <w:rsid w:val="00BF162C"/>
    <w:rsid w:val="00BF24FA"/>
    <w:rsid w:val="00BF2CE5"/>
    <w:rsid w:val="00BF381B"/>
    <w:rsid w:val="00BF3CC7"/>
    <w:rsid w:val="00BF43A2"/>
    <w:rsid w:val="00BF50BD"/>
    <w:rsid w:val="00BF6615"/>
    <w:rsid w:val="00BF7FE0"/>
    <w:rsid w:val="00C009E1"/>
    <w:rsid w:val="00C01CE6"/>
    <w:rsid w:val="00C037E8"/>
    <w:rsid w:val="00C045C7"/>
    <w:rsid w:val="00C04987"/>
    <w:rsid w:val="00C054EB"/>
    <w:rsid w:val="00C06675"/>
    <w:rsid w:val="00C06A57"/>
    <w:rsid w:val="00C10CA3"/>
    <w:rsid w:val="00C10E69"/>
    <w:rsid w:val="00C111CD"/>
    <w:rsid w:val="00C118C4"/>
    <w:rsid w:val="00C119E1"/>
    <w:rsid w:val="00C12356"/>
    <w:rsid w:val="00C12890"/>
    <w:rsid w:val="00C12B6F"/>
    <w:rsid w:val="00C133C0"/>
    <w:rsid w:val="00C16D6C"/>
    <w:rsid w:val="00C2338F"/>
    <w:rsid w:val="00C237D5"/>
    <w:rsid w:val="00C2522F"/>
    <w:rsid w:val="00C25808"/>
    <w:rsid w:val="00C25F15"/>
    <w:rsid w:val="00C271B9"/>
    <w:rsid w:val="00C27383"/>
    <w:rsid w:val="00C313D9"/>
    <w:rsid w:val="00C3153A"/>
    <w:rsid w:val="00C3165C"/>
    <w:rsid w:val="00C32EB2"/>
    <w:rsid w:val="00C33B4D"/>
    <w:rsid w:val="00C33D52"/>
    <w:rsid w:val="00C34960"/>
    <w:rsid w:val="00C34B4B"/>
    <w:rsid w:val="00C3515E"/>
    <w:rsid w:val="00C35241"/>
    <w:rsid w:val="00C35362"/>
    <w:rsid w:val="00C35431"/>
    <w:rsid w:val="00C35E2E"/>
    <w:rsid w:val="00C3674A"/>
    <w:rsid w:val="00C37269"/>
    <w:rsid w:val="00C375C7"/>
    <w:rsid w:val="00C403E7"/>
    <w:rsid w:val="00C40673"/>
    <w:rsid w:val="00C416D9"/>
    <w:rsid w:val="00C41FA9"/>
    <w:rsid w:val="00C43B8A"/>
    <w:rsid w:val="00C446FD"/>
    <w:rsid w:val="00C4517D"/>
    <w:rsid w:val="00C46697"/>
    <w:rsid w:val="00C47774"/>
    <w:rsid w:val="00C4791D"/>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12BA"/>
    <w:rsid w:val="00C717AE"/>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5A6"/>
    <w:rsid w:val="00C85093"/>
    <w:rsid w:val="00C85C50"/>
    <w:rsid w:val="00C86C0A"/>
    <w:rsid w:val="00C86FB9"/>
    <w:rsid w:val="00C87F70"/>
    <w:rsid w:val="00C92216"/>
    <w:rsid w:val="00C92EF2"/>
    <w:rsid w:val="00C93C76"/>
    <w:rsid w:val="00C93DFD"/>
    <w:rsid w:val="00C9404E"/>
    <w:rsid w:val="00C9555B"/>
    <w:rsid w:val="00C9561D"/>
    <w:rsid w:val="00C95BE8"/>
    <w:rsid w:val="00C95F45"/>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3D04"/>
    <w:rsid w:val="00CC44E4"/>
    <w:rsid w:val="00CC4A8C"/>
    <w:rsid w:val="00CC4A95"/>
    <w:rsid w:val="00CC4FA0"/>
    <w:rsid w:val="00CC6AD8"/>
    <w:rsid w:val="00CC6D16"/>
    <w:rsid w:val="00CC6F4D"/>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5B2D"/>
    <w:rsid w:val="00CE651C"/>
    <w:rsid w:val="00CE7526"/>
    <w:rsid w:val="00CE7B92"/>
    <w:rsid w:val="00CF1312"/>
    <w:rsid w:val="00CF1EB0"/>
    <w:rsid w:val="00CF2D81"/>
    <w:rsid w:val="00CF3579"/>
    <w:rsid w:val="00CF3D88"/>
    <w:rsid w:val="00CF3E33"/>
    <w:rsid w:val="00CF456A"/>
    <w:rsid w:val="00CF4ABC"/>
    <w:rsid w:val="00CF5152"/>
    <w:rsid w:val="00CF58B7"/>
    <w:rsid w:val="00CF6F74"/>
    <w:rsid w:val="00CF7672"/>
    <w:rsid w:val="00D000DB"/>
    <w:rsid w:val="00D00927"/>
    <w:rsid w:val="00D01DFE"/>
    <w:rsid w:val="00D01F10"/>
    <w:rsid w:val="00D058A1"/>
    <w:rsid w:val="00D07F6F"/>
    <w:rsid w:val="00D1056A"/>
    <w:rsid w:val="00D106BB"/>
    <w:rsid w:val="00D10A5B"/>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F2C"/>
    <w:rsid w:val="00D433FC"/>
    <w:rsid w:val="00D438CA"/>
    <w:rsid w:val="00D449B5"/>
    <w:rsid w:val="00D47CD3"/>
    <w:rsid w:val="00D50062"/>
    <w:rsid w:val="00D504B3"/>
    <w:rsid w:val="00D5077D"/>
    <w:rsid w:val="00D50973"/>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9B0"/>
    <w:rsid w:val="00D642BA"/>
    <w:rsid w:val="00D64853"/>
    <w:rsid w:val="00D648E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29FF"/>
    <w:rsid w:val="00D8391E"/>
    <w:rsid w:val="00D84F30"/>
    <w:rsid w:val="00D8626D"/>
    <w:rsid w:val="00D86314"/>
    <w:rsid w:val="00D8692B"/>
    <w:rsid w:val="00D8696A"/>
    <w:rsid w:val="00D86A7A"/>
    <w:rsid w:val="00D86BF0"/>
    <w:rsid w:val="00D87136"/>
    <w:rsid w:val="00D90653"/>
    <w:rsid w:val="00D91589"/>
    <w:rsid w:val="00D92D7E"/>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6FDC"/>
    <w:rsid w:val="00DB0B35"/>
    <w:rsid w:val="00DB13F3"/>
    <w:rsid w:val="00DB1EDE"/>
    <w:rsid w:val="00DB3B7B"/>
    <w:rsid w:val="00DB4378"/>
    <w:rsid w:val="00DB45D5"/>
    <w:rsid w:val="00DB47FE"/>
    <w:rsid w:val="00DB5B20"/>
    <w:rsid w:val="00DB6BE1"/>
    <w:rsid w:val="00DB6D1A"/>
    <w:rsid w:val="00DB782A"/>
    <w:rsid w:val="00DC0570"/>
    <w:rsid w:val="00DC159F"/>
    <w:rsid w:val="00DC2B5E"/>
    <w:rsid w:val="00DC4595"/>
    <w:rsid w:val="00DC5842"/>
    <w:rsid w:val="00DC72B8"/>
    <w:rsid w:val="00DC7E24"/>
    <w:rsid w:val="00DD0853"/>
    <w:rsid w:val="00DD09D8"/>
    <w:rsid w:val="00DD0E13"/>
    <w:rsid w:val="00DD0F2D"/>
    <w:rsid w:val="00DD1611"/>
    <w:rsid w:val="00DD1F43"/>
    <w:rsid w:val="00DD22B5"/>
    <w:rsid w:val="00DD2804"/>
    <w:rsid w:val="00DD28F1"/>
    <w:rsid w:val="00DD36B8"/>
    <w:rsid w:val="00DD5398"/>
    <w:rsid w:val="00DD551B"/>
    <w:rsid w:val="00DD698F"/>
    <w:rsid w:val="00DE1116"/>
    <w:rsid w:val="00DE27EA"/>
    <w:rsid w:val="00DE2DA1"/>
    <w:rsid w:val="00DE33D0"/>
    <w:rsid w:val="00DE39C4"/>
    <w:rsid w:val="00DE3D40"/>
    <w:rsid w:val="00DE5026"/>
    <w:rsid w:val="00DE6C4B"/>
    <w:rsid w:val="00DE728A"/>
    <w:rsid w:val="00DE74A2"/>
    <w:rsid w:val="00DF0001"/>
    <w:rsid w:val="00DF055F"/>
    <w:rsid w:val="00DF1576"/>
    <w:rsid w:val="00DF1A15"/>
    <w:rsid w:val="00DF1AAF"/>
    <w:rsid w:val="00DF2989"/>
    <w:rsid w:val="00DF2CFF"/>
    <w:rsid w:val="00DF5B8A"/>
    <w:rsid w:val="00DF60B9"/>
    <w:rsid w:val="00DF7154"/>
    <w:rsid w:val="00DF7E1D"/>
    <w:rsid w:val="00E000C5"/>
    <w:rsid w:val="00E03F00"/>
    <w:rsid w:val="00E045E1"/>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737"/>
    <w:rsid w:val="00E22EEA"/>
    <w:rsid w:val="00E258D1"/>
    <w:rsid w:val="00E25F0F"/>
    <w:rsid w:val="00E26216"/>
    <w:rsid w:val="00E27CC5"/>
    <w:rsid w:val="00E27E75"/>
    <w:rsid w:val="00E30D7F"/>
    <w:rsid w:val="00E3177E"/>
    <w:rsid w:val="00E32025"/>
    <w:rsid w:val="00E33340"/>
    <w:rsid w:val="00E33713"/>
    <w:rsid w:val="00E3514D"/>
    <w:rsid w:val="00E35E90"/>
    <w:rsid w:val="00E36596"/>
    <w:rsid w:val="00E3660B"/>
    <w:rsid w:val="00E3683B"/>
    <w:rsid w:val="00E36862"/>
    <w:rsid w:val="00E37B72"/>
    <w:rsid w:val="00E40E00"/>
    <w:rsid w:val="00E40EBA"/>
    <w:rsid w:val="00E412FB"/>
    <w:rsid w:val="00E41806"/>
    <w:rsid w:val="00E41D3D"/>
    <w:rsid w:val="00E42CA1"/>
    <w:rsid w:val="00E44923"/>
    <w:rsid w:val="00E44C2E"/>
    <w:rsid w:val="00E46DB1"/>
    <w:rsid w:val="00E4729E"/>
    <w:rsid w:val="00E473DE"/>
    <w:rsid w:val="00E4767E"/>
    <w:rsid w:val="00E5060D"/>
    <w:rsid w:val="00E51641"/>
    <w:rsid w:val="00E51712"/>
    <w:rsid w:val="00E51920"/>
    <w:rsid w:val="00E5237F"/>
    <w:rsid w:val="00E53A4A"/>
    <w:rsid w:val="00E544D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7E07"/>
    <w:rsid w:val="00E71D83"/>
    <w:rsid w:val="00E74184"/>
    <w:rsid w:val="00E75F24"/>
    <w:rsid w:val="00E76843"/>
    <w:rsid w:val="00E7691A"/>
    <w:rsid w:val="00E76E61"/>
    <w:rsid w:val="00E77218"/>
    <w:rsid w:val="00E8008B"/>
    <w:rsid w:val="00E817AC"/>
    <w:rsid w:val="00E827D1"/>
    <w:rsid w:val="00E828E3"/>
    <w:rsid w:val="00E834F2"/>
    <w:rsid w:val="00E84AED"/>
    <w:rsid w:val="00E84FBF"/>
    <w:rsid w:val="00E863E1"/>
    <w:rsid w:val="00E91FFB"/>
    <w:rsid w:val="00E93D40"/>
    <w:rsid w:val="00E941C8"/>
    <w:rsid w:val="00E94B35"/>
    <w:rsid w:val="00E94B85"/>
    <w:rsid w:val="00E95322"/>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02C4"/>
    <w:rsid w:val="00EB2837"/>
    <w:rsid w:val="00EB32F7"/>
    <w:rsid w:val="00EB3BD6"/>
    <w:rsid w:val="00EB3BDE"/>
    <w:rsid w:val="00EB3C0C"/>
    <w:rsid w:val="00EB4499"/>
    <w:rsid w:val="00EB47A6"/>
    <w:rsid w:val="00EB4B92"/>
    <w:rsid w:val="00EB4D32"/>
    <w:rsid w:val="00EB4FE1"/>
    <w:rsid w:val="00EB61C8"/>
    <w:rsid w:val="00EB6580"/>
    <w:rsid w:val="00EB7C58"/>
    <w:rsid w:val="00EC03FA"/>
    <w:rsid w:val="00EC054D"/>
    <w:rsid w:val="00EC086A"/>
    <w:rsid w:val="00EC0C0E"/>
    <w:rsid w:val="00EC0D88"/>
    <w:rsid w:val="00EC11B7"/>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1DC6"/>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7119"/>
    <w:rsid w:val="00EF0E36"/>
    <w:rsid w:val="00EF2721"/>
    <w:rsid w:val="00EF49A6"/>
    <w:rsid w:val="00EF5B9C"/>
    <w:rsid w:val="00EF60E3"/>
    <w:rsid w:val="00EF61B8"/>
    <w:rsid w:val="00EF6397"/>
    <w:rsid w:val="00EF7182"/>
    <w:rsid w:val="00F0072D"/>
    <w:rsid w:val="00F00A3C"/>
    <w:rsid w:val="00F00DA3"/>
    <w:rsid w:val="00F01980"/>
    <w:rsid w:val="00F02EDC"/>
    <w:rsid w:val="00F031DB"/>
    <w:rsid w:val="00F03E0C"/>
    <w:rsid w:val="00F055F1"/>
    <w:rsid w:val="00F065B9"/>
    <w:rsid w:val="00F0696D"/>
    <w:rsid w:val="00F104D3"/>
    <w:rsid w:val="00F10BAC"/>
    <w:rsid w:val="00F12C6E"/>
    <w:rsid w:val="00F13285"/>
    <w:rsid w:val="00F13E92"/>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6462"/>
    <w:rsid w:val="00F265A8"/>
    <w:rsid w:val="00F3260E"/>
    <w:rsid w:val="00F33965"/>
    <w:rsid w:val="00F34385"/>
    <w:rsid w:val="00F34A1A"/>
    <w:rsid w:val="00F34E43"/>
    <w:rsid w:val="00F37D2D"/>
    <w:rsid w:val="00F40DA6"/>
    <w:rsid w:val="00F40F7C"/>
    <w:rsid w:val="00F4150C"/>
    <w:rsid w:val="00F44607"/>
    <w:rsid w:val="00F44E7C"/>
    <w:rsid w:val="00F46A45"/>
    <w:rsid w:val="00F46C18"/>
    <w:rsid w:val="00F50A3A"/>
    <w:rsid w:val="00F50B75"/>
    <w:rsid w:val="00F51860"/>
    <w:rsid w:val="00F525EC"/>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5B19"/>
    <w:rsid w:val="00F662F4"/>
    <w:rsid w:val="00F6640E"/>
    <w:rsid w:val="00F670F5"/>
    <w:rsid w:val="00F67205"/>
    <w:rsid w:val="00F67230"/>
    <w:rsid w:val="00F67C74"/>
    <w:rsid w:val="00F7050E"/>
    <w:rsid w:val="00F718EC"/>
    <w:rsid w:val="00F724A3"/>
    <w:rsid w:val="00F73602"/>
    <w:rsid w:val="00F73834"/>
    <w:rsid w:val="00F75030"/>
    <w:rsid w:val="00F755DB"/>
    <w:rsid w:val="00F757D9"/>
    <w:rsid w:val="00F76692"/>
    <w:rsid w:val="00F777DD"/>
    <w:rsid w:val="00F81C1E"/>
    <w:rsid w:val="00F8325B"/>
    <w:rsid w:val="00F83409"/>
    <w:rsid w:val="00F84A9B"/>
    <w:rsid w:val="00F84B4D"/>
    <w:rsid w:val="00F84B69"/>
    <w:rsid w:val="00F84BCB"/>
    <w:rsid w:val="00F85272"/>
    <w:rsid w:val="00F85A62"/>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8CA"/>
    <w:rsid w:val="00FA42B8"/>
    <w:rsid w:val="00FA46FC"/>
    <w:rsid w:val="00FA47DD"/>
    <w:rsid w:val="00FA4D12"/>
    <w:rsid w:val="00FA573E"/>
    <w:rsid w:val="00FA594C"/>
    <w:rsid w:val="00FA5CDF"/>
    <w:rsid w:val="00FA6A21"/>
    <w:rsid w:val="00FA7121"/>
    <w:rsid w:val="00FA757B"/>
    <w:rsid w:val="00FB0363"/>
    <w:rsid w:val="00FB12A0"/>
    <w:rsid w:val="00FB1332"/>
    <w:rsid w:val="00FB30B7"/>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3CA4"/>
    <w:rsid w:val="00FE413E"/>
    <w:rsid w:val="00FE4DAF"/>
    <w:rsid w:val="00FE6660"/>
    <w:rsid w:val="00FE6857"/>
    <w:rsid w:val="00FE68B7"/>
    <w:rsid w:val="00FE7039"/>
    <w:rsid w:val="00FE7994"/>
    <w:rsid w:val="00FF10A5"/>
    <w:rsid w:val="00FF1511"/>
    <w:rsid w:val="00FF1878"/>
    <w:rsid w:val="00FF29C0"/>
    <w:rsid w:val="00FF2EF5"/>
    <w:rsid w:val="00FF333C"/>
    <w:rsid w:val="00FF3434"/>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C1C3E-7758-4EB8-8B09-F89AF7D7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1883</Words>
  <Characters>9790</Characters>
  <Application>Microsoft Office Word</Application>
  <DocSecurity>0</DocSecurity>
  <Lines>81</Lines>
  <Paragraphs>23</Paragraphs>
  <ScaleCrop>false</ScaleCrop>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2021-09-01T08:28:00Z</dcterms:created>
  <dcterms:modified xsi:type="dcterms:W3CDTF">2021-09-01T08:28:00Z</dcterms:modified>
</cp:coreProperties>
</file>