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1501A76" w:rsidR="00975C12" w:rsidRPr="00F40D3F" w:rsidRDefault="00975C12" w:rsidP="00975C12">
      <w:pPr>
        <w:pStyle w:val="Heading1"/>
        <w:jc w:val="center"/>
      </w:pPr>
      <w:r w:rsidRPr="00F40D3F">
        <w:t>Minutes of the meeting held on</w:t>
      </w:r>
      <w:r w:rsidR="00697EAB">
        <w:t xml:space="preserve"> </w:t>
      </w:r>
      <w:r w:rsidR="00900752">
        <w:t>6</w:t>
      </w:r>
      <w:r w:rsidR="008D13B9">
        <w:t xml:space="preserve"> Ju</w:t>
      </w:r>
      <w:r w:rsidR="00900752">
        <w:t>ly</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427328F5"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r w:rsidR="00FF5849">
        <w:rPr>
          <w:rFonts w:cs="Arial"/>
          <w:color w:val="000000" w:themeColor="text1"/>
          <w:sz w:val="22"/>
          <w:szCs w:val="22"/>
          <w:lang w:val="en-GB"/>
        </w:rPr>
        <w:t xml:space="preserve"> (chair for items 4.2 – 9)</w:t>
      </w:r>
    </w:p>
    <w:p w14:paraId="54161362" w14:textId="6C969D52"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r w:rsidR="008120AD">
        <w:rPr>
          <w:rFonts w:cs="Arial"/>
          <w:sz w:val="22"/>
          <w:szCs w:val="22"/>
          <w:lang w:val="en-GB"/>
        </w:rPr>
        <w:t>(</w:t>
      </w:r>
      <w:r w:rsidR="00900752">
        <w:rPr>
          <w:rFonts w:cs="Arial"/>
          <w:sz w:val="22"/>
          <w:szCs w:val="22"/>
          <w:lang w:val="en-GB"/>
        </w:rPr>
        <w:t xml:space="preserve">chair for items 1 </w:t>
      </w:r>
      <w:r w:rsidR="00FF5849">
        <w:rPr>
          <w:rFonts w:cs="Arial"/>
          <w:sz w:val="22"/>
          <w:szCs w:val="22"/>
          <w:lang w:val="en-GB"/>
        </w:rPr>
        <w:t>–</w:t>
      </w:r>
      <w:r w:rsidR="00900752">
        <w:rPr>
          <w:rFonts w:cs="Arial"/>
          <w:sz w:val="22"/>
          <w:szCs w:val="22"/>
          <w:lang w:val="en-GB"/>
        </w:rPr>
        <w:t xml:space="preserve"> </w:t>
      </w:r>
      <w:r w:rsidR="00FF5849">
        <w:rPr>
          <w:rFonts w:cs="Arial"/>
          <w:sz w:val="22"/>
          <w:szCs w:val="22"/>
          <w:lang w:val="en-GB"/>
        </w:rPr>
        <w:t>4.1)</w:t>
      </w:r>
    </w:p>
    <w:p w14:paraId="6B9EEFC6" w14:textId="58CA74B9" w:rsidR="008120AD" w:rsidRDefault="008120AD" w:rsidP="00E441A3">
      <w:pPr>
        <w:pStyle w:val="NICEnormal"/>
        <w:spacing w:after="0" w:line="240" w:lineRule="auto"/>
        <w:ind w:left="2268" w:hanging="2268"/>
        <w:rPr>
          <w:rFonts w:cs="Arial"/>
          <w:sz w:val="22"/>
          <w:szCs w:val="22"/>
          <w:lang w:val="en-GB"/>
        </w:rPr>
      </w:pPr>
      <w:r>
        <w:rPr>
          <w:rFonts w:cs="Arial"/>
          <w:sz w:val="22"/>
          <w:szCs w:val="22"/>
          <w:lang w:val="en-GB"/>
        </w:rPr>
        <w:t>Paul Chrisp</w:t>
      </w:r>
      <w:r>
        <w:rPr>
          <w:rFonts w:cs="Arial"/>
          <w:sz w:val="22"/>
          <w:szCs w:val="22"/>
          <w:lang w:val="en-GB"/>
        </w:rPr>
        <w:tab/>
        <w:t xml:space="preserve">Director, Centre for Guidelines </w:t>
      </w:r>
    </w:p>
    <w:p w14:paraId="7C59DB65" w14:textId="44AA9885"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5FAA0D44" w14:textId="5B193E78" w:rsidR="00D30508" w:rsidRDefault="00D30508"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Judith Richardson</w:t>
      </w:r>
      <w:r>
        <w:rPr>
          <w:rFonts w:cs="Arial"/>
          <w:color w:val="000000" w:themeColor="text1"/>
          <w:sz w:val="22"/>
          <w:szCs w:val="22"/>
          <w:lang w:val="en-GB"/>
        </w:rPr>
        <w:tab/>
      </w:r>
      <w:r w:rsidR="00A57B63">
        <w:rPr>
          <w:rFonts w:cs="Arial"/>
          <w:sz w:val="22"/>
          <w:szCs w:val="22"/>
          <w:lang w:val="en-GB"/>
        </w:rPr>
        <w:t>Acting Director, Health &amp; Social Care</w:t>
      </w:r>
    </w:p>
    <w:p w14:paraId="68C3C77A" w14:textId="713AA107" w:rsidR="00FD2F06" w:rsidRDefault="00A078B6" w:rsidP="00A078B6">
      <w:pPr>
        <w:ind w:left="2268" w:hanging="2268"/>
        <w:rPr>
          <w:rFonts w:ascii="Arial" w:hAnsi="Arial" w:cs="Arial"/>
          <w:sz w:val="22"/>
          <w:szCs w:val="22"/>
        </w:rPr>
      </w:pPr>
      <w:r>
        <w:rPr>
          <w:rFonts w:ascii="Arial" w:hAnsi="Arial" w:cs="Arial"/>
          <w:sz w:val="22"/>
          <w:szCs w:val="22"/>
        </w:rPr>
        <w:t>Alexia Tonnel</w:t>
      </w:r>
      <w:r>
        <w:rPr>
          <w:rFonts w:ascii="Arial" w:hAnsi="Arial" w:cs="Arial"/>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2A2B78AB" w14:textId="2D8DA081" w:rsidR="00412A45" w:rsidRDefault="00412A45" w:rsidP="00E441A3">
      <w:pPr>
        <w:pStyle w:val="NICEnormal"/>
        <w:spacing w:after="0" w:line="240" w:lineRule="auto"/>
        <w:ind w:left="2268" w:hanging="2268"/>
        <w:rPr>
          <w:color w:val="000000" w:themeColor="text1"/>
          <w:sz w:val="22"/>
          <w:szCs w:val="22"/>
        </w:rPr>
      </w:pPr>
      <w:r>
        <w:rPr>
          <w:color w:val="000000" w:themeColor="text1"/>
          <w:sz w:val="22"/>
          <w:szCs w:val="22"/>
        </w:rPr>
        <w:t>Boryana Stambolova</w:t>
      </w:r>
      <w:r w:rsidR="004D0699">
        <w:rPr>
          <w:color w:val="000000" w:themeColor="text1"/>
          <w:sz w:val="22"/>
          <w:szCs w:val="22"/>
        </w:rPr>
        <w:tab/>
        <w:t xml:space="preserve">Deputy Director, Finance, Strategy and </w:t>
      </w:r>
      <w:r w:rsidR="00355168">
        <w:rPr>
          <w:color w:val="000000" w:themeColor="text1"/>
          <w:sz w:val="22"/>
          <w:szCs w:val="22"/>
        </w:rPr>
        <w:t>Commercial</w:t>
      </w:r>
    </w:p>
    <w:p w14:paraId="7D014A4D" w14:textId="19AE10FA" w:rsidR="00412A45" w:rsidRDefault="00412A45" w:rsidP="00E441A3">
      <w:pPr>
        <w:pStyle w:val="NICEnormal"/>
        <w:spacing w:after="0" w:line="240" w:lineRule="auto"/>
        <w:ind w:left="2268" w:hanging="2268"/>
        <w:rPr>
          <w:color w:val="000000" w:themeColor="text1"/>
          <w:sz w:val="22"/>
          <w:szCs w:val="22"/>
        </w:rPr>
      </w:pPr>
      <w:r>
        <w:rPr>
          <w:color w:val="000000" w:themeColor="text1"/>
          <w:sz w:val="22"/>
          <w:szCs w:val="22"/>
        </w:rPr>
        <w:t>Danielle Mason</w:t>
      </w:r>
      <w:r w:rsidR="004D0699">
        <w:rPr>
          <w:color w:val="000000" w:themeColor="text1"/>
          <w:sz w:val="22"/>
          <w:szCs w:val="22"/>
        </w:rPr>
        <w:tab/>
        <w:t>Associate Director, Brand and Marketing</w:t>
      </w:r>
    </w:p>
    <w:p w14:paraId="7B75A45D" w14:textId="6B2F8496"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16BA1EC9" w14:textId="5C9D6FCB"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687A6A91" w14:textId="4BCC1ACE"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Jenniffer Prescott</w:t>
      </w:r>
      <w:r w:rsidR="00B8104A">
        <w:rPr>
          <w:color w:val="000000" w:themeColor="text1"/>
          <w:sz w:val="22"/>
          <w:szCs w:val="22"/>
        </w:rPr>
        <w:tab/>
      </w:r>
      <w:proofErr w:type="spellStart"/>
      <w:r w:rsidR="00B8104A">
        <w:rPr>
          <w:color w:val="000000" w:themeColor="text1"/>
          <w:sz w:val="22"/>
          <w:szCs w:val="22"/>
        </w:rPr>
        <w:t>Programme</w:t>
      </w:r>
      <w:proofErr w:type="spellEnd"/>
      <w:r w:rsidR="00B8104A">
        <w:rPr>
          <w:color w:val="000000" w:themeColor="text1"/>
          <w:sz w:val="22"/>
          <w:szCs w:val="22"/>
        </w:rPr>
        <w:t xml:space="preserve"> Director</w:t>
      </w:r>
      <w:r w:rsidR="00B105E1">
        <w:rPr>
          <w:color w:val="000000" w:themeColor="text1"/>
          <w:sz w:val="22"/>
          <w:szCs w:val="22"/>
        </w:rPr>
        <w:t xml:space="preserve">, </w:t>
      </w:r>
      <w:r w:rsidR="00B8104A">
        <w:rPr>
          <w:color w:val="000000" w:themeColor="text1"/>
          <w:sz w:val="22"/>
          <w:szCs w:val="22"/>
        </w:rPr>
        <w:t>Planning and Operations (item</w:t>
      </w:r>
      <w:r w:rsidR="00FF5849">
        <w:rPr>
          <w:color w:val="000000" w:themeColor="text1"/>
          <w:sz w:val="22"/>
          <w:szCs w:val="22"/>
        </w:rPr>
        <w:t>s</w:t>
      </w:r>
      <w:r w:rsidR="00B8104A">
        <w:rPr>
          <w:color w:val="000000" w:themeColor="text1"/>
          <w:sz w:val="22"/>
          <w:szCs w:val="22"/>
        </w:rPr>
        <w:t xml:space="preserve"> 4.2</w:t>
      </w:r>
      <w:r w:rsidR="00FF5849">
        <w:rPr>
          <w:color w:val="000000" w:themeColor="text1"/>
          <w:sz w:val="22"/>
          <w:szCs w:val="22"/>
        </w:rPr>
        <w:t xml:space="preserve"> and 6.2</w:t>
      </w:r>
      <w:r w:rsidR="00B8104A">
        <w:rPr>
          <w:color w:val="000000" w:themeColor="text1"/>
          <w:sz w:val="22"/>
          <w:szCs w:val="22"/>
        </w:rPr>
        <w:t xml:space="preserve">) </w:t>
      </w:r>
    </w:p>
    <w:p w14:paraId="126BA4BA" w14:textId="13A6C4BE" w:rsidR="00B105E1" w:rsidRDefault="00B105E1" w:rsidP="00E441A3">
      <w:pPr>
        <w:pStyle w:val="NICEnormal"/>
        <w:spacing w:after="0" w:line="240" w:lineRule="auto"/>
        <w:ind w:left="2268" w:hanging="2268"/>
        <w:rPr>
          <w:color w:val="000000" w:themeColor="text1"/>
          <w:sz w:val="22"/>
          <w:szCs w:val="22"/>
        </w:rPr>
      </w:pPr>
      <w:r>
        <w:rPr>
          <w:color w:val="000000" w:themeColor="text1"/>
          <w:sz w:val="22"/>
          <w:szCs w:val="22"/>
        </w:rPr>
        <w:t>Jeanette Kusel</w:t>
      </w:r>
      <w:r>
        <w:rPr>
          <w:color w:val="000000" w:themeColor="text1"/>
          <w:sz w:val="22"/>
          <w:szCs w:val="22"/>
        </w:rPr>
        <w:tab/>
        <w:t>Director, NICE Scientific Advice (item 5.1)</w:t>
      </w:r>
    </w:p>
    <w:p w14:paraId="2573E77D" w14:textId="407F2ED6"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Carole Longson</w:t>
      </w:r>
      <w:r w:rsidR="00B105E1">
        <w:rPr>
          <w:color w:val="000000" w:themeColor="text1"/>
          <w:sz w:val="22"/>
          <w:szCs w:val="22"/>
        </w:rPr>
        <w:tab/>
        <w:t>Life Sciences Adviser</w:t>
      </w:r>
      <w:r w:rsidR="00A617ED">
        <w:rPr>
          <w:color w:val="000000" w:themeColor="text1"/>
          <w:sz w:val="22"/>
          <w:szCs w:val="22"/>
        </w:rPr>
        <w:t xml:space="preserve"> (item 5.2)</w:t>
      </w:r>
    </w:p>
    <w:p w14:paraId="350FB59E" w14:textId="5EDF26A8"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Nick Baillie</w:t>
      </w:r>
      <w:r w:rsidR="00B105E1">
        <w:rPr>
          <w:color w:val="000000" w:themeColor="text1"/>
          <w:sz w:val="22"/>
          <w:szCs w:val="22"/>
        </w:rPr>
        <w:tab/>
        <w:t>Associate Director, Health and Social Care</w:t>
      </w:r>
      <w:r w:rsidR="00A617ED">
        <w:rPr>
          <w:color w:val="000000" w:themeColor="text1"/>
          <w:sz w:val="22"/>
          <w:szCs w:val="22"/>
        </w:rPr>
        <w:t xml:space="preserve"> (items 5.2)</w:t>
      </w:r>
    </w:p>
    <w:p w14:paraId="76B057CF" w14:textId="74E22F8B" w:rsidR="003E0FE8" w:rsidRDefault="003E0FE8" w:rsidP="00E441A3">
      <w:pPr>
        <w:pStyle w:val="NICEnormal"/>
        <w:spacing w:after="0" w:line="240" w:lineRule="auto"/>
        <w:ind w:left="2268" w:hanging="2268"/>
        <w:rPr>
          <w:color w:val="000000" w:themeColor="text1"/>
          <w:sz w:val="22"/>
          <w:szCs w:val="22"/>
        </w:rPr>
      </w:pPr>
      <w:r w:rsidRPr="008120AD">
        <w:rPr>
          <w:color w:val="000000" w:themeColor="text1"/>
          <w:sz w:val="22"/>
          <w:szCs w:val="22"/>
        </w:rPr>
        <w:t>Moya Alcock</w:t>
      </w:r>
      <w:r w:rsidRPr="008120AD">
        <w:rPr>
          <w:color w:val="000000" w:themeColor="text1"/>
          <w:sz w:val="22"/>
          <w:szCs w:val="22"/>
        </w:rPr>
        <w:tab/>
        <w:t xml:space="preserve">Acting </w:t>
      </w:r>
      <w:proofErr w:type="spellStart"/>
      <w:r w:rsidRPr="008120AD">
        <w:rPr>
          <w:color w:val="000000" w:themeColor="text1"/>
          <w:sz w:val="22"/>
          <w:szCs w:val="22"/>
        </w:rPr>
        <w:t>Programme</w:t>
      </w:r>
      <w:proofErr w:type="spellEnd"/>
      <w:r w:rsidRPr="008120AD">
        <w:rPr>
          <w:color w:val="000000" w:themeColor="text1"/>
          <w:sz w:val="22"/>
          <w:szCs w:val="22"/>
        </w:rPr>
        <w:t xml:space="preserve"> Director, Health and Social Care</w:t>
      </w:r>
      <w:r w:rsidR="00A617ED">
        <w:rPr>
          <w:color w:val="000000" w:themeColor="text1"/>
          <w:sz w:val="22"/>
          <w:szCs w:val="22"/>
        </w:rPr>
        <w:t xml:space="preserve"> (items 5.2 and 5.3)</w:t>
      </w:r>
    </w:p>
    <w:p w14:paraId="71D8D1CC" w14:textId="4F700410"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Deborah Collis</w:t>
      </w:r>
      <w:r>
        <w:rPr>
          <w:color w:val="000000" w:themeColor="text1"/>
          <w:sz w:val="22"/>
          <w:szCs w:val="22"/>
        </w:rPr>
        <w:tab/>
        <w:t>Associate Director, System Engagement</w:t>
      </w:r>
      <w:r w:rsidR="00A617ED">
        <w:rPr>
          <w:color w:val="000000" w:themeColor="text1"/>
          <w:sz w:val="22"/>
          <w:szCs w:val="22"/>
        </w:rPr>
        <w:t xml:space="preserve"> (item 5.3)</w:t>
      </w:r>
    </w:p>
    <w:p w14:paraId="729AC8FE" w14:textId="3F1694AE"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Anne Weist</w:t>
      </w:r>
      <w:r w:rsidR="00A617ED">
        <w:rPr>
          <w:color w:val="000000" w:themeColor="text1"/>
          <w:sz w:val="22"/>
          <w:szCs w:val="22"/>
        </w:rPr>
        <w:tab/>
        <w:t>Education Manager, Health and Social Care (item 5.3)</w:t>
      </w:r>
    </w:p>
    <w:p w14:paraId="77C2AA90" w14:textId="408F740B" w:rsidR="004D0699" w:rsidRDefault="004D0699" w:rsidP="00E441A3">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w:t>
      </w:r>
      <w:r w:rsidR="00FF5849">
        <w:rPr>
          <w:color w:val="000000" w:themeColor="text1"/>
          <w:sz w:val="22"/>
          <w:szCs w:val="22"/>
        </w:rPr>
        <w:t xml:space="preserve">, </w:t>
      </w:r>
      <w:r>
        <w:rPr>
          <w:color w:val="000000" w:themeColor="text1"/>
          <w:sz w:val="22"/>
          <w:szCs w:val="22"/>
        </w:rPr>
        <w:t xml:space="preserve">Corporate </w:t>
      </w:r>
      <w:r w:rsidR="00BC7700">
        <w:rPr>
          <w:color w:val="000000" w:themeColor="text1"/>
          <w:sz w:val="22"/>
          <w:szCs w:val="22"/>
        </w:rPr>
        <w:t>O</w:t>
      </w:r>
      <w:r>
        <w:rPr>
          <w:color w:val="000000" w:themeColor="text1"/>
          <w:sz w:val="22"/>
          <w:szCs w:val="22"/>
        </w:rPr>
        <w:t>ffice (item 5.4)</w:t>
      </w:r>
    </w:p>
    <w:p w14:paraId="61781D04" w14:textId="118925AF" w:rsidR="00FF5849" w:rsidRPr="008120AD" w:rsidRDefault="00FF5849" w:rsidP="00E441A3">
      <w:pPr>
        <w:pStyle w:val="NICEnormal"/>
        <w:spacing w:after="0" w:line="240" w:lineRule="auto"/>
        <w:ind w:left="2268" w:hanging="2268"/>
        <w:rPr>
          <w:color w:val="000000" w:themeColor="text1"/>
          <w:sz w:val="22"/>
          <w:szCs w:val="22"/>
        </w:rPr>
      </w:pPr>
      <w:r>
        <w:rPr>
          <w:color w:val="000000" w:themeColor="text1"/>
          <w:sz w:val="22"/>
          <w:szCs w:val="22"/>
        </w:rPr>
        <w:t>Helen Knight</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Technical Appraisals and HST (item 6.2)</w:t>
      </w:r>
    </w:p>
    <w:p w14:paraId="151A11A6" w14:textId="2DECD325" w:rsidR="00A96647" w:rsidRDefault="00A96647" w:rsidP="00A96647">
      <w:pPr>
        <w:pStyle w:val="NICEnormal"/>
        <w:spacing w:after="0" w:line="240" w:lineRule="auto"/>
        <w:ind w:left="2268" w:hanging="2268"/>
        <w:rPr>
          <w:color w:val="000000" w:themeColor="text1"/>
          <w:sz w:val="22"/>
          <w:szCs w:val="22"/>
        </w:rPr>
      </w:pPr>
    </w:p>
    <w:p w14:paraId="716D010A" w14:textId="7DCDCB39" w:rsidR="003E5A52" w:rsidRDefault="003E5A52"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60304976" w:rsidR="000F68E3" w:rsidRPr="00E6613F" w:rsidRDefault="00FD53E9" w:rsidP="000F68E3">
      <w:pPr>
        <w:pStyle w:val="Numberedpara"/>
        <w:rPr>
          <w:color w:val="auto"/>
        </w:rPr>
      </w:pPr>
      <w:r>
        <w:rPr>
          <w:color w:val="auto"/>
        </w:rPr>
        <w:t xml:space="preserve">Apologies were received from </w:t>
      </w:r>
      <w:r w:rsidR="00900752">
        <w:rPr>
          <w:color w:val="auto"/>
        </w:rPr>
        <w:t>Gill Leng for the first 30 minutes</w:t>
      </w:r>
      <w:r w:rsidR="007D03C3">
        <w:rPr>
          <w:color w:val="auto"/>
        </w:rPr>
        <w:t xml:space="preserve"> of the meeting</w:t>
      </w:r>
      <w:r w:rsidR="007534E5">
        <w:rPr>
          <w:color w:val="auto"/>
        </w:rPr>
        <w:t xml:space="preserve"> during which Meindert Boysen was chair</w:t>
      </w:r>
      <w:proofErr w:type="gramStart"/>
      <w:r w:rsidR="007534E5">
        <w:rPr>
          <w:color w:val="auto"/>
        </w:rPr>
        <w:t xml:space="preserve">.  </w:t>
      </w:r>
      <w:proofErr w:type="gramEnd"/>
      <w:r w:rsidR="007534E5">
        <w:rPr>
          <w:color w:val="auto"/>
        </w:rPr>
        <w:t>Apologies were also received</w:t>
      </w:r>
      <w:r w:rsidR="007D03C3">
        <w:rPr>
          <w:color w:val="auto"/>
        </w:rPr>
        <w:t xml:space="preserve"> from </w:t>
      </w:r>
      <w:r w:rsidR="003E0FE8">
        <w:rPr>
          <w:color w:val="auto"/>
        </w:rPr>
        <w:t>J</w:t>
      </w:r>
      <w:r w:rsidR="00900752">
        <w:rPr>
          <w:color w:val="auto"/>
        </w:rPr>
        <w:t>ennifer Howells and Jane Gizbert,</w:t>
      </w:r>
      <w:r w:rsidR="003E0FE8">
        <w:rPr>
          <w:color w:val="auto"/>
        </w:rPr>
        <w:t xml:space="preserve"> </w:t>
      </w:r>
      <w:r w:rsidR="003E5A52">
        <w:rPr>
          <w:color w:val="auto"/>
        </w:rPr>
        <w:t xml:space="preserve">who </w:t>
      </w:r>
      <w:r w:rsidR="008120AD">
        <w:rPr>
          <w:color w:val="auto"/>
        </w:rPr>
        <w:t>w</w:t>
      </w:r>
      <w:r w:rsidR="00900752">
        <w:rPr>
          <w:color w:val="auto"/>
        </w:rPr>
        <w:t>ere</w:t>
      </w:r>
      <w:r w:rsidR="003E5A52">
        <w:rPr>
          <w:color w:val="auto"/>
        </w:rPr>
        <w:t xml:space="preserve"> represented by</w:t>
      </w:r>
      <w:r w:rsidR="005A3D64">
        <w:rPr>
          <w:color w:val="auto"/>
        </w:rPr>
        <w:t xml:space="preserve"> </w:t>
      </w:r>
      <w:r w:rsidR="00900752">
        <w:rPr>
          <w:color w:val="auto"/>
        </w:rPr>
        <w:t>Boryana Stambolova</w:t>
      </w:r>
      <w:r w:rsidR="00412A45">
        <w:rPr>
          <w:color w:val="auto"/>
        </w:rPr>
        <w:t xml:space="preserve"> and Danielle Mason</w:t>
      </w:r>
      <w:r w:rsidR="007D03C3">
        <w:rPr>
          <w:color w:val="auto"/>
        </w:rPr>
        <w:t>,</w:t>
      </w:r>
      <w:r w:rsidR="00412A45">
        <w:rPr>
          <w:color w:val="auto"/>
        </w:rPr>
        <w:t xml:space="preserve"> respectively</w:t>
      </w:r>
      <w:r w:rsidR="00900752">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6F3BE2">
      <w:pPr>
        <w:pStyle w:val="Heading2"/>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5EBC39DB" w:rsidR="00060696" w:rsidRPr="00420AA6" w:rsidRDefault="006F3BE2" w:rsidP="008120AD">
      <w:pPr>
        <w:pStyle w:val="Numberedpara"/>
      </w:pPr>
      <w:r w:rsidRPr="00420AA6">
        <w:t xml:space="preserve">The minutes of the meeting held on </w:t>
      </w:r>
      <w:r w:rsidR="006506EB" w:rsidRPr="00420AA6">
        <w:t>30</w:t>
      </w:r>
      <w:r w:rsidR="00A078B6" w:rsidRPr="00420AA6">
        <w:t xml:space="preserve"> June</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record</w:t>
      </w:r>
      <w:r w:rsidR="00A078B6" w:rsidRPr="00420AA6">
        <w:t xml:space="preserve">. </w:t>
      </w:r>
    </w:p>
    <w:p w14:paraId="1DE97918" w14:textId="77777777" w:rsidR="003E5A52" w:rsidRDefault="003E5A52" w:rsidP="00806A3B">
      <w:pPr>
        <w:pStyle w:val="Numberedpara"/>
        <w:numPr>
          <w:ilvl w:val="0"/>
          <w:numId w:val="0"/>
        </w:numPr>
        <w:ind w:left="357"/>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5DAE9BFE" w:rsidR="00273BFA" w:rsidRDefault="006F3BE2" w:rsidP="00401561">
      <w:pPr>
        <w:pStyle w:val="Numberedpara"/>
        <w:ind w:left="357" w:hanging="357"/>
      </w:pPr>
      <w:r>
        <w:t xml:space="preserve">The actions from the meeting held on </w:t>
      </w:r>
      <w:r w:rsidR="00412A45">
        <w:t>30</w:t>
      </w:r>
      <w:r w:rsidR="007F5B72">
        <w:t xml:space="preserve"> </w:t>
      </w:r>
      <w:r w:rsidR="00A078B6">
        <w:t>June</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4DEBC7B6" w14:textId="222AD6F7" w:rsidR="008120AD" w:rsidRDefault="000319B1" w:rsidP="008120AD">
      <w:pPr>
        <w:pStyle w:val="Numberedpara"/>
      </w:pPr>
      <w:r>
        <w:t>Rebecca Threlfall advised that she is liaising with Eric Power and Fiona Glen regarding NICE’s potential involvement in the COVID-19 public inquiry</w:t>
      </w:r>
      <w:proofErr w:type="gramStart"/>
      <w:r>
        <w:t xml:space="preserve">.  </w:t>
      </w:r>
      <w:proofErr w:type="gramEnd"/>
      <w:r>
        <w:t xml:space="preserve">David Wright, the DHSC sponsor </w:t>
      </w:r>
      <w:r w:rsidR="00CE3950">
        <w:t xml:space="preserve">team </w:t>
      </w:r>
      <w:r>
        <w:t>lead</w:t>
      </w:r>
      <w:r w:rsidR="003858A3">
        <w:t xml:space="preserve">, </w:t>
      </w:r>
      <w:r>
        <w:t xml:space="preserve">has been asked to </w:t>
      </w:r>
      <w:r w:rsidR="00CE3950">
        <w:t xml:space="preserve">share </w:t>
      </w:r>
      <w:r>
        <w:t xml:space="preserve">the </w:t>
      </w:r>
      <w:r w:rsidR="00CE3950">
        <w:t xml:space="preserve">inquiry </w:t>
      </w:r>
      <w:r>
        <w:t>T</w:t>
      </w:r>
      <w:r w:rsidR="00AF3562">
        <w:t xml:space="preserve">erms </w:t>
      </w:r>
      <w:r>
        <w:t>o</w:t>
      </w:r>
      <w:r w:rsidR="00AF3562">
        <w:t xml:space="preserve">f </w:t>
      </w:r>
      <w:r>
        <w:t>R</w:t>
      </w:r>
      <w:r w:rsidR="00AF3562">
        <w:t>eference</w:t>
      </w:r>
      <w:r>
        <w:t xml:space="preserve"> and confirm whether NICE is to be invited</w:t>
      </w:r>
      <w:proofErr w:type="gramStart"/>
      <w:r>
        <w:t xml:space="preserve">.  </w:t>
      </w:r>
      <w:proofErr w:type="gramEnd"/>
      <w:r>
        <w:t xml:space="preserve">It was agreed that planning for the inquiry should continue even if NICE is not formally invited to give evidence, as the process of going through a </w:t>
      </w:r>
      <w:proofErr w:type="gramStart"/>
      <w:r>
        <w:lastRenderedPageBreak/>
        <w:t>lessons</w:t>
      </w:r>
      <w:proofErr w:type="gramEnd"/>
      <w:r>
        <w:t xml:space="preserve"> learned </w:t>
      </w:r>
      <w:r w:rsidR="00AF3562">
        <w:t xml:space="preserve">review </w:t>
      </w:r>
      <w:r>
        <w:t>w</w:t>
      </w:r>
      <w:r w:rsidR="00E31B19">
        <w:t>ill</w:t>
      </w:r>
      <w:r>
        <w:t xml:space="preserve"> be </w:t>
      </w:r>
      <w:r w:rsidR="00E31B19">
        <w:t xml:space="preserve">a </w:t>
      </w:r>
      <w:r>
        <w:t>useful</w:t>
      </w:r>
      <w:r w:rsidR="00AF3562" w:rsidRPr="00AF3562">
        <w:t xml:space="preserve"> </w:t>
      </w:r>
      <w:r w:rsidR="00AF3562">
        <w:t>exercise</w:t>
      </w:r>
      <w:r>
        <w:t xml:space="preserve">.  Rebecca agreed to bring a next steps paper to the </w:t>
      </w:r>
      <w:r w:rsidR="00A224FC">
        <w:t>g</w:t>
      </w:r>
      <w:r>
        <w:t>old group meeting on 19 July 2021.</w:t>
      </w:r>
    </w:p>
    <w:p w14:paraId="5CC5B4DC" w14:textId="77777777" w:rsidR="008120AD" w:rsidRDefault="008120AD" w:rsidP="008120AD">
      <w:pPr>
        <w:pStyle w:val="ListParagraph"/>
      </w:pPr>
    </w:p>
    <w:p w14:paraId="17C0DC07" w14:textId="425E279F" w:rsidR="008120AD" w:rsidRDefault="008120AD" w:rsidP="008120AD">
      <w:pPr>
        <w:pStyle w:val="SMTActions"/>
      </w:pPr>
      <w:r>
        <w:t>ACTION:</w:t>
      </w:r>
      <w:r w:rsidR="000319B1">
        <w:t xml:space="preserve"> RT</w:t>
      </w:r>
      <w:r>
        <w:t xml:space="preserve"> </w:t>
      </w:r>
    </w:p>
    <w:p w14:paraId="01C4C2A7" w14:textId="746C3A5C" w:rsidR="008120AD" w:rsidRDefault="008120AD" w:rsidP="008912FA">
      <w:pPr>
        <w:pStyle w:val="Numberedpara"/>
        <w:numPr>
          <w:ilvl w:val="0"/>
          <w:numId w:val="0"/>
        </w:numPr>
        <w:ind w:left="360" w:hanging="360"/>
      </w:pPr>
    </w:p>
    <w:p w14:paraId="7707D661" w14:textId="63EFBEEB" w:rsidR="008120AD" w:rsidRDefault="00E31B19" w:rsidP="00E31B19">
      <w:pPr>
        <w:pStyle w:val="Numberedpara"/>
        <w:spacing w:after="240"/>
        <w:ind w:left="357" w:hanging="357"/>
      </w:pPr>
      <w:bookmarkStart w:id="0" w:name="_Hlk76017365"/>
      <w:r>
        <w:t xml:space="preserve">It was noted that members of the </w:t>
      </w:r>
      <w:r w:rsidR="00A224FC">
        <w:t>g</w:t>
      </w:r>
      <w:r>
        <w:t xml:space="preserve">old group and CRG have been asked to reflect on which aspects of their work should be retained in preparation for a discussion at the final meeting of the </w:t>
      </w:r>
      <w:r w:rsidR="00A224FC">
        <w:t>g</w:t>
      </w:r>
      <w:r>
        <w:t>old group on 19 July, when the group will consider an appropriate replacement forum for operational issues which do not require submission to ET</w:t>
      </w:r>
      <w:proofErr w:type="gramStart"/>
      <w:r>
        <w:t>.</w:t>
      </w:r>
      <w:r w:rsidR="00085DA7">
        <w:t xml:space="preserve">  </w:t>
      </w:r>
      <w:proofErr w:type="gramEnd"/>
      <w:r w:rsidR="00085DA7">
        <w:t>David Coombs has been asked to join the meeting, to give an update on the governance review.</w:t>
      </w:r>
    </w:p>
    <w:p w14:paraId="453CE3AA" w14:textId="5E4F81DC" w:rsidR="00E31B19" w:rsidRDefault="00085DA7" w:rsidP="00085DA7">
      <w:pPr>
        <w:pStyle w:val="Numberedpara"/>
        <w:spacing w:after="240"/>
        <w:ind w:left="357" w:hanging="357"/>
      </w:pPr>
      <w:r>
        <w:t>The actions from the ET retreat on 29 June will be included on next week’s ET agenda.</w:t>
      </w:r>
    </w:p>
    <w:p w14:paraId="2B35C9BD" w14:textId="5398FCBD" w:rsidR="00C72F10" w:rsidRPr="00C72F10" w:rsidRDefault="00C72F10" w:rsidP="00C72F10">
      <w:pPr>
        <w:pStyle w:val="Numberedpara"/>
        <w:numPr>
          <w:ilvl w:val="0"/>
          <w:numId w:val="0"/>
        </w:numPr>
        <w:spacing w:after="240"/>
        <w:ind w:left="357"/>
        <w:jc w:val="right"/>
        <w:rPr>
          <w:b/>
          <w:bCs/>
        </w:rPr>
      </w:pPr>
      <w:r w:rsidRPr="00C72F10">
        <w:rPr>
          <w:b/>
          <w:bCs/>
        </w:rPr>
        <w:t>ACTION: RT</w:t>
      </w:r>
    </w:p>
    <w:p w14:paraId="34426249" w14:textId="4940AA3E" w:rsidR="00085DA7" w:rsidRDefault="00255905" w:rsidP="00255905">
      <w:pPr>
        <w:pStyle w:val="Numberedpara"/>
        <w:spacing w:after="240"/>
        <w:ind w:left="357" w:hanging="357"/>
      </w:pPr>
      <w:r>
        <w:t xml:space="preserve">Following the discussion at Publication Executive regarding different NICE programmes using different prices for the same technology, it was agreed that a further discussion was </w:t>
      </w:r>
      <w:r w:rsidR="00984F19">
        <w:t>ne</w:t>
      </w:r>
      <w:r>
        <w:t>ed</w:t>
      </w:r>
      <w:r w:rsidR="00984F19">
        <w:t>ed</w:t>
      </w:r>
      <w:r>
        <w:t xml:space="preserve"> at a separate meeting involving Meindert Boysen, Judith Richardson, Alexia Tonnel, Elaine Cartwright and a rep from Comms.</w:t>
      </w:r>
    </w:p>
    <w:p w14:paraId="349E9E0A" w14:textId="075236F4" w:rsidR="00D64AF3" w:rsidRPr="00984F19" w:rsidRDefault="00255905" w:rsidP="00984F19">
      <w:pPr>
        <w:pStyle w:val="Numberedpara"/>
        <w:numPr>
          <w:ilvl w:val="0"/>
          <w:numId w:val="0"/>
        </w:numPr>
        <w:spacing w:after="240"/>
        <w:ind w:left="357"/>
        <w:jc w:val="right"/>
        <w:rPr>
          <w:b/>
          <w:bCs/>
        </w:rPr>
      </w:pPr>
      <w:r w:rsidRPr="00255905">
        <w:rPr>
          <w:b/>
          <w:bCs/>
        </w:rPr>
        <w:t>ACTION: MB</w:t>
      </w:r>
      <w:bookmarkEnd w:id="0"/>
    </w:p>
    <w:p w14:paraId="5E14729E" w14:textId="77777777" w:rsidR="00D64AF3" w:rsidRDefault="00D64AF3" w:rsidP="006536F6">
      <w:pPr>
        <w:pStyle w:val="Numberedpara"/>
        <w:numPr>
          <w:ilvl w:val="0"/>
          <w:numId w:val="0"/>
        </w:numPr>
        <w:ind w:left="360" w:hanging="360"/>
      </w:pPr>
    </w:p>
    <w:p w14:paraId="73278A23" w14:textId="6DC3033D" w:rsidR="008120AD" w:rsidRDefault="008120AD" w:rsidP="008120AD">
      <w:pPr>
        <w:pStyle w:val="Heading2"/>
      </w:pPr>
      <w:r>
        <w:t xml:space="preserve">Hot topics (item </w:t>
      </w:r>
      <w:r w:rsidR="007D03C3">
        <w:t>4</w:t>
      </w:r>
      <w:r w:rsidR="00FD76B1">
        <w:t>.1</w:t>
      </w:r>
      <w:r>
        <w:t>)</w:t>
      </w:r>
    </w:p>
    <w:p w14:paraId="5DF9F869" w14:textId="17F1399B" w:rsidR="005A3B01" w:rsidRDefault="005A3B01" w:rsidP="005A3B01">
      <w:pPr>
        <w:pStyle w:val="Numberedpara"/>
        <w:numPr>
          <w:ilvl w:val="0"/>
          <w:numId w:val="0"/>
        </w:numPr>
        <w:ind w:left="360" w:hanging="360"/>
      </w:pPr>
    </w:p>
    <w:p w14:paraId="1C3BBA9D" w14:textId="545787FE" w:rsidR="009C3792" w:rsidRDefault="000D55BC" w:rsidP="009C3792">
      <w:pPr>
        <w:pStyle w:val="Numberedpara"/>
      </w:pPr>
      <w:r w:rsidRPr="000D55BC">
        <w:rPr>
          <w:b/>
          <w:bCs/>
        </w:rPr>
        <w:t>ET and senior leader</w:t>
      </w:r>
      <w:r w:rsidR="00496912">
        <w:rPr>
          <w:b/>
          <w:bCs/>
        </w:rPr>
        <w:t>’</w:t>
      </w:r>
      <w:r w:rsidRPr="000D55BC">
        <w:rPr>
          <w:b/>
          <w:bCs/>
        </w:rPr>
        <w:t>s retreat</w:t>
      </w:r>
      <w:r>
        <w:t xml:space="preserve"> - </w:t>
      </w:r>
      <w:r w:rsidR="00984F19">
        <w:t>Rebecca Threlfall shared a draft agenda for the ET and senior leader</w:t>
      </w:r>
      <w:r w:rsidR="00496912">
        <w:t>’</w:t>
      </w:r>
      <w:r w:rsidR="00984F19">
        <w:t xml:space="preserve">s retreat on 14 July and sought feedback on the proposed format for the session and </w:t>
      </w:r>
      <w:r>
        <w:t xml:space="preserve">the </w:t>
      </w:r>
      <w:r w:rsidR="00496912">
        <w:t xml:space="preserve">discussion </w:t>
      </w:r>
      <w:r w:rsidR="00984F19">
        <w:t>topics</w:t>
      </w:r>
      <w:proofErr w:type="gramStart"/>
      <w:r w:rsidR="00984F19">
        <w:t xml:space="preserve">.  </w:t>
      </w:r>
      <w:proofErr w:type="gramEnd"/>
      <w:r w:rsidR="00984F19">
        <w:t>It was noted that SCW will facilitate the session</w:t>
      </w:r>
      <w:r>
        <w:t>s</w:t>
      </w:r>
      <w:r w:rsidR="00984F19">
        <w:t>.</w:t>
      </w:r>
    </w:p>
    <w:p w14:paraId="1C5A2729" w14:textId="77777777" w:rsidR="00682F0C" w:rsidRDefault="00682F0C" w:rsidP="00682F0C">
      <w:pPr>
        <w:pStyle w:val="Numberedpara"/>
        <w:numPr>
          <w:ilvl w:val="0"/>
          <w:numId w:val="0"/>
        </w:numPr>
        <w:ind w:left="360"/>
      </w:pPr>
    </w:p>
    <w:p w14:paraId="3E67EF79" w14:textId="40FF4FA6" w:rsidR="00682F0C" w:rsidRDefault="00637FC4" w:rsidP="009C3792">
      <w:pPr>
        <w:pStyle w:val="Numberedpara"/>
      </w:pPr>
      <w:r>
        <w:t xml:space="preserve">ET </w:t>
      </w:r>
      <w:r w:rsidR="00984F19">
        <w:t>were supportive of the proposals and agreed that Rebecca would finalise the agenda and arrangements with Gill Leng</w:t>
      </w:r>
      <w:r w:rsidR="00E26521">
        <w:t xml:space="preserve"> before circulating </w:t>
      </w:r>
      <w:r w:rsidR="000D55BC">
        <w:t>details</w:t>
      </w:r>
      <w:r w:rsidR="00E26521">
        <w:t xml:space="preserve"> to </w:t>
      </w:r>
      <w:r w:rsidR="000D55BC">
        <w:t xml:space="preserve">the </w:t>
      </w:r>
      <w:r w:rsidR="00496912">
        <w:t>invit</w:t>
      </w:r>
      <w:r w:rsidR="00E26521">
        <w:t>ees</w:t>
      </w:r>
      <w:r w:rsidR="00984F19">
        <w:t>.</w:t>
      </w:r>
    </w:p>
    <w:p w14:paraId="604FF529" w14:textId="77777777" w:rsidR="00984F19" w:rsidRDefault="00984F19" w:rsidP="00984F19">
      <w:pPr>
        <w:pStyle w:val="ListParagraph"/>
      </w:pPr>
    </w:p>
    <w:p w14:paraId="43DBBF8A" w14:textId="50E2E5E8" w:rsidR="00984F19" w:rsidRPr="00984F19" w:rsidRDefault="00984F19" w:rsidP="00984F19">
      <w:pPr>
        <w:pStyle w:val="Numberedpara"/>
        <w:numPr>
          <w:ilvl w:val="0"/>
          <w:numId w:val="0"/>
        </w:numPr>
        <w:ind w:left="360"/>
        <w:jc w:val="right"/>
        <w:rPr>
          <w:b/>
          <w:bCs/>
        </w:rPr>
      </w:pPr>
      <w:r w:rsidRPr="00984F19">
        <w:rPr>
          <w:b/>
          <w:bCs/>
        </w:rPr>
        <w:t>ACTION: RT</w:t>
      </w:r>
    </w:p>
    <w:p w14:paraId="7FE0FA6E" w14:textId="77777777" w:rsidR="00984F19" w:rsidRDefault="00984F19" w:rsidP="00984F19">
      <w:pPr>
        <w:pStyle w:val="ListParagraph"/>
      </w:pPr>
    </w:p>
    <w:p w14:paraId="0ABF4EB2" w14:textId="332DB9B6" w:rsidR="00984F19" w:rsidRDefault="00FD76B1" w:rsidP="00FD76B1">
      <w:pPr>
        <w:pStyle w:val="Numberedpara"/>
        <w:spacing w:after="240"/>
        <w:ind w:left="357" w:hanging="357"/>
      </w:pPr>
      <w:r>
        <w:rPr>
          <w:b/>
          <w:bCs/>
        </w:rPr>
        <w:t xml:space="preserve">All staff </w:t>
      </w:r>
      <w:r w:rsidRPr="00FD76B1">
        <w:rPr>
          <w:b/>
          <w:bCs/>
        </w:rPr>
        <w:t>event</w:t>
      </w:r>
      <w:r>
        <w:t xml:space="preserve"> – ET noted that the </w:t>
      </w:r>
      <w:proofErr w:type="spellStart"/>
      <w:r w:rsidR="000D55BC" w:rsidRPr="00FD76B1">
        <w:t>Kimpton</w:t>
      </w:r>
      <w:proofErr w:type="spellEnd"/>
      <w:r w:rsidR="000D55BC">
        <w:t xml:space="preserve"> Clocktower Hotel, Oxford Road, Manchester</w:t>
      </w:r>
      <w:r>
        <w:t xml:space="preserve"> has provisionally been reserved as the venue for the NICE all staff event in September, subject to final</w:t>
      </w:r>
      <w:r w:rsidR="00496912">
        <w:t xml:space="preserve"> agreement of </w:t>
      </w:r>
      <w:r>
        <w:t>the costs</w:t>
      </w:r>
      <w:proofErr w:type="gramStart"/>
      <w:r>
        <w:t xml:space="preserve">.  </w:t>
      </w:r>
      <w:proofErr w:type="gramEnd"/>
      <w:r>
        <w:t>The proposed theme was “</w:t>
      </w:r>
      <w:proofErr w:type="gramStart"/>
      <w:r>
        <w:t>Refuel</w:t>
      </w:r>
      <w:proofErr w:type="gramEnd"/>
      <w:r>
        <w:t>”</w:t>
      </w:r>
      <w:r w:rsidR="00496912">
        <w:t>.  S</w:t>
      </w:r>
      <w:r>
        <w:t>ome ET members had reservations about the ‘</w:t>
      </w:r>
      <w:r w:rsidR="00213E13">
        <w:t xml:space="preserve">motor </w:t>
      </w:r>
      <w:r>
        <w:t>car</w:t>
      </w:r>
      <w:r w:rsidR="00213E13">
        <w:t>’</w:t>
      </w:r>
      <w:r>
        <w:t xml:space="preserve"> analogy and suggested testing </w:t>
      </w:r>
      <w:r w:rsidR="00213E13">
        <w:t>the</w:t>
      </w:r>
      <w:r>
        <w:t xml:space="preserve"> propos</w:t>
      </w:r>
      <w:r w:rsidR="00213E13">
        <w:t>ed theme</w:t>
      </w:r>
      <w:r>
        <w:t xml:space="preserve"> with different teams </w:t>
      </w:r>
      <w:r w:rsidR="00213E13">
        <w:t xml:space="preserve">beforehand </w:t>
      </w:r>
      <w:r>
        <w:t>to assess staff responses.</w:t>
      </w:r>
    </w:p>
    <w:p w14:paraId="2D43B43A" w14:textId="5BFD7EC2" w:rsidR="006D47AF" w:rsidRPr="006D47AF" w:rsidRDefault="006D47AF" w:rsidP="006D47AF">
      <w:pPr>
        <w:pStyle w:val="Numberedpara"/>
        <w:numPr>
          <w:ilvl w:val="0"/>
          <w:numId w:val="0"/>
        </w:numPr>
        <w:spacing w:after="240"/>
        <w:ind w:left="357"/>
        <w:jc w:val="right"/>
      </w:pPr>
      <w:r>
        <w:rPr>
          <w:b/>
          <w:bCs/>
        </w:rPr>
        <w:t>ACTION: RT</w:t>
      </w:r>
    </w:p>
    <w:p w14:paraId="66FE0008" w14:textId="798071A9" w:rsidR="006D47AF" w:rsidRDefault="00EC13DB" w:rsidP="00FD76B1">
      <w:pPr>
        <w:pStyle w:val="Numberedpara"/>
        <w:spacing w:after="240"/>
        <w:ind w:left="357" w:hanging="357"/>
      </w:pPr>
      <w:r>
        <w:rPr>
          <w:b/>
          <w:bCs/>
        </w:rPr>
        <w:t>Health Tech Partners meeting</w:t>
      </w:r>
      <w:r>
        <w:t xml:space="preserve"> – Gill Leng gave an update from the </w:t>
      </w:r>
      <w:r w:rsidR="00641C20">
        <w:t xml:space="preserve">discussions at the </w:t>
      </w:r>
      <w:r>
        <w:t>HTP meeting she attended which</w:t>
      </w:r>
      <w:r w:rsidR="00641C20">
        <w:t xml:space="preserve"> could potentially lead to a programme of work for NICE looking at digital health technologies</w:t>
      </w:r>
      <w:proofErr w:type="gramStart"/>
      <w:r w:rsidR="00641C20">
        <w:t xml:space="preserve">.  </w:t>
      </w:r>
      <w:proofErr w:type="gramEnd"/>
      <w:r w:rsidR="00641C20">
        <w:t xml:space="preserve">It was agreed that Gill, Felix Greaves and Meindert Boysen would meet </w:t>
      </w:r>
      <w:r w:rsidR="00496912">
        <w:t xml:space="preserve">separately </w:t>
      </w:r>
      <w:r w:rsidR="00641C20">
        <w:t>to discuss this further.</w:t>
      </w:r>
    </w:p>
    <w:p w14:paraId="49500740" w14:textId="28A3FC60" w:rsidR="00641C20" w:rsidRDefault="00641C20" w:rsidP="00641C20">
      <w:pPr>
        <w:pStyle w:val="Numberedpara"/>
        <w:numPr>
          <w:ilvl w:val="0"/>
          <w:numId w:val="0"/>
        </w:numPr>
        <w:spacing w:after="240"/>
        <w:ind w:left="357"/>
        <w:jc w:val="right"/>
      </w:pPr>
      <w:r>
        <w:rPr>
          <w:b/>
          <w:bCs/>
        </w:rPr>
        <w:t>ACTION: GL/MB/FG</w:t>
      </w:r>
    </w:p>
    <w:p w14:paraId="73F20952" w14:textId="4D4F87A7" w:rsidR="00641C20" w:rsidRPr="00641C20" w:rsidRDefault="00641C20" w:rsidP="00641C20">
      <w:pPr>
        <w:pStyle w:val="Numberedpara"/>
        <w:numPr>
          <w:ilvl w:val="0"/>
          <w:numId w:val="0"/>
        </w:numPr>
      </w:pPr>
    </w:p>
    <w:p w14:paraId="2680D65B" w14:textId="3C993007" w:rsidR="00CF38A4" w:rsidRDefault="00641C20" w:rsidP="00FD76B1">
      <w:pPr>
        <w:pStyle w:val="Numberedpara"/>
        <w:spacing w:after="240"/>
        <w:ind w:left="357" w:hanging="357"/>
      </w:pPr>
      <w:r>
        <w:t xml:space="preserve">It was </w:t>
      </w:r>
      <w:r w:rsidR="00CF38A4">
        <w:t>not</w:t>
      </w:r>
      <w:r>
        <w:t xml:space="preserve">ed that the papers for the meeting would be of interest to other ET members </w:t>
      </w:r>
      <w:proofErr w:type="gramStart"/>
      <w:r>
        <w:t>and also</w:t>
      </w:r>
      <w:proofErr w:type="gramEnd"/>
      <w:r>
        <w:t xml:space="preserve"> to the Board. Meindert agreed to share the meeting pack and Rebecca Threlfall was asked to work with Gill to include </w:t>
      </w:r>
      <w:r w:rsidR="00496912">
        <w:t>some items</w:t>
      </w:r>
      <w:r>
        <w:t xml:space="preserve"> in her CEO report to the July Board</w:t>
      </w:r>
      <w:proofErr w:type="gramStart"/>
      <w:r>
        <w:t>.</w:t>
      </w:r>
      <w:r w:rsidR="00CF38A4">
        <w:t xml:space="preserve">  </w:t>
      </w:r>
      <w:proofErr w:type="gramEnd"/>
    </w:p>
    <w:p w14:paraId="0CA9EC3E" w14:textId="77777777" w:rsidR="00CF38A4" w:rsidRPr="00CF38A4" w:rsidRDefault="00CF38A4" w:rsidP="00CF38A4">
      <w:pPr>
        <w:pStyle w:val="Numberedpara"/>
        <w:numPr>
          <w:ilvl w:val="0"/>
          <w:numId w:val="0"/>
        </w:numPr>
        <w:ind w:left="360"/>
        <w:jc w:val="right"/>
        <w:rPr>
          <w:b/>
          <w:bCs/>
        </w:rPr>
      </w:pPr>
      <w:r w:rsidRPr="00CF38A4">
        <w:rPr>
          <w:b/>
          <w:bCs/>
        </w:rPr>
        <w:t>ACTION: MB &amp; RT</w:t>
      </w:r>
    </w:p>
    <w:p w14:paraId="6B75FA98" w14:textId="0B9B47AC" w:rsidR="00641C20" w:rsidRDefault="00CF38A4" w:rsidP="00FD76B1">
      <w:pPr>
        <w:pStyle w:val="Numberedpara"/>
        <w:spacing w:after="240"/>
        <w:ind w:left="357" w:hanging="357"/>
      </w:pPr>
      <w:r>
        <w:lastRenderedPageBreak/>
        <w:t xml:space="preserve">On the issue of external meeting packs, it was agreed that it would be helpful to have a process for sharing key meeting packs </w:t>
      </w:r>
      <w:proofErr w:type="spellStart"/>
      <w:proofErr w:type="gramStart"/>
      <w:r>
        <w:t>eg</w:t>
      </w:r>
      <w:proofErr w:type="spellEnd"/>
      <w:proofErr w:type="gramEnd"/>
      <w:r>
        <w:t xml:space="preserve"> the AAC board papers and others.  Rebecca Threlfall was asked to work with ET members to agree which </w:t>
      </w:r>
      <w:r w:rsidR="000511FD">
        <w:t xml:space="preserve">of their external </w:t>
      </w:r>
      <w:r>
        <w:t>meeting packs would be helpful to share and how this would be managed.</w:t>
      </w:r>
    </w:p>
    <w:p w14:paraId="23463C48" w14:textId="35E3D0B9" w:rsidR="00FD76B1" w:rsidRDefault="00FD76B1" w:rsidP="00FD76B1">
      <w:pPr>
        <w:pStyle w:val="Numberedpara"/>
        <w:numPr>
          <w:ilvl w:val="0"/>
          <w:numId w:val="0"/>
        </w:numPr>
        <w:spacing w:after="240"/>
        <w:ind w:left="357"/>
        <w:jc w:val="right"/>
      </w:pPr>
      <w:r>
        <w:rPr>
          <w:b/>
          <w:bCs/>
        </w:rPr>
        <w:t xml:space="preserve">ACTION: </w:t>
      </w:r>
      <w:r w:rsidR="00641C20">
        <w:rPr>
          <w:b/>
          <w:bCs/>
        </w:rPr>
        <w:t>RT</w:t>
      </w:r>
    </w:p>
    <w:p w14:paraId="2513423A" w14:textId="11A7BC33" w:rsidR="00FD76B1" w:rsidRPr="00FD76B1" w:rsidRDefault="00FD76B1" w:rsidP="00FD76B1">
      <w:pPr>
        <w:pStyle w:val="Heading2"/>
        <w:spacing w:after="240"/>
      </w:pPr>
      <w:r w:rsidRPr="00FD76B1">
        <w:t>TA capacity planning update</w:t>
      </w:r>
      <w:r>
        <w:t xml:space="preserve"> (item 4.2)</w:t>
      </w:r>
    </w:p>
    <w:p w14:paraId="2991AC00" w14:textId="4988F6BA" w:rsidR="00FD76B1" w:rsidRDefault="00FD76B1" w:rsidP="00FD76B1">
      <w:pPr>
        <w:pStyle w:val="Numberedpara"/>
        <w:spacing w:after="240"/>
        <w:ind w:left="357" w:hanging="357"/>
      </w:pPr>
      <w:r>
        <w:t xml:space="preserve">Jenniffer Prescott </w:t>
      </w:r>
      <w:r w:rsidR="000A0879">
        <w:t xml:space="preserve">gave an update on </w:t>
      </w:r>
      <w:r w:rsidR="00F25A36">
        <w:t xml:space="preserve">some interim solutions agreed to address the capacity challenges within the TA and HST programmes, notably the use of a </w:t>
      </w:r>
      <w:proofErr w:type="gramStart"/>
      <w:r w:rsidR="00F25A36">
        <w:t>fast track</w:t>
      </w:r>
      <w:proofErr w:type="gramEnd"/>
      <w:r w:rsidR="00F25A36">
        <w:t xml:space="preserve"> technology appraisal</w:t>
      </w:r>
      <w:r w:rsidR="006D47AF">
        <w:t xml:space="preserve"> which involved a lighter touch evidence review by a small group of committee members.</w:t>
      </w:r>
      <w:r w:rsidR="00987E8F">
        <w:t xml:space="preserve">  ET discussed the use of </w:t>
      </w:r>
      <w:proofErr w:type="gramStart"/>
      <w:r w:rsidR="00987E8F">
        <w:t>fast track</w:t>
      </w:r>
      <w:proofErr w:type="gramEnd"/>
      <w:r w:rsidR="00987E8F">
        <w:t xml:space="preserve"> appraisals (FTA</w:t>
      </w:r>
      <w:r w:rsidR="00FF260E">
        <w:t xml:space="preserve"> lite</w:t>
      </w:r>
      <w:r w:rsidR="00987E8F">
        <w:t xml:space="preserve">), the potential risks and communication to companies and wider stakeholders.  Jenniffer advised that </w:t>
      </w:r>
      <w:r w:rsidR="00FF260E">
        <w:t xml:space="preserve">an </w:t>
      </w:r>
      <w:r w:rsidR="00987E8F">
        <w:t xml:space="preserve">FTA </w:t>
      </w:r>
      <w:r w:rsidR="00FF260E">
        <w:t xml:space="preserve">lite </w:t>
      </w:r>
      <w:r w:rsidR="00987E8F">
        <w:t>was currently being piloted on two low risk appraisals for cost comparators, with the full support of the company involved</w:t>
      </w:r>
      <w:proofErr w:type="gramStart"/>
      <w:r w:rsidR="00987E8F">
        <w:t xml:space="preserve">.  </w:t>
      </w:r>
      <w:proofErr w:type="gramEnd"/>
      <w:r w:rsidR="00987E8F">
        <w:t>The ABPI has also been notified of the shorter appraisal, but ET was concerned that communication to date has been limited and requested that further communication of the FTA should take place.</w:t>
      </w:r>
    </w:p>
    <w:p w14:paraId="7D8D6144" w14:textId="116ACD95" w:rsidR="00987E8F" w:rsidRPr="00987E8F" w:rsidRDefault="00987E8F" w:rsidP="00987E8F">
      <w:pPr>
        <w:pStyle w:val="Numberedpara"/>
        <w:numPr>
          <w:ilvl w:val="0"/>
          <w:numId w:val="0"/>
        </w:numPr>
        <w:spacing w:after="240"/>
        <w:ind w:left="357"/>
        <w:jc w:val="right"/>
        <w:rPr>
          <w:b/>
          <w:bCs/>
        </w:rPr>
      </w:pPr>
      <w:r w:rsidRPr="00987E8F">
        <w:rPr>
          <w:b/>
          <w:bCs/>
        </w:rPr>
        <w:t>ACTION: JP</w:t>
      </w:r>
    </w:p>
    <w:p w14:paraId="5443C072" w14:textId="675BD861" w:rsidR="00FD76B1" w:rsidRDefault="00987E8F" w:rsidP="009C3792">
      <w:pPr>
        <w:pStyle w:val="Numberedpara"/>
      </w:pPr>
      <w:r>
        <w:t xml:space="preserve">ET </w:t>
      </w:r>
      <w:r w:rsidR="006D47AF">
        <w:t xml:space="preserve">was supportive of the FTA </w:t>
      </w:r>
      <w:r w:rsidR="00FF260E">
        <w:t xml:space="preserve">lite </w:t>
      </w:r>
      <w:r w:rsidR="006D47AF">
        <w:t xml:space="preserve">pilot which they recognised as a new approach to utilising committees in a more proportionate way, with the caveat that communications to the system must emphasise that any FTA </w:t>
      </w:r>
      <w:r w:rsidR="00FF260E">
        <w:t xml:space="preserve">lite </w:t>
      </w:r>
      <w:r w:rsidR="006D47AF">
        <w:t>recommendations are ratified by the full, independent TA committee.</w:t>
      </w:r>
    </w:p>
    <w:p w14:paraId="64444AEB" w14:textId="77777777" w:rsidR="009C3792" w:rsidRDefault="009C3792" w:rsidP="006D47AF">
      <w:pPr>
        <w:pStyle w:val="Numberedpara"/>
        <w:numPr>
          <w:ilvl w:val="0"/>
          <w:numId w:val="0"/>
        </w:numPr>
      </w:pPr>
    </w:p>
    <w:p w14:paraId="684E12F9" w14:textId="2C43CBBB" w:rsidR="00176A0C" w:rsidRDefault="007D03C3" w:rsidP="00176A0C">
      <w:pPr>
        <w:pStyle w:val="Heading2"/>
      </w:pPr>
      <w:r>
        <w:t xml:space="preserve">Critical Needs Access Pathway (CNAP) </w:t>
      </w:r>
      <w:r w:rsidR="00176A0C">
        <w:t xml:space="preserve">(item </w:t>
      </w:r>
      <w:r>
        <w:t>5</w:t>
      </w:r>
      <w:r w:rsidR="00176A0C">
        <w:t>.1)</w:t>
      </w:r>
    </w:p>
    <w:p w14:paraId="66CA2645" w14:textId="25DAF3A1" w:rsidR="00176A0C" w:rsidRDefault="00176A0C" w:rsidP="005A69D6">
      <w:pPr>
        <w:pStyle w:val="Numberedpara"/>
        <w:numPr>
          <w:ilvl w:val="0"/>
          <w:numId w:val="0"/>
        </w:numPr>
        <w:ind w:left="360" w:hanging="360"/>
      </w:pPr>
    </w:p>
    <w:p w14:paraId="5BC13F87" w14:textId="6DA313FC" w:rsidR="003E5A52" w:rsidRDefault="00682F0C" w:rsidP="003E5A52">
      <w:pPr>
        <w:pStyle w:val="Numberedpara"/>
      </w:pPr>
      <w:r>
        <w:t xml:space="preserve"> </w:t>
      </w:r>
      <w:r w:rsidR="00805418">
        <w:t xml:space="preserve">ET was advised of the new </w:t>
      </w:r>
      <w:r w:rsidR="00805418" w:rsidRPr="00805418">
        <w:t>Critical Need</w:t>
      </w:r>
      <w:r w:rsidR="0048346F">
        <w:t>s</w:t>
      </w:r>
      <w:r w:rsidR="00805418" w:rsidRPr="00805418">
        <w:t xml:space="preserve"> Access Pathway </w:t>
      </w:r>
      <w:r w:rsidR="00805418">
        <w:t xml:space="preserve">(CNAP), </w:t>
      </w:r>
      <w:r w:rsidR="00045DE0">
        <w:t xml:space="preserve">which is </w:t>
      </w:r>
      <w:r w:rsidR="00805418" w:rsidRPr="00805418">
        <w:t xml:space="preserve">a joint project between MHRA and NICE to offer a </w:t>
      </w:r>
      <w:r w:rsidR="007E3C03">
        <w:t xml:space="preserve">co-ordinated and early </w:t>
      </w:r>
      <w:r w:rsidR="00805418" w:rsidRPr="00805418">
        <w:t>access route for innovative medical technologies and digital devices that meet a critical need in the NHS</w:t>
      </w:r>
      <w:proofErr w:type="gramStart"/>
      <w:r w:rsidR="00805418">
        <w:t xml:space="preserve">.  </w:t>
      </w:r>
      <w:proofErr w:type="gramEnd"/>
      <w:r w:rsidR="00805418">
        <w:t xml:space="preserve">The pathway will </w:t>
      </w:r>
      <w:r w:rsidR="00805418" w:rsidRPr="00805418">
        <w:t>allow manufacturers to provide their innovative device to healthcare professionals and patients at the earliest, yet safe, opportunity</w:t>
      </w:r>
      <w:proofErr w:type="gramStart"/>
      <w:r w:rsidR="005B6A48">
        <w:t xml:space="preserve">.  </w:t>
      </w:r>
      <w:proofErr w:type="gramEnd"/>
      <w:r w:rsidR="005B6A48">
        <w:t>It</w:t>
      </w:r>
      <w:r w:rsidR="00805418">
        <w:t xml:space="preserve"> will </w:t>
      </w:r>
      <w:r w:rsidR="00805418" w:rsidRPr="00805418">
        <w:t>be piloted with digital health technologies</w:t>
      </w:r>
      <w:r w:rsidR="00805418">
        <w:t xml:space="preserve"> and</w:t>
      </w:r>
      <w:r w:rsidR="00805418" w:rsidRPr="00805418">
        <w:t xml:space="preserve"> need to </w:t>
      </w:r>
      <w:r w:rsidR="00805418">
        <w:t xml:space="preserve">be </w:t>
      </w:r>
      <w:r w:rsidR="00805418" w:rsidRPr="00805418">
        <w:t>dock</w:t>
      </w:r>
      <w:r w:rsidR="00805418">
        <w:t>ed</w:t>
      </w:r>
      <w:r w:rsidR="00805418" w:rsidRPr="00805418">
        <w:t xml:space="preserve"> into the reimbursement pathways being developed</w:t>
      </w:r>
      <w:proofErr w:type="gramStart"/>
      <w:r w:rsidR="00805418">
        <w:t>.</w:t>
      </w:r>
      <w:r w:rsidR="005B6A48">
        <w:t xml:space="preserve">  </w:t>
      </w:r>
      <w:proofErr w:type="gramEnd"/>
      <w:r w:rsidR="005B6A48">
        <w:t>It will be funded by</w:t>
      </w:r>
      <w:r w:rsidR="005B6A48" w:rsidRPr="00AE1D3D">
        <w:t xml:space="preserve"> NHS</w:t>
      </w:r>
      <w:r w:rsidR="005B6A48">
        <w:t>X</w:t>
      </w:r>
      <w:r w:rsidR="005B6A48" w:rsidRPr="00AE1D3D">
        <w:t xml:space="preserve"> </w:t>
      </w:r>
      <w:r w:rsidR="005B6A48">
        <w:t>and will provide</w:t>
      </w:r>
      <w:r w:rsidR="005B6A48" w:rsidRPr="00AE1D3D">
        <w:t xml:space="preserve"> an additional income to NICE of £</w:t>
      </w:r>
      <w:r w:rsidR="005B6A48">
        <w:t xml:space="preserve">255,450 to </w:t>
      </w:r>
      <w:r w:rsidR="0048346F">
        <w:t xml:space="preserve">fund </w:t>
      </w:r>
      <w:r w:rsidR="005B6A48">
        <w:t>a band 8b post plus additional support.</w:t>
      </w:r>
    </w:p>
    <w:p w14:paraId="5B8ADEA9" w14:textId="798CD21B" w:rsidR="00805418" w:rsidRDefault="00805418" w:rsidP="00805418">
      <w:pPr>
        <w:pStyle w:val="Numberedpara"/>
        <w:numPr>
          <w:ilvl w:val="0"/>
          <w:numId w:val="0"/>
        </w:numPr>
        <w:ind w:left="360"/>
      </w:pPr>
    </w:p>
    <w:p w14:paraId="43A3CDF1" w14:textId="053D0F4E" w:rsidR="00682F0C" w:rsidRDefault="00682F0C" w:rsidP="003E5A52">
      <w:pPr>
        <w:pStyle w:val="Numberedpara"/>
      </w:pPr>
      <w:r>
        <w:t xml:space="preserve">ET </w:t>
      </w:r>
      <w:r w:rsidR="0092727B">
        <w:t>considered the implications</w:t>
      </w:r>
      <w:r w:rsidR="000106F6">
        <w:t xml:space="preserve"> of the project</w:t>
      </w:r>
      <w:r w:rsidR="0092727B">
        <w:t xml:space="preserve"> for NICE</w:t>
      </w:r>
      <w:r w:rsidR="00E72500">
        <w:t xml:space="preserve">, </w:t>
      </w:r>
      <w:r w:rsidR="000106F6">
        <w:t>and</w:t>
      </w:r>
      <w:r w:rsidR="00E72500">
        <w:t xml:space="preserve"> the need for the CNAP to integrate with </w:t>
      </w:r>
      <w:r w:rsidR="00FA768A">
        <w:t>existing</w:t>
      </w:r>
      <w:r w:rsidR="00E72500">
        <w:t xml:space="preserve"> pathways which will add to</w:t>
      </w:r>
      <w:r w:rsidR="00FA768A">
        <w:t xml:space="preserve"> </w:t>
      </w:r>
      <w:r w:rsidR="000106F6">
        <w:t>an already</w:t>
      </w:r>
      <w:r w:rsidR="00FA768A">
        <w:t xml:space="preserve"> complex</w:t>
      </w:r>
      <w:r w:rsidR="000106F6">
        <w:t xml:space="preserve"> picture</w:t>
      </w:r>
      <w:proofErr w:type="gramStart"/>
      <w:r w:rsidR="00FA768A">
        <w:t xml:space="preserve">.  </w:t>
      </w:r>
      <w:proofErr w:type="gramEnd"/>
      <w:r w:rsidR="00045DE0">
        <w:t xml:space="preserve">It was queried whether it would be better linked to the </w:t>
      </w:r>
      <w:r w:rsidR="005E4564">
        <w:t>new Accelerated Transitional Adoption Scheme (</w:t>
      </w:r>
      <w:r w:rsidR="00045DE0">
        <w:t>ATAS</w:t>
      </w:r>
      <w:r w:rsidR="005E4564">
        <w:t>)</w:t>
      </w:r>
      <w:proofErr w:type="gramStart"/>
      <w:r w:rsidR="00045DE0">
        <w:t xml:space="preserve">.  </w:t>
      </w:r>
      <w:proofErr w:type="gramEnd"/>
      <w:r w:rsidR="00FA768A">
        <w:t xml:space="preserve">Jeanette </w:t>
      </w:r>
      <w:r w:rsidR="00045DE0">
        <w:t xml:space="preserve">Kusel </w:t>
      </w:r>
      <w:r w:rsidR="00FA768A">
        <w:t xml:space="preserve">was asked to include a process flowchart in the report </w:t>
      </w:r>
      <w:r w:rsidR="000106F6">
        <w:t xml:space="preserve">to </w:t>
      </w:r>
      <w:r w:rsidR="001B5102">
        <w:t xml:space="preserve">clearly </w:t>
      </w:r>
      <w:r w:rsidR="000106F6">
        <w:t xml:space="preserve">explain the routes </w:t>
      </w:r>
      <w:r w:rsidR="00FA768A">
        <w:t xml:space="preserve">for medicines and </w:t>
      </w:r>
      <w:r w:rsidR="000106F6">
        <w:t xml:space="preserve">for </w:t>
      </w:r>
      <w:r w:rsidR="00FA768A">
        <w:t>digital/medical technologies.</w:t>
      </w:r>
    </w:p>
    <w:p w14:paraId="7337A503" w14:textId="77777777" w:rsidR="000106F6" w:rsidRPr="000106F6" w:rsidRDefault="000106F6" w:rsidP="000106F6">
      <w:pPr>
        <w:pStyle w:val="ListParagraph"/>
        <w:rPr>
          <w:b/>
          <w:bCs/>
        </w:rPr>
      </w:pPr>
    </w:p>
    <w:p w14:paraId="6B2E8881" w14:textId="7127207D" w:rsidR="000106F6" w:rsidRPr="000106F6" w:rsidRDefault="000106F6" w:rsidP="000106F6">
      <w:pPr>
        <w:pStyle w:val="Numberedpara"/>
        <w:numPr>
          <w:ilvl w:val="0"/>
          <w:numId w:val="0"/>
        </w:numPr>
        <w:ind w:left="360"/>
        <w:jc w:val="right"/>
        <w:rPr>
          <w:b/>
          <w:bCs/>
        </w:rPr>
      </w:pPr>
      <w:r w:rsidRPr="000106F6">
        <w:rPr>
          <w:b/>
          <w:bCs/>
        </w:rPr>
        <w:t>ACTION: JK</w:t>
      </w:r>
    </w:p>
    <w:p w14:paraId="3395D9D1" w14:textId="77777777" w:rsidR="000106F6" w:rsidRDefault="000106F6" w:rsidP="000106F6">
      <w:pPr>
        <w:pStyle w:val="ListParagraph"/>
      </w:pPr>
    </w:p>
    <w:p w14:paraId="1D67529C" w14:textId="1280DB3C" w:rsidR="00966941" w:rsidRPr="00966941" w:rsidRDefault="000106F6" w:rsidP="00966941">
      <w:pPr>
        <w:pStyle w:val="Numberedpara"/>
        <w:spacing w:after="240"/>
        <w:ind w:left="357" w:hanging="357"/>
        <w:rPr>
          <w:b/>
          <w:bCs/>
        </w:rPr>
      </w:pPr>
      <w:r>
        <w:t>It was agreed that assessing</w:t>
      </w:r>
      <w:r w:rsidR="0048346F">
        <w:t xml:space="preserve"> the unmet</w:t>
      </w:r>
      <w:r>
        <w:t xml:space="preserve"> clinical need will require the input of the National Clinical Directors, and </w:t>
      </w:r>
      <w:r w:rsidR="00045DE0">
        <w:t xml:space="preserve">that </w:t>
      </w:r>
      <w:r>
        <w:t xml:space="preserve">NICE </w:t>
      </w:r>
      <w:r w:rsidR="00045DE0">
        <w:t xml:space="preserve">will need </w:t>
      </w:r>
      <w:r>
        <w:t xml:space="preserve">to be co-ordinated across all its programmes to </w:t>
      </w:r>
      <w:r w:rsidR="00045DE0">
        <w:t xml:space="preserve">be effective in its </w:t>
      </w:r>
      <w:r>
        <w:t xml:space="preserve">support </w:t>
      </w:r>
      <w:r w:rsidR="00045DE0">
        <w:t xml:space="preserve">to </w:t>
      </w:r>
      <w:r>
        <w:t>companies</w:t>
      </w:r>
      <w:proofErr w:type="gramStart"/>
      <w:r w:rsidR="00045DE0">
        <w:t xml:space="preserve">.  </w:t>
      </w:r>
      <w:proofErr w:type="gramEnd"/>
      <w:r w:rsidR="00045DE0">
        <w:t xml:space="preserve">Topic selection </w:t>
      </w:r>
      <w:r w:rsidR="00966941">
        <w:t>and understanding what has contingent approval will be crucial</w:t>
      </w:r>
      <w:proofErr w:type="gramStart"/>
      <w:r w:rsidR="00966941">
        <w:t xml:space="preserve">.  </w:t>
      </w:r>
      <w:proofErr w:type="gramEnd"/>
      <w:r w:rsidR="00966941">
        <w:t xml:space="preserve">Meindert Boysen noted that Sarah Byron is looking specifically at contingent approvals and will come back to ET with a paper </w:t>
      </w:r>
      <w:proofErr w:type="gramStart"/>
      <w:r w:rsidR="00966941">
        <w:t>in the near future</w:t>
      </w:r>
      <w:proofErr w:type="gramEnd"/>
      <w:r w:rsidR="00966941">
        <w:t>.</w:t>
      </w:r>
    </w:p>
    <w:p w14:paraId="3A899038" w14:textId="46268831" w:rsidR="00966941" w:rsidRPr="00966941" w:rsidRDefault="00966941" w:rsidP="00966941">
      <w:pPr>
        <w:pStyle w:val="Numberedpara"/>
        <w:numPr>
          <w:ilvl w:val="0"/>
          <w:numId w:val="0"/>
        </w:numPr>
        <w:spacing w:after="240"/>
        <w:ind w:left="357"/>
        <w:jc w:val="right"/>
        <w:rPr>
          <w:b/>
          <w:bCs/>
        </w:rPr>
      </w:pPr>
      <w:r w:rsidRPr="00966941">
        <w:rPr>
          <w:b/>
          <w:bCs/>
        </w:rPr>
        <w:t>ACTION: MB/SB</w:t>
      </w:r>
    </w:p>
    <w:p w14:paraId="7B5E2E49" w14:textId="67229E67" w:rsidR="003E5A52" w:rsidRDefault="003E5A52" w:rsidP="005A69D6">
      <w:pPr>
        <w:pStyle w:val="Numberedpara"/>
        <w:numPr>
          <w:ilvl w:val="0"/>
          <w:numId w:val="0"/>
        </w:numPr>
        <w:ind w:left="360" w:hanging="360"/>
      </w:pPr>
    </w:p>
    <w:p w14:paraId="039F7DBB" w14:textId="43285823" w:rsidR="003E5A52" w:rsidRDefault="007D03C3" w:rsidP="003E5A52">
      <w:pPr>
        <w:pStyle w:val="Heading2"/>
      </w:pPr>
      <w:r>
        <w:lastRenderedPageBreak/>
        <w:t>Autumn ‘external input’ events</w:t>
      </w:r>
      <w:r w:rsidR="003E5A52">
        <w:t xml:space="preserve"> (item </w:t>
      </w:r>
      <w:r>
        <w:t>5.</w:t>
      </w:r>
      <w:r w:rsidR="003E5A52">
        <w:t>2)</w:t>
      </w:r>
    </w:p>
    <w:p w14:paraId="6BB265EE" w14:textId="77777777" w:rsidR="003E5A52" w:rsidRPr="003E5A52" w:rsidRDefault="003E5A52" w:rsidP="003E5A52">
      <w:pPr>
        <w:pStyle w:val="Paragraph"/>
        <w:numPr>
          <w:ilvl w:val="0"/>
          <w:numId w:val="0"/>
        </w:numPr>
        <w:ind w:left="720"/>
      </w:pPr>
    </w:p>
    <w:p w14:paraId="75C7D248" w14:textId="20BAEC7B" w:rsidR="003A3413" w:rsidRDefault="007D03C3" w:rsidP="003A3413">
      <w:pPr>
        <w:pStyle w:val="Numberedpara"/>
      </w:pPr>
      <w:r>
        <w:t xml:space="preserve">Rebecca </w:t>
      </w:r>
      <w:r w:rsidR="008B1F80">
        <w:t>Threlfall and Carole Longson sought ET</w:t>
      </w:r>
      <w:r w:rsidR="00805418">
        <w:t xml:space="preserve">’s </w:t>
      </w:r>
      <w:r w:rsidR="002F77FF">
        <w:t>reflections</w:t>
      </w:r>
      <w:r w:rsidR="008B1F80">
        <w:t xml:space="preserve"> on </w:t>
      </w:r>
      <w:r w:rsidR="002F77FF" w:rsidRPr="00901B61">
        <w:rPr>
          <w:rFonts w:cs="Arial"/>
        </w:rPr>
        <w:t>draft outline</w:t>
      </w:r>
      <w:r w:rsidR="002F77FF">
        <w:rPr>
          <w:rFonts w:cs="Arial"/>
        </w:rPr>
        <w:t>s</w:t>
      </w:r>
      <w:r w:rsidR="002F77FF" w:rsidRPr="00901B61">
        <w:rPr>
          <w:rFonts w:cs="Arial"/>
        </w:rPr>
        <w:t xml:space="preserve"> and potential invite list</w:t>
      </w:r>
      <w:r w:rsidR="002F77FF">
        <w:rPr>
          <w:rFonts w:cs="Arial"/>
        </w:rPr>
        <w:t>s</w:t>
      </w:r>
      <w:r w:rsidR="002F77FF" w:rsidRPr="00901B61">
        <w:rPr>
          <w:rFonts w:cs="Arial"/>
        </w:rPr>
        <w:t xml:space="preserve"> </w:t>
      </w:r>
      <w:r w:rsidR="002F77FF">
        <w:rPr>
          <w:rFonts w:cs="Arial"/>
        </w:rPr>
        <w:t>for the two</w:t>
      </w:r>
      <w:r w:rsidR="002F77FF" w:rsidRPr="00BF191C">
        <w:rPr>
          <w:rFonts w:cs="Arial"/>
        </w:rPr>
        <w:t xml:space="preserve"> </w:t>
      </w:r>
      <w:r w:rsidR="002F77FF">
        <w:rPr>
          <w:rFonts w:cs="Arial"/>
        </w:rPr>
        <w:t xml:space="preserve">‘round table-like’ </w:t>
      </w:r>
      <w:r w:rsidR="002F77FF" w:rsidRPr="00BF191C">
        <w:rPr>
          <w:rFonts w:cs="Arial"/>
        </w:rPr>
        <w:t>sessions</w:t>
      </w:r>
      <w:r w:rsidR="006E58D6">
        <w:rPr>
          <w:rFonts w:cs="Arial"/>
        </w:rPr>
        <w:t>, one</w:t>
      </w:r>
      <w:r w:rsidR="006E58D6" w:rsidRPr="00BF191C">
        <w:rPr>
          <w:rFonts w:cs="Arial"/>
        </w:rPr>
        <w:t xml:space="preserve"> focus</w:t>
      </w:r>
      <w:r w:rsidR="006E58D6">
        <w:rPr>
          <w:rFonts w:cs="Arial"/>
        </w:rPr>
        <w:t>sed</w:t>
      </w:r>
      <w:r w:rsidR="006E58D6" w:rsidRPr="00BF191C">
        <w:rPr>
          <w:rFonts w:cs="Arial"/>
        </w:rPr>
        <w:t xml:space="preserve"> on life sciences horizon scanning, and the second the clinical environment</w:t>
      </w:r>
      <w:r w:rsidR="006E58D6">
        <w:rPr>
          <w:rFonts w:cs="Arial"/>
        </w:rPr>
        <w:t>,</w:t>
      </w:r>
      <w:r w:rsidR="002F77FF" w:rsidRPr="00BF191C">
        <w:rPr>
          <w:rFonts w:cs="Arial"/>
        </w:rPr>
        <w:t xml:space="preserve"> </w:t>
      </w:r>
      <w:r w:rsidR="002F77FF">
        <w:rPr>
          <w:rFonts w:cs="Arial"/>
        </w:rPr>
        <w:t xml:space="preserve">agreed to be held </w:t>
      </w:r>
      <w:r w:rsidR="002F77FF" w:rsidRPr="00BF191C">
        <w:rPr>
          <w:rFonts w:cs="Arial"/>
        </w:rPr>
        <w:t xml:space="preserve">in </w:t>
      </w:r>
      <w:r w:rsidR="002F77FF">
        <w:rPr>
          <w:rFonts w:cs="Arial"/>
        </w:rPr>
        <w:t xml:space="preserve">autumn </w:t>
      </w:r>
      <w:r w:rsidR="002F77FF" w:rsidRPr="00BF191C">
        <w:rPr>
          <w:rFonts w:cs="Arial"/>
        </w:rPr>
        <w:t>2021</w:t>
      </w:r>
      <w:r w:rsidR="002F77FF">
        <w:rPr>
          <w:rFonts w:cs="Arial"/>
        </w:rPr>
        <w:t xml:space="preserve"> to seek strategic external input and expertise on an ongoing basis.</w:t>
      </w:r>
    </w:p>
    <w:p w14:paraId="4D775F83" w14:textId="39CEA90D" w:rsidR="003A3413" w:rsidRDefault="003A3413" w:rsidP="003A3413">
      <w:pPr>
        <w:pStyle w:val="Numberedpara"/>
        <w:numPr>
          <w:ilvl w:val="0"/>
          <w:numId w:val="0"/>
        </w:numPr>
      </w:pPr>
    </w:p>
    <w:p w14:paraId="48383B87" w14:textId="584E64A0" w:rsidR="003A3413" w:rsidRDefault="00257095" w:rsidP="003A3413">
      <w:pPr>
        <w:pStyle w:val="Numberedpara"/>
      </w:pPr>
      <w:r w:rsidRPr="0048346F">
        <w:rPr>
          <w:u w:val="single"/>
        </w:rPr>
        <w:t>Clinical health care event</w:t>
      </w:r>
      <w:r>
        <w:t xml:space="preserve"> </w:t>
      </w:r>
      <w:r w:rsidR="009372E3">
        <w:t xml:space="preserve">(30 September) </w:t>
      </w:r>
      <w:r w:rsidR="005734BD">
        <w:t>–</w:t>
      </w:r>
      <w:r>
        <w:t xml:space="preserve"> </w:t>
      </w:r>
      <w:r w:rsidR="005734BD">
        <w:t xml:space="preserve">varying views were expressed about the </w:t>
      </w:r>
      <w:r w:rsidR="00B06B31">
        <w:t>key topic</w:t>
      </w:r>
      <w:r w:rsidR="005734BD">
        <w:t xml:space="preserve"> </w:t>
      </w:r>
      <w:proofErr w:type="gramStart"/>
      <w:r w:rsidR="005734BD">
        <w:t>in order to</w:t>
      </w:r>
      <w:proofErr w:type="gramEnd"/>
      <w:r w:rsidR="005734BD">
        <w:t xml:space="preserve"> maximise the contributions</w:t>
      </w:r>
      <w:r w:rsidR="00B06B31">
        <w:t xml:space="preserve"> from the invitees</w:t>
      </w:r>
      <w:r w:rsidR="005734BD">
        <w:t xml:space="preserve">.  The options considered were </w:t>
      </w:r>
      <w:r w:rsidR="00B06B31">
        <w:t xml:space="preserve">- </w:t>
      </w:r>
      <w:r w:rsidR="005734BD">
        <w:t>how NICE can help the NHS to recover from COVID; how NICE can support Integrated Care Systems, and how NICE can help to address health inequalities</w:t>
      </w:r>
      <w:proofErr w:type="gramStart"/>
      <w:r w:rsidR="005734BD">
        <w:t xml:space="preserve">.  </w:t>
      </w:r>
      <w:proofErr w:type="gramEnd"/>
      <w:r w:rsidR="005734BD">
        <w:t xml:space="preserve">It was agreed to finalise the </w:t>
      </w:r>
      <w:r w:rsidR="00B06B31">
        <w:t>topic</w:t>
      </w:r>
      <w:r w:rsidR="005734BD">
        <w:t xml:space="preserve"> outside of the meeting.</w:t>
      </w:r>
    </w:p>
    <w:p w14:paraId="5DE1D505" w14:textId="77777777" w:rsidR="005734BD" w:rsidRDefault="005734BD" w:rsidP="005734BD">
      <w:pPr>
        <w:pStyle w:val="ListParagraph"/>
      </w:pPr>
    </w:p>
    <w:p w14:paraId="7B649CD7" w14:textId="6F9A15FC" w:rsidR="005734BD" w:rsidRPr="005734BD" w:rsidRDefault="005734BD" w:rsidP="005734BD">
      <w:pPr>
        <w:pStyle w:val="Numberedpara"/>
        <w:numPr>
          <w:ilvl w:val="0"/>
          <w:numId w:val="0"/>
        </w:numPr>
        <w:ind w:left="360"/>
        <w:jc w:val="right"/>
        <w:rPr>
          <w:b/>
          <w:bCs/>
        </w:rPr>
      </w:pPr>
      <w:r w:rsidRPr="005734BD">
        <w:rPr>
          <w:b/>
          <w:bCs/>
        </w:rPr>
        <w:t>ACTION: GL/CL/RT</w:t>
      </w:r>
    </w:p>
    <w:p w14:paraId="7314ECA4" w14:textId="77777777" w:rsidR="003A3413" w:rsidRDefault="003A3413" w:rsidP="003A3413">
      <w:pPr>
        <w:pStyle w:val="ListParagraph"/>
      </w:pPr>
    </w:p>
    <w:p w14:paraId="2D8F8315" w14:textId="6A8A69A0" w:rsidR="005734BD" w:rsidRDefault="00B06B31" w:rsidP="005734BD">
      <w:pPr>
        <w:pStyle w:val="Numberedpara"/>
        <w:spacing w:after="240"/>
        <w:ind w:left="357" w:hanging="357"/>
      </w:pPr>
      <w:r>
        <w:t xml:space="preserve">In terms of the invitee list, it was agreed to include one or two </w:t>
      </w:r>
      <w:r w:rsidR="005E4564">
        <w:t>patient representatives, probably National Voices,</w:t>
      </w:r>
      <w:r>
        <w:t xml:space="preserve"> plus NHS Providers, NHS Confederation or NHS Clinical Commissioners</w:t>
      </w:r>
      <w:proofErr w:type="gramStart"/>
      <w:r>
        <w:t xml:space="preserve">.  </w:t>
      </w:r>
      <w:proofErr w:type="gramEnd"/>
      <w:r>
        <w:t xml:space="preserve">It was agreed that Rebecca Threlfall would </w:t>
      </w:r>
      <w:r w:rsidR="005E4564">
        <w:t xml:space="preserve">draft a letter for </w:t>
      </w:r>
      <w:r>
        <w:t>the CEO</w:t>
      </w:r>
      <w:r w:rsidR="006C7986">
        <w:t xml:space="preserve">s </w:t>
      </w:r>
      <w:r>
        <w:t xml:space="preserve">of the organisations </w:t>
      </w:r>
      <w:r w:rsidR="006C7986">
        <w:t xml:space="preserve">to </w:t>
      </w:r>
      <w:r>
        <w:t xml:space="preserve">ask </w:t>
      </w:r>
      <w:r w:rsidR="006C7986">
        <w:t xml:space="preserve">for their </w:t>
      </w:r>
      <w:r>
        <w:t>nominate</w:t>
      </w:r>
      <w:r w:rsidR="006C7986">
        <w:t>d</w:t>
      </w:r>
      <w:r>
        <w:t xml:space="preserve"> rep, and </w:t>
      </w:r>
      <w:r w:rsidR="006C7986">
        <w:t xml:space="preserve">to </w:t>
      </w:r>
      <w:r>
        <w:t xml:space="preserve">finalise </w:t>
      </w:r>
      <w:r w:rsidR="006C7986">
        <w:t>an</w:t>
      </w:r>
      <w:r>
        <w:t xml:space="preserve"> invite list </w:t>
      </w:r>
      <w:r w:rsidR="006C7986">
        <w:t xml:space="preserve">of approx. 30 people, </w:t>
      </w:r>
      <w:r>
        <w:t>based on ET’s suggestions</w:t>
      </w:r>
      <w:proofErr w:type="gramStart"/>
      <w:r>
        <w:t xml:space="preserve">.  </w:t>
      </w:r>
      <w:proofErr w:type="gramEnd"/>
      <w:r w:rsidR="00B141A5">
        <w:t xml:space="preserve">The event will be a </w:t>
      </w:r>
      <w:proofErr w:type="gramStart"/>
      <w:r w:rsidR="00B141A5">
        <w:t>90 minute</w:t>
      </w:r>
      <w:proofErr w:type="gramEnd"/>
      <w:r w:rsidR="00B141A5">
        <w:t xml:space="preserve"> session, held virtually. </w:t>
      </w:r>
    </w:p>
    <w:p w14:paraId="3E7FF648" w14:textId="519D0DB2" w:rsidR="00B06B31" w:rsidRPr="00B06B31" w:rsidRDefault="00B06B31" w:rsidP="00B06B31">
      <w:pPr>
        <w:pStyle w:val="Numberedpara"/>
        <w:numPr>
          <w:ilvl w:val="0"/>
          <w:numId w:val="0"/>
        </w:numPr>
        <w:spacing w:after="240"/>
        <w:ind w:left="357"/>
        <w:jc w:val="right"/>
        <w:rPr>
          <w:b/>
          <w:bCs/>
        </w:rPr>
      </w:pPr>
      <w:r w:rsidRPr="00B06B31">
        <w:rPr>
          <w:b/>
          <w:bCs/>
        </w:rPr>
        <w:t>ACTION: RT</w:t>
      </w:r>
    </w:p>
    <w:p w14:paraId="1B1B4854" w14:textId="5B030148" w:rsidR="006C6776" w:rsidRDefault="00257095" w:rsidP="006C6776">
      <w:pPr>
        <w:pStyle w:val="Numberedpara"/>
      </w:pPr>
      <w:r w:rsidRPr="0048346F">
        <w:rPr>
          <w:u w:val="single"/>
        </w:rPr>
        <w:t>Life sciences event</w:t>
      </w:r>
      <w:r>
        <w:t xml:space="preserve"> </w:t>
      </w:r>
      <w:r w:rsidR="009372E3">
        <w:t xml:space="preserve">(7 October) </w:t>
      </w:r>
      <w:r w:rsidR="007C3F6E">
        <w:t>–</w:t>
      </w:r>
      <w:r>
        <w:t xml:space="preserve"> </w:t>
      </w:r>
      <w:r w:rsidR="007C3F6E">
        <w:t>this is planned to be a smaller event for around 14 people to focus on Integrated Care Systems and innovation</w:t>
      </w:r>
      <w:proofErr w:type="gramStart"/>
      <w:r w:rsidR="007C3F6E">
        <w:t xml:space="preserve">.  </w:t>
      </w:r>
      <w:proofErr w:type="gramEnd"/>
      <w:r w:rsidR="007C3F6E">
        <w:t>It was agreed to include NHS Digital and the AAC</w:t>
      </w:r>
      <w:proofErr w:type="gramStart"/>
      <w:r w:rsidR="007C3F6E">
        <w:t xml:space="preserve">.  </w:t>
      </w:r>
      <w:proofErr w:type="gramEnd"/>
      <w:r w:rsidR="007C3F6E">
        <w:t>Rebecca Threlfall was asked to finalise the topic and the invitee list with Gill Leng and Carole Longson and write out to the organisations</w:t>
      </w:r>
      <w:proofErr w:type="gramStart"/>
      <w:r w:rsidR="007C3F6E">
        <w:t>.</w:t>
      </w:r>
      <w:r w:rsidR="005E4564">
        <w:t xml:space="preserve">  </w:t>
      </w:r>
      <w:proofErr w:type="gramEnd"/>
      <w:r w:rsidR="005E4564">
        <w:t>It was agreed to progress a separate event looking at the pipeline of new technologies.</w:t>
      </w:r>
    </w:p>
    <w:p w14:paraId="7BAF4CC9" w14:textId="77777777" w:rsidR="006C6776" w:rsidRDefault="006C6776" w:rsidP="006C6776">
      <w:pPr>
        <w:pStyle w:val="ListParagraph"/>
      </w:pPr>
    </w:p>
    <w:p w14:paraId="3337B88A" w14:textId="3211D5AC" w:rsidR="006C6776" w:rsidRDefault="006C6776" w:rsidP="006C6776">
      <w:pPr>
        <w:pStyle w:val="SMTActions"/>
      </w:pPr>
      <w:r>
        <w:t xml:space="preserve">ACTION: </w:t>
      </w:r>
      <w:r w:rsidR="007C3F6E">
        <w:t>RT</w:t>
      </w:r>
    </w:p>
    <w:p w14:paraId="1E9A8C59" w14:textId="77777777" w:rsidR="003E5A52" w:rsidRDefault="003E5A52" w:rsidP="005A69D6">
      <w:pPr>
        <w:pStyle w:val="Numberedpara"/>
        <w:numPr>
          <w:ilvl w:val="0"/>
          <w:numId w:val="0"/>
        </w:numPr>
        <w:ind w:left="360" w:hanging="360"/>
      </w:pPr>
    </w:p>
    <w:p w14:paraId="5CEAFA36" w14:textId="37BAB2D6" w:rsidR="003E5A52" w:rsidRDefault="00DD7CFD" w:rsidP="003E5A52">
      <w:pPr>
        <w:pStyle w:val="Heading2"/>
      </w:pPr>
      <w:r>
        <w:t>NICE Student champions scheme</w:t>
      </w:r>
      <w:r w:rsidR="003E5A52">
        <w:t xml:space="preserve"> (item </w:t>
      </w:r>
      <w:r>
        <w:t>5</w:t>
      </w:r>
      <w:r w:rsidR="003E5A52">
        <w:t>.3)</w:t>
      </w:r>
    </w:p>
    <w:p w14:paraId="0DF56EEE" w14:textId="1BAD4674" w:rsidR="003E5A52" w:rsidRDefault="003E5A52" w:rsidP="005A69D6">
      <w:pPr>
        <w:pStyle w:val="Numberedpara"/>
        <w:numPr>
          <w:ilvl w:val="0"/>
          <w:numId w:val="0"/>
        </w:numPr>
        <w:ind w:left="360" w:hanging="360"/>
      </w:pPr>
    </w:p>
    <w:p w14:paraId="61748723" w14:textId="1D54FF0D" w:rsidR="003E5A52" w:rsidRDefault="0094519E" w:rsidP="0094519E">
      <w:pPr>
        <w:pStyle w:val="Numberedpara"/>
        <w:spacing w:after="240"/>
        <w:ind w:left="357" w:hanging="357"/>
      </w:pPr>
      <w:r>
        <w:t xml:space="preserve">Deborah Collis and Anne Weist joined the meeting to request ET approval to close the NICE student champion programme as its original purpose is not aligned to the new 5-year strategy, and there are other ways to support undergraduate clinical education which are </w:t>
      </w:r>
      <w:r w:rsidR="00B87CFD">
        <w:t xml:space="preserve">able to reach more students through digital </w:t>
      </w:r>
      <w:r w:rsidR="0048346F">
        <w:t>platforms</w:t>
      </w:r>
      <w:r w:rsidR="00B87CFD">
        <w:t xml:space="preserve"> which will </w:t>
      </w:r>
      <w:r w:rsidR="00156709">
        <w:t xml:space="preserve">also </w:t>
      </w:r>
      <w:r w:rsidR="00B87CFD">
        <w:t xml:space="preserve">be </w:t>
      </w:r>
      <w:r>
        <w:t>less resource intensive</w:t>
      </w:r>
      <w:r w:rsidR="00B87CFD">
        <w:t xml:space="preserve"> </w:t>
      </w:r>
      <w:r>
        <w:t xml:space="preserve">for NICE. </w:t>
      </w:r>
    </w:p>
    <w:p w14:paraId="26F9C4F4" w14:textId="5C7E3A1D" w:rsidR="0094519E" w:rsidRDefault="00B87CFD" w:rsidP="00BA18D5">
      <w:pPr>
        <w:pStyle w:val="Numberedpara"/>
        <w:spacing w:after="240"/>
        <w:ind w:left="357" w:hanging="357"/>
      </w:pPr>
      <w:r>
        <w:t>ET expressed thanks to Anne Weist for her immense contribution to the scheme over the last 10 year</w:t>
      </w:r>
      <w:r w:rsidR="003851F3">
        <w:t>s</w:t>
      </w:r>
      <w:r w:rsidR="00BA18D5">
        <w:t xml:space="preserve"> and asked that </w:t>
      </w:r>
      <w:r w:rsidR="003851F3">
        <w:t>Anne</w:t>
      </w:r>
      <w:r w:rsidR="00BA18D5">
        <w:t xml:space="preserve"> share</w:t>
      </w:r>
      <w:r w:rsidR="003851F3">
        <w:t>s</w:t>
      </w:r>
      <w:r w:rsidR="00BA18D5">
        <w:t xml:space="preserve"> her thoughts on how NICE can retain its link with </w:t>
      </w:r>
      <w:r w:rsidR="003851F3">
        <w:t xml:space="preserve">the </w:t>
      </w:r>
      <w:r w:rsidR="00BA18D5">
        <w:t>educational establishments in the future to maintain the legacy of the scheme.</w:t>
      </w:r>
    </w:p>
    <w:p w14:paraId="30372C05" w14:textId="26FF1B2B" w:rsidR="006C6776" w:rsidRDefault="006C6776" w:rsidP="0087317A">
      <w:pPr>
        <w:pStyle w:val="SMTActions"/>
      </w:pPr>
      <w:r>
        <w:t>ACTION:</w:t>
      </w:r>
      <w:r w:rsidR="00BA18D5">
        <w:t xml:space="preserve"> JR/AW</w:t>
      </w:r>
    </w:p>
    <w:p w14:paraId="0DEB4FC3" w14:textId="77777777" w:rsidR="00CA201D" w:rsidRDefault="00CA201D" w:rsidP="005A69D6">
      <w:pPr>
        <w:pStyle w:val="Numberedpara"/>
        <w:numPr>
          <w:ilvl w:val="0"/>
          <w:numId w:val="0"/>
        </w:numPr>
        <w:ind w:left="360" w:hanging="360"/>
      </w:pPr>
    </w:p>
    <w:p w14:paraId="674AFACA" w14:textId="0BC55C42" w:rsidR="003E5A52" w:rsidRDefault="00DD446F" w:rsidP="003E5A52">
      <w:pPr>
        <w:pStyle w:val="Heading2"/>
      </w:pPr>
      <w:r>
        <w:t>Integrated p</w:t>
      </w:r>
      <w:r w:rsidR="00DD7CFD">
        <w:t xml:space="preserve">erformance </w:t>
      </w:r>
      <w:r w:rsidR="003E5A52">
        <w:t xml:space="preserve">report (item </w:t>
      </w:r>
      <w:r w:rsidR="00DD7CFD">
        <w:t>5</w:t>
      </w:r>
      <w:r w:rsidR="003E5A52">
        <w:t>.4)</w:t>
      </w:r>
    </w:p>
    <w:p w14:paraId="018AA242" w14:textId="3E7F6BC2" w:rsidR="003E5A52" w:rsidRDefault="003E5A52" w:rsidP="005A69D6">
      <w:pPr>
        <w:pStyle w:val="Numberedpara"/>
        <w:numPr>
          <w:ilvl w:val="0"/>
          <w:numId w:val="0"/>
        </w:numPr>
        <w:ind w:left="360" w:hanging="360"/>
      </w:pPr>
    </w:p>
    <w:p w14:paraId="3B6F5BC1" w14:textId="12A10C0D" w:rsidR="006C6776" w:rsidRDefault="006C6776" w:rsidP="004B40FD">
      <w:pPr>
        <w:pStyle w:val="Numberedpara"/>
        <w:spacing w:after="240"/>
        <w:ind w:left="357" w:hanging="357"/>
      </w:pPr>
      <w:r>
        <w:t>ET</w:t>
      </w:r>
      <w:r w:rsidR="00DD7CFD">
        <w:t xml:space="preserve"> reviewed</w:t>
      </w:r>
      <w:r w:rsidR="00DD446F">
        <w:t xml:space="preserve"> the proposed integrated performance report for public board meetings, </w:t>
      </w:r>
      <w:r w:rsidR="00E34D11">
        <w:t>which has been refined following feedback from non-executive directors</w:t>
      </w:r>
      <w:proofErr w:type="gramStart"/>
      <w:r w:rsidR="00E34D11">
        <w:t xml:space="preserve">.  </w:t>
      </w:r>
      <w:proofErr w:type="gramEnd"/>
      <w:r w:rsidR="00E34D11">
        <w:t xml:space="preserve">It was noted that further executive summary text was required, including where additional explanation will assist the NED’s understanding – </w:t>
      </w:r>
      <w:proofErr w:type="spellStart"/>
      <w:proofErr w:type="gramStart"/>
      <w:r w:rsidR="00E34D11">
        <w:t>eg</w:t>
      </w:r>
      <w:proofErr w:type="spellEnd"/>
      <w:proofErr w:type="gramEnd"/>
      <w:r w:rsidR="00E34D11">
        <w:t xml:space="preserve"> on commercial briefings.</w:t>
      </w:r>
      <w:r w:rsidR="004B40FD">
        <w:t xml:space="preserve">  Pages 7 – 16 of the report will not be included in the version presented to the </w:t>
      </w:r>
      <w:r w:rsidR="000D1906">
        <w:t>b</w:t>
      </w:r>
      <w:r w:rsidR="004B40FD">
        <w:t>oard but the indicators will still be measured for NICE’s purposes and for discussion with the DHSC</w:t>
      </w:r>
      <w:proofErr w:type="gramStart"/>
      <w:r w:rsidR="004B40FD">
        <w:t xml:space="preserve">.  </w:t>
      </w:r>
      <w:proofErr w:type="gramEnd"/>
      <w:r w:rsidR="004B40FD">
        <w:t>It was expected that the report will develop overtime, with further refinements as and when requested by the board.</w:t>
      </w:r>
    </w:p>
    <w:p w14:paraId="6F121E5B" w14:textId="1ABEFC48" w:rsidR="004B40FD" w:rsidRDefault="004B40FD" w:rsidP="006C6776">
      <w:pPr>
        <w:pStyle w:val="Numberedpara"/>
      </w:pPr>
      <w:r>
        <w:lastRenderedPageBreak/>
        <w:t xml:space="preserve">Boryana </w:t>
      </w:r>
      <w:r w:rsidR="00C5773F">
        <w:t xml:space="preserve">Stambolova </w:t>
      </w:r>
      <w:r>
        <w:t xml:space="preserve">was asked to make some minor amendments to the report for the July </w:t>
      </w:r>
      <w:r w:rsidR="00AE770E">
        <w:t xml:space="preserve">public </w:t>
      </w:r>
      <w:r w:rsidR="000D1906">
        <w:t xml:space="preserve">board </w:t>
      </w:r>
      <w:r>
        <w:t xml:space="preserve">meeting – the staff turnover and vacancy rate arrows to indicate </w:t>
      </w:r>
      <w:r w:rsidR="00AE75B9">
        <w:t xml:space="preserve">an </w:t>
      </w:r>
      <w:r>
        <w:t xml:space="preserve">upward trend; </w:t>
      </w:r>
      <w:r w:rsidR="00C5773F">
        <w:t>take out the cost improvement target and agree the TA/HST income budget and target with Meindert Boysen.</w:t>
      </w:r>
    </w:p>
    <w:p w14:paraId="61E3CF58" w14:textId="7B964FFC" w:rsidR="006C6776" w:rsidRDefault="006C6776" w:rsidP="006C6776">
      <w:pPr>
        <w:pStyle w:val="Numberedpara"/>
        <w:numPr>
          <w:ilvl w:val="0"/>
          <w:numId w:val="0"/>
        </w:numPr>
        <w:ind w:left="360" w:hanging="360"/>
      </w:pPr>
    </w:p>
    <w:p w14:paraId="508781C3" w14:textId="61847BD3" w:rsidR="006C6776" w:rsidRDefault="006C6776" w:rsidP="006C6776">
      <w:pPr>
        <w:pStyle w:val="SMTActions"/>
      </w:pPr>
      <w:r>
        <w:t xml:space="preserve">ACTION: </w:t>
      </w:r>
      <w:r w:rsidR="004B40FD">
        <w:t>BS</w:t>
      </w:r>
    </w:p>
    <w:p w14:paraId="48C4A863" w14:textId="38224C7F" w:rsidR="00ED2703" w:rsidRDefault="00ED2703" w:rsidP="005A69D6">
      <w:pPr>
        <w:pStyle w:val="Numberedpara"/>
        <w:numPr>
          <w:ilvl w:val="0"/>
          <w:numId w:val="0"/>
        </w:numPr>
        <w:ind w:left="360" w:hanging="360"/>
      </w:pPr>
    </w:p>
    <w:p w14:paraId="16DD7EE1" w14:textId="1CA1C7BB" w:rsidR="00B56FA7" w:rsidRDefault="00DD7CFD" w:rsidP="00B56FA7">
      <w:pPr>
        <w:pStyle w:val="Heading2"/>
      </w:pPr>
      <w:r>
        <w:t xml:space="preserve">MHRA and NICE board to board meeting </w:t>
      </w:r>
      <w:r w:rsidR="00B56FA7">
        <w:t xml:space="preserve">(item </w:t>
      </w:r>
      <w:r>
        <w:t>6</w:t>
      </w:r>
      <w:r w:rsidR="00B56FA7">
        <w:t>.1)</w:t>
      </w:r>
    </w:p>
    <w:p w14:paraId="05600B29" w14:textId="5098CCBB" w:rsidR="00B56FA7" w:rsidRDefault="00B56FA7" w:rsidP="005A69D6">
      <w:pPr>
        <w:pStyle w:val="Numberedpara"/>
        <w:numPr>
          <w:ilvl w:val="0"/>
          <w:numId w:val="0"/>
        </w:numPr>
        <w:ind w:left="360" w:hanging="360"/>
      </w:pPr>
    </w:p>
    <w:p w14:paraId="681319DB" w14:textId="5A025B47" w:rsidR="00B56FA7" w:rsidRDefault="0052753E" w:rsidP="0052753E">
      <w:pPr>
        <w:pStyle w:val="Numberedpara"/>
      </w:pPr>
      <w:r>
        <w:t xml:space="preserve">This </w:t>
      </w:r>
      <w:r w:rsidR="0039522C">
        <w:t>paper</w:t>
      </w:r>
      <w:r>
        <w:t xml:space="preserve"> was deferred until next week.</w:t>
      </w:r>
    </w:p>
    <w:p w14:paraId="43E0F275" w14:textId="77777777" w:rsidR="00B56FA7" w:rsidRDefault="00B56FA7" w:rsidP="00B56FA7">
      <w:pPr>
        <w:pStyle w:val="ListParagraph"/>
      </w:pPr>
    </w:p>
    <w:p w14:paraId="0DD23B32" w14:textId="14415CD0" w:rsidR="00DD7CFD" w:rsidRPr="00DD7CFD" w:rsidRDefault="00DD7CFD" w:rsidP="00DD7CFD">
      <w:pPr>
        <w:pStyle w:val="Heading2"/>
        <w:spacing w:after="240"/>
      </w:pPr>
      <w:r>
        <w:t>CHTE methods and process review (item 6.2)</w:t>
      </w:r>
    </w:p>
    <w:p w14:paraId="44A63BD0" w14:textId="38BD4C1D" w:rsidR="00DD7CFD" w:rsidRDefault="00AE770E" w:rsidP="00DD7CFD">
      <w:pPr>
        <w:pStyle w:val="Numberedpara"/>
        <w:spacing w:after="240"/>
        <w:ind w:left="357" w:hanging="357"/>
      </w:pPr>
      <w:r>
        <w:t>ET reviewed a draft paper for the July public board on the progress of the CHTE methods and process review</w:t>
      </w:r>
      <w:proofErr w:type="gramStart"/>
      <w:r w:rsidR="00B66D71">
        <w:t xml:space="preserve">.  </w:t>
      </w:r>
      <w:proofErr w:type="gramEnd"/>
      <w:r w:rsidR="00B66D71">
        <w:t xml:space="preserve">A fuller paper will come to ET next week for </w:t>
      </w:r>
      <w:r w:rsidR="00B66480">
        <w:t xml:space="preserve">a </w:t>
      </w:r>
      <w:r w:rsidR="00B66D71">
        <w:t>discussion at the private board session.</w:t>
      </w:r>
      <w:r>
        <w:t xml:space="preserve"> </w:t>
      </w:r>
    </w:p>
    <w:p w14:paraId="0B97E2DD" w14:textId="1BEC6A3B" w:rsidR="00DD7CFD" w:rsidRDefault="00B66480" w:rsidP="00DD7CFD">
      <w:pPr>
        <w:pStyle w:val="Numberedpara"/>
        <w:spacing w:after="240"/>
        <w:ind w:left="357" w:hanging="357"/>
      </w:pPr>
      <w:r>
        <w:t>The paper for the public board proposed a second consultation from 11 August to 6 October</w:t>
      </w:r>
      <w:proofErr w:type="gramStart"/>
      <w:r>
        <w:t xml:space="preserve">.  </w:t>
      </w:r>
      <w:proofErr w:type="gramEnd"/>
      <w:r>
        <w:t>ET noted that the consultation period has been extended from 6 to 8 weeks to allow participants to fully engage with the broad range of proposals, and to seek the board’s approval to publish the final manual in January 2022 rather than December 2021</w:t>
      </w:r>
      <w:r w:rsidR="00AB7E87">
        <w:t xml:space="preserve"> (Q3)</w:t>
      </w:r>
      <w:r>
        <w:t>, as stated in the business plan.</w:t>
      </w:r>
    </w:p>
    <w:p w14:paraId="6B735DC3" w14:textId="642815DC" w:rsidR="00B56FA7" w:rsidRDefault="00064DFC" w:rsidP="00637FC4">
      <w:pPr>
        <w:pStyle w:val="Numberedpara"/>
        <w:spacing w:after="240"/>
        <w:ind w:left="357" w:hanging="357"/>
      </w:pPr>
      <w:r>
        <w:t xml:space="preserve">Meindert Boysen was </w:t>
      </w:r>
      <w:r w:rsidR="002B328E">
        <w:t>request</w:t>
      </w:r>
      <w:r>
        <w:t xml:space="preserve">ed to make some </w:t>
      </w:r>
      <w:r w:rsidR="002B328E">
        <w:t>minor</w:t>
      </w:r>
      <w:r>
        <w:t xml:space="preserve"> amendments to the paper ahead of the </w:t>
      </w:r>
      <w:r w:rsidR="002B328E">
        <w:t xml:space="preserve">July </w:t>
      </w:r>
      <w:r>
        <w:t>public board meeting</w:t>
      </w:r>
      <w:r w:rsidR="002B328E">
        <w:t>, to include reference to the UK Life Sciences Vision, and a note to state that the final manual will require HM Treasury approval</w:t>
      </w:r>
      <w:r w:rsidR="005E4564">
        <w:t xml:space="preserve"> in the paper for the morning session</w:t>
      </w:r>
      <w:r w:rsidR="002B328E">
        <w:t>.</w:t>
      </w:r>
    </w:p>
    <w:p w14:paraId="2509CC85" w14:textId="02335921" w:rsidR="002B328E" w:rsidRPr="002B328E" w:rsidRDefault="002B328E" w:rsidP="002B328E">
      <w:pPr>
        <w:pStyle w:val="Numberedpara"/>
        <w:numPr>
          <w:ilvl w:val="0"/>
          <w:numId w:val="0"/>
        </w:numPr>
        <w:spacing w:after="240"/>
        <w:ind w:left="357"/>
        <w:jc w:val="right"/>
        <w:rPr>
          <w:b/>
          <w:bCs/>
        </w:rPr>
      </w:pPr>
      <w:r w:rsidRPr="002B328E">
        <w:rPr>
          <w:b/>
          <w:bCs/>
        </w:rPr>
        <w:t>ACTION: MB</w:t>
      </w:r>
    </w:p>
    <w:p w14:paraId="3547BA05" w14:textId="1460C9C1" w:rsidR="00637FC4" w:rsidRPr="00637FC4" w:rsidRDefault="00637FC4" w:rsidP="00637FC4">
      <w:pPr>
        <w:pStyle w:val="Heading2"/>
        <w:spacing w:after="240"/>
      </w:pPr>
      <w:r>
        <w:t>Gold group (item 7)</w:t>
      </w:r>
    </w:p>
    <w:p w14:paraId="0A84E88E" w14:textId="6551EC65" w:rsidR="00637FC4" w:rsidRDefault="0052753E" w:rsidP="00120B77">
      <w:pPr>
        <w:pStyle w:val="Numberedpara"/>
        <w:spacing w:after="240"/>
        <w:ind w:left="357" w:hanging="357"/>
      </w:pPr>
      <w:r>
        <w:t>ET noted the actions agreed at the meeting on 5 July.</w:t>
      </w:r>
    </w:p>
    <w:p w14:paraId="3FBDB888" w14:textId="11FB7687" w:rsidR="00FD53E9" w:rsidRDefault="00FD53E9" w:rsidP="00FD53E9">
      <w:pPr>
        <w:pStyle w:val="Heading2"/>
        <w:rPr>
          <w:iCs w:val="0"/>
        </w:rPr>
      </w:pPr>
      <w:r w:rsidRPr="00DD563C">
        <w:rPr>
          <w:iCs w:val="0"/>
        </w:rPr>
        <w:t xml:space="preserve">Review of the meeting (item </w:t>
      </w:r>
      <w:r w:rsidR="003E5A52">
        <w:rPr>
          <w:iCs w:val="0"/>
        </w:rPr>
        <w:t>8</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3CB52EF9" w14:textId="471B47ED" w:rsidR="00B56FA7" w:rsidRPr="00B56FA7" w:rsidRDefault="00FD53E9" w:rsidP="00B56FA7">
      <w:pPr>
        <w:pStyle w:val="Numberedpara"/>
        <w:rPr>
          <w:color w:val="000000" w:themeColor="text1"/>
        </w:rPr>
      </w:pPr>
      <w:r w:rsidRPr="00B56FA7">
        <w:rPr>
          <w:color w:val="000000" w:themeColor="text1"/>
        </w:rPr>
        <w:t xml:space="preserve">ET reviewed the meeting </w:t>
      </w:r>
      <w:r w:rsidR="00111FE6" w:rsidRPr="00B56FA7">
        <w:rPr>
          <w:color w:val="000000" w:themeColor="text1"/>
        </w:rPr>
        <w:t>and</w:t>
      </w:r>
      <w:r w:rsidR="00B56FA7" w:rsidRPr="00B56FA7">
        <w:rPr>
          <w:color w:val="000000" w:themeColor="text1"/>
        </w:rPr>
        <w:t xml:space="preserve"> </w:t>
      </w:r>
      <w:r w:rsidR="0052753E">
        <w:rPr>
          <w:color w:val="000000" w:themeColor="text1"/>
        </w:rPr>
        <w:t xml:space="preserve">commented that the papers were interesting </w:t>
      </w:r>
      <w:r w:rsidR="00906BA6">
        <w:rPr>
          <w:color w:val="000000" w:themeColor="text1"/>
        </w:rPr>
        <w:t xml:space="preserve">and relevant </w:t>
      </w:r>
      <w:r w:rsidR="0052753E">
        <w:rPr>
          <w:color w:val="000000" w:themeColor="text1"/>
        </w:rPr>
        <w:t>but too many to get through</w:t>
      </w:r>
      <w:r w:rsidR="00906BA6">
        <w:rPr>
          <w:color w:val="000000" w:themeColor="text1"/>
        </w:rPr>
        <w:t xml:space="preserve">, with </w:t>
      </w:r>
      <w:r w:rsidR="0052753E">
        <w:rPr>
          <w:color w:val="000000" w:themeColor="text1"/>
        </w:rPr>
        <w:t xml:space="preserve">one paper </w:t>
      </w:r>
      <w:r w:rsidR="00906BA6">
        <w:rPr>
          <w:color w:val="000000" w:themeColor="text1"/>
        </w:rPr>
        <w:t>having to be</w:t>
      </w:r>
      <w:r w:rsidR="0052753E">
        <w:rPr>
          <w:color w:val="000000" w:themeColor="text1"/>
        </w:rPr>
        <w:t xml:space="preserve"> deferred to next week</w:t>
      </w:r>
      <w:r w:rsidR="00B56FA7" w:rsidRPr="00B56FA7">
        <w:rPr>
          <w:color w:val="000000" w:themeColor="text1"/>
        </w:rPr>
        <w:t>.</w:t>
      </w:r>
    </w:p>
    <w:p w14:paraId="039329F8" w14:textId="77777777" w:rsidR="00FD53E9" w:rsidRDefault="00FD53E9" w:rsidP="005A69D6">
      <w:pPr>
        <w:pStyle w:val="Numberedpara"/>
        <w:numPr>
          <w:ilvl w:val="0"/>
          <w:numId w:val="0"/>
        </w:numPr>
        <w:ind w:left="360" w:hanging="360"/>
      </w:pPr>
    </w:p>
    <w:p w14:paraId="303FF33B" w14:textId="38DCB095" w:rsidR="005A69D6" w:rsidRDefault="00120B77" w:rsidP="005A69D6">
      <w:pPr>
        <w:pStyle w:val="Heading2"/>
      </w:pPr>
      <w:r>
        <w:t>O</w:t>
      </w:r>
      <w:r w:rsidR="005A69D6">
        <w:t xml:space="preserve">ther business (item </w:t>
      </w:r>
      <w:r w:rsidR="003E5A52">
        <w:t>9</w:t>
      </w:r>
      <w:r w:rsidR="005A69D6">
        <w:t>)</w:t>
      </w:r>
    </w:p>
    <w:p w14:paraId="2062F221" w14:textId="16591748" w:rsidR="005A69D6" w:rsidRDefault="005A69D6" w:rsidP="005A69D6">
      <w:pPr>
        <w:pStyle w:val="Paragraph"/>
        <w:numPr>
          <w:ilvl w:val="0"/>
          <w:numId w:val="0"/>
        </w:numPr>
        <w:ind w:left="720" w:hanging="360"/>
      </w:pPr>
    </w:p>
    <w:p w14:paraId="62DF0CEF" w14:textId="357BCE3B" w:rsidR="008F3AA1" w:rsidRDefault="00120B77" w:rsidP="00FD53E9">
      <w:pPr>
        <w:pStyle w:val="Numberedpara"/>
      </w:pPr>
      <w:r>
        <w:rPr>
          <w:b/>
          <w:bCs/>
        </w:rPr>
        <w:t>COVID-19: Government easing of restrictions</w:t>
      </w:r>
      <w:r>
        <w:t xml:space="preserve"> – In light of the announcement on 5 July that the Government plans to lift all social distancing restrictions on 19 July, ET considered what changes will need to be made to the offices and </w:t>
      </w:r>
      <w:r w:rsidR="00455DE9">
        <w:t>how to communicate th</w:t>
      </w:r>
      <w:r w:rsidR="00AB7E87">
        <w:t>is</w:t>
      </w:r>
      <w:r w:rsidR="00455DE9">
        <w:t xml:space="preserve"> </w:t>
      </w:r>
      <w:r>
        <w:t>to staff</w:t>
      </w:r>
      <w:proofErr w:type="gramStart"/>
      <w:r>
        <w:t xml:space="preserve">.  </w:t>
      </w:r>
      <w:proofErr w:type="gramEnd"/>
      <w:r>
        <w:t>Gill Leng agreed to speak with Michelle Rowlands and to advise staff via her daily messages, that ET was considering the latest guidance and will keep staff informed of the changes as the position develops in the coming weeks</w:t>
      </w:r>
      <w:proofErr w:type="gramStart"/>
      <w:r>
        <w:t>.</w:t>
      </w:r>
      <w:r w:rsidR="00AE770E">
        <w:t xml:space="preserve">  </w:t>
      </w:r>
      <w:proofErr w:type="gramEnd"/>
      <w:r w:rsidR="00AE770E">
        <w:t>It was agreed to include this as a hot topic on next week’s agenda.</w:t>
      </w:r>
    </w:p>
    <w:p w14:paraId="33646EAE" w14:textId="2EF6C681" w:rsidR="00120B77" w:rsidRDefault="00120B77" w:rsidP="00120B77">
      <w:pPr>
        <w:pStyle w:val="Numberedpara"/>
        <w:numPr>
          <w:ilvl w:val="0"/>
          <w:numId w:val="0"/>
        </w:numPr>
        <w:ind w:left="360"/>
        <w:rPr>
          <w:b/>
          <w:bCs/>
        </w:rPr>
      </w:pPr>
    </w:p>
    <w:p w14:paraId="4C2A0CAB" w14:textId="29A4FE0A" w:rsidR="00120B77" w:rsidRDefault="00120B77" w:rsidP="00120B77">
      <w:pPr>
        <w:pStyle w:val="Numberedpara"/>
        <w:numPr>
          <w:ilvl w:val="0"/>
          <w:numId w:val="0"/>
        </w:numPr>
        <w:ind w:left="360"/>
        <w:jc w:val="right"/>
      </w:pPr>
      <w:r>
        <w:rPr>
          <w:b/>
          <w:bCs/>
        </w:rPr>
        <w:t>ACTION: GL/</w:t>
      </w:r>
      <w:r w:rsidR="00AE770E">
        <w:rPr>
          <w:b/>
          <w:bCs/>
        </w:rPr>
        <w:t>ER</w:t>
      </w:r>
    </w:p>
    <w:p w14:paraId="6B23AB5D" w14:textId="5271FEA7" w:rsidR="00120B77" w:rsidRDefault="00120B77" w:rsidP="00120B77">
      <w:pPr>
        <w:pStyle w:val="Numberedpara"/>
        <w:numPr>
          <w:ilvl w:val="0"/>
          <w:numId w:val="0"/>
        </w:numPr>
        <w:ind w:left="360"/>
        <w:rPr>
          <w:b/>
          <w:bCs/>
        </w:rPr>
      </w:pPr>
    </w:p>
    <w:p w14:paraId="7A432DD9" w14:textId="77777777" w:rsidR="00120B77" w:rsidRDefault="00120B77" w:rsidP="00120B77">
      <w:pPr>
        <w:pStyle w:val="Numberedpara"/>
        <w:numPr>
          <w:ilvl w:val="0"/>
          <w:numId w:val="0"/>
        </w:numPr>
        <w:ind w:left="360"/>
      </w:pPr>
    </w:p>
    <w:sectPr w:rsidR="00120B7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16A9D05"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7"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8"/>
  </w:num>
  <w:num w:numId="2">
    <w:abstractNumId w:val="5"/>
  </w:num>
  <w:num w:numId="3">
    <w:abstractNumId w:val="2"/>
  </w:num>
  <w:num w:numId="4">
    <w:abstractNumId w:val="14"/>
  </w:num>
  <w:num w:numId="5">
    <w:abstractNumId w:val="3"/>
  </w:num>
  <w:num w:numId="6">
    <w:abstractNumId w:val="6"/>
  </w:num>
  <w:num w:numId="7">
    <w:abstractNumId w:val="9"/>
  </w:num>
  <w:num w:numId="8">
    <w:abstractNumId w:val="19"/>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6"/>
  </w:num>
  <w:num w:numId="16">
    <w:abstractNumId w:val="10"/>
  </w:num>
  <w:num w:numId="17">
    <w:abstractNumId w:val="13"/>
  </w:num>
  <w:num w:numId="18">
    <w:abstractNumId w:val="15"/>
  </w:num>
  <w:num w:numId="19">
    <w:abstractNumId w:val="4"/>
  </w:num>
  <w:num w:numId="20">
    <w:abstractNumId w:val="17"/>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4B43"/>
    <w:rsid w:val="0000503C"/>
    <w:rsid w:val="000053F8"/>
    <w:rsid w:val="000064CB"/>
    <w:rsid w:val="0000687D"/>
    <w:rsid w:val="000106F6"/>
    <w:rsid w:val="00010AAB"/>
    <w:rsid w:val="000111B4"/>
    <w:rsid w:val="00011451"/>
    <w:rsid w:val="00012355"/>
    <w:rsid w:val="00012BBC"/>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19B1"/>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4DFC"/>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5DA7"/>
    <w:rsid w:val="00087375"/>
    <w:rsid w:val="00087ABD"/>
    <w:rsid w:val="00090B63"/>
    <w:rsid w:val="00091C40"/>
    <w:rsid w:val="00092456"/>
    <w:rsid w:val="00092846"/>
    <w:rsid w:val="00092B46"/>
    <w:rsid w:val="000930F3"/>
    <w:rsid w:val="000939F4"/>
    <w:rsid w:val="00093DD8"/>
    <w:rsid w:val="00095798"/>
    <w:rsid w:val="0009594E"/>
    <w:rsid w:val="00095BEC"/>
    <w:rsid w:val="000966AB"/>
    <w:rsid w:val="000979CE"/>
    <w:rsid w:val="00097E67"/>
    <w:rsid w:val="000A0395"/>
    <w:rsid w:val="000A0879"/>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0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6DA1"/>
    <w:rsid w:val="000C7BD1"/>
    <w:rsid w:val="000C7BEF"/>
    <w:rsid w:val="000C7EF5"/>
    <w:rsid w:val="000D1002"/>
    <w:rsid w:val="000D1906"/>
    <w:rsid w:val="000D1E55"/>
    <w:rsid w:val="000D28CC"/>
    <w:rsid w:val="000D2C42"/>
    <w:rsid w:val="000D3184"/>
    <w:rsid w:val="000D3277"/>
    <w:rsid w:val="000D3DCC"/>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6D26"/>
    <w:rsid w:val="000F792D"/>
    <w:rsid w:val="000F7FD7"/>
    <w:rsid w:val="001001C0"/>
    <w:rsid w:val="00100AC1"/>
    <w:rsid w:val="00100E96"/>
    <w:rsid w:val="001035B7"/>
    <w:rsid w:val="00103740"/>
    <w:rsid w:val="00104204"/>
    <w:rsid w:val="001046B3"/>
    <w:rsid w:val="00104BD6"/>
    <w:rsid w:val="00104DE8"/>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725C"/>
    <w:rsid w:val="001302A2"/>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EC0"/>
    <w:rsid w:val="00162524"/>
    <w:rsid w:val="00163799"/>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6A0C"/>
    <w:rsid w:val="001776F4"/>
    <w:rsid w:val="00177B91"/>
    <w:rsid w:val="001804ED"/>
    <w:rsid w:val="00180AE3"/>
    <w:rsid w:val="0018188C"/>
    <w:rsid w:val="00181A4A"/>
    <w:rsid w:val="00182009"/>
    <w:rsid w:val="00182C58"/>
    <w:rsid w:val="00182F83"/>
    <w:rsid w:val="00183B64"/>
    <w:rsid w:val="0018450A"/>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1610"/>
    <w:rsid w:val="001B18B7"/>
    <w:rsid w:val="001B26CB"/>
    <w:rsid w:val="001B2A26"/>
    <w:rsid w:val="001B2A5C"/>
    <w:rsid w:val="001B35BF"/>
    <w:rsid w:val="001B37C4"/>
    <w:rsid w:val="001B4CA2"/>
    <w:rsid w:val="001B510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3E13"/>
    <w:rsid w:val="0021411A"/>
    <w:rsid w:val="00214B53"/>
    <w:rsid w:val="00216E37"/>
    <w:rsid w:val="0021712A"/>
    <w:rsid w:val="0022002A"/>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905"/>
    <w:rsid w:val="00255A5A"/>
    <w:rsid w:val="00255C16"/>
    <w:rsid w:val="00256291"/>
    <w:rsid w:val="0025681F"/>
    <w:rsid w:val="00256EB6"/>
    <w:rsid w:val="00257095"/>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973"/>
    <w:rsid w:val="00280CF4"/>
    <w:rsid w:val="00280EB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09F"/>
    <w:rsid w:val="002A440E"/>
    <w:rsid w:val="002A4D11"/>
    <w:rsid w:val="002A507B"/>
    <w:rsid w:val="002A583F"/>
    <w:rsid w:val="002A7A04"/>
    <w:rsid w:val="002B03AD"/>
    <w:rsid w:val="002B09A7"/>
    <w:rsid w:val="002B1216"/>
    <w:rsid w:val="002B1D4B"/>
    <w:rsid w:val="002B2C93"/>
    <w:rsid w:val="002B328E"/>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2F77FF"/>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D8"/>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8F5"/>
    <w:rsid w:val="00353E7F"/>
    <w:rsid w:val="003541C0"/>
    <w:rsid w:val="003544E5"/>
    <w:rsid w:val="00354FE1"/>
    <w:rsid w:val="00355168"/>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51F3"/>
    <w:rsid w:val="003858A3"/>
    <w:rsid w:val="00386047"/>
    <w:rsid w:val="003861FB"/>
    <w:rsid w:val="003873E4"/>
    <w:rsid w:val="00390811"/>
    <w:rsid w:val="00390A1C"/>
    <w:rsid w:val="00390BA5"/>
    <w:rsid w:val="00393248"/>
    <w:rsid w:val="00393715"/>
    <w:rsid w:val="00393B5A"/>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0FE8"/>
    <w:rsid w:val="003E12C9"/>
    <w:rsid w:val="003E1BFF"/>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0DA"/>
    <w:rsid w:val="004422AC"/>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5DE9"/>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E8D"/>
    <w:rsid w:val="00480FEC"/>
    <w:rsid w:val="00481E18"/>
    <w:rsid w:val="00482097"/>
    <w:rsid w:val="00482B20"/>
    <w:rsid w:val="00482BB3"/>
    <w:rsid w:val="004830A9"/>
    <w:rsid w:val="0048346F"/>
    <w:rsid w:val="0048348A"/>
    <w:rsid w:val="00483678"/>
    <w:rsid w:val="00483DA7"/>
    <w:rsid w:val="00484BBD"/>
    <w:rsid w:val="00486491"/>
    <w:rsid w:val="004867C3"/>
    <w:rsid w:val="00486F94"/>
    <w:rsid w:val="00491FE8"/>
    <w:rsid w:val="0049307F"/>
    <w:rsid w:val="00493A6F"/>
    <w:rsid w:val="004953C7"/>
    <w:rsid w:val="00496397"/>
    <w:rsid w:val="004967DD"/>
    <w:rsid w:val="00496912"/>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0FD"/>
    <w:rsid w:val="004B45C6"/>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0699"/>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2DE"/>
    <w:rsid w:val="00517692"/>
    <w:rsid w:val="0051792A"/>
    <w:rsid w:val="00520A8F"/>
    <w:rsid w:val="00521143"/>
    <w:rsid w:val="005219C7"/>
    <w:rsid w:val="00522C19"/>
    <w:rsid w:val="00522D8D"/>
    <w:rsid w:val="00523770"/>
    <w:rsid w:val="00523996"/>
    <w:rsid w:val="00524E32"/>
    <w:rsid w:val="005252FD"/>
    <w:rsid w:val="005255D3"/>
    <w:rsid w:val="00526BF9"/>
    <w:rsid w:val="00527074"/>
    <w:rsid w:val="0052753E"/>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4BD"/>
    <w:rsid w:val="00573E81"/>
    <w:rsid w:val="00573F8E"/>
    <w:rsid w:val="00573F96"/>
    <w:rsid w:val="005764DA"/>
    <w:rsid w:val="00577489"/>
    <w:rsid w:val="00581794"/>
    <w:rsid w:val="00581EED"/>
    <w:rsid w:val="005821EC"/>
    <w:rsid w:val="00582497"/>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3B01"/>
    <w:rsid w:val="005A3D64"/>
    <w:rsid w:val="005A489F"/>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B6A48"/>
    <w:rsid w:val="005C203A"/>
    <w:rsid w:val="005C27A6"/>
    <w:rsid w:val="005C346E"/>
    <w:rsid w:val="005C3FB6"/>
    <w:rsid w:val="005C428C"/>
    <w:rsid w:val="005C4C5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27032"/>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37FC4"/>
    <w:rsid w:val="00640495"/>
    <w:rsid w:val="00640637"/>
    <w:rsid w:val="00640BE4"/>
    <w:rsid w:val="00640E39"/>
    <w:rsid w:val="00641180"/>
    <w:rsid w:val="00641C20"/>
    <w:rsid w:val="00642012"/>
    <w:rsid w:val="00643B62"/>
    <w:rsid w:val="006451A2"/>
    <w:rsid w:val="00645240"/>
    <w:rsid w:val="0064524B"/>
    <w:rsid w:val="00645A68"/>
    <w:rsid w:val="00646546"/>
    <w:rsid w:val="00646A63"/>
    <w:rsid w:val="006474BE"/>
    <w:rsid w:val="006478F0"/>
    <w:rsid w:val="006506EB"/>
    <w:rsid w:val="0065082A"/>
    <w:rsid w:val="00651133"/>
    <w:rsid w:val="00651CC5"/>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6776"/>
    <w:rsid w:val="006C6AA7"/>
    <w:rsid w:val="006C70CC"/>
    <w:rsid w:val="006C73A9"/>
    <w:rsid w:val="006C75BB"/>
    <w:rsid w:val="006C7986"/>
    <w:rsid w:val="006C7B86"/>
    <w:rsid w:val="006D2446"/>
    <w:rsid w:val="006D2A09"/>
    <w:rsid w:val="006D3559"/>
    <w:rsid w:val="006D3D7F"/>
    <w:rsid w:val="006D4126"/>
    <w:rsid w:val="006D47AF"/>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4FB4"/>
    <w:rsid w:val="006E5370"/>
    <w:rsid w:val="006E54EC"/>
    <w:rsid w:val="006E5881"/>
    <w:rsid w:val="006E58D6"/>
    <w:rsid w:val="006E5E83"/>
    <w:rsid w:val="006E6085"/>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D0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4E5"/>
    <w:rsid w:val="007539A7"/>
    <w:rsid w:val="007539C5"/>
    <w:rsid w:val="00755326"/>
    <w:rsid w:val="00755543"/>
    <w:rsid w:val="0075661F"/>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67E0"/>
    <w:rsid w:val="00796B33"/>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D14"/>
    <w:rsid w:val="007B6434"/>
    <w:rsid w:val="007B744C"/>
    <w:rsid w:val="007B79A0"/>
    <w:rsid w:val="007B7DC1"/>
    <w:rsid w:val="007C0E6A"/>
    <w:rsid w:val="007C12FB"/>
    <w:rsid w:val="007C1329"/>
    <w:rsid w:val="007C1C4D"/>
    <w:rsid w:val="007C305C"/>
    <w:rsid w:val="007C3F6E"/>
    <w:rsid w:val="007C54F6"/>
    <w:rsid w:val="007C5FAB"/>
    <w:rsid w:val="007C6172"/>
    <w:rsid w:val="007C63DF"/>
    <w:rsid w:val="007C65CB"/>
    <w:rsid w:val="007C67AB"/>
    <w:rsid w:val="007C7754"/>
    <w:rsid w:val="007C7E4D"/>
    <w:rsid w:val="007D03C3"/>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835"/>
    <w:rsid w:val="007E35C5"/>
    <w:rsid w:val="007E3C03"/>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E27"/>
    <w:rsid w:val="00805418"/>
    <w:rsid w:val="008057D9"/>
    <w:rsid w:val="00805FF0"/>
    <w:rsid w:val="0080602B"/>
    <w:rsid w:val="00806FAA"/>
    <w:rsid w:val="00807433"/>
    <w:rsid w:val="00807F41"/>
    <w:rsid w:val="00810168"/>
    <w:rsid w:val="008103E8"/>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17A"/>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86CF7"/>
    <w:rsid w:val="00890CE2"/>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1F80"/>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13B9"/>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3AA1"/>
    <w:rsid w:val="008F5743"/>
    <w:rsid w:val="008F5E30"/>
    <w:rsid w:val="008F6CD0"/>
    <w:rsid w:val="008F6F03"/>
    <w:rsid w:val="008F73FA"/>
    <w:rsid w:val="008F7D10"/>
    <w:rsid w:val="00900752"/>
    <w:rsid w:val="009008B8"/>
    <w:rsid w:val="00901016"/>
    <w:rsid w:val="00901C8C"/>
    <w:rsid w:val="009023E7"/>
    <w:rsid w:val="0090244F"/>
    <w:rsid w:val="00902B72"/>
    <w:rsid w:val="00903061"/>
    <w:rsid w:val="00903839"/>
    <w:rsid w:val="00903C75"/>
    <w:rsid w:val="009051E8"/>
    <w:rsid w:val="00906437"/>
    <w:rsid w:val="009065A4"/>
    <w:rsid w:val="0090689C"/>
    <w:rsid w:val="00906BA6"/>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904"/>
    <w:rsid w:val="00940CF5"/>
    <w:rsid w:val="0094228F"/>
    <w:rsid w:val="0094265C"/>
    <w:rsid w:val="00942FB4"/>
    <w:rsid w:val="009436F4"/>
    <w:rsid w:val="009439A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08EC"/>
    <w:rsid w:val="009619BC"/>
    <w:rsid w:val="0096300D"/>
    <w:rsid w:val="0096356D"/>
    <w:rsid w:val="00963BD9"/>
    <w:rsid w:val="00964350"/>
    <w:rsid w:val="00964C03"/>
    <w:rsid w:val="009660C9"/>
    <w:rsid w:val="00966941"/>
    <w:rsid w:val="00966E36"/>
    <w:rsid w:val="009672B4"/>
    <w:rsid w:val="009678FE"/>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FA"/>
    <w:rsid w:val="00984C68"/>
    <w:rsid w:val="00984F19"/>
    <w:rsid w:val="0098533D"/>
    <w:rsid w:val="00985AC0"/>
    <w:rsid w:val="00987E8F"/>
    <w:rsid w:val="00990CF9"/>
    <w:rsid w:val="00992604"/>
    <w:rsid w:val="009929C0"/>
    <w:rsid w:val="00993E8B"/>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812"/>
    <w:rsid w:val="009C790B"/>
    <w:rsid w:val="009D0230"/>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24FC"/>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0B86"/>
    <w:rsid w:val="00A81221"/>
    <w:rsid w:val="00A82275"/>
    <w:rsid w:val="00A836CD"/>
    <w:rsid w:val="00A83E09"/>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08BF"/>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74C7"/>
    <w:rsid w:val="00AB7E8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78"/>
    <w:rsid w:val="00AF083A"/>
    <w:rsid w:val="00AF08F1"/>
    <w:rsid w:val="00AF0B68"/>
    <w:rsid w:val="00AF108A"/>
    <w:rsid w:val="00AF16FB"/>
    <w:rsid w:val="00AF1AA1"/>
    <w:rsid w:val="00AF1EE6"/>
    <w:rsid w:val="00AF2A27"/>
    <w:rsid w:val="00AF3455"/>
    <w:rsid w:val="00AF3562"/>
    <w:rsid w:val="00AF420B"/>
    <w:rsid w:val="00AF4A57"/>
    <w:rsid w:val="00AF6295"/>
    <w:rsid w:val="00AF6C0C"/>
    <w:rsid w:val="00AF7053"/>
    <w:rsid w:val="00AF7542"/>
    <w:rsid w:val="00AF7BCF"/>
    <w:rsid w:val="00B00797"/>
    <w:rsid w:val="00B01019"/>
    <w:rsid w:val="00B01423"/>
    <w:rsid w:val="00B017A9"/>
    <w:rsid w:val="00B01B8C"/>
    <w:rsid w:val="00B02E55"/>
    <w:rsid w:val="00B030C6"/>
    <w:rsid w:val="00B036C1"/>
    <w:rsid w:val="00B03801"/>
    <w:rsid w:val="00B03AB7"/>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AAC"/>
    <w:rsid w:val="00B56FA7"/>
    <w:rsid w:val="00B57013"/>
    <w:rsid w:val="00B60236"/>
    <w:rsid w:val="00B60821"/>
    <w:rsid w:val="00B60B27"/>
    <w:rsid w:val="00B60DFC"/>
    <w:rsid w:val="00B61259"/>
    <w:rsid w:val="00B61343"/>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DE"/>
    <w:rsid w:val="00B92BC4"/>
    <w:rsid w:val="00B9349A"/>
    <w:rsid w:val="00B94951"/>
    <w:rsid w:val="00B95724"/>
    <w:rsid w:val="00B97089"/>
    <w:rsid w:val="00BA071A"/>
    <w:rsid w:val="00BA07FD"/>
    <w:rsid w:val="00BA18D5"/>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A7D34"/>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369A"/>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24B"/>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C8B"/>
    <w:rsid w:val="00C72F10"/>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6B34"/>
    <w:rsid w:val="00C97ECC"/>
    <w:rsid w:val="00CA02E4"/>
    <w:rsid w:val="00CA0F75"/>
    <w:rsid w:val="00CA1F93"/>
    <w:rsid w:val="00CA201D"/>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950"/>
    <w:rsid w:val="00CE3F34"/>
    <w:rsid w:val="00CE4829"/>
    <w:rsid w:val="00CE5B2D"/>
    <w:rsid w:val="00CE651C"/>
    <w:rsid w:val="00CE7526"/>
    <w:rsid w:val="00CE79B9"/>
    <w:rsid w:val="00CE7B92"/>
    <w:rsid w:val="00CF1312"/>
    <w:rsid w:val="00CF1EB0"/>
    <w:rsid w:val="00CF2731"/>
    <w:rsid w:val="00CF2D81"/>
    <w:rsid w:val="00CF3579"/>
    <w:rsid w:val="00CF38A4"/>
    <w:rsid w:val="00CF3D88"/>
    <w:rsid w:val="00CF3E33"/>
    <w:rsid w:val="00CF456A"/>
    <w:rsid w:val="00CF4ABC"/>
    <w:rsid w:val="00CF5152"/>
    <w:rsid w:val="00CF58B7"/>
    <w:rsid w:val="00CF5FC5"/>
    <w:rsid w:val="00CF6F74"/>
    <w:rsid w:val="00CF7672"/>
    <w:rsid w:val="00D000DB"/>
    <w:rsid w:val="00D00927"/>
    <w:rsid w:val="00D01DFE"/>
    <w:rsid w:val="00D01F10"/>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508"/>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446F"/>
    <w:rsid w:val="00DD5398"/>
    <w:rsid w:val="00DD551B"/>
    <w:rsid w:val="00DD563C"/>
    <w:rsid w:val="00DD698F"/>
    <w:rsid w:val="00DD7CFD"/>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8D1"/>
    <w:rsid w:val="00E25F0F"/>
    <w:rsid w:val="00E26216"/>
    <w:rsid w:val="00E26521"/>
    <w:rsid w:val="00E27CC5"/>
    <w:rsid w:val="00E27E75"/>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851"/>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7E07"/>
    <w:rsid w:val="00E71D83"/>
    <w:rsid w:val="00E7234A"/>
    <w:rsid w:val="00E72500"/>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91FFB"/>
    <w:rsid w:val="00E9327E"/>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F7"/>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5A36"/>
    <w:rsid w:val="00F26462"/>
    <w:rsid w:val="00F265A8"/>
    <w:rsid w:val="00F2669F"/>
    <w:rsid w:val="00F300C2"/>
    <w:rsid w:val="00F31074"/>
    <w:rsid w:val="00F3260E"/>
    <w:rsid w:val="00F33965"/>
    <w:rsid w:val="00F34385"/>
    <w:rsid w:val="00F34A1A"/>
    <w:rsid w:val="00F34E43"/>
    <w:rsid w:val="00F35CF7"/>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62A5"/>
    <w:rsid w:val="00FD6415"/>
    <w:rsid w:val="00FD642B"/>
    <w:rsid w:val="00FD76B1"/>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60E"/>
    <w:rsid w:val="00FF29C0"/>
    <w:rsid w:val="00FF2EF5"/>
    <w:rsid w:val="00FF333C"/>
    <w:rsid w:val="00FF3434"/>
    <w:rsid w:val="00FF3687"/>
    <w:rsid w:val="00FF3F7A"/>
    <w:rsid w:val="00FF4771"/>
    <w:rsid w:val="00FF4A53"/>
    <w:rsid w:val="00FF4B7A"/>
    <w:rsid w:val="00FF5849"/>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10982</Characters>
  <Application>Microsoft Office Word</Application>
  <DocSecurity>0</DocSecurity>
  <Lines>91</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2021-11-03T16:47:00Z</dcterms:created>
  <dcterms:modified xsi:type="dcterms:W3CDTF">2021-11-03T16:47:00Z</dcterms:modified>
</cp:coreProperties>
</file>