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53C75AA" w:rsidR="00975C12" w:rsidRPr="00F40D3F" w:rsidRDefault="00975C12" w:rsidP="00975C12">
      <w:pPr>
        <w:pStyle w:val="Heading1"/>
        <w:jc w:val="center"/>
      </w:pPr>
      <w:r w:rsidRPr="00F40D3F">
        <w:t>Minutes of the meeting held on</w:t>
      </w:r>
      <w:r w:rsidR="00D7665D">
        <w:t xml:space="preserve"> </w:t>
      </w:r>
      <w:r w:rsidR="00A91FB5">
        <w:t xml:space="preserve">17 May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458329D5" w14:textId="20C1A066" w:rsidR="00E62E93" w:rsidRDefault="006C227D" w:rsidP="006C227D">
      <w:pPr>
        <w:pStyle w:val="NICEnormal"/>
        <w:spacing w:after="0" w:line="240" w:lineRule="auto"/>
        <w:ind w:left="2268" w:hanging="2268"/>
        <w:rPr>
          <w:sz w:val="22"/>
          <w:szCs w:val="22"/>
        </w:rPr>
      </w:pPr>
      <w:r>
        <w:rPr>
          <w:sz w:val="22"/>
          <w:szCs w:val="22"/>
        </w:rPr>
        <w:t>Sam Roberts</w:t>
      </w:r>
      <w:r>
        <w:rPr>
          <w:sz w:val="22"/>
          <w:szCs w:val="22"/>
        </w:rPr>
        <w:tab/>
        <w:t xml:space="preserve">Chief Executive </w:t>
      </w:r>
      <w:r w:rsidR="00E62E93">
        <w:rPr>
          <w:sz w:val="22"/>
          <w:szCs w:val="22"/>
        </w:rPr>
        <w:t>(chair)</w:t>
      </w:r>
    </w:p>
    <w:p w14:paraId="7FEA213A" w14:textId="3F33217A" w:rsidR="00C606B4" w:rsidRDefault="00C606B4" w:rsidP="00E62E93">
      <w:pPr>
        <w:pStyle w:val="NICEnormal"/>
        <w:spacing w:after="0" w:line="240" w:lineRule="auto"/>
        <w:ind w:left="2268" w:hanging="2268"/>
        <w:rPr>
          <w:sz w:val="22"/>
          <w:szCs w:val="22"/>
        </w:rPr>
      </w:pPr>
      <w:r>
        <w:rPr>
          <w:sz w:val="22"/>
          <w:szCs w:val="22"/>
        </w:rPr>
        <w:t>Gail Allsopp</w:t>
      </w:r>
      <w:r>
        <w:rPr>
          <w:sz w:val="22"/>
          <w:szCs w:val="22"/>
        </w:rPr>
        <w:tab/>
        <w:t>Interim Chief Medical Officer</w:t>
      </w:r>
    </w:p>
    <w:p w14:paraId="2798168B" w14:textId="10DE6859" w:rsidR="006C227D" w:rsidRPr="00B82C84" w:rsidRDefault="006C227D" w:rsidP="00E62E93">
      <w:pPr>
        <w:pStyle w:val="NICEnormal"/>
        <w:spacing w:after="0" w:line="240" w:lineRule="auto"/>
        <w:ind w:left="2268" w:hanging="2268"/>
        <w:rPr>
          <w:color w:val="000000" w:themeColor="text1"/>
          <w:sz w:val="22"/>
          <w:szCs w:val="22"/>
        </w:rPr>
      </w:pPr>
      <w:r>
        <w:rPr>
          <w:sz w:val="22"/>
          <w:szCs w:val="22"/>
        </w:rPr>
        <w:t>Paul Chrisp</w:t>
      </w:r>
      <w:r>
        <w:rPr>
          <w:sz w:val="22"/>
          <w:szCs w:val="22"/>
        </w:rPr>
        <w:tab/>
        <w:t>Director, Centre for Guidelines</w:t>
      </w:r>
    </w:p>
    <w:p w14:paraId="1564A8C5" w14:textId="24705AB1" w:rsidR="003772E6" w:rsidRPr="004B2C6C" w:rsidRDefault="003772E6" w:rsidP="003772E6">
      <w:pPr>
        <w:pStyle w:val="NICEnormal"/>
        <w:tabs>
          <w:tab w:val="left" w:pos="2552"/>
          <w:tab w:val="left" w:pos="2835"/>
          <w:tab w:val="left" w:pos="2977"/>
        </w:tabs>
        <w:spacing w:after="0" w:line="240" w:lineRule="auto"/>
        <w:ind w:left="2268" w:hanging="2268"/>
        <w:rPr>
          <w:rFonts w:cs="Arial"/>
          <w:sz w:val="22"/>
          <w:szCs w:val="22"/>
          <w:lang w:val="en-GB"/>
        </w:rPr>
      </w:pPr>
      <w:r w:rsidRPr="004B2C6C">
        <w:rPr>
          <w:sz w:val="22"/>
          <w:szCs w:val="22"/>
        </w:rPr>
        <w:t>Nicole Gee</w:t>
      </w:r>
      <w:r w:rsidRPr="004B2C6C">
        <w:rPr>
          <w:sz w:val="22"/>
          <w:szCs w:val="22"/>
        </w:rPr>
        <w:tab/>
        <w:t xml:space="preserve">Interim Chief People Officer </w:t>
      </w:r>
    </w:p>
    <w:p w14:paraId="76E27F23" w14:textId="54517F4C" w:rsidR="00E62E93" w:rsidRPr="004B2C6C" w:rsidRDefault="00E62E93"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Director, Science, Evidence and Analytics</w:t>
      </w:r>
    </w:p>
    <w:p w14:paraId="49214200" w14:textId="1AA0F4A1"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t>Director, Finance, Strategy and Transformation</w:t>
      </w:r>
    </w:p>
    <w:p w14:paraId="1C1312D9" w14:textId="3B8FA08D" w:rsidR="004B2C6C" w:rsidRPr="004B2C6C" w:rsidRDefault="004B2C6C" w:rsidP="00B82C84">
      <w:pPr>
        <w:pStyle w:val="NICEnormal"/>
        <w:spacing w:after="0" w:line="240" w:lineRule="auto"/>
        <w:ind w:left="2268" w:hanging="2268"/>
        <w:rPr>
          <w:rFonts w:cs="Arial"/>
          <w:sz w:val="22"/>
          <w:szCs w:val="22"/>
          <w:lang w:val="en-GB"/>
        </w:rPr>
      </w:pPr>
      <w:r w:rsidRPr="004B2C6C">
        <w:rPr>
          <w:sz w:val="22"/>
          <w:szCs w:val="22"/>
        </w:rPr>
        <w:t>Helen Knight</w:t>
      </w:r>
      <w:r w:rsidRPr="004B2C6C">
        <w:rPr>
          <w:sz w:val="22"/>
          <w:szCs w:val="22"/>
        </w:rPr>
        <w:tab/>
        <w:t>Acting Interim Director of Medicines</w:t>
      </w:r>
    </w:p>
    <w:p w14:paraId="01629BF7" w14:textId="311F6AFF" w:rsidR="00227B05" w:rsidRPr="004B2C6C" w:rsidRDefault="00227B05" w:rsidP="00B82C84">
      <w:pPr>
        <w:pStyle w:val="NICEnormal"/>
        <w:spacing w:after="0" w:line="240" w:lineRule="auto"/>
        <w:ind w:left="2268" w:hanging="2268"/>
        <w:rPr>
          <w:color w:val="000000" w:themeColor="text1"/>
          <w:sz w:val="22"/>
          <w:szCs w:val="22"/>
        </w:rPr>
      </w:pPr>
      <w:r w:rsidRPr="004B2C6C">
        <w:rPr>
          <w:color w:val="000000" w:themeColor="text1"/>
          <w:sz w:val="22"/>
          <w:szCs w:val="22"/>
        </w:rPr>
        <w:t>Jeanette Kusel</w:t>
      </w:r>
      <w:r w:rsidR="00B82C84">
        <w:rPr>
          <w:color w:val="000000" w:themeColor="text1"/>
          <w:sz w:val="22"/>
          <w:szCs w:val="22"/>
        </w:rPr>
        <w:tab/>
        <w:t>A</w:t>
      </w:r>
      <w:r w:rsidR="009564BE" w:rsidRPr="004B2C6C">
        <w:rPr>
          <w:color w:val="000000" w:themeColor="text1"/>
          <w:sz w:val="22"/>
          <w:szCs w:val="22"/>
        </w:rPr>
        <w:t xml:space="preserve">cting Interim </w:t>
      </w:r>
      <w:r w:rsidRPr="004B2C6C">
        <w:rPr>
          <w:color w:val="000000" w:themeColor="text1"/>
          <w:sz w:val="22"/>
          <w:szCs w:val="22"/>
        </w:rPr>
        <w:t>Director</w:t>
      </w:r>
      <w:r w:rsidR="009564BE" w:rsidRPr="004B2C6C">
        <w:rPr>
          <w:color w:val="000000" w:themeColor="text1"/>
          <w:sz w:val="22"/>
          <w:szCs w:val="22"/>
        </w:rPr>
        <w:t xml:space="preserve"> of </w:t>
      </w:r>
      <w:proofErr w:type="spellStart"/>
      <w:r w:rsidR="009564BE" w:rsidRPr="004B2C6C">
        <w:rPr>
          <w:color w:val="000000" w:themeColor="text1"/>
          <w:sz w:val="22"/>
          <w:szCs w:val="22"/>
        </w:rPr>
        <w:t>Med</w:t>
      </w:r>
      <w:r w:rsidR="00905E37">
        <w:rPr>
          <w:color w:val="000000" w:themeColor="text1"/>
          <w:sz w:val="22"/>
          <w:szCs w:val="22"/>
        </w:rPr>
        <w:t>t</w:t>
      </w:r>
      <w:r w:rsidR="009564BE" w:rsidRPr="004B2C6C">
        <w:rPr>
          <w:color w:val="000000" w:themeColor="text1"/>
          <w:sz w:val="22"/>
          <w:szCs w:val="22"/>
        </w:rPr>
        <w:t>ech</w:t>
      </w:r>
      <w:proofErr w:type="spellEnd"/>
    </w:p>
    <w:p w14:paraId="4EA0E59A" w14:textId="77777777" w:rsidR="006C227D" w:rsidRDefault="004B2C6C" w:rsidP="00B82C84">
      <w:pPr>
        <w:pStyle w:val="NICEnormal"/>
        <w:spacing w:after="0" w:line="240" w:lineRule="auto"/>
        <w:ind w:left="2268" w:hanging="2268"/>
        <w:rPr>
          <w:sz w:val="22"/>
          <w:szCs w:val="22"/>
        </w:rPr>
      </w:pPr>
      <w:r w:rsidRPr="004B2C6C">
        <w:rPr>
          <w:sz w:val="22"/>
          <w:szCs w:val="22"/>
        </w:rPr>
        <w:t>Judith Richardson</w:t>
      </w:r>
      <w:r w:rsidR="00B82C84">
        <w:rPr>
          <w:sz w:val="22"/>
          <w:szCs w:val="22"/>
        </w:rPr>
        <w:tab/>
      </w:r>
      <w:r w:rsidRPr="004B2C6C">
        <w:rPr>
          <w:sz w:val="22"/>
          <w:szCs w:val="22"/>
        </w:rPr>
        <w:t xml:space="preserve">Acting Director, </w:t>
      </w:r>
      <w:proofErr w:type="gramStart"/>
      <w:r w:rsidRPr="004B2C6C">
        <w:rPr>
          <w:sz w:val="22"/>
          <w:szCs w:val="22"/>
        </w:rPr>
        <w:t>Health</w:t>
      </w:r>
      <w:proofErr w:type="gramEnd"/>
      <w:r w:rsidRPr="004B2C6C">
        <w:rPr>
          <w:sz w:val="22"/>
          <w:szCs w:val="22"/>
        </w:rPr>
        <w:t xml:space="preserve"> and Social Care</w:t>
      </w:r>
      <w:r w:rsidR="006C227D" w:rsidRPr="006C227D">
        <w:rPr>
          <w:sz w:val="22"/>
          <w:szCs w:val="22"/>
        </w:rPr>
        <w:t xml:space="preserve"> </w:t>
      </w:r>
    </w:p>
    <w:p w14:paraId="483627F8" w14:textId="0D068820" w:rsidR="004B2C6C" w:rsidRDefault="006C227D" w:rsidP="00B82C84">
      <w:pPr>
        <w:pStyle w:val="NICEnormal"/>
        <w:spacing w:after="0" w:line="240" w:lineRule="auto"/>
        <w:ind w:left="2268" w:hanging="2268"/>
        <w:rPr>
          <w:sz w:val="22"/>
          <w:szCs w:val="22"/>
        </w:rPr>
      </w:pPr>
      <w:r w:rsidRPr="00B82C84">
        <w:rPr>
          <w:sz w:val="22"/>
          <w:szCs w:val="22"/>
        </w:rPr>
        <w:t>Alexia Tonnel</w:t>
      </w:r>
      <w:r w:rsidRPr="00B82C84">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072759D2"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t>Programme Director, Transformation</w:t>
      </w:r>
    </w:p>
    <w:p w14:paraId="4C3ADA7D" w14:textId="1C0E732D" w:rsidR="006C227D" w:rsidRDefault="006C227D" w:rsidP="006C227D">
      <w:pPr>
        <w:pStyle w:val="NICEnormal"/>
        <w:tabs>
          <w:tab w:val="left" w:pos="2552"/>
        </w:tabs>
        <w:spacing w:after="0" w:line="240" w:lineRule="auto"/>
        <w:ind w:left="2268" w:hanging="2268"/>
        <w:rPr>
          <w:sz w:val="22"/>
          <w:szCs w:val="22"/>
        </w:rPr>
      </w:pPr>
      <w:r>
        <w:rPr>
          <w:sz w:val="22"/>
          <w:szCs w:val="22"/>
        </w:rPr>
        <w:t>Boryana Stambolova</w:t>
      </w:r>
      <w:r>
        <w:rPr>
          <w:sz w:val="22"/>
          <w:szCs w:val="22"/>
        </w:rPr>
        <w:tab/>
        <w:t>Deputy Director Finance, Strategy and Commercial</w:t>
      </w:r>
    </w:p>
    <w:p w14:paraId="716536A6" w14:textId="2B09189E" w:rsidR="006C227D" w:rsidRDefault="006C227D" w:rsidP="006C227D">
      <w:pPr>
        <w:pStyle w:val="NICEnormal"/>
        <w:tabs>
          <w:tab w:val="left" w:pos="2552"/>
        </w:tabs>
        <w:spacing w:after="0" w:line="240" w:lineRule="auto"/>
        <w:ind w:left="2268" w:hanging="2268"/>
        <w:rPr>
          <w:sz w:val="22"/>
          <w:szCs w:val="22"/>
        </w:rPr>
      </w:pPr>
      <w:r>
        <w:rPr>
          <w:sz w:val="22"/>
          <w:szCs w:val="22"/>
        </w:rPr>
        <w:t>Danielle Mason</w:t>
      </w:r>
      <w:r>
        <w:rPr>
          <w:sz w:val="22"/>
          <w:szCs w:val="22"/>
        </w:rPr>
        <w:tab/>
        <w:t xml:space="preserve">Associate Director, Communications - Brand and Marketing </w:t>
      </w:r>
    </w:p>
    <w:p w14:paraId="4DD429DC" w14:textId="49E874FB" w:rsidR="004B2C6C" w:rsidRPr="00D6741F" w:rsidRDefault="004B2C6C" w:rsidP="00652185">
      <w:pPr>
        <w:pStyle w:val="NICEnormal"/>
        <w:tabs>
          <w:tab w:val="left" w:pos="2552"/>
        </w:tabs>
        <w:spacing w:after="0" w:line="240" w:lineRule="auto"/>
        <w:ind w:left="2268" w:hanging="2268"/>
        <w:rPr>
          <w:sz w:val="22"/>
          <w:szCs w:val="22"/>
        </w:rPr>
      </w:pPr>
      <w:r w:rsidRPr="00D6741F">
        <w:rPr>
          <w:sz w:val="22"/>
          <w:szCs w:val="22"/>
        </w:rPr>
        <w:t>Jonathan Waghorne</w:t>
      </w:r>
      <w:r w:rsidR="00D6741F" w:rsidRPr="00D6741F">
        <w:rPr>
          <w:sz w:val="22"/>
          <w:szCs w:val="22"/>
        </w:rPr>
        <w:tab/>
        <w:t>Chief of Staff</w:t>
      </w:r>
    </w:p>
    <w:p w14:paraId="3511F932" w14:textId="08DCD796" w:rsidR="0051242A" w:rsidRDefault="0051242A"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(item</w:t>
      </w:r>
      <w:r w:rsidR="00E62E93">
        <w:rPr>
          <w:color w:val="000000" w:themeColor="text1"/>
          <w:sz w:val="22"/>
          <w:szCs w:val="22"/>
        </w:rPr>
        <w:t xml:space="preserve"> </w:t>
      </w:r>
      <w:r w:rsidR="006C227D">
        <w:rPr>
          <w:color w:val="000000" w:themeColor="text1"/>
          <w:sz w:val="22"/>
          <w:szCs w:val="22"/>
        </w:rPr>
        <w:t>5.1</w:t>
      </w:r>
      <w:r>
        <w:rPr>
          <w:color w:val="000000" w:themeColor="text1"/>
          <w:sz w:val="22"/>
          <w:szCs w:val="22"/>
        </w:rPr>
        <w:t>)</w:t>
      </w:r>
    </w:p>
    <w:p w14:paraId="1B4757BB" w14:textId="4D3F210E" w:rsidR="006C227D" w:rsidRDefault="006C227D"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Carla Deakin</w:t>
      </w:r>
      <w:r w:rsidR="00A91FB5">
        <w:rPr>
          <w:color w:val="000000" w:themeColor="text1"/>
          <w:sz w:val="22"/>
          <w:szCs w:val="22"/>
        </w:rPr>
        <w:tab/>
        <w:t>Programme Director, Commercial and Managed Access (item 7)</w:t>
      </w:r>
    </w:p>
    <w:p w14:paraId="1A107EDF" w14:textId="27C29E52" w:rsidR="006C227D" w:rsidRDefault="006C227D"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Brad Groves</w:t>
      </w:r>
      <w:r w:rsidR="00A91FB5">
        <w:rPr>
          <w:color w:val="000000" w:themeColor="text1"/>
          <w:sz w:val="22"/>
          <w:szCs w:val="22"/>
        </w:rPr>
        <w:tab/>
        <w:t>Associate Director, Managed Access (item 7)</w:t>
      </w:r>
    </w:p>
    <w:p w14:paraId="230FA35E" w14:textId="335723EE" w:rsidR="006C227D" w:rsidRDefault="006C227D"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Vince Doyle</w:t>
      </w:r>
      <w:r w:rsidR="00A91FB5">
        <w:rPr>
          <w:color w:val="000000" w:themeColor="text1"/>
          <w:sz w:val="22"/>
          <w:szCs w:val="22"/>
        </w:rPr>
        <w:tab/>
      </w:r>
      <w:r w:rsidR="001F0F7A">
        <w:rPr>
          <w:color w:val="000000" w:themeColor="text1"/>
          <w:sz w:val="22"/>
          <w:szCs w:val="22"/>
        </w:rPr>
        <w:t>Associate Director, Product Development, DIT (item 9)</w:t>
      </w:r>
    </w:p>
    <w:p w14:paraId="04BC13A0" w14:textId="035A5B1E" w:rsidR="006C227D" w:rsidRDefault="006C227D"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Behrooz Mirmolavi</w:t>
      </w:r>
      <w:r w:rsidR="001F0F7A">
        <w:rPr>
          <w:color w:val="000000" w:themeColor="text1"/>
          <w:sz w:val="22"/>
          <w:szCs w:val="22"/>
        </w:rPr>
        <w:tab/>
        <w:t>Digital Performance Manager, DIT (item 9)</w:t>
      </w:r>
    </w:p>
    <w:p w14:paraId="6EAEAC76" w14:textId="12155A32" w:rsidR="006C227D" w:rsidRDefault="006C227D"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Lotty Davies</w:t>
      </w:r>
      <w:r>
        <w:rPr>
          <w:color w:val="000000" w:themeColor="text1"/>
          <w:sz w:val="22"/>
          <w:szCs w:val="22"/>
        </w:rPr>
        <w:tab/>
        <w:t>Senior Marketing Communications Manager (item 10)</w:t>
      </w:r>
    </w:p>
    <w:p w14:paraId="0B8F70C1" w14:textId="098FC356" w:rsidR="006C227D" w:rsidRDefault="006C227D"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Kate</w:t>
      </w:r>
      <w:r w:rsidR="00A91FB5">
        <w:rPr>
          <w:color w:val="000000" w:themeColor="text1"/>
          <w:sz w:val="22"/>
          <w:szCs w:val="22"/>
        </w:rPr>
        <w:t xml:space="preserve"> Scott</w:t>
      </w:r>
      <w:r w:rsidR="00A91FB5">
        <w:rPr>
          <w:color w:val="000000" w:themeColor="text1"/>
          <w:sz w:val="22"/>
          <w:szCs w:val="22"/>
        </w:rPr>
        <w:tab/>
        <w:t>Marketing Communications Manager (item 10)</w:t>
      </w:r>
    </w:p>
    <w:p w14:paraId="05A3F7E6" w14:textId="30F0DFBD" w:rsidR="00F4580D" w:rsidRPr="00D6741F" w:rsidRDefault="00F4580D" w:rsidP="00F4580D">
      <w:pPr>
        <w:pStyle w:val="NICEnormal"/>
        <w:spacing w:after="0" w:line="240" w:lineRule="auto"/>
        <w:ind w:left="2268" w:hanging="2268"/>
        <w:rPr>
          <w:color w:val="000000" w:themeColor="text1"/>
          <w:sz w:val="22"/>
          <w:szCs w:val="22"/>
        </w:rPr>
      </w:pPr>
      <w:r w:rsidRPr="00D6741F">
        <w:rPr>
          <w:rFonts w:cs="Arial"/>
          <w:color w:val="000000" w:themeColor="text1"/>
          <w:sz w:val="22"/>
          <w:szCs w:val="22"/>
        </w:rPr>
        <w:t>Elaine Repton</w:t>
      </w:r>
      <w:r w:rsidRPr="00D6741F">
        <w:rPr>
          <w:rFonts w:cs="Arial"/>
          <w:color w:val="000000" w:themeColor="text1"/>
          <w:sz w:val="22"/>
          <w:szCs w:val="22"/>
        </w:rPr>
        <w:tab/>
        <w:t xml:space="preserve">Corporate </w:t>
      </w:r>
      <w:r w:rsidR="0001782A" w:rsidRPr="00D6741F">
        <w:rPr>
          <w:rFonts w:cs="Arial"/>
          <w:color w:val="000000" w:themeColor="text1"/>
          <w:sz w:val="22"/>
          <w:szCs w:val="22"/>
        </w:rPr>
        <w:t>G</w:t>
      </w:r>
      <w:r w:rsidRPr="00D6741F">
        <w:rPr>
          <w:rFonts w:cs="Arial"/>
          <w:color w:val="000000" w:themeColor="text1"/>
          <w:sz w:val="22"/>
          <w:szCs w:val="22"/>
        </w:rPr>
        <w:t>overnance</w:t>
      </w:r>
      <w:r w:rsidRPr="00D6741F">
        <w:rPr>
          <w:color w:val="000000" w:themeColor="text1"/>
          <w:sz w:val="22"/>
          <w:szCs w:val="22"/>
        </w:rPr>
        <w:t xml:space="preserve"> and </w:t>
      </w:r>
      <w:r w:rsidR="0001782A" w:rsidRPr="00D6741F">
        <w:rPr>
          <w:color w:val="000000" w:themeColor="text1"/>
          <w:sz w:val="22"/>
          <w:szCs w:val="22"/>
        </w:rPr>
        <w:t>R</w:t>
      </w:r>
      <w:r w:rsidRPr="00D6741F">
        <w:rPr>
          <w:color w:val="000000" w:themeColor="text1"/>
          <w:sz w:val="22"/>
          <w:szCs w:val="22"/>
        </w:rPr>
        <w:t xml:space="preserve">isk </w:t>
      </w:r>
      <w:r w:rsidR="0001782A" w:rsidRPr="00D6741F">
        <w:rPr>
          <w:color w:val="000000" w:themeColor="text1"/>
          <w:sz w:val="22"/>
          <w:szCs w:val="22"/>
        </w:rPr>
        <w:t>M</w:t>
      </w:r>
      <w:r w:rsidRPr="00D6741F">
        <w:rPr>
          <w:color w:val="000000" w:themeColor="text1"/>
          <w:sz w:val="22"/>
          <w:szCs w:val="22"/>
        </w:rPr>
        <w:t>anager (minutes)</w:t>
      </w: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46EE601F" w:rsidR="0001165C" w:rsidRDefault="00DC1227" w:rsidP="008A0A12">
      <w:pPr>
        <w:pStyle w:val="Numberedpara"/>
      </w:pPr>
      <w:r>
        <w:t>A</w:t>
      </w:r>
      <w:r w:rsidR="00AD0A6D">
        <w:t>pologies</w:t>
      </w:r>
      <w:r w:rsidR="00C73560">
        <w:t xml:space="preserve"> for absence</w:t>
      </w:r>
      <w:r>
        <w:t xml:space="preserve"> were received from</w:t>
      </w:r>
      <w:r w:rsidR="004B2C6C">
        <w:t xml:space="preserve"> </w:t>
      </w:r>
      <w:r w:rsidR="001F0F7A">
        <w:rPr>
          <w:rFonts w:cs="Arial"/>
          <w:color w:val="000000" w:themeColor="text1"/>
        </w:rPr>
        <w:t>Jennifer Howells and Jane Gizbert who were represented by Boryana Stambolova and Danielle Mason respectively</w:t>
      </w:r>
      <w:r w:rsidR="004B2C6C">
        <w:t>.</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1AFDC75B" w:rsidR="006C2CD4" w:rsidRPr="007433ED" w:rsidRDefault="006F3BE2" w:rsidP="007433ED">
      <w:pPr>
        <w:pStyle w:val="Numberedpara"/>
        <w:tabs>
          <w:tab w:val="left" w:pos="1701"/>
        </w:tabs>
        <w:rPr>
          <w:rFonts w:cs="Arial"/>
        </w:rPr>
      </w:pPr>
      <w:r w:rsidRPr="00420AA6">
        <w:t>The minutes of the meeting held on</w:t>
      </w:r>
      <w:r w:rsidR="002919E6">
        <w:t xml:space="preserve"> </w:t>
      </w:r>
      <w:r w:rsidR="007433ED">
        <w:t>11 May</w:t>
      </w:r>
      <w:r w:rsidR="00FB465A">
        <w:t xml:space="preserve">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7433ED">
        <w:t>.</w:t>
      </w:r>
    </w:p>
    <w:p w14:paraId="485E367E" w14:textId="157D10B2" w:rsidR="006F3BE2" w:rsidRDefault="006F3BE2" w:rsidP="00B55E00">
      <w:pPr>
        <w:pStyle w:val="Heading2"/>
      </w:pPr>
      <w:r>
        <w:t xml:space="preserve">Matters arising (item </w:t>
      </w:r>
      <w:r w:rsidR="00FD53E9">
        <w:t>3.2</w:t>
      </w:r>
      <w:r>
        <w:t>)</w:t>
      </w:r>
    </w:p>
    <w:p w14:paraId="0229DA7E" w14:textId="024D5D0E" w:rsidR="00273BFA" w:rsidRDefault="006F3BE2" w:rsidP="00D73269">
      <w:pPr>
        <w:pStyle w:val="Numberedpara"/>
      </w:pPr>
      <w:r>
        <w:t xml:space="preserve">The actions from the meeting held on </w:t>
      </w:r>
      <w:r w:rsidR="001F578F">
        <w:t>1</w:t>
      </w:r>
      <w:r w:rsidR="00D1275A">
        <w:t>1 May</w:t>
      </w:r>
      <w:r w:rsidR="00AA6BE9">
        <w:t xml:space="preserve"> 2022 </w:t>
      </w:r>
      <w:r>
        <w:t xml:space="preserve">were noted as complete or in </w:t>
      </w:r>
      <w:r w:rsidR="00D73269">
        <w:t>progress</w:t>
      </w:r>
      <w:r>
        <w:t>.</w:t>
      </w:r>
    </w:p>
    <w:p w14:paraId="73E01DC8" w14:textId="1DB5CAE8" w:rsidR="00C15B30" w:rsidRPr="00C15B30" w:rsidRDefault="00C15B30" w:rsidP="00C15B30">
      <w:pPr>
        <w:pStyle w:val="Numberedpara"/>
        <w:numPr>
          <w:ilvl w:val="0"/>
          <w:numId w:val="0"/>
        </w:numPr>
        <w:rPr>
          <w:b/>
          <w:bCs/>
        </w:rPr>
      </w:pPr>
      <w:r>
        <w:rPr>
          <w:b/>
          <w:bCs/>
        </w:rPr>
        <w:t>Check-in</w:t>
      </w:r>
    </w:p>
    <w:p w14:paraId="6CF782C1" w14:textId="18330688" w:rsidR="00C15B30" w:rsidRDefault="00865D0B" w:rsidP="00D73269">
      <w:pPr>
        <w:pStyle w:val="Numberedpara"/>
      </w:pPr>
      <w:r>
        <w:t>This item will be</w:t>
      </w:r>
      <w:r w:rsidR="00C15B30">
        <w:t xml:space="preserve"> covered </w:t>
      </w:r>
      <w:r>
        <w:t>from next</w:t>
      </w:r>
      <w:r w:rsidR="00C15B30">
        <w:t xml:space="preserve"> week</w:t>
      </w:r>
      <w:r>
        <w:t xml:space="preserve"> onwards</w:t>
      </w:r>
      <w:r w:rsidR="00C15B30">
        <w:t>.</w:t>
      </w:r>
    </w:p>
    <w:p w14:paraId="6BDE8789" w14:textId="4F447404" w:rsidR="00863FD7" w:rsidRPr="003F0A23" w:rsidRDefault="003C38C0" w:rsidP="00462213">
      <w:pPr>
        <w:pStyle w:val="Heading2"/>
      </w:pPr>
      <w:bookmarkStart w:id="0" w:name="_Hlk77685832"/>
      <w:r>
        <w:lastRenderedPageBreak/>
        <w:t xml:space="preserve">Discussion </w:t>
      </w:r>
      <w:r w:rsidR="00C15B30">
        <w:t>forum</w:t>
      </w:r>
      <w:r w:rsidR="00AD0A6D" w:rsidRPr="003F0A23">
        <w:t xml:space="preserve"> </w:t>
      </w:r>
      <w:r w:rsidR="00863FD7" w:rsidRPr="003F0A23">
        <w:t xml:space="preserve">(item </w:t>
      </w:r>
      <w:r w:rsidR="00C15B30">
        <w:t>5</w:t>
      </w:r>
      <w:r w:rsidR="00863FD7" w:rsidRPr="003F0A23">
        <w:t>)</w:t>
      </w:r>
    </w:p>
    <w:p w14:paraId="16859BFF" w14:textId="42807292" w:rsidR="00E61EB8" w:rsidRPr="0004112F" w:rsidRDefault="00C15B30" w:rsidP="0004112F">
      <w:pPr>
        <w:pStyle w:val="Paragraph"/>
        <w:numPr>
          <w:ilvl w:val="0"/>
          <w:numId w:val="0"/>
        </w:numPr>
        <w:ind w:left="357" w:hanging="357"/>
      </w:pPr>
      <w:r>
        <w:rPr>
          <w:b/>
          <w:bCs/>
        </w:rPr>
        <w:t>Proposals for re-focusing the ET meetings (item 5.1)</w:t>
      </w:r>
    </w:p>
    <w:p w14:paraId="2ABA4E72" w14:textId="2328C029" w:rsidR="00FB1B42" w:rsidRDefault="0004112F" w:rsidP="001A5351">
      <w:pPr>
        <w:pStyle w:val="Paragraph"/>
      </w:pPr>
      <w:r>
        <w:t xml:space="preserve">David Coombs </w:t>
      </w:r>
      <w:r w:rsidR="00865D0B">
        <w:t xml:space="preserve">outlined proposals </w:t>
      </w:r>
      <w:r w:rsidR="00B4241F">
        <w:t xml:space="preserve">to re-focus the ET meeting to ensure the time each week </w:t>
      </w:r>
      <w:r w:rsidR="001A5351">
        <w:t>was</w:t>
      </w:r>
      <w:r w:rsidR="00B4241F">
        <w:t xml:space="preserve"> used effectively to address </w:t>
      </w:r>
      <w:r w:rsidR="00B4241F" w:rsidRPr="00A50075">
        <w:t>core and critical business issues which cannot be resolved within directorates</w:t>
      </w:r>
      <w:r w:rsidR="001A5351">
        <w:t xml:space="preserve">.  To facilitate this, it was proposed to hold two different types of meetings on alternate weeks.  One structured with an agenda and notes </w:t>
      </w:r>
      <w:r w:rsidR="001323EA">
        <w:t>to be conducted in a hybrid format</w:t>
      </w:r>
      <w:r w:rsidR="001A5351">
        <w:t>, and one informal with no agenda, held face to face to facilitate discussion of strategic issues and challenges collaboratively.</w:t>
      </w:r>
      <w:r w:rsidR="00D860CA">
        <w:t xml:space="preserve">  ET supported th</w:t>
      </w:r>
      <w:r w:rsidR="00993E9C">
        <w:t>e</w:t>
      </w:r>
      <w:r w:rsidR="00D860CA">
        <w:t xml:space="preserve"> approach and agreed to implement the new format from 1 June 2022.</w:t>
      </w:r>
    </w:p>
    <w:p w14:paraId="4EB232AC" w14:textId="6F5CB46E" w:rsidR="0047504D" w:rsidRDefault="0047504D" w:rsidP="001A5351">
      <w:pPr>
        <w:pStyle w:val="Paragraph"/>
      </w:pPr>
      <w:r>
        <w:t xml:space="preserve">The paper included a suggested list of items for discussion at the structured meetings which will also include </w:t>
      </w:r>
      <w:r w:rsidR="00993E9C">
        <w:t xml:space="preserve">the </w:t>
      </w:r>
      <w:r>
        <w:t xml:space="preserve">sessions on the business </w:t>
      </w:r>
      <w:r w:rsidR="00905E37">
        <w:t xml:space="preserve">plan </w:t>
      </w:r>
      <w:r>
        <w:t xml:space="preserve">priorities with the SROs </w:t>
      </w:r>
      <w:r w:rsidR="00993E9C">
        <w:t xml:space="preserve">in attendance </w:t>
      </w:r>
      <w:r>
        <w:t xml:space="preserve">and </w:t>
      </w:r>
      <w:r w:rsidR="003B6314">
        <w:t xml:space="preserve">progress on </w:t>
      </w:r>
      <w:r>
        <w:t>EDI</w:t>
      </w:r>
      <w:r w:rsidR="003B6314">
        <w:t xml:space="preserve"> performance</w:t>
      </w:r>
      <w:r>
        <w:t>.</w:t>
      </w:r>
    </w:p>
    <w:p w14:paraId="54B810DF" w14:textId="3E0AD6EB" w:rsidR="0004112F" w:rsidRDefault="009B3DF7" w:rsidP="001A5351">
      <w:pPr>
        <w:pStyle w:val="Paragraph"/>
      </w:pPr>
      <w:r>
        <w:t xml:space="preserve">It was accepted that the transition would take time and there needed to be agreement on </w:t>
      </w:r>
      <w:r w:rsidR="0047504D">
        <w:t>how the</w:t>
      </w:r>
      <w:r>
        <w:t xml:space="preserve"> items currently on ET’s forward planner would be </w:t>
      </w:r>
      <w:r w:rsidR="0047504D">
        <w:t>dealt with.</w:t>
      </w:r>
      <w:r>
        <w:t xml:space="preserve">  There needed to be a shared understanding of items which will be relevant for ET, items for one to one discussions and those needing involvement of two or more ET members</w:t>
      </w:r>
      <w:r w:rsidR="0047504D">
        <w:t xml:space="preserve"> </w:t>
      </w:r>
      <w:r>
        <w:t>but did not require the whole of ET</w:t>
      </w:r>
      <w:r w:rsidR="00D860CA">
        <w:t xml:space="preserve"> to be involved.  David Coombs was asked to </w:t>
      </w:r>
      <w:r w:rsidR="0091575D">
        <w:t>update the paper slightly and to begin re-scheduling the ET forward plan and meeting invites accordingly.</w:t>
      </w:r>
    </w:p>
    <w:p w14:paraId="6BA6E2AB" w14:textId="1DFB4B03" w:rsidR="00D860CA" w:rsidRPr="00D860CA" w:rsidRDefault="00D860CA" w:rsidP="00D860CA">
      <w:pPr>
        <w:pStyle w:val="Paragraph"/>
        <w:numPr>
          <w:ilvl w:val="0"/>
          <w:numId w:val="0"/>
        </w:numPr>
        <w:ind w:left="357"/>
        <w:jc w:val="right"/>
        <w:rPr>
          <w:b/>
          <w:bCs/>
        </w:rPr>
      </w:pPr>
      <w:r w:rsidRPr="00D860CA">
        <w:rPr>
          <w:b/>
          <w:bCs/>
        </w:rPr>
        <w:t>ACTION: DC</w:t>
      </w:r>
    </w:p>
    <w:p w14:paraId="0B45E806" w14:textId="6D60A8DA" w:rsidR="00B4241F" w:rsidRDefault="00D860CA" w:rsidP="006B4964">
      <w:pPr>
        <w:pStyle w:val="Paragraph"/>
      </w:pPr>
      <w:r>
        <w:t xml:space="preserve">ET further discussed other internal groups which </w:t>
      </w:r>
      <w:r w:rsidR="001F04B0">
        <w:t>also</w:t>
      </w:r>
      <w:r w:rsidR="00B21AFB">
        <w:t xml:space="preserve"> </w:t>
      </w:r>
      <w:r>
        <w:t xml:space="preserve">require review, notably </w:t>
      </w:r>
      <w:r w:rsidR="00905E37">
        <w:t>Guidance Executive (</w:t>
      </w:r>
      <w:r>
        <w:t>GE</w:t>
      </w:r>
      <w:r w:rsidR="00905E37">
        <w:t>)</w:t>
      </w:r>
      <w:r>
        <w:t xml:space="preserve"> and </w:t>
      </w:r>
      <w:r w:rsidR="00905E37">
        <w:t>Publication Executive (</w:t>
      </w:r>
      <w:r>
        <w:t>PE</w:t>
      </w:r>
      <w:r w:rsidR="00905E37">
        <w:t>)</w:t>
      </w:r>
      <w:r>
        <w:t xml:space="preserve"> and the operational management committee </w:t>
      </w:r>
      <w:r w:rsidR="00905E37">
        <w:t xml:space="preserve">(OMC) </w:t>
      </w:r>
      <w:r>
        <w:t>and senior leaders forum</w:t>
      </w:r>
      <w:r w:rsidR="00905E37">
        <w:t xml:space="preserve"> (SLF)</w:t>
      </w:r>
      <w:r>
        <w:t xml:space="preserve">.  </w:t>
      </w:r>
      <w:r w:rsidR="00B21AFB">
        <w:t>There was general agreement that PE and GE could be streamlined and amalgamated into one group.  Alexia Tonnel agreed to discuss this further with Judith Richardson and Eric Power.</w:t>
      </w:r>
      <w:r w:rsidR="00EB2818">
        <w:t xml:space="preserve">  </w:t>
      </w:r>
      <w:r w:rsidR="00836FA5">
        <w:t>I</w:t>
      </w:r>
      <w:r w:rsidR="00EB2818">
        <w:t xml:space="preserve">t was agreed to address ET, PE &amp; GE initially, and then ask the senior leaders </w:t>
      </w:r>
      <w:r w:rsidR="00CF0AC4">
        <w:t xml:space="preserve">at a later for </w:t>
      </w:r>
      <w:r w:rsidR="00EB2818">
        <w:t xml:space="preserve">their views on how the OMC and SLF should operate going forward.  It was </w:t>
      </w:r>
      <w:r w:rsidR="00836FA5">
        <w:t>expec</w:t>
      </w:r>
      <w:r w:rsidR="00EB2818">
        <w:t xml:space="preserve">ted that OMC meetings would be structured with delegated </w:t>
      </w:r>
      <w:r w:rsidR="00CF0AC4">
        <w:t xml:space="preserve">decision making </w:t>
      </w:r>
      <w:r w:rsidR="00EB2818">
        <w:t xml:space="preserve">authority from ET, while </w:t>
      </w:r>
      <w:r w:rsidR="00CF0AC4">
        <w:t xml:space="preserve">the </w:t>
      </w:r>
      <w:r w:rsidR="00EB2818">
        <w:t xml:space="preserve">SLF would be </w:t>
      </w:r>
      <w:r w:rsidR="001F04B0">
        <w:t xml:space="preserve">a </w:t>
      </w:r>
      <w:r w:rsidR="00EB2818">
        <w:t xml:space="preserve">discussion and information sharing forum. </w:t>
      </w:r>
      <w:r w:rsidR="001F04B0">
        <w:t xml:space="preserve"> It was agreed that a communication be included in</w:t>
      </w:r>
      <w:r w:rsidR="006B4964">
        <w:t xml:space="preserve"> </w:t>
      </w:r>
      <w:r w:rsidR="001F04B0">
        <w:t xml:space="preserve">YW@N </w:t>
      </w:r>
      <w:r w:rsidR="00CF0AC4">
        <w:t xml:space="preserve">in the coming weeks </w:t>
      </w:r>
      <w:r w:rsidR="001F04B0">
        <w:t>to advise staff of the changes being made to the ET meetings and to the GE and PE forums</w:t>
      </w:r>
      <w:r w:rsidR="006B4964">
        <w:t xml:space="preserve">, </w:t>
      </w:r>
      <w:r w:rsidR="00CF0AC4">
        <w:t>once</w:t>
      </w:r>
      <w:r w:rsidR="006B4964">
        <w:t xml:space="preserve"> a decision about GE and PE has been </w:t>
      </w:r>
      <w:r w:rsidR="00CF0AC4">
        <w:t>reached</w:t>
      </w:r>
      <w:r w:rsidR="006B4964">
        <w:t>.</w:t>
      </w:r>
    </w:p>
    <w:p w14:paraId="46D7D1B9" w14:textId="7BA4D637" w:rsidR="0091575D" w:rsidRPr="0091575D" w:rsidRDefault="0091575D" w:rsidP="0091575D">
      <w:pPr>
        <w:pStyle w:val="Paragraph"/>
        <w:numPr>
          <w:ilvl w:val="0"/>
          <w:numId w:val="0"/>
        </w:numPr>
        <w:ind w:left="357"/>
        <w:jc w:val="right"/>
        <w:rPr>
          <w:b/>
          <w:bCs/>
        </w:rPr>
      </w:pPr>
      <w:r w:rsidRPr="0091575D">
        <w:rPr>
          <w:b/>
          <w:bCs/>
        </w:rPr>
        <w:t>ACTION: J</w:t>
      </w:r>
      <w:r w:rsidR="001323EA">
        <w:rPr>
          <w:b/>
          <w:bCs/>
        </w:rPr>
        <w:t>R</w:t>
      </w:r>
      <w:r w:rsidR="00905E37">
        <w:rPr>
          <w:b/>
          <w:bCs/>
        </w:rPr>
        <w:t>/</w:t>
      </w:r>
      <w:r w:rsidRPr="0091575D">
        <w:rPr>
          <w:b/>
          <w:bCs/>
        </w:rPr>
        <w:t>DM</w:t>
      </w:r>
    </w:p>
    <w:p w14:paraId="738B5727" w14:textId="20AE0FB0" w:rsidR="0010344B" w:rsidRDefault="00CC1489" w:rsidP="00CC1489">
      <w:pPr>
        <w:pStyle w:val="Heading2"/>
      </w:pPr>
      <w:r>
        <w:t>Resource impact (item 5.3)</w:t>
      </w:r>
    </w:p>
    <w:p w14:paraId="3CBAD993" w14:textId="4DC691D2" w:rsidR="00CC1489" w:rsidRDefault="00CC1489" w:rsidP="00C15B30">
      <w:pPr>
        <w:pStyle w:val="Paragraph"/>
      </w:pPr>
      <w:r>
        <w:t>Paul Chrisp advised ET of discussions at a recent GRIP meeting regarding the resource imp</w:t>
      </w:r>
      <w:r w:rsidR="00B4241F">
        <w:t>act</w:t>
      </w:r>
      <w:r>
        <w:t xml:space="preserve"> of the glucose monitoring guideline (and potentially gout), where </w:t>
      </w:r>
      <w:r w:rsidR="00B04106">
        <w:t xml:space="preserve">the </w:t>
      </w:r>
      <w:r>
        <w:t xml:space="preserve">NHSE </w:t>
      </w:r>
      <w:r w:rsidR="00B04106">
        <w:t xml:space="preserve">finance rep </w:t>
      </w:r>
      <w:r>
        <w:t>had raised concerns</w:t>
      </w:r>
      <w:r w:rsidR="00343CFC">
        <w:t xml:space="preserve"> about the cost of implementation</w:t>
      </w:r>
      <w:r w:rsidR="00B04106">
        <w:t>.  It was agreed that Sam Roberts and Boryana Stambolova would arrange a conversation with the NHSE finance director.</w:t>
      </w:r>
    </w:p>
    <w:p w14:paraId="0E5C4423" w14:textId="4325A63F" w:rsidR="006F00A3" w:rsidRPr="00B4241F" w:rsidRDefault="00B04106" w:rsidP="00B4241F">
      <w:pPr>
        <w:pStyle w:val="Paragraph"/>
        <w:numPr>
          <w:ilvl w:val="0"/>
          <w:numId w:val="0"/>
        </w:numPr>
        <w:ind w:left="357"/>
        <w:jc w:val="right"/>
        <w:rPr>
          <w:b/>
          <w:bCs/>
        </w:rPr>
      </w:pPr>
      <w:r w:rsidRPr="00B04106">
        <w:rPr>
          <w:b/>
          <w:bCs/>
        </w:rPr>
        <w:t>ACTION: SR/BS</w:t>
      </w:r>
    </w:p>
    <w:p w14:paraId="3CF5C6A8" w14:textId="5A6E14AC" w:rsidR="00247D8E" w:rsidRPr="0004112F" w:rsidRDefault="00C15B30" w:rsidP="0004112F">
      <w:pPr>
        <w:pStyle w:val="Heading2"/>
      </w:pPr>
      <w:r w:rsidRPr="0004112F">
        <w:t>Audit and risk committee feedback</w:t>
      </w:r>
      <w:r w:rsidR="00247D8E" w:rsidRPr="0004112F">
        <w:t xml:space="preserve"> (item 6)</w:t>
      </w:r>
    </w:p>
    <w:p w14:paraId="31ED6C6C" w14:textId="35F2E679" w:rsidR="00C15B30" w:rsidRPr="0004112F" w:rsidRDefault="0004112F" w:rsidP="0004112F">
      <w:pPr>
        <w:pStyle w:val="Numberedpara"/>
        <w:rPr>
          <w:b/>
          <w:bCs/>
        </w:rPr>
      </w:pPr>
      <w:r>
        <w:t>This item was deferred to the next meeting.</w:t>
      </w:r>
    </w:p>
    <w:p w14:paraId="5992BFA7" w14:textId="55DDB814" w:rsidR="00C15B30" w:rsidRPr="00C15B30" w:rsidRDefault="0004112F" w:rsidP="0004112F">
      <w:pPr>
        <w:pStyle w:val="Heading2"/>
      </w:pPr>
      <w:r>
        <w:lastRenderedPageBreak/>
        <w:t>Innovative Medicines Fund (item 7)</w:t>
      </w:r>
    </w:p>
    <w:p w14:paraId="54B42D24" w14:textId="77777777" w:rsidR="00F02D1F" w:rsidRPr="00F02D1F" w:rsidRDefault="007F1E04" w:rsidP="000B06BD">
      <w:pPr>
        <w:pStyle w:val="Numberedpara"/>
        <w:rPr>
          <w:b/>
          <w:bCs/>
        </w:rPr>
      </w:pPr>
      <w:r>
        <w:t>ET received an update on the Innovative Medicines Fund (IMF) consultation</w:t>
      </w:r>
      <w:r w:rsidR="009B5B99">
        <w:t xml:space="preserve"> and</w:t>
      </w:r>
      <w:r>
        <w:t xml:space="preserve"> development of the IMF principles document</w:t>
      </w:r>
      <w:r w:rsidR="00024370">
        <w:t xml:space="preserve"> in consultation with NHSE.  </w:t>
      </w:r>
      <w:r w:rsidR="005B70B4">
        <w:t xml:space="preserve">Some comments were raised on the principles and consultation feedback which </w:t>
      </w:r>
      <w:r w:rsidR="00024370">
        <w:t>Brad Groves</w:t>
      </w:r>
      <w:r w:rsidR="005B70B4">
        <w:t xml:space="preserve"> agreed to raise with the IMF advisory board.</w:t>
      </w:r>
      <w:r w:rsidR="00FF43CF">
        <w:t xml:space="preserve"> </w:t>
      </w:r>
    </w:p>
    <w:p w14:paraId="55552504" w14:textId="2958CCFB" w:rsidR="00C15B30" w:rsidRPr="003C648D" w:rsidRDefault="008B1425" w:rsidP="003C648D">
      <w:pPr>
        <w:pStyle w:val="Numberedpara"/>
        <w:rPr>
          <w:b/>
          <w:bCs/>
        </w:rPr>
      </w:pPr>
      <w:r>
        <w:t xml:space="preserve">ET discussed the </w:t>
      </w:r>
      <w:r w:rsidR="003C648D">
        <w:t xml:space="preserve">feedback </w:t>
      </w:r>
      <w:r w:rsidR="00647E9B">
        <w:t xml:space="preserve">received </w:t>
      </w:r>
      <w:r w:rsidR="003C648D">
        <w:t>about</w:t>
      </w:r>
      <w:r w:rsidR="00F02D1F">
        <w:t xml:space="preserve"> the proposed 5 year limit on data collection </w:t>
      </w:r>
      <w:r w:rsidR="003C648D" w:rsidRPr="00627CDE">
        <w:rPr>
          <w:lang w:val="en-US"/>
        </w:rPr>
        <w:t>to allow evidence from ongoing clinical trials and real-world data collection to mature</w:t>
      </w:r>
      <w:r w:rsidR="003C648D">
        <w:rPr>
          <w:lang w:val="en-US"/>
        </w:rPr>
        <w:t xml:space="preserve">.  </w:t>
      </w:r>
      <w:r w:rsidR="00C957FC">
        <w:rPr>
          <w:lang w:val="en-US"/>
        </w:rPr>
        <w:t xml:space="preserve">It was expected </w:t>
      </w:r>
      <w:r w:rsidR="003C648D">
        <w:rPr>
          <w:lang w:val="en-US"/>
        </w:rPr>
        <w:t xml:space="preserve">that the </w:t>
      </w:r>
      <w:r w:rsidR="00C957FC">
        <w:rPr>
          <w:lang w:val="en-US"/>
        </w:rPr>
        <w:t xml:space="preserve">NICE </w:t>
      </w:r>
      <w:r w:rsidR="003C648D">
        <w:rPr>
          <w:lang w:val="en-US"/>
        </w:rPr>
        <w:t xml:space="preserve">board would </w:t>
      </w:r>
      <w:r w:rsidR="00647E9B">
        <w:rPr>
          <w:lang w:val="en-US"/>
        </w:rPr>
        <w:t xml:space="preserve">raise this </w:t>
      </w:r>
      <w:r w:rsidR="00C957FC">
        <w:rPr>
          <w:lang w:val="en-US"/>
        </w:rPr>
        <w:t xml:space="preserve">as an </w:t>
      </w:r>
      <w:r w:rsidR="00647E9B">
        <w:rPr>
          <w:lang w:val="en-US"/>
        </w:rPr>
        <w:t>issue</w:t>
      </w:r>
      <w:r w:rsidR="003C648D">
        <w:rPr>
          <w:lang w:val="en-US"/>
        </w:rPr>
        <w:t xml:space="preserve"> </w:t>
      </w:r>
      <w:r w:rsidR="00C957FC">
        <w:rPr>
          <w:lang w:val="en-US"/>
        </w:rPr>
        <w:t>as it was of the</w:t>
      </w:r>
      <w:r w:rsidR="003C648D">
        <w:rPr>
          <w:lang w:val="en-US"/>
        </w:rPr>
        <w:t xml:space="preserve"> view </w:t>
      </w:r>
      <w:r w:rsidR="00C957FC">
        <w:rPr>
          <w:lang w:val="en-US"/>
        </w:rPr>
        <w:t xml:space="preserve">that </w:t>
      </w:r>
      <w:r w:rsidR="003C648D">
        <w:rPr>
          <w:lang w:val="en-US"/>
        </w:rPr>
        <w:t>it was taking too long for real-world data sets to be available for use in</w:t>
      </w:r>
      <w:r w:rsidR="00136891">
        <w:rPr>
          <w:lang w:val="en-US"/>
        </w:rPr>
        <w:t xml:space="preserve"> technology appraisals</w:t>
      </w:r>
      <w:r w:rsidR="003C648D">
        <w:rPr>
          <w:lang w:val="en-US"/>
        </w:rPr>
        <w:t xml:space="preserve"> and </w:t>
      </w:r>
      <w:r w:rsidR="00E845E9">
        <w:rPr>
          <w:lang w:val="en-US"/>
        </w:rPr>
        <w:t xml:space="preserve">to </w:t>
      </w:r>
      <w:r w:rsidR="003C648D">
        <w:rPr>
          <w:lang w:val="en-US"/>
        </w:rPr>
        <w:t>support outcome-based pricing.</w:t>
      </w:r>
    </w:p>
    <w:p w14:paraId="75D67952" w14:textId="7DA1E913" w:rsidR="00C15B30" w:rsidRPr="00C15B30" w:rsidRDefault="0004112F" w:rsidP="0004112F">
      <w:pPr>
        <w:pStyle w:val="Heading2"/>
      </w:pPr>
      <w:r>
        <w:t xml:space="preserve">Chief Medical Officer </w:t>
      </w:r>
      <w:r w:rsidR="0082506C">
        <w:t xml:space="preserve">role - </w:t>
      </w:r>
      <w:r>
        <w:t>next steps (item 8)</w:t>
      </w:r>
    </w:p>
    <w:p w14:paraId="238DF19A" w14:textId="4434D302" w:rsidR="00C15B30" w:rsidRPr="0004112F" w:rsidRDefault="00007652" w:rsidP="000B06BD">
      <w:pPr>
        <w:pStyle w:val="Numberedpara"/>
        <w:rPr>
          <w:b/>
          <w:bCs/>
        </w:rPr>
      </w:pPr>
      <w:r>
        <w:t xml:space="preserve">Gail Allsopp sought ET’s feedback on her </w:t>
      </w:r>
      <w:r w:rsidR="00424A54">
        <w:t>suggestions</w:t>
      </w:r>
      <w:r>
        <w:t xml:space="preserve"> of how the permanent CMO role should be structured, based on her experience </w:t>
      </w:r>
      <w:r w:rsidR="007C3272">
        <w:t>to date</w:t>
      </w:r>
      <w:r w:rsidR="00320BBE">
        <w:t xml:space="preserve">.  It was proposed that there </w:t>
      </w:r>
      <w:r w:rsidR="00424A54">
        <w:t>be</w:t>
      </w:r>
      <w:r w:rsidR="00320BBE">
        <w:t xml:space="preserve"> three </w:t>
      </w:r>
      <w:r w:rsidR="00424A54">
        <w:t>key</w:t>
      </w:r>
      <w:r w:rsidR="00320BBE">
        <w:t xml:space="preserve"> </w:t>
      </w:r>
      <w:r w:rsidR="007C3272">
        <w:t>function</w:t>
      </w:r>
      <w:r w:rsidR="00320BBE">
        <w:t>s</w:t>
      </w:r>
      <w:r w:rsidR="00424A54">
        <w:t xml:space="preserve">; actively drawing in clinical and scientific signals from the health system; </w:t>
      </w:r>
      <w:r w:rsidR="00A945BE">
        <w:t xml:space="preserve">overseeing </w:t>
      </w:r>
      <w:r w:rsidR="007C3272">
        <w:t>patient/</w:t>
      </w:r>
      <w:r w:rsidR="00A945BE">
        <w:t>clinical data and clinical governance within NICE and influencing through clinical relationships, including with national clinical leaders.</w:t>
      </w:r>
      <w:r w:rsidR="00424A54">
        <w:t xml:space="preserve"> </w:t>
      </w:r>
      <w:r w:rsidR="00320BBE">
        <w:t xml:space="preserve"> </w:t>
      </w:r>
    </w:p>
    <w:p w14:paraId="5A7667C4" w14:textId="07C8FF94" w:rsidR="0004112F" w:rsidRPr="006213CE" w:rsidRDefault="007C3272" w:rsidP="000B06BD">
      <w:pPr>
        <w:pStyle w:val="Numberedpara"/>
        <w:rPr>
          <w:b/>
          <w:bCs/>
        </w:rPr>
      </w:pPr>
      <w:r>
        <w:t xml:space="preserve">ET discussed the high level themes and provided feedback on </w:t>
      </w:r>
      <w:r w:rsidR="0049344F">
        <w:t>additional issues for consideration such as</w:t>
      </w:r>
      <w:r w:rsidR="004B0D96">
        <w:t xml:space="preserve"> linking into the topic selection and standing committees and</w:t>
      </w:r>
      <w:r w:rsidR="0049344F">
        <w:t xml:space="preserve"> </w:t>
      </w:r>
      <w:r w:rsidR="004B0D96">
        <w:t xml:space="preserve">being the clinical comms lead with the media.  Gail agreed to </w:t>
      </w:r>
      <w:r w:rsidR="00E12865">
        <w:t xml:space="preserve">have further conversations with colleagues </w:t>
      </w:r>
      <w:r w:rsidR="004E5596">
        <w:t>on</w:t>
      </w:r>
      <w:r w:rsidR="00E12865">
        <w:t xml:space="preserve"> some points </w:t>
      </w:r>
      <w:r w:rsidR="004E5596">
        <w:t xml:space="preserve">for clarification </w:t>
      </w:r>
      <w:r w:rsidR="00E12865">
        <w:t xml:space="preserve">and </w:t>
      </w:r>
      <w:r w:rsidR="004E5596">
        <w:t xml:space="preserve">to </w:t>
      </w:r>
      <w:r w:rsidR="004B0D96">
        <w:t xml:space="preserve">produce a fuller paper for sign off at ET by the end of June and submission to </w:t>
      </w:r>
      <w:r w:rsidR="00E12865">
        <w:t>a</w:t>
      </w:r>
      <w:r w:rsidR="004B0D96">
        <w:t xml:space="preserve"> </w:t>
      </w:r>
      <w:r w:rsidR="00E12865">
        <w:t xml:space="preserve">subsequent </w:t>
      </w:r>
      <w:r w:rsidR="004B0D96">
        <w:t>Board</w:t>
      </w:r>
      <w:r w:rsidR="00E12865">
        <w:t xml:space="preserve"> meeting</w:t>
      </w:r>
      <w:r w:rsidR="004B0D96">
        <w:t xml:space="preserve">. </w:t>
      </w:r>
    </w:p>
    <w:p w14:paraId="34DB26D7" w14:textId="38EE850E" w:rsidR="006213CE" w:rsidRPr="006213CE" w:rsidRDefault="006213CE" w:rsidP="006213CE">
      <w:pPr>
        <w:pStyle w:val="Numberedpara"/>
        <w:numPr>
          <w:ilvl w:val="0"/>
          <w:numId w:val="0"/>
        </w:numPr>
        <w:ind w:left="357"/>
        <w:jc w:val="right"/>
        <w:rPr>
          <w:b/>
          <w:bCs/>
        </w:rPr>
      </w:pPr>
      <w:r w:rsidRPr="006213CE">
        <w:rPr>
          <w:b/>
          <w:bCs/>
        </w:rPr>
        <w:t>ACTION: GA</w:t>
      </w:r>
    </w:p>
    <w:p w14:paraId="774E9A28" w14:textId="22F40C67" w:rsidR="0004112F" w:rsidRPr="0004112F" w:rsidRDefault="0004112F" w:rsidP="0004112F">
      <w:pPr>
        <w:pStyle w:val="Heading2"/>
      </w:pPr>
      <w:r>
        <w:t>Web analytics (item 9)</w:t>
      </w:r>
    </w:p>
    <w:p w14:paraId="0872DF8B" w14:textId="3516F0C2" w:rsidR="0004112F" w:rsidRPr="0004112F" w:rsidRDefault="005B64CC" w:rsidP="000B06BD">
      <w:pPr>
        <w:pStyle w:val="Numberedpara"/>
        <w:rPr>
          <w:b/>
          <w:bCs/>
        </w:rPr>
      </w:pPr>
      <w:r>
        <w:t xml:space="preserve">ET received an update on NICE’s </w:t>
      </w:r>
      <w:r w:rsidRPr="005B64CC">
        <w:t>external digital presence</w:t>
      </w:r>
      <w:r>
        <w:t xml:space="preserve"> and </w:t>
      </w:r>
      <w:r w:rsidR="000D52C1">
        <w:t xml:space="preserve">reviewed </w:t>
      </w:r>
      <w:r>
        <w:t xml:space="preserve">data analytics on how </w:t>
      </w:r>
      <w:r w:rsidR="000D52C1">
        <w:t xml:space="preserve">the NICE </w:t>
      </w:r>
      <w:r>
        <w:t>website content is accessed and consumed by users.  The data included recent trends in performance across key services</w:t>
      </w:r>
      <w:r w:rsidR="000D52C1">
        <w:t xml:space="preserve">.  It was noted that there had been feedback following the decision to switch off evidence search which had provided </w:t>
      </w:r>
      <w:r w:rsidR="002510D4">
        <w:t xml:space="preserve">valuable </w:t>
      </w:r>
      <w:r w:rsidR="000D52C1">
        <w:t xml:space="preserve">learning for </w:t>
      </w:r>
      <w:r w:rsidR="002510D4">
        <w:t xml:space="preserve">the </w:t>
      </w:r>
      <w:r w:rsidR="000D52C1">
        <w:t>future if other services are d</w:t>
      </w:r>
      <w:r w:rsidR="00DD0608">
        <w:t>e</w:t>
      </w:r>
      <w:r w:rsidR="002510D4">
        <w:t>commissioned</w:t>
      </w:r>
      <w:r w:rsidR="000D52C1">
        <w:t>.</w:t>
      </w:r>
    </w:p>
    <w:p w14:paraId="090EAE32" w14:textId="36189C0B" w:rsidR="005B64CC" w:rsidRDefault="000D52C1" w:rsidP="00ED736B">
      <w:pPr>
        <w:pStyle w:val="Numberedpara"/>
      </w:pPr>
      <w:r w:rsidRPr="002510D4">
        <w:t xml:space="preserve">ET noted the </w:t>
      </w:r>
      <w:r w:rsidR="002510D4">
        <w:t xml:space="preserve">increase in visits to the CKS and BNF which the DIT team </w:t>
      </w:r>
      <w:r w:rsidR="00E32D1D">
        <w:t>was</w:t>
      </w:r>
      <w:r w:rsidR="002510D4">
        <w:t xml:space="preserve"> exploring in relation to </w:t>
      </w:r>
      <w:r w:rsidR="00E32D1D">
        <w:t>a</w:t>
      </w:r>
      <w:r w:rsidR="002510D4">
        <w:t xml:space="preserve"> model for living guidelines within strategic priority one.</w:t>
      </w:r>
      <w:r w:rsidR="007E453C">
        <w:t xml:space="preserve">  Jeanette Kusel noted the drop in views of MIBs which she </w:t>
      </w:r>
      <w:r w:rsidR="00A45D6A">
        <w:t>wanted to follow up</w:t>
      </w:r>
      <w:r w:rsidR="00ED736B">
        <w:t>.</w:t>
      </w:r>
      <w:r w:rsidR="007E453C">
        <w:t xml:space="preserve"> </w:t>
      </w:r>
    </w:p>
    <w:p w14:paraId="69272743" w14:textId="3000E953" w:rsidR="001323EA" w:rsidRPr="001E5DD8" w:rsidRDefault="001323EA" w:rsidP="001E5DD8">
      <w:pPr>
        <w:pStyle w:val="Numberedpara"/>
        <w:numPr>
          <w:ilvl w:val="0"/>
          <w:numId w:val="0"/>
        </w:numPr>
        <w:jc w:val="right"/>
        <w:rPr>
          <w:b/>
          <w:bCs/>
        </w:rPr>
      </w:pPr>
      <w:r w:rsidRPr="001E5DD8">
        <w:rPr>
          <w:b/>
          <w:bCs/>
        </w:rPr>
        <w:t>ACTION: JK</w:t>
      </w:r>
    </w:p>
    <w:p w14:paraId="088FCBFC" w14:textId="0B1F3095" w:rsidR="0004112F" w:rsidRDefault="0004112F" w:rsidP="0004112F">
      <w:pPr>
        <w:pStyle w:val="Numberedpara"/>
        <w:numPr>
          <w:ilvl w:val="0"/>
          <w:numId w:val="0"/>
        </w:numPr>
        <w:rPr>
          <w:b/>
          <w:bCs/>
        </w:rPr>
      </w:pPr>
      <w:r>
        <w:rPr>
          <w:b/>
          <w:bCs/>
        </w:rPr>
        <w:t>Refreshing the NICE brand (item 10)</w:t>
      </w:r>
    </w:p>
    <w:p w14:paraId="105851E6" w14:textId="65D57A17" w:rsidR="0004112F" w:rsidRPr="00E17F3E" w:rsidRDefault="00E17F3E" w:rsidP="000B06BD">
      <w:pPr>
        <w:pStyle w:val="Numberedpara"/>
      </w:pPr>
      <w:r w:rsidRPr="00E17F3E">
        <w:t xml:space="preserve">Dani Mason presented </w:t>
      </w:r>
      <w:r>
        <w:t>recommendation</w:t>
      </w:r>
      <w:r w:rsidR="000B2E9A">
        <w:t>s</w:t>
      </w:r>
      <w:r>
        <w:t xml:space="preserve"> to update </w:t>
      </w:r>
      <w:r w:rsidRPr="00343D21">
        <w:t>the NICE brand and visual identity</w:t>
      </w:r>
      <w:r>
        <w:t xml:space="preserve">, based on consultations with a working group of reps from across the organisation.  ET supported the proposals subject to the working group being asked to further discuss the website heading font and layout.  ET also asked that the page numbering on the </w:t>
      </w:r>
      <w:proofErr w:type="spellStart"/>
      <w:r>
        <w:t>Powerpoint</w:t>
      </w:r>
      <w:proofErr w:type="spellEnd"/>
      <w:r>
        <w:t xml:space="preserve"> template be amended</w:t>
      </w:r>
      <w:r w:rsidR="000B2E9A">
        <w:t xml:space="preserve"> due to it becoming obscured in pdf packs.</w:t>
      </w:r>
    </w:p>
    <w:p w14:paraId="0535635D" w14:textId="64C2F942" w:rsidR="0004112F" w:rsidRPr="004B38C7" w:rsidRDefault="00BC5DEA" w:rsidP="00BC5DEA">
      <w:pPr>
        <w:pStyle w:val="Numberedpara"/>
        <w:numPr>
          <w:ilvl w:val="0"/>
          <w:numId w:val="0"/>
        </w:numPr>
        <w:ind w:left="357"/>
        <w:jc w:val="right"/>
        <w:rPr>
          <w:b/>
          <w:bCs/>
        </w:rPr>
      </w:pPr>
      <w:r>
        <w:rPr>
          <w:b/>
          <w:bCs/>
        </w:rPr>
        <w:t>ACTION: DM</w:t>
      </w:r>
    </w:p>
    <w:bookmarkEnd w:id="0"/>
    <w:p w14:paraId="3FBDB888" w14:textId="1473063F" w:rsidR="00FD53E9" w:rsidRDefault="00FD53E9" w:rsidP="00C0473A">
      <w:pPr>
        <w:pStyle w:val="Heading2"/>
      </w:pPr>
      <w:r w:rsidRPr="00DD563C">
        <w:t xml:space="preserve">Review of the meeting </w:t>
      </w:r>
      <w:r w:rsidR="00247D8E">
        <w:t xml:space="preserve">agenda </w:t>
      </w:r>
      <w:r w:rsidRPr="00DD563C">
        <w:t xml:space="preserve">(item </w:t>
      </w:r>
      <w:r w:rsidR="00064D60">
        <w:t>1</w:t>
      </w:r>
      <w:r w:rsidR="00C15B30">
        <w:t>1</w:t>
      </w:r>
      <w:r w:rsidR="00D95B78">
        <w:t>)</w:t>
      </w:r>
    </w:p>
    <w:p w14:paraId="58515A6A" w14:textId="551805B8" w:rsidR="00064D60" w:rsidRPr="007B4D49" w:rsidRDefault="00261BB2" w:rsidP="00064D60">
      <w:pPr>
        <w:pStyle w:val="Paragraph"/>
      </w:pPr>
      <w:r>
        <w:t>No comments raised.</w:t>
      </w:r>
    </w:p>
    <w:p w14:paraId="303FF33B" w14:textId="072A2FF2" w:rsidR="005A69D6" w:rsidRPr="007B4D49" w:rsidRDefault="00120B77" w:rsidP="00B55E00">
      <w:pPr>
        <w:pStyle w:val="Heading2"/>
        <w:rPr>
          <w:szCs w:val="22"/>
        </w:rPr>
      </w:pPr>
      <w:r w:rsidRPr="007B4D49">
        <w:rPr>
          <w:szCs w:val="22"/>
        </w:rPr>
        <w:lastRenderedPageBreak/>
        <w:t>O</w:t>
      </w:r>
      <w:r w:rsidR="005A69D6" w:rsidRPr="007B4D49">
        <w:rPr>
          <w:szCs w:val="22"/>
        </w:rPr>
        <w:t xml:space="preserve">ther business (item </w:t>
      </w:r>
      <w:r w:rsidR="00064D60" w:rsidRPr="007B4D49">
        <w:rPr>
          <w:szCs w:val="22"/>
        </w:rPr>
        <w:t>1</w:t>
      </w:r>
      <w:r w:rsidR="00C15B30">
        <w:rPr>
          <w:szCs w:val="22"/>
        </w:rPr>
        <w:t>2</w:t>
      </w:r>
      <w:r w:rsidR="00C05347" w:rsidRPr="007B4D49">
        <w:rPr>
          <w:szCs w:val="22"/>
        </w:rPr>
        <w:t>)</w:t>
      </w:r>
    </w:p>
    <w:p w14:paraId="6DB4214B" w14:textId="3F9C9EBB" w:rsidR="009A0951" w:rsidRDefault="00094ACB" w:rsidP="009C100A">
      <w:pPr>
        <w:pStyle w:val="Paragraph"/>
        <w:rPr>
          <w:rFonts w:cs="Arial"/>
        </w:rPr>
      </w:pPr>
      <w:r>
        <w:rPr>
          <w:rFonts w:cs="Arial"/>
          <w:b/>
          <w:bCs/>
        </w:rPr>
        <w:t>Culture workshop output</w:t>
      </w:r>
      <w:r>
        <w:rPr>
          <w:rFonts w:cs="Arial"/>
        </w:rPr>
        <w:t xml:space="preserve"> – </w:t>
      </w:r>
      <w:r w:rsidR="009C100A">
        <w:rPr>
          <w:rFonts w:cs="Arial"/>
        </w:rPr>
        <w:t>Directors</w:t>
      </w:r>
      <w:r>
        <w:rPr>
          <w:rFonts w:cs="Arial"/>
        </w:rPr>
        <w:t xml:space="preserve"> were asked </w:t>
      </w:r>
      <w:r w:rsidR="00AD4BE0">
        <w:rPr>
          <w:rFonts w:cs="Arial"/>
        </w:rPr>
        <w:t>for</w:t>
      </w:r>
      <w:r w:rsidR="009C100A">
        <w:rPr>
          <w:rFonts w:cs="Arial"/>
        </w:rPr>
        <w:t xml:space="preserve"> </w:t>
      </w:r>
      <w:r>
        <w:rPr>
          <w:rFonts w:cs="Arial"/>
        </w:rPr>
        <w:t>feed</w:t>
      </w:r>
      <w:r w:rsidRPr="009C100A">
        <w:rPr>
          <w:rFonts w:cs="Arial"/>
        </w:rPr>
        <w:t>back on a draft slide from the culture workshop.</w:t>
      </w:r>
      <w:r w:rsidR="009C100A">
        <w:rPr>
          <w:rFonts w:cs="Arial"/>
        </w:rPr>
        <w:t xml:space="preserve">  Comments were provided which Nicole Gee agreed to incorporate before starting to </w:t>
      </w:r>
      <w:r w:rsidR="00AD4BE0">
        <w:rPr>
          <w:rFonts w:cs="Arial"/>
        </w:rPr>
        <w:t>meet</w:t>
      </w:r>
      <w:r w:rsidR="009C100A">
        <w:rPr>
          <w:rFonts w:cs="Arial"/>
        </w:rPr>
        <w:t xml:space="preserve"> with teams to </w:t>
      </w:r>
      <w:r w:rsidR="00FF4B03">
        <w:rPr>
          <w:rFonts w:cs="Arial"/>
        </w:rPr>
        <w:t>provide wider input</w:t>
      </w:r>
      <w:r w:rsidR="009C100A">
        <w:rPr>
          <w:rFonts w:cs="Arial"/>
        </w:rPr>
        <w:t xml:space="preserve">.  ET </w:t>
      </w:r>
      <w:r w:rsidR="00AD4BE0">
        <w:rPr>
          <w:rFonts w:cs="Arial"/>
        </w:rPr>
        <w:t>agreed that the language</w:t>
      </w:r>
      <w:r w:rsidR="00FF4B03">
        <w:rPr>
          <w:rFonts w:cs="Arial"/>
        </w:rPr>
        <w:t xml:space="preserve"> needed to be specific enough for staff to understand </w:t>
      </w:r>
      <w:r w:rsidR="00673910">
        <w:rPr>
          <w:rFonts w:cs="Arial"/>
        </w:rPr>
        <w:t xml:space="preserve">exactly </w:t>
      </w:r>
      <w:r w:rsidR="00487425">
        <w:rPr>
          <w:rFonts w:cs="Arial"/>
        </w:rPr>
        <w:t>what it meant for them.</w:t>
      </w:r>
    </w:p>
    <w:p w14:paraId="5B7E9FA3" w14:textId="2E08136E" w:rsidR="00FF4B03" w:rsidRPr="009C100A" w:rsidRDefault="00FF4B03" w:rsidP="00FF4B03">
      <w:pPr>
        <w:pStyle w:val="Paragraph"/>
        <w:numPr>
          <w:ilvl w:val="0"/>
          <w:numId w:val="0"/>
        </w:numPr>
        <w:ind w:left="357"/>
        <w:jc w:val="right"/>
        <w:rPr>
          <w:rFonts w:cs="Arial"/>
        </w:rPr>
      </w:pPr>
      <w:r>
        <w:rPr>
          <w:rFonts w:cs="Arial"/>
          <w:b/>
          <w:bCs/>
        </w:rPr>
        <w:t>ACTION: NG</w:t>
      </w:r>
    </w:p>
    <w:sectPr w:rsidR="00FF4B03" w:rsidRPr="009C100A"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1D058D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0"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5"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14343">
    <w:abstractNumId w:val="38"/>
  </w:num>
  <w:num w:numId="2" w16cid:durableId="2144686757">
    <w:abstractNumId w:val="14"/>
  </w:num>
  <w:num w:numId="3" w16cid:durableId="1171214637">
    <w:abstractNumId w:val="7"/>
  </w:num>
  <w:num w:numId="4" w16cid:durableId="1139228566">
    <w:abstractNumId w:val="29"/>
  </w:num>
  <w:num w:numId="5" w16cid:durableId="1269583705">
    <w:abstractNumId w:val="9"/>
  </w:num>
  <w:num w:numId="6" w16cid:durableId="2145342724">
    <w:abstractNumId w:val="16"/>
  </w:num>
  <w:num w:numId="7" w16cid:durableId="912545675">
    <w:abstractNumId w:val="19"/>
  </w:num>
  <w:num w:numId="8" w16cid:durableId="1555699855">
    <w:abstractNumId w:val="42"/>
  </w:num>
  <w:num w:numId="9" w16cid:durableId="1951742268">
    <w:abstractNumId w:val="17"/>
  </w:num>
  <w:num w:numId="10" w16cid:durableId="1514420253">
    <w:abstractNumId w:val="18"/>
  </w:num>
  <w:num w:numId="11" w16cid:durableId="2070028001">
    <w:abstractNumId w:val="5"/>
  </w:num>
  <w:num w:numId="12" w16cid:durableId="141571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4"/>
  </w:num>
  <w:num w:numId="14" w16cid:durableId="317459038">
    <w:abstractNumId w:val="21"/>
  </w:num>
  <w:num w:numId="15" w16cid:durableId="1286812209">
    <w:abstractNumId w:val="34"/>
  </w:num>
  <w:num w:numId="16" w16cid:durableId="1112938236">
    <w:abstractNumId w:val="20"/>
  </w:num>
  <w:num w:numId="17" w16cid:durableId="1959750820">
    <w:abstractNumId w:val="26"/>
  </w:num>
  <w:num w:numId="18" w16cid:durableId="1158375475">
    <w:abstractNumId w:val="32"/>
  </w:num>
  <w:num w:numId="19" w16cid:durableId="1904675506">
    <w:abstractNumId w:val="12"/>
  </w:num>
  <w:num w:numId="20" w16cid:durableId="543256195">
    <w:abstractNumId w:val="36"/>
  </w:num>
  <w:num w:numId="21" w16cid:durableId="376662135">
    <w:abstractNumId w:val="25"/>
  </w:num>
  <w:num w:numId="22" w16cid:durableId="1630630068">
    <w:abstractNumId w:val="22"/>
  </w:num>
  <w:num w:numId="23" w16cid:durableId="880170583">
    <w:abstractNumId w:val="41"/>
  </w:num>
  <w:num w:numId="24" w16cid:durableId="994260760">
    <w:abstractNumId w:val="33"/>
  </w:num>
  <w:num w:numId="25" w16cid:durableId="1675650935">
    <w:abstractNumId w:val="0"/>
  </w:num>
  <w:num w:numId="26" w16cid:durableId="35938483">
    <w:abstractNumId w:val="8"/>
  </w:num>
  <w:num w:numId="27" w16cid:durableId="1974556253">
    <w:abstractNumId w:val="10"/>
  </w:num>
  <w:num w:numId="28" w16cid:durableId="1967004414">
    <w:abstractNumId w:val="6"/>
  </w:num>
  <w:num w:numId="29" w16cid:durableId="1429426885">
    <w:abstractNumId w:val="40"/>
  </w:num>
  <w:num w:numId="30" w16cid:durableId="473715365">
    <w:abstractNumId w:val="11"/>
  </w:num>
  <w:num w:numId="31" w16cid:durableId="1764833132">
    <w:abstractNumId w:val="1"/>
  </w:num>
  <w:num w:numId="32" w16cid:durableId="2109693518">
    <w:abstractNumId w:val="30"/>
  </w:num>
  <w:num w:numId="33" w16cid:durableId="1045639414">
    <w:abstractNumId w:val="23"/>
  </w:num>
  <w:num w:numId="34" w16cid:durableId="304089515">
    <w:abstractNumId w:val="37"/>
  </w:num>
  <w:num w:numId="35" w16cid:durableId="928389035">
    <w:abstractNumId w:val="13"/>
  </w:num>
  <w:num w:numId="36" w16cid:durableId="1966815806">
    <w:abstractNumId w:val="27"/>
  </w:num>
  <w:num w:numId="37" w16cid:durableId="537813670">
    <w:abstractNumId w:val="24"/>
  </w:num>
  <w:num w:numId="38" w16cid:durableId="1682004897">
    <w:abstractNumId w:val="39"/>
  </w:num>
  <w:num w:numId="39" w16cid:durableId="1118987223">
    <w:abstractNumId w:val="28"/>
  </w:num>
  <w:num w:numId="40" w16cid:durableId="1883396378">
    <w:abstractNumId w:val="35"/>
  </w:num>
  <w:num w:numId="41" w16cid:durableId="1589077267">
    <w:abstractNumId w:val="3"/>
  </w:num>
  <w:num w:numId="42" w16cid:durableId="175384123">
    <w:abstractNumId w:val="31"/>
  </w:num>
  <w:num w:numId="43" w16cid:durableId="2060737785">
    <w:abstractNumId w:val="2"/>
  </w:num>
  <w:num w:numId="44" w16cid:durableId="1510213322">
    <w:abstractNumId w:val="43"/>
  </w:num>
  <w:num w:numId="45" w16cid:durableId="8640987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5AF"/>
    <w:rsid w:val="00026A4D"/>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AA9"/>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63AB"/>
    <w:rsid w:val="000D6D85"/>
    <w:rsid w:val="000D6DF3"/>
    <w:rsid w:val="000D74DF"/>
    <w:rsid w:val="000E00A0"/>
    <w:rsid w:val="000E0109"/>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521"/>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53A"/>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5DD8"/>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355B"/>
    <w:rsid w:val="001F37CA"/>
    <w:rsid w:val="001F3830"/>
    <w:rsid w:val="001F42B6"/>
    <w:rsid w:val="001F4419"/>
    <w:rsid w:val="001F54A1"/>
    <w:rsid w:val="001F578F"/>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5949"/>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1BB2"/>
    <w:rsid w:val="002620F1"/>
    <w:rsid w:val="0026214E"/>
    <w:rsid w:val="00262D72"/>
    <w:rsid w:val="00262E72"/>
    <w:rsid w:val="00263746"/>
    <w:rsid w:val="00264480"/>
    <w:rsid w:val="00264A09"/>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5B2E"/>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4AB"/>
    <w:rsid w:val="003F0601"/>
    <w:rsid w:val="003F0A23"/>
    <w:rsid w:val="003F0AF7"/>
    <w:rsid w:val="003F0E44"/>
    <w:rsid w:val="003F1659"/>
    <w:rsid w:val="003F2268"/>
    <w:rsid w:val="003F426C"/>
    <w:rsid w:val="003F5829"/>
    <w:rsid w:val="003F5C81"/>
    <w:rsid w:val="003F603D"/>
    <w:rsid w:val="003F6819"/>
    <w:rsid w:val="003F6A5E"/>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D91"/>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425"/>
    <w:rsid w:val="00487634"/>
    <w:rsid w:val="0049088B"/>
    <w:rsid w:val="00491EDF"/>
    <w:rsid w:val="00491FE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0D96"/>
    <w:rsid w:val="004B107C"/>
    <w:rsid w:val="004B130A"/>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596"/>
    <w:rsid w:val="004E577E"/>
    <w:rsid w:val="004E6F0C"/>
    <w:rsid w:val="004E7813"/>
    <w:rsid w:val="004E7980"/>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605E"/>
    <w:rsid w:val="005E690D"/>
    <w:rsid w:val="005E6FEE"/>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624"/>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59A"/>
    <w:rsid w:val="00791937"/>
    <w:rsid w:val="007920EB"/>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C4D"/>
    <w:rsid w:val="007C305C"/>
    <w:rsid w:val="007C3272"/>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1E04"/>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37"/>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528"/>
    <w:rsid w:val="00992604"/>
    <w:rsid w:val="009929C0"/>
    <w:rsid w:val="00993837"/>
    <w:rsid w:val="00993E8B"/>
    <w:rsid w:val="00993E9C"/>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3DF7"/>
    <w:rsid w:val="009B4AF8"/>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6A"/>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25E"/>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3860"/>
    <w:rsid w:val="00AD45C1"/>
    <w:rsid w:val="00AD4603"/>
    <w:rsid w:val="00AD4BE0"/>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94"/>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241F"/>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1181"/>
    <w:rsid w:val="00BC1476"/>
    <w:rsid w:val="00BC248E"/>
    <w:rsid w:val="00BC2A0B"/>
    <w:rsid w:val="00BC324D"/>
    <w:rsid w:val="00BC337E"/>
    <w:rsid w:val="00BC3520"/>
    <w:rsid w:val="00BC459D"/>
    <w:rsid w:val="00BC5264"/>
    <w:rsid w:val="00BC57BA"/>
    <w:rsid w:val="00BC5DE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30"/>
    <w:rsid w:val="00C15B9A"/>
    <w:rsid w:val="00C1608A"/>
    <w:rsid w:val="00C1615C"/>
    <w:rsid w:val="00C16BEB"/>
    <w:rsid w:val="00C16D6C"/>
    <w:rsid w:val="00C17B99"/>
    <w:rsid w:val="00C211C3"/>
    <w:rsid w:val="00C21260"/>
    <w:rsid w:val="00C22B55"/>
    <w:rsid w:val="00C2338F"/>
    <w:rsid w:val="00C237D5"/>
    <w:rsid w:val="00C2522F"/>
    <w:rsid w:val="00C25577"/>
    <w:rsid w:val="00C25808"/>
    <w:rsid w:val="00C25F15"/>
    <w:rsid w:val="00C26133"/>
    <w:rsid w:val="00C26754"/>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722"/>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57"/>
    <w:rsid w:val="00C77B03"/>
    <w:rsid w:val="00C77C69"/>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0CF"/>
    <w:rsid w:val="00CC0827"/>
    <w:rsid w:val="00CC091F"/>
    <w:rsid w:val="00CC098B"/>
    <w:rsid w:val="00CC0B74"/>
    <w:rsid w:val="00CC1489"/>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0AC4"/>
    <w:rsid w:val="00CF1312"/>
    <w:rsid w:val="00CF1B72"/>
    <w:rsid w:val="00CF1EB0"/>
    <w:rsid w:val="00CF2731"/>
    <w:rsid w:val="00CF2952"/>
    <w:rsid w:val="00CF2B0E"/>
    <w:rsid w:val="00CF2D73"/>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75A"/>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1F"/>
    <w:rsid w:val="00D674B5"/>
    <w:rsid w:val="00D6755A"/>
    <w:rsid w:val="00D677D5"/>
    <w:rsid w:val="00D67B7D"/>
    <w:rsid w:val="00D70221"/>
    <w:rsid w:val="00D71240"/>
    <w:rsid w:val="00D71841"/>
    <w:rsid w:val="00D71B98"/>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665"/>
    <w:rsid w:val="00DB05FB"/>
    <w:rsid w:val="00DB0B35"/>
    <w:rsid w:val="00DB0C1B"/>
    <w:rsid w:val="00DB0E33"/>
    <w:rsid w:val="00DB13D4"/>
    <w:rsid w:val="00DB13F3"/>
    <w:rsid w:val="00DB141E"/>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8BC"/>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608"/>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F46"/>
    <w:rsid w:val="00E33FA3"/>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C6E"/>
    <w:rsid w:val="00F13285"/>
    <w:rsid w:val="00F13725"/>
    <w:rsid w:val="00F138D0"/>
    <w:rsid w:val="00F13E92"/>
    <w:rsid w:val="00F13FC0"/>
    <w:rsid w:val="00F14020"/>
    <w:rsid w:val="00F14BD7"/>
    <w:rsid w:val="00F14C95"/>
    <w:rsid w:val="00F152F5"/>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BEF"/>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3CF"/>
    <w:rsid w:val="00FF4771"/>
    <w:rsid w:val="00FF492F"/>
    <w:rsid w:val="00FF4A53"/>
    <w:rsid w:val="00FF4B03"/>
    <w:rsid w:val="00FF4B7A"/>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6661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2022-12-02T14:05:00Z</dcterms:created>
  <dcterms:modified xsi:type="dcterms:W3CDTF">2022-12-02T14:05:00Z</dcterms:modified>
</cp:coreProperties>
</file>