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37B30A2D" w:rsidR="00975C12" w:rsidRPr="00F40D3F" w:rsidRDefault="00975C12" w:rsidP="00975C12">
      <w:pPr>
        <w:pStyle w:val="Heading1"/>
        <w:jc w:val="center"/>
      </w:pPr>
      <w:r w:rsidRPr="00F40D3F">
        <w:t>Minutes of the meeting held on</w:t>
      </w:r>
      <w:r w:rsidR="00D7665D">
        <w:t xml:space="preserve"> </w:t>
      </w:r>
      <w:r w:rsidR="003F017D">
        <w:t>28</w:t>
      </w:r>
      <w:r w:rsidR="00A91FB5">
        <w:t xml:space="preserve"> </w:t>
      </w:r>
      <w:r w:rsidR="004E7C42">
        <w:t>June</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D2B5D28" w14:textId="0D9EFFDE" w:rsidR="004E7C42" w:rsidRDefault="004E7C42" w:rsidP="003772E6">
      <w:pPr>
        <w:pStyle w:val="NICEnormal"/>
        <w:tabs>
          <w:tab w:val="left" w:pos="2552"/>
          <w:tab w:val="left" w:pos="2835"/>
          <w:tab w:val="left" w:pos="2977"/>
        </w:tabs>
        <w:spacing w:after="0" w:line="240" w:lineRule="auto"/>
        <w:ind w:left="2268" w:hanging="2268"/>
        <w:rPr>
          <w:sz w:val="22"/>
          <w:szCs w:val="22"/>
        </w:rPr>
      </w:pPr>
      <w:r>
        <w:rPr>
          <w:sz w:val="22"/>
          <w:szCs w:val="22"/>
        </w:rPr>
        <w:t>Sam Roberts</w:t>
      </w:r>
      <w:r>
        <w:rPr>
          <w:sz w:val="22"/>
          <w:szCs w:val="22"/>
        </w:rPr>
        <w:tab/>
        <w:t>Chief Executive (</w:t>
      </w:r>
      <w:r w:rsidR="00653B71">
        <w:rPr>
          <w:sz w:val="22"/>
          <w:szCs w:val="22"/>
        </w:rPr>
        <w:t>c</w:t>
      </w:r>
      <w:r>
        <w:rPr>
          <w:sz w:val="22"/>
          <w:szCs w:val="22"/>
        </w:rPr>
        <w:t xml:space="preserve">hair) </w:t>
      </w:r>
    </w:p>
    <w:p w14:paraId="35196DCE" w14:textId="77777777" w:rsidR="00D21DF5" w:rsidRDefault="00D21DF5" w:rsidP="00D21DF5">
      <w:pPr>
        <w:pStyle w:val="NICEnormal"/>
        <w:spacing w:after="0" w:line="240" w:lineRule="auto"/>
        <w:ind w:left="2268" w:hanging="2268"/>
        <w:rPr>
          <w:sz w:val="22"/>
          <w:szCs w:val="22"/>
        </w:rPr>
      </w:pPr>
      <w:r w:rsidRPr="00106551">
        <w:rPr>
          <w:sz w:val="22"/>
          <w:szCs w:val="22"/>
        </w:rPr>
        <w:t>Gail Allsopp</w:t>
      </w:r>
      <w:r w:rsidRPr="00106551">
        <w:rPr>
          <w:sz w:val="22"/>
          <w:szCs w:val="22"/>
        </w:rPr>
        <w:tab/>
      </w:r>
      <w:r>
        <w:rPr>
          <w:sz w:val="22"/>
          <w:szCs w:val="22"/>
        </w:rPr>
        <w:t>Interim Chief Medical Officer</w:t>
      </w:r>
    </w:p>
    <w:p w14:paraId="0082FBD2" w14:textId="77777777" w:rsidR="00D21DF5" w:rsidRDefault="00D21DF5" w:rsidP="00D21DF5">
      <w:pPr>
        <w:pStyle w:val="NICEnormal"/>
        <w:tabs>
          <w:tab w:val="left" w:pos="2552"/>
          <w:tab w:val="left" w:pos="2835"/>
          <w:tab w:val="left" w:pos="2977"/>
        </w:tabs>
        <w:spacing w:after="0" w:line="240" w:lineRule="auto"/>
        <w:ind w:left="2268" w:hanging="2268"/>
        <w:rPr>
          <w:sz w:val="22"/>
          <w:szCs w:val="22"/>
        </w:rPr>
      </w:pPr>
      <w:r>
        <w:rPr>
          <w:sz w:val="22"/>
          <w:szCs w:val="22"/>
        </w:rPr>
        <w:t>Mark Chapman</w:t>
      </w:r>
      <w:r>
        <w:rPr>
          <w:sz w:val="22"/>
          <w:szCs w:val="22"/>
        </w:rPr>
        <w:tab/>
        <w:t xml:space="preserve">Interim Director, Medical Technology and Digital Evaluation </w:t>
      </w:r>
    </w:p>
    <w:p w14:paraId="0C28EF2B" w14:textId="77777777" w:rsidR="00D21DF5" w:rsidRPr="00106551" w:rsidRDefault="00D21DF5" w:rsidP="00D21DF5">
      <w:pPr>
        <w:ind w:left="2268" w:hanging="2268"/>
        <w:rPr>
          <w:rFonts w:ascii="Arial" w:hAnsi="Arial"/>
          <w:sz w:val="22"/>
          <w:szCs w:val="22"/>
          <w:lang w:val="en-US" w:eastAsia="en-US"/>
        </w:rPr>
      </w:pPr>
      <w:r w:rsidRPr="00106551">
        <w:rPr>
          <w:rFonts w:ascii="Arial" w:hAnsi="Arial"/>
          <w:sz w:val="22"/>
          <w:szCs w:val="22"/>
          <w:lang w:val="en-US" w:eastAsia="en-US"/>
        </w:rPr>
        <w:t xml:space="preserve">Paul Chrisp </w:t>
      </w:r>
      <w:r w:rsidRPr="00106551">
        <w:rPr>
          <w:rFonts w:ascii="Arial" w:hAnsi="Arial"/>
          <w:sz w:val="22"/>
          <w:szCs w:val="22"/>
          <w:lang w:val="en-US" w:eastAsia="en-US"/>
        </w:rPr>
        <w:tab/>
        <w:t>Director, Centre for Guidelines</w:t>
      </w:r>
    </w:p>
    <w:p w14:paraId="13AA75EE" w14:textId="77777777" w:rsidR="00D21DF5" w:rsidRDefault="00D21DF5" w:rsidP="00D21DF5">
      <w:pPr>
        <w:pStyle w:val="NICEnormal"/>
        <w:tabs>
          <w:tab w:val="left" w:pos="2552"/>
          <w:tab w:val="left" w:pos="2835"/>
          <w:tab w:val="left" w:pos="2977"/>
        </w:tabs>
        <w:spacing w:after="0" w:line="240" w:lineRule="auto"/>
        <w:ind w:left="2268" w:hanging="2268"/>
        <w:rPr>
          <w:sz w:val="22"/>
          <w:szCs w:val="22"/>
        </w:rPr>
      </w:pPr>
      <w:r w:rsidRPr="004B2C6C">
        <w:rPr>
          <w:sz w:val="22"/>
          <w:szCs w:val="22"/>
        </w:rPr>
        <w:t>Nicole Gee</w:t>
      </w:r>
      <w:r w:rsidRPr="004B2C6C">
        <w:rPr>
          <w:sz w:val="22"/>
          <w:szCs w:val="22"/>
        </w:rPr>
        <w:tab/>
        <w:t xml:space="preserve">Interim Chief People Officer </w:t>
      </w:r>
    </w:p>
    <w:p w14:paraId="46AA541B" w14:textId="57DC58CF" w:rsidR="00EE52EB" w:rsidRDefault="00EE52EB" w:rsidP="003772E6">
      <w:pPr>
        <w:pStyle w:val="NICEnormal"/>
        <w:tabs>
          <w:tab w:val="left" w:pos="2552"/>
          <w:tab w:val="left" w:pos="2835"/>
          <w:tab w:val="left" w:pos="2977"/>
        </w:tabs>
        <w:spacing w:after="0" w:line="240" w:lineRule="auto"/>
        <w:ind w:left="2268" w:hanging="2268"/>
        <w:rPr>
          <w:sz w:val="22"/>
          <w:szCs w:val="22"/>
        </w:rPr>
      </w:pPr>
      <w:r>
        <w:rPr>
          <w:sz w:val="22"/>
          <w:szCs w:val="22"/>
        </w:rPr>
        <w:t>Jane Gizbert</w:t>
      </w:r>
      <w:r>
        <w:rPr>
          <w:sz w:val="22"/>
          <w:szCs w:val="22"/>
        </w:rPr>
        <w:tab/>
        <w:t>Director, Communications</w:t>
      </w:r>
      <w:r w:rsidR="00FF2284">
        <w:rPr>
          <w:sz w:val="22"/>
          <w:szCs w:val="22"/>
        </w:rPr>
        <w:t xml:space="preserve"> </w:t>
      </w:r>
    </w:p>
    <w:p w14:paraId="76E27F23" w14:textId="54517F4C" w:rsidR="00E62E93" w:rsidRPr="00106551" w:rsidRDefault="00E62E93" w:rsidP="00C33547">
      <w:pPr>
        <w:pStyle w:val="NICEnormal"/>
        <w:tabs>
          <w:tab w:val="left" w:pos="2268"/>
          <w:tab w:val="left" w:pos="2552"/>
          <w:tab w:val="left" w:pos="2835"/>
          <w:tab w:val="left" w:pos="2977"/>
        </w:tabs>
        <w:spacing w:after="0" w:line="240" w:lineRule="auto"/>
        <w:ind w:left="2268" w:hanging="2268"/>
        <w:rPr>
          <w:sz w:val="22"/>
          <w:szCs w:val="22"/>
        </w:rPr>
      </w:pPr>
      <w:r w:rsidRPr="00106551">
        <w:rPr>
          <w:sz w:val="22"/>
          <w:szCs w:val="22"/>
        </w:rPr>
        <w:t>Felix Greaves</w:t>
      </w:r>
      <w:r w:rsidRPr="00106551">
        <w:rPr>
          <w:sz w:val="22"/>
          <w:szCs w:val="22"/>
        </w:rPr>
        <w:tab/>
        <w:t>Director, Science, Evidence and Analytics</w:t>
      </w:r>
    </w:p>
    <w:p w14:paraId="49214200" w14:textId="56B8C2F9"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t>Director, Finance, Strategy and Transformation</w:t>
      </w:r>
      <w:r w:rsidR="003F017D">
        <w:rPr>
          <w:sz w:val="22"/>
          <w:szCs w:val="22"/>
        </w:rPr>
        <w:t xml:space="preserve"> (</w:t>
      </w:r>
      <w:r w:rsidR="00ED5C3D">
        <w:rPr>
          <w:sz w:val="22"/>
          <w:szCs w:val="22"/>
        </w:rPr>
        <w:t xml:space="preserve">for </w:t>
      </w:r>
      <w:r w:rsidR="00036C54">
        <w:rPr>
          <w:sz w:val="22"/>
          <w:szCs w:val="22"/>
        </w:rPr>
        <w:t>items 5 &amp; 8 -12</w:t>
      </w:r>
      <w:r w:rsidR="003F017D">
        <w:rPr>
          <w:sz w:val="22"/>
          <w:szCs w:val="22"/>
        </w:rPr>
        <w:t>)</w:t>
      </w:r>
    </w:p>
    <w:p w14:paraId="1C1312D9" w14:textId="34C2AF8F" w:rsidR="004B2C6C" w:rsidRPr="00106551" w:rsidRDefault="004B2C6C" w:rsidP="00B82C84">
      <w:pPr>
        <w:pStyle w:val="NICEnormal"/>
        <w:spacing w:after="0" w:line="240" w:lineRule="auto"/>
        <w:ind w:left="2268" w:hanging="2268"/>
        <w:rPr>
          <w:sz w:val="22"/>
          <w:szCs w:val="22"/>
        </w:rPr>
      </w:pPr>
      <w:r w:rsidRPr="004B2C6C">
        <w:rPr>
          <w:sz w:val="22"/>
          <w:szCs w:val="22"/>
        </w:rPr>
        <w:t>Helen Knight</w:t>
      </w:r>
      <w:r w:rsidRPr="004B2C6C">
        <w:rPr>
          <w:sz w:val="22"/>
          <w:szCs w:val="22"/>
        </w:rPr>
        <w:tab/>
      </w:r>
      <w:r w:rsidR="001D08AA">
        <w:rPr>
          <w:sz w:val="22"/>
          <w:szCs w:val="22"/>
        </w:rPr>
        <w:t xml:space="preserve">Acting </w:t>
      </w:r>
      <w:r w:rsidRPr="004B2C6C">
        <w:rPr>
          <w:sz w:val="22"/>
          <w:szCs w:val="22"/>
        </w:rPr>
        <w:t>Interim Director</w:t>
      </w:r>
      <w:r w:rsidR="00F80155">
        <w:rPr>
          <w:sz w:val="22"/>
          <w:szCs w:val="22"/>
        </w:rPr>
        <w:t xml:space="preserve">, </w:t>
      </w:r>
      <w:r w:rsidRPr="004B2C6C">
        <w:rPr>
          <w:sz w:val="22"/>
          <w:szCs w:val="22"/>
        </w:rPr>
        <w:t>Medicines</w:t>
      </w:r>
      <w:r w:rsidR="00FF2284">
        <w:rPr>
          <w:sz w:val="22"/>
          <w:szCs w:val="22"/>
        </w:rPr>
        <w:t xml:space="preserve"> Evaluation</w:t>
      </w:r>
    </w:p>
    <w:p w14:paraId="483627F8" w14:textId="38D38376" w:rsidR="004B2C6C" w:rsidRDefault="006C227D" w:rsidP="00B82C84">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450DB44" w:rsidR="007D0457" w:rsidRPr="00940904" w:rsidRDefault="007D0457" w:rsidP="00B55E00">
      <w:pPr>
        <w:pStyle w:val="Heading2"/>
        <w:rPr>
          <w:lang w:eastAsia="en-US"/>
        </w:rPr>
      </w:pPr>
      <w:r w:rsidRPr="00940904">
        <w:rPr>
          <w:lang w:eastAsia="en-US"/>
        </w:rPr>
        <w:t>In attendanc</w:t>
      </w:r>
      <w:r w:rsidR="00036C54">
        <w:rPr>
          <w:lang w:eastAsia="en-US"/>
        </w:rPr>
        <w:t>e</w:t>
      </w:r>
    </w:p>
    <w:p w14:paraId="0BFF2B4A" w14:textId="39BF7B8C"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proofErr w:type="spellStart"/>
      <w:r w:rsidRPr="00D6741F">
        <w:rPr>
          <w:sz w:val="22"/>
          <w:szCs w:val="22"/>
        </w:rPr>
        <w:t>Programme</w:t>
      </w:r>
      <w:proofErr w:type="spellEnd"/>
      <w:r w:rsidRPr="00D6741F">
        <w:rPr>
          <w:sz w:val="22"/>
          <w:szCs w:val="22"/>
        </w:rPr>
        <w:t xml:space="preserve"> Director, Transformation</w:t>
      </w:r>
    </w:p>
    <w:p w14:paraId="01F37218" w14:textId="0D7BAF8B" w:rsidR="00381698" w:rsidRDefault="00381698" w:rsidP="00652185">
      <w:pPr>
        <w:pStyle w:val="NICEnormal"/>
        <w:tabs>
          <w:tab w:val="left" w:pos="2552"/>
        </w:tabs>
        <w:spacing w:after="0" w:line="240" w:lineRule="auto"/>
        <w:ind w:left="2268" w:hanging="2268"/>
        <w:rPr>
          <w:sz w:val="22"/>
          <w:szCs w:val="22"/>
        </w:rPr>
      </w:pPr>
      <w:r>
        <w:rPr>
          <w:sz w:val="22"/>
          <w:szCs w:val="22"/>
        </w:rPr>
        <w:t>Boryana Stambolova</w:t>
      </w:r>
      <w:r w:rsidR="00D21DF5">
        <w:rPr>
          <w:sz w:val="22"/>
          <w:szCs w:val="22"/>
        </w:rPr>
        <w:tab/>
        <w:t>Deputy Director Finance, Strategy and Commercial</w:t>
      </w:r>
    </w:p>
    <w:p w14:paraId="145C64C3" w14:textId="6AA5AD2A" w:rsidR="00381698" w:rsidRDefault="00381698" w:rsidP="00652185">
      <w:pPr>
        <w:pStyle w:val="NICEnormal"/>
        <w:tabs>
          <w:tab w:val="left" w:pos="2552"/>
        </w:tabs>
        <w:spacing w:after="0" w:line="240" w:lineRule="auto"/>
        <w:ind w:left="2268" w:hanging="2268"/>
        <w:rPr>
          <w:sz w:val="22"/>
          <w:szCs w:val="22"/>
        </w:rPr>
      </w:pPr>
      <w:r>
        <w:rPr>
          <w:sz w:val="22"/>
          <w:szCs w:val="22"/>
        </w:rPr>
        <w:t>Victoria Thomas</w:t>
      </w:r>
      <w:r w:rsidR="00D21DF5">
        <w:rPr>
          <w:sz w:val="22"/>
          <w:szCs w:val="22"/>
        </w:rPr>
        <w:tab/>
        <w:t>Head of Public Involvement</w:t>
      </w:r>
    </w:p>
    <w:p w14:paraId="70F1116D" w14:textId="7890AAE6" w:rsidR="00D21DF5" w:rsidRDefault="00D21DF5" w:rsidP="00652185">
      <w:pPr>
        <w:pStyle w:val="NICEnormal"/>
        <w:tabs>
          <w:tab w:val="left" w:pos="2552"/>
        </w:tabs>
        <w:spacing w:after="0" w:line="240" w:lineRule="auto"/>
        <w:ind w:left="2268" w:hanging="2268"/>
        <w:rPr>
          <w:sz w:val="22"/>
          <w:szCs w:val="22"/>
        </w:rPr>
      </w:pPr>
      <w:r>
        <w:rPr>
          <w:sz w:val="22"/>
          <w:szCs w:val="22"/>
        </w:rPr>
        <w:t>Elaine Cartwright</w:t>
      </w:r>
      <w:r>
        <w:rPr>
          <w:sz w:val="22"/>
          <w:szCs w:val="22"/>
        </w:rPr>
        <w:tab/>
        <w:t xml:space="preserve">Associate Director, Resource Impact Assessment (item </w:t>
      </w:r>
      <w:r w:rsidR="00A0348F">
        <w:rPr>
          <w:sz w:val="22"/>
          <w:szCs w:val="22"/>
        </w:rPr>
        <w:t>5)</w:t>
      </w:r>
    </w:p>
    <w:p w14:paraId="5EB0E4A1" w14:textId="5101DDA3" w:rsidR="003E0E9A" w:rsidRDefault="00106551" w:rsidP="00652185">
      <w:pPr>
        <w:pStyle w:val="NICEnormal"/>
        <w:tabs>
          <w:tab w:val="left" w:pos="2552"/>
        </w:tabs>
        <w:spacing w:after="0" w:line="240" w:lineRule="auto"/>
        <w:ind w:left="2268" w:hanging="2268"/>
        <w:rPr>
          <w:sz w:val="22"/>
          <w:szCs w:val="22"/>
        </w:rPr>
      </w:pPr>
      <w:r>
        <w:rPr>
          <w:sz w:val="22"/>
          <w:szCs w:val="22"/>
        </w:rPr>
        <w:t>Kendall Jamieson Gilmore</w:t>
      </w:r>
      <w:r>
        <w:rPr>
          <w:sz w:val="22"/>
          <w:szCs w:val="22"/>
        </w:rPr>
        <w:tab/>
        <w:t>Associate Director, Strategy</w:t>
      </w:r>
      <w:r w:rsidR="00D21DF5">
        <w:rPr>
          <w:sz w:val="22"/>
          <w:szCs w:val="22"/>
        </w:rPr>
        <w:t xml:space="preserve"> (item </w:t>
      </w:r>
      <w:r w:rsidR="00A0348F">
        <w:rPr>
          <w:sz w:val="22"/>
          <w:szCs w:val="22"/>
        </w:rPr>
        <w:t>5)</w:t>
      </w:r>
    </w:p>
    <w:p w14:paraId="792EB282" w14:textId="09756B78" w:rsidR="00433AE9" w:rsidRDefault="00433AE9" w:rsidP="00652185">
      <w:pPr>
        <w:pStyle w:val="NICEnormal"/>
        <w:tabs>
          <w:tab w:val="left" w:pos="2552"/>
        </w:tabs>
        <w:spacing w:after="0" w:line="240" w:lineRule="auto"/>
        <w:ind w:left="2268" w:hanging="2268"/>
        <w:rPr>
          <w:sz w:val="22"/>
          <w:szCs w:val="22"/>
        </w:rPr>
      </w:pPr>
      <w:r>
        <w:rPr>
          <w:sz w:val="22"/>
          <w:szCs w:val="22"/>
        </w:rPr>
        <w:t>Vera Unwin</w:t>
      </w:r>
      <w:r>
        <w:rPr>
          <w:sz w:val="22"/>
          <w:szCs w:val="22"/>
        </w:rPr>
        <w:tab/>
      </w:r>
      <w:r w:rsidR="00A0348F">
        <w:rPr>
          <w:sz w:val="22"/>
          <w:szCs w:val="22"/>
        </w:rPr>
        <w:t xml:space="preserve">Health </w:t>
      </w:r>
      <w:r w:rsidR="004B1468">
        <w:rPr>
          <w:sz w:val="22"/>
          <w:szCs w:val="22"/>
        </w:rPr>
        <w:t>T</w:t>
      </w:r>
      <w:r w:rsidR="00A0348F">
        <w:rPr>
          <w:sz w:val="22"/>
          <w:szCs w:val="22"/>
        </w:rPr>
        <w:t>echnology Assessment Analyst (observing)</w:t>
      </w:r>
    </w:p>
    <w:p w14:paraId="4FC3F4B9" w14:textId="77777777" w:rsidR="00D21DF5" w:rsidRDefault="00D21DF5" w:rsidP="00652185">
      <w:pPr>
        <w:pStyle w:val="NICEnormal"/>
        <w:tabs>
          <w:tab w:val="left" w:pos="2552"/>
        </w:tabs>
        <w:spacing w:after="0" w:line="240" w:lineRule="auto"/>
        <w:ind w:left="2268" w:hanging="2268"/>
        <w:rPr>
          <w:sz w:val="22"/>
          <w:szCs w:val="22"/>
        </w:rPr>
      </w:pP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71DAA098" w:rsidR="005D09EB" w:rsidRDefault="00381698" w:rsidP="008A0A12">
      <w:pPr>
        <w:pStyle w:val="Numberedpara"/>
      </w:pPr>
      <w:r>
        <w:t>A</w:t>
      </w:r>
      <w:r w:rsidR="00486184">
        <w:t>pologies</w:t>
      </w:r>
      <w:r w:rsidR="00C73560">
        <w:t xml:space="preserve"> for absence</w:t>
      </w:r>
      <w:r>
        <w:t xml:space="preserve"> were received from Judith Richardson who was represented by Victoria Thomas</w:t>
      </w:r>
      <w:r w:rsidR="00643411">
        <w:t>.</w:t>
      </w:r>
      <w:r w:rsidR="00A859CC">
        <w:t xml:space="preserve"> Jennifer Howells </w:t>
      </w:r>
      <w:r w:rsidR="00ED5C3D">
        <w:t xml:space="preserve">attended part of the meeting </w:t>
      </w:r>
      <w:r>
        <w:t>and was represented by Boryana Stambolova</w:t>
      </w:r>
      <w:r w:rsidR="00036C54">
        <w:t xml:space="preserve"> who attended the whole meeting</w:t>
      </w:r>
      <w:r w:rsidR="00A859CC">
        <w:t xml:space="preserve">. </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15BB78F2" w14:textId="159F4557" w:rsidR="00733FB6" w:rsidRPr="002F3D74" w:rsidRDefault="006F3BE2" w:rsidP="002F3D74">
      <w:pPr>
        <w:pStyle w:val="Numberedpara"/>
        <w:tabs>
          <w:tab w:val="left" w:pos="1701"/>
        </w:tabs>
        <w:rPr>
          <w:rFonts w:cs="Arial"/>
        </w:rPr>
      </w:pPr>
      <w:r w:rsidRPr="00420AA6">
        <w:t>The minutes of the meeting held on</w:t>
      </w:r>
      <w:r w:rsidR="002919E6">
        <w:t xml:space="preserve"> </w:t>
      </w:r>
      <w:r w:rsidR="00DB1CB6">
        <w:t>14 June</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F2284">
        <w:t xml:space="preserve">, subject to </w:t>
      </w:r>
      <w:r w:rsidR="00DB1CB6">
        <w:t xml:space="preserve">the following </w:t>
      </w:r>
      <w:r w:rsidR="00FF2284">
        <w:t>amendment:</w:t>
      </w:r>
    </w:p>
    <w:p w14:paraId="27023838" w14:textId="4B176E77" w:rsidR="00983B7C" w:rsidRPr="00643411" w:rsidRDefault="00983B7C" w:rsidP="00983B7C">
      <w:pPr>
        <w:pStyle w:val="Numberedpara"/>
        <w:numPr>
          <w:ilvl w:val="0"/>
          <w:numId w:val="0"/>
        </w:numPr>
        <w:tabs>
          <w:tab w:val="left" w:pos="1701"/>
        </w:tabs>
        <w:ind w:left="357"/>
      </w:pPr>
      <w:r>
        <w:t>Minute 18 – the action is for Jenniffer Prescott not Hilary Baker.</w:t>
      </w:r>
    </w:p>
    <w:p w14:paraId="485E367E" w14:textId="157D10B2" w:rsidR="006F3BE2" w:rsidRDefault="006F3BE2" w:rsidP="00B55E00">
      <w:pPr>
        <w:pStyle w:val="Heading2"/>
      </w:pPr>
      <w:r>
        <w:t xml:space="preserve">Matters arising (item </w:t>
      </w:r>
      <w:r w:rsidR="00FD53E9">
        <w:t>3.2</w:t>
      </w:r>
      <w:r>
        <w:t>)</w:t>
      </w:r>
    </w:p>
    <w:p w14:paraId="0229DA7E" w14:textId="4C86D8B4" w:rsidR="00273BFA" w:rsidRDefault="006F3BE2" w:rsidP="00D73269">
      <w:pPr>
        <w:pStyle w:val="Numberedpara"/>
      </w:pPr>
      <w:r>
        <w:t xml:space="preserve">The actions from the meeting held on </w:t>
      </w:r>
      <w:r w:rsidR="00DB1CB6">
        <w:t xml:space="preserve">14 June </w:t>
      </w:r>
      <w:r w:rsidR="00AA6BE9">
        <w:t xml:space="preserve">2022 </w:t>
      </w:r>
      <w:r>
        <w:t xml:space="preserve">were noted as complete or in </w:t>
      </w:r>
      <w:r w:rsidR="00D73269">
        <w:t>progress</w:t>
      </w:r>
      <w:r>
        <w:t>.</w:t>
      </w:r>
      <w:r w:rsidR="00E00E8E">
        <w:t xml:space="preserve">  The following matters arising were discussed:</w:t>
      </w:r>
    </w:p>
    <w:p w14:paraId="26245641" w14:textId="13CFEC37" w:rsidR="00405A4B" w:rsidRDefault="00903F90" w:rsidP="0090544E">
      <w:pPr>
        <w:pStyle w:val="Numberedpara"/>
      </w:pPr>
      <w:r>
        <w:t>An updated strategic risk register will be presented to the board in September.</w:t>
      </w:r>
    </w:p>
    <w:p w14:paraId="05C8BCB7" w14:textId="67ECB8A9" w:rsidR="0090544E" w:rsidRDefault="00903F90" w:rsidP="0090544E">
      <w:pPr>
        <w:pStyle w:val="Numberedpara"/>
      </w:pPr>
      <w:r>
        <w:t>Felix Greaves and Helen Knight were asked to confirm</w:t>
      </w:r>
      <w:r w:rsidR="00ED67BE">
        <w:t xml:space="preserve"> the</w:t>
      </w:r>
      <w:r>
        <w:t xml:space="preserve"> time</w:t>
      </w:r>
      <w:r w:rsidR="00FE68BD">
        <w:t>frame</w:t>
      </w:r>
      <w:r>
        <w:t xml:space="preserve"> for modular updates</w:t>
      </w:r>
      <w:r w:rsidR="00FE68BD">
        <w:t xml:space="preserve"> being March and therefore </w:t>
      </w:r>
      <w:r w:rsidR="000526B0">
        <w:t xml:space="preserve">a report </w:t>
      </w:r>
      <w:r w:rsidR="00FE68BD">
        <w:t>will</w:t>
      </w:r>
      <w:r>
        <w:t xml:space="preserve"> come to </w:t>
      </w:r>
      <w:r w:rsidR="00FE68BD">
        <w:t>the board in January</w:t>
      </w:r>
      <w:r w:rsidR="000526B0">
        <w:t xml:space="preserve"> 2023</w:t>
      </w:r>
      <w:r w:rsidR="00FE68BD">
        <w:t>.</w:t>
      </w:r>
    </w:p>
    <w:p w14:paraId="68DAD085" w14:textId="6E599AA2" w:rsidR="000526B0" w:rsidRDefault="000526B0" w:rsidP="0090544E">
      <w:pPr>
        <w:pStyle w:val="Numberedpara"/>
      </w:pPr>
      <w:r>
        <w:lastRenderedPageBreak/>
        <w:t xml:space="preserve">The overview slides for the business plan priorities have been re-circulated by Jane Gizbert.  ET was reminded that </w:t>
      </w:r>
      <w:r w:rsidR="000C3FD7">
        <w:t xml:space="preserve">communications from the four programme boards was the responsibility of the </w:t>
      </w:r>
      <w:r w:rsidR="00C644A3">
        <w:t xml:space="preserve">respective </w:t>
      </w:r>
      <w:r w:rsidR="000C3FD7">
        <w:t>SRO and ET</w:t>
      </w:r>
      <w:r w:rsidR="00C644A3">
        <w:t xml:space="preserve"> lead</w:t>
      </w:r>
      <w:r w:rsidR="000C3FD7">
        <w:t>, with support from the comms team.</w:t>
      </w:r>
    </w:p>
    <w:p w14:paraId="08D271B6" w14:textId="7AC3CD9D" w:rsidR="00A72553" w:rsidRDefault="000C3FD7" w:rsidP="0090544E">
      <w:pPr>
        <w:pStyle w:val="Numberedpara"/>
      </w:pPr>
      <w:r>
        <w:t xml:space="preserve">ET </w:t>
      </w:r>
      <w:r w:rsidR="00C644A3">
        <w:t>acknowledg</w:t>
      </w:r>
      <w:r>
        <w:t xml:space="preserve">ed the great work on the RWE framework and the social media launch last week.  It was requested that </w:t>
      </w:r>
      <w:r w:rsidR="00A72553">
        <w:t xml:space="preserve">any </w:t>
      </w:r>
      <w:r>
        <w:t>future comms</w:t>
      </w:r>
      <w:r w:rsidR="00A72553">
        <w:t xml:space="preserve"> (</w:t>
      </w:r>
      <w:proofErr w:type="spellStart"/>
      <w:proofErr w:type="gramStart"/>
      <w:r w:rsidR="00A72553">
        <w:t>eg</w:t>
      </w:r>
      <w:proofErr w:type="spellEnd"/>
      <w:proofErr w:type="gramEnd"/>
      <w:r w:rsidR="00A72553">
        <w:t xml:space="preserve"> on Linked-in) should focus on current and future work, rather than retrospective.  Jane Gizbert agreed to review any planned comms.</w:t>
      </w:r>
    </w:p>
    <w:p w14:paraId="44B4064F" w14:textId="5DF2E82C" w:rsidR="002F3D74" w:rsidRPr="002F3D74" w:rsidRDefault="002F3D74" w:rsidP="002F3D74">
      <w:pPr>
        <w:pStyle w:val="Numberedpara"/>
        <w:numPr>
          <w:ilvl w:val="0"/>
          <w:numId w:val="0"/>
        </w:numPr>
        <w:jc w:val="right"/>
        <w:rPr>
          <w:b/>
          <w:bCs/>
        </w:rPr>
      </w:pPr>
      <w:r w:rsidRPr="002F3D74">
        <w:rPr>
          <w:b/>
          <w:bCs/>
        </w:rPr>
        <w:t>ACTION: JG</w:t>
      </w:r>
    </w:p>
    <w:p w14:paraId="687BB9D4" w14:textId="2C17785A" w:rsidR="00FB7D08" w:rsidRPr="00AC3639" w:rsidRDefault="008E7183" w:rsidP="005775B2">
      <w:pPr>
        <w:pStyle w:val="Numberedpara"/>
      </w:pPr>
      <w:proofErr w:type="gramStart"/>
      <w:r w:rsidRPr="00AC3639">
        <w:t xml:space="preserve">With </w:t>
      </w:r>
      <w:r w:rsidRPr="00AC3639">
        <w:rPr>
          <w:rFonts w:cs="Arial"/>
        </w:rPr>
        <w:t>regard to</w:t>
      </w:r>
      <w:proofErr w:type="gramEnd"/>
      <w:r w:rsidRPr="00AC3639">
        <w:rPr>
          <w:rFonts w:cs="Arial"/>
        </w:rPr>
        <w:t xml:space="preserve"> BP objective 2</w:t>
      </w:r>
      <w:r w:rsidR="003E76B9" w:rsidRPr="00AC3639">
        <w:rPr>
          <w:rFonts w:cs="Arial"/>
        </w:rPr>
        <w:t xml:space="preserve"> – proportionate approach to T</w:t>
      </w:r>
      <w:r w:rsidR="00FB7D08" w:rsidRPr="00AC3639">
        <w:rPr>
          <w:rFonts w:cs="Arial"/>
        </w:rPr>
        <w:t>A</w:t>
      </w:r>
      <w:r w:rsidR="003E76B9" w:rsidRPr="00AC3639">
        <w:rPr>
          <w:rFonts w:cs="Arial"/>
        </w:rPr>
        <w:t xml:space="preserve">s, </w:t>
      </w:r>
      <w:r w:rsidR="002F3D74" w:rsidRPr="00AC3639">
        <w:rPr>
          <w:rFonts w:cs="Arial"/>
        </w:rPr>
        <w:t>Boryana Stambolova r</w:t>
      </w:r>
      <w:r w:rsidR="00FB7D08" w:rsidRPr="00AC3639">
        <w:rPr>
          <w:rFonts w:cs="Arial"/>
        </w:rPr>
        <w:t>eminded ET</w:t>
      </w:r>
      <w:r w:rsidR="002F3D74" w:rsidRPr="00AC3639">
        <w:rPr>
          <w:rFonts w:cs="Arial"/>
        </w:rPr>
        <w:t xml:space="preserve"> that</w:t>
      </w:r>
      <w:r w:rsidR="00FB7D08" w:rsidRPr="00AC3639">
        <w:rPr>
          <w:rFonts w:cs="Arial"/>
        </w:rPr>
        <w:t xml:space="preserve"> </w:t>
      </w:r>
      <w:r w:rsidR="00FB7D08" w:rsidRPr="00AC3639">
        <w:rPr>
          <w:rFonts w:cs="Arial"/>
          <w:color w:val="242424"/>
          <w:shd w:val="clear" w:color="auto" w:fill="FFFFFF"/>
        </w:rPr>
        <w:t>no discounts or other arrangements should be entered into by the team before it has been evaluated by finance.  It is important that industry don’t expect the proportionate approach as likely to yield cost reductions for them but rather it is likely that with greater throughput and productivity, we will be able to recover our full costs.</w:t>
      </w:r>
    </w:p>
    <w:p w14:paraId="29D16C19" w14:textId="3783269B" w:rsidR="00620D1F" w:rsidRPr="00AD56D1" w:rsidRDefault="000C3FD7" w:rsidP="000D6239">
      <w:pPr>
        <w:pStyle w:val="Numberedpara"/>
        <w:numPr>
          <w:ilvl w:val="0"/>
          <w:numId w:val="0"/>
        </w:numPr>
        <w:rPr>
          <w:b/>
          <w:bCs/>
        </w:rPr>
      </w:pPr>
      <w:r>
        <w:t xml:space="preserve"> </w:t>
      </w:r>
      <w:r w:rsidR="00972B65" w:rsidRPr="00AD56D1">
        <w:rPr>
          <w:b/>
          <w:bCs/>
        </w:rPr>
        <w:t>Chief Medical Officer function</w:t>
      </w:r>
      <w:r w:rsidR="00AD6A59" w:rsidRPr="00AD56D1">
        <w:rPr>
          <w:b/>
          <w:bCs/>
        </w:rPr>
        <w:t xml:space="preserve"> (item 4)</w:t>
      </w:r>
    </w:p>
    <w:p w14:paraId="26B949EA" w14:textId="2E8591CF" w:rsidR="006F2605" w:rsidRPr="00AD56D1" w:rsidRDefault="00AD56D1" w:rsidP="00AD56D1">
      <w:pPr>
        <w:pStyle w:val="Numberedpara"/>
      </w:pPr>
      <w:r>
        <w:t xml:space="preserve">Gail Allsopp presented recommendations for the permanent CMO function for discussion and feedback from ET.  Sam Roberts advised that the role </w:t>
      </w:r>
      <w:proofErr w:type="gramStart"/>
      <w:r>
        <w:t>will</w:t>
      </w:r>
      <w:proofErr w:type="gramEnd"/>
      <w:r>
        <w:t xml:space="preserve"> report directly t</w:t>
      </w:r>
      <w:r w:rsidR="004B1468">
        <w:t>o the CEO.</w:t>
      </w:r>
    </w:p>
    <w:p w14:paraId="2D1DFA69" w14:textId="0CD7C44B" w:rsidR="006F2605" w:rsidRDefault="00F77DCF" w:rsidP="006F2605">
      <w:pPr>
        <w:pStyle w:val="Numberedpara"/>
      </w:pPr>
      <w:r>
        <w:t>There</w:t>
      </w:r>
      <w:r w:rsidR="00C24027">
        <w:t xml:space="preserve"> was general agreement </w:t>
      </w:r>
      <w:r>
        <w:t>of</w:t>
      </w:r>
      <w:r w:rsidR="00C24027">
        <w:t xml:space="preserve"> the principles </w:t>
      </w:r>
      <w:r>
        <w:t xml:space="preserve">set out </w:t>
      </w:r>
      <w:r w:rsidR="00C24027">
        <w:t xml:space="preserve">in the presentation, noting the request for a dedicated admin </w:t>
      </w:r>
      <w:r>
        <w:t xml:space="preserve">resource to </w:t>
      </w:r>
      <w:r w:rsidR="00C24027">
        <w:t>support the CMO</w:t>
      </w:r>
      <w:r>
        <w:t>.  ET discussed at length the need for a NICE cross-organisation horizon scanning and topic selection function which could sit within the CMO role.  There was consensus that this was crucial to resolve sooner rather than later</w:t>
      </w:r>
      <w:r w:rsidR="00ED66AA">
        <w:t xml:space="preserve"> and that discussions should continue between Gail and ET members </w:t>
      </w:r>
      <w:r w:rsidR="00B9611B">
        <w:t xml:space="preserve">so that it forms an integral part of the future organisational design </w:t>
      </w:r>
      <w:r w:rsidR="00404FBE">
        <w:t xml:space="preserve">and cultural change </w:t>
      </w:r>
      <w:r w:rsidR="00B9611B">
        <w:t>work.</w:t>
      </w:r>
    </w:p>
    <w:p w14:paraId="2DB0660D" w14:textId="4C923A3A" w:rsidR="00B9611B" w:rsidRDefault="00B9611B" w:rsidP="006F2605">
      <w:pPr>
        <w:pStyle w:val="Numberedpara"/>
      </w:pPr>
      <w:r>
        <w:t>In summary E</w:t>
      </w:r>
      <w:r w:rsidR="00404FBE">
        <w:t xml:space="preserve">T </w:t>
      </w:r>
      <w:r>
        <w:t>agreed there were three ke</w:t>
      </w:r>
      <w:r w:rsidR="00404FBE">
        <w:t>y</w:t>
      </w:r>
      <w:r>
        <w:t xml:space="preserve"> </w:t>
      </w:r>
      <w:r w:rsidR="00404FBE">
        <w:t>elements</w:t>
      </w:r>
      <w:r>
        <w:t xml:space="preserve"> to the CMO function – the medical lead for NICE, </w:t>
      </w:r>
      <w:r w:rsidR="00404FBE">
        <w:t xml:space="preserve">the </w:t>
      </w:r>
      <w:r>
        <w:t>clinical risk management lead and horizon scanning and co-ordinating topic selection, with the latter taking preceden</w:t>
      </w:r>
      <w:r w:rsidR="00404FBE">
        <w:t>ce</w:t>
      </w:r>
      <w:r>
        <w:t xml:space="preserve"> initially, but balancing out over time</w:t>
      </w:r>
      <w:r w:rsidR="00404FBE">
        <w:t>.</w:t>
      </w:r>
    </w:p>
    <w:p w14:paraId="20D099C4" w14:textId="7789B0CC" w:rsidR="00404FBE" w:rsidRDefault="00404FBE" w:rsidP="006F2605">
      <w:pPr>
        <w:pStyle w:val="Numberedpara"/>
      </w:pPr>
      <w:r>
        <w:t>Gail agreed to work with Jon Waghorne on the next steps of sharing the presentation with the SLF and working</w:t>
      </w:r>
      <w:r w:rsidR="00B022E0">
        <w:t xml:space="preserve"> on</w:t>
      </w:r>
      <w:r>
        <w:t xml:space="preserve"> a governance framework</w:t>
      </w:r>
      <w:r w:rsidR="00B022E0">
        <w:t xml:space="preserve"> and r</w:t>
      </w:r>
      <w:r>
        <w:t>eporting lines</w:t>
      </w:r>
      <w:r w:rsidR="00B022E0">
        <w:t>,</w:t>
      </w:r>
      <w:r>
        <w:t xml:space="preserve"> an</w:t>
      </w:r>
      <w:r w:rsidR="00B022E0">
        <w:t>d an</w:t>
      </w:r>
      <w:r>
        <w:t xml:space="preserve"> admin resource proposal, with a view to a further paper coming back to ET for final approval.</w:t>
      </w:r>
    </w:p>
    <w:p w14:paraId="1AD9DDCF" w14:textId="087D8975" w:rsidR="00CA2A72" w:rsidRPr="00CA2A72" w:rsidRDefault="00CA2A72" w:rsidP="00CA2A72">
      <w:pPr>
        <w:pStyle w:val="Numberedpara"/>
        <w:numPr>
          <w:ilvl w:val="0"/>
          <w:numId w:val="0"/>
        </w:numPr>
        <w:jc w:val="right"/>
        <w:rPr>
          <w:b/>
          <w:bCs/>
        </w:rPr>
      </w:pPr>
      <w:r w:rsidRPr="00CA2A72">
        <w:rPr>
          <w:b/>
          <w:bCs/>
        </w:rPr>
        <w:t xml:space="preserve">ACTION: </w:t>
      </w:r>
      <w:r w:rsidR="00404FBE">
        <w:rPr>
          <w:b/>
          <w:bCs/>
        </w:rPr>
        <w:t>GA</w:t>
      </w:r>
    </w:p>
    <w:p w14:paraId="22CA718B" w14:textId="6F389750" w:rsidR="00AD6A59" w:rsidRPr="00405A4B" w:rsidRDefault="00972B65" w:rsidP="00405A4B">
      <w:pPr>
        <w:pStyle w:val="Numberedpara"/>
        <w:numPr>
          <w:ilvl w:val="0"/>
          <w:numId w:val="0"/>
        </w:numPr>
        <w:rPr>
          <w:b/>
          <w:bCs/>
        </w:rPr>
      </w:pPr>
      <w:r w:rsidRPr="00B62D75">
        <w:rPr>
          <w:b/>
          <w:bCs/>
        </w:rPr>
        <w:t>Financial sustainability</w:t>
      </w:r>
      <w:r w:rsidR="00AD6A59" w:rsidRPr="00B62D75">
        <w:rPr>
          <w:b/>
          <w:bCs/>
        </w:rPr>
        <w:t xml:space="preserve"> (item 5)</w:t>
      </w:r>
    </w:p>
    <w:p w14:paraId="57E456EF" w14:textId="7C4F5C62" w:rsidR="00D0457D" w:rsidRDefault="00CA2A72" w:rsidP="00405A4B">
      <w:pPr>
        <w:pStyle w:val="Numberedpara"/>
      </w:pPr>
      <w:bookmarkStart w:id="0" w:name="_Hlk77685832"/>
      <w:r>
        <w:t xml:space="preserve">ET </w:t>
      </w:r>
      <w:r w:rsidR="001D1D53">
        <w:t xml:space="preserve">discussed proposals to support phase 2 of the service line costing and benchmarking work required to </w:t>
      </w:r>
      <w:r w:rsidR="00264A16">
        <w:t>fully understand indirect overhead cost</w:t>
      </w:r>
      <w:r w:rsidR="005713A1">
        <w:t>s</w:t>
      </w:r>
      <w:r w:rsidR="00264A16">
        <w:t xml:space="preserve"> and </w:t>
      </w:r>
      <w:r w:rsidR="001D1D53">
        <w:t xml:space="preserve">deliver a sustainable financial model for NICE.  </w:t>
      </w:r>
    </w:p>
    <w:p w14:paraId="50DB7CA3" w14:textId="0139D6D1" w:rsidR="00B145BD" w:rsidRDefault="001D1D53" w:rsidP="00264A16">
      <w:pPr>
        <w:pStyle w:val="Numberedpara"/>
      </w:pPr>
      <w:r>
        <w:t xml:space="preserve">There were concerns about the timing of the work coinciding with </w:t>
      </w:r>
      <w:r w:rsidR="00D0457D">
        <w:t>new hybrid contract</w:t>
      </w:r>
      <w:r w:rsidR="00264A16">
        <w:t xml:space="preserve"> consultations, culture change </w:t>
      </w:r>
      <w:r w:rsidR="001F2C8D">
        <w:t xml:space="preserve">work </w:t>
      </w:r>
      <w:r w:rsidR="00D0457D">
        <w:t xml:space="preserve">and new operating models affecting some teams.  </w:t>
      </w:r>
      <w:proofErr w:type="gramStart"/>
      <w:r w:rsidR="00264A16">
        <w:t>In light of</w:t>
      </w:r>
      <w:proofErr w:type="gramEnd"/>
      <w:r w:rsidR="00264A16">
        <w:t xml:space="preserve"> the need to make progress, it was agreed that an initial pilot take place with the centre for guidelines and Mark Chapman’s teams in CHTE, to agree an approach and methodology which </w:t>
      </w:r>
      <w:r w:rsidR="00CE528D">
        <w:t>will come back to ET for approval</w:t>
      </w:r>
      <w:r w:rsidR="00264A16">
        <w:t>.</w:t>
      </w:r>
    </w:p>
    <w:p w14:paraId="53D91059" w14:textId="7D40D0D8" w:rsidR="005E5CA0" w:rsidRDefault="005E5CA0" w:rsidP="005E5CA0">
      <w:pPr>
        <w:pStyle w:val="Numberedpara"/>
        <w:numPr>
          <w:ilvl w:val="0"/>
          <w:numId w:val="0"/>
        </w:numPr>
        <w:ind w:left="357"/>
        <w:jc w:val="right"/>
        <w:rPr>
          <w:b/>
          <w:bCs/>
        </w:rPr>
      </w:pPr>
      <w:r w:rsidRPr="005E5CA0">
        <w:rPr>
          <w:b/>
          <w:bCs/>
        </w:rPr>
        <w:t xml:space="preserve">ACTION: </w:t>
      </w:r>
      <w:r w:rsidR="001D1D53">
        <w:rPr>
          <w:b/>
          <w:bCs/>
        </w:rPr>
        <w:t>JH/BS</w:t>
      </w:r>
      <w:r w:rsidR="00264A16">
        <w:rPr>
          <w:b/>
          <w:bCs/>
        </w:rPr>
        <w:t>/PC/MC</w:t>
      </w:r>
    </w:p>
    <w:p w14:paraId="2ECE7BA1" w14:textId="77777777" w:rsidR="00A8665A" w:rsidRDefault="00A8665A">
      <w:pPr>
        <w:rPr>
          <w:rFonts w:ascii="Arial" w:hAnsi="Arial"/>
          <w:b/>
          <w:bCs/>
          <w:sz w:val="22"/>
          <w:szCs w:val="22"/>
        </w:rPr>
      </w:pPr>
      <w:r>
        <w:rPr>
          <w:b/>
          <w:bCs/>
        </w:rPr>
        <w:br w:type="page"/>
      </w:r>
    </w:p>
    <w:p w14:paraId="6BDE8789" w14:textId="091CBEC0" w:rsidR="00863FD7" w:rsidRDefault="00972B65" w:rsidP="00405A4B">
      <w:pPr>
        <w:pStyle w:val="Numberedpara"/>
        <w:numPr>
          <w:ilvl w:val="0"/>
          <w:numId w:val="0"/>
        </w:numPr>
        <w:rPr>
          <w:b/>
          <w:bCs/>
        </w:rPr>
      </w:pPr>
      <w:r>
        <w:rPr>
          <w:b/>
          <w:bCs/>
        </w:rPr>
        <w:lastRenderedPageBreak/>
        <w:t>Closing the</w:t>
      </w:r>
      <w:r w:rsidR="007B045C">
        <w:rPr>
          <w:b/>
          <w:bCs/>
        </w:rPr>
        <w:t xml:space="preserve"> Publication Executive</w:t>
      </w:r>
      <w:r w:rsidR="00405A4B">
        <w:rPr>
          <w:b/>
          <w:bCs/>
        </w:rPr>
        <w:t xml:space="preserve"> </w:t>
      </w:r>
      <w:r w:rsidR="00863FD7" w:rsidRPr="00405A4B">
        <w:rPr>
          <w:b/>
          <w:bCs/>
        </w:rPr>
        <w:t xml:space="preserve">(item </w:t>
      </w:r>
      <w:r w:rsidR="00AD6A59" w:rsidRPr="00405A4B">
        <w:rPr>
          <w:b/>
          <w:bCs/>
        </w:rPr>
        <w:t>6</w:t>
      </w:r>
      <w:r w:rsidR="00863FD7" w:rsidRPr="00405A4B">
        <w:rPr>
          <w:b/>
          <w:bCs/>
        </w:rPr>
        <w:t>)</w:t>
      </w:r>
    </w:p>
    <w:p w14:paraId="4BD0292F" w14:textId="358E6756" w:rsidR="005D3935" w:rsidRDefault="00ED67BE" w:rsidP="00FC63C1">
      <w:pPr>
        <w:pStyle w:val="Numberedpara"/>
      </w:pPr>
      <w:r>
        <w:t xml:space="preserve">Alexia Tonnel </w:t>
      </w:r>
      <w:r w:rsidR="00387C09">
        <w:t>sought</w:t>
      </w:r>
      <w:r>
        <w:t xml:space="preserve"> ET approv</w:t>
      </w:r>
      <w:r w:rsidR="00387C09">
        <w:t>al to</w:t>
      </w:r>
      <w:r>
        <w:t xml:space="preserve"> the closure of the Publication Executive (PE) as it was no longer adding value due to </w:t>
      </w:r>
      <w:r w:rsidR="00387C09">
        <w:t xml:space="preserve">the significant reduction in </w:t>
      </w:r>
      <w:r w:rsidR="00AF2A06">
        <w:t xml:space="preserve">the range of products being presented.  There </w:t>
      </w:r>
      <w:r w:rsidR="000727C4">
        <w:t>will</w:t>
      </w:r>
      <w:r w:rsidR="00AF2A06">
        <w:t xml:space="preserve"> </w:t>
      </w:r>
      <w:r w:rsidR="00C644A3">
        <w:t>a</w:t>
      </w:r>
      <w:r w:rsidR="00AF2A06">
        <w:t xml:space="preserve"> requirement for </w:t>
      </w:r>
      <w:r w:rsidR="00B80A2A">
        <w:t>resource</w:t>
      </w:r>
      <w:r w:rsidR="00AF2A06">
        <w:t xml:space="preserve"> impact statements</w:t>
      </w:r>
      <w:r w:rsidR="000727C4">
        <w:t xml:space="preserve"> still to be considered</w:t>
      </w:r>
      <w:r w:rsidR="00AF2A06">
        <w:t>, and exceptionally</w:t>
      </w:r>
      <w:r w:rsidR="000727C4">
        <w:t xml:space="preserve"> </w:t>
      </w:r>
      <w:r w:rsidR="00B80A2A">
        <w:t xml:space="preserve">medicine </w:t>
      </w:r>
      <w:r w:rsidR="00AF2A06">
        <w:t xml:space="preserve">evidence </w:t>
      </w:r>
      <w:r w:rsidR="00B80A2A">
        <w:t>summaries</w:t>
      </w:r>
      <w:r w:rsidR="000727C4">
        <w:t>.</w:t>
      </w:r>
      <w:r w:rsidR="00AF2A06">
        <w:t xml:space="preserve">  They will be presented to </w:t>
      </w:r>
      <w:r w:rsidR="00761856">
        <w:t>Guidance Executive (</w:t>
      </w:r>
      <w:r w:rsidR="00AF2A06">
        <w:t>GE</w:t>
      </w:r>
      <w:r w:rsidR="00761856">
        <w:t>)</w:t>
      </w:r>
      <w:r w:rsidR="00AF2A06">
        <w:t xml:space="preserve"> in future, whose terms of </w:t>
      </w:r>
      <w:r w:rsidR="000727C4">
        <w:t xml:space="preserve">reference will be updated </w:t>
      </w:r>
      <w:r w:rsidR="00B80A2A">
        <w:t>for review by ET in mid-July</w:t>
      </w:r>
      <w:r w:rsidR="000727C4">
        <w:t>.  Any other ad hoc documents that were previously considered at PE, should either be approved by the respective ET member, or presented to GE</w:t>
      </w:r>
      <w:r w:rsidR="000D2648">
        <w:t xml:space="preserve"> for discussion.</w:t>
      </w:r>
    </w:p>
    <w:p w14:paraId="6AC08108" w14:textId="1F5C6E72" w:rsidR="00B80A2A" w:rsidRPr="00B80A2A" w:rsidRDefault="00B80A2A" w:rsidP="00B80A2A">
      <w:pPr>
        <w:pStyle w:val="Numberedpara"/>
        <w:numPr>
          <w:ilvl w:val="0"/>
          <w:numId w:val="0"/>
        </w:numPr>
        <w:ind w:left="357"/>
        <w:jc w:val="right"/>
        <w:rPr>
          <w:b/>
          <w:bCs/>
        </w:rPr>
      </w:pPr>
      <w:r w:rsidRPr="00B80A2A">
        <w:rPr>
          <w:b/>
          <w:bCs/>
        </w:rPr>
        <w:t>ACTION: AT</w:t>
      </w:r>
    </w:p>
    <w:p w14:paraId="52442701" w14:textId="5DAA7093" w:rsidR="00273BCE" w:rsidRDefault="005D3935" w:rsidP="00B548C3">
      <w:pPr>
        <w:pStyle w:val="Numberedpara"/>
      </w:pPr>
      <w:r>
        <w:t>ET</w:t>
      </w:r>
      <w:r w:rsidR="00B80A2A">
        <w:t xml:space="preserve"> also considered the </w:t>
      </w:r>
      <w:r w:rsidR="00B548C3">
        <w:t>resource impact and budget implications of NICE recommendations on the NHS and agreed that this required further exploration and discussion.  Boryana Stambolova agreed to undertake a piece of work and come back to ET with a paper</w:t>
      </w:r>
      <w:r w:rsidR="00D5357C">
        <w:t>.</w:t>
      </w:r>
    </w:p>
    <w:p w14:paraId="1723494F" w14:textId="597F121E" w:rsidR="00273BCE" w:rsidRPr="00273BCE" w:rsidRDefault="00273BCE" w:rsidP="00273BCE">
      <w:pPr>
        <w:pStyle w:val="Numberedpara"/>
        <w:numPr>
          <w:ilvl w:val="0"/>
          <w:numId w:val="0"/>
        </w:numPr>
        <w:jc w:val="right"/>
        <w:rPr>
          <w:b/>
          <w:bCs/>
        </w:rPr>
      </w:pPr>
      <w:r w:rsidRPr="00273BCE">
        <w:rPr>
          <w:b/>
          <w:bCs/>
        </w:rPr>
        <w:t xml:space="preserve">ACTION: </w:t>
      </w:r>
      <w:r w:rsidR="00B80A2A">
        <w:rPr>
          <w:b/>
          <w:bCs/>
        </w:rPr>
        <w:t>BS</w:t>
      </w:r>
    </w:p>
    <w:bookmarkEnd w:id="0"/>
    <w:p w14:paraId="3FBDB888" w14:textId="71778587" w:rsidR="00FD53E9" w:rsidRDefault="00405A4B" w:rsidP="00C0473A">
      <w:pPr>
        <w:pStyle w:val="Heading2"/>
      </w:pPr>
      <w:r>
        <w:t>Hybrid working</w:t>
      </w:r>
      <w:r w:rsidR="00247D8E">
        <w:t xml:space="preserve"> </w:t>
      </w:r>
      <w:r w:rsidR="00FD53E9" w:rsidRPr="00DD563C">
        <w:t xml:space="preserve">(item </w:t>
      </w:r>
      <w:r w:rsidR="00E901F2">
        <w:t>7</w:t>
      </w:r>
      <w:r w:rsidR="00D95B78">
        <w:t>)</w:t>
      </w:r>
    </w:p>
    <w:p w14:paraId="40F89095" w14:textId="76CC7FDA" w:rsidR="00CE5EB3" w:rsidRDefault="00D34D7D" w:rsidP="00946C41">
      <w:pPr>
        <w:pStyle w:val="Paragraph"/>
      </w:pPr>
      <w:r>
        <w:t xml:space="preserve">Nicole Gee </w:t>
      </w:r>
      <w:r w:rsidR="0049252F">
        <w:t>advis</w:t>
      </w:r>
      <w:r w:rsidR="006C579C">
        <w:t xml:space="preserve">ed that </w:t>
      </w:r>
      <w:r w:rsidR="0049252F">
        <w:t xml:space="preserve">the </w:t>
      </w:r>
      <w:r w:rsidR="006C579C">
        <w:t xml:space="preserve">formal consultation </w:t>
      </w:r>
      <w:r w:rsidR="0049252F">
        <w:t>meetings were in progress</w:t>
      </w:r>
      <w:r w:rsidR="005A4DC6">
        <w:t xml:space="preserve"> and work was on going with the union</w:t>
      </w:r>
      <w:r w:rsidR="006C579C">
        <w:t xml:space="preserve">. </w:t>
      </w:r>
      <w:r w:rsidR="00D5357C">
        <w:t xml:space="preserve"> </w:t>
      </w:r>
      <w:r w:rsidR="00792D76">
        <w:t>Affected s</w:t>
      </w:r>
      <w:r w:rsidR="005A4DC6">
        <w:t xml:space="preserve">taff have been advised that the timeline is indicative and assured that all feedback will be considered.  </w:t>
      </w:r>
      <w:r w:rsidR="00D5357C">
        <w:t xml:space="preserve">Some managers </w:t>
      </w:r>
      <w:r w:rsidR="00CF1366">
        <w:t>a</w:t>
      </w:r>
      <w:r w:rsidR="00D5357C">
        <w:t>re involved in difficult discussions</w:t>
      </w:r>
      <w:r w:rsidR="005A4DC6">
        <w:t xml:space="preserve">, </w:t>
      </w:r>
      <w:r w:rsidR="00D5357C">
        <w:t>but the overall position appeared to be improving.  ET noted some of the feedback from managers</w:t>
      </w:r>
      <w:r w:rsidR="001072A3">
        <w:t xml:space="preserve"> re</w:t>
      </w:r>
      <w:r w:rsidR="000D2648">
        <w:t xml:space="preserve">questing clarity on </w:t>
      </w:r>
      <w:r w:rsidR="001072A3">
        <w:t>the differences in contracts and</w:t>
      </w:r>
      <w:r w:rsidR="000D2648">
        <w:t xml:space="preserve"> on</w:t>
      </w:r>
      <w:r w:rsidR="001072A3">
        <w:t xml:space="preserve"> HMRC rules</w:t>
      </w:r>
      <w:r w:rsidR="005A4DC6">
        <w:t xml:space="preserve">.  Nicole requested that ET members continue to support their management teams and advise her of any </w:t>
      </w:r>
      <w:r w:rsidR="001072A3">
        <w:t>issue</w:t>
      </w:r>
      <w:r w:rsidR="005A4DC6">
        <w:t>s.</w:t>
      </w:r>
      <w:r w:rsidR="00D5357C">
        <w:t xml:space="preserve"> </w:t>
      </w:r>
    </w:p>
    <w:p w14:paraId="7142239A" w14:textId="7292529C" w:rsidR="006C579C" w:rsidRDefault="00CA732E" w:rsidP="00946C41">
      <w:pPr>
        <w:pStyle w:val="Paragraph"/>
      </w:pPr>
      <w:r>
        <w:t xml:space="preserve">Boryana Stambolova agreed to attend meetings as required to support with the HMRC travel expenses queries, and to contact HMRC if needed.  Nicole Gee agreed to provide ET with </w:t>
      </w:r>
      <w:r w:rsidR="006F4578">
        <w:t xml:space="preserve">details of other ALB </w:t>
      </w:r>
      <w:r w:rsidR="003B26E5">
        <w:t>hybrid working</w:t>
      </w:r>
      <w:r w:rsidR="006F4578">
        <w:t xml:space="preserve"> </w:t>
      </w:r>
      <w:r w:rsidR="003B26E5">
        <w:t xml:space="preserve">arrangements </w:t>
      </w:r>
      <w:r w:rsidR="006F4578">
        <w:t>for comparison.</w:t>
      </w:r>
    </w:p>
    <w:p w14:paraId="520CEE0B" w14:textId="0A5FB7F9" w:rsidR="006C579C" w:rsidRPr="00DB3150" w:rsidRDefault="006C579C" w:rsidP="00DB3150">
      <w:pPr>
        <w:pStyle w:val="Paragraph"/>
        <w:numPr>
          <w:ilvl w:val="0"/>
          <w:numId w:val="0"/>
        </w:numPr>
        <w:jc w:val="right"/>
        <w:rPr>
          <w:b/>
          <w:bCs/>
        </w:rPr>
      </w:pPr>
      <w:r w:rsidRPr="00DB3150">
        <w:rPr>
          <w:b/>
          <w:bCs/>
        </w:rPr>
        <w:t xml:space="preserve">ACTION: </w:t>
      </w:r>
      <w:r w:rsidR="006F4578">
        <w:rPr>
          <w:b/>
          <w:bCs/>
        </w:rPr>
        <w:t>NG/BS</w:t>
      </w:r>
    </w:p>
    <w:p w14:paraId="53093F95" w14:textId="18476C19" w:rsidR="00DB3150" w:rsidRPr="007B045C" w:rsidRDefault="007B045C" w:rsidP="007B045C">
      <w:pPr>
        <w:pStyle w:val="Numberedpara"/>
        <w:numPr>
          <w:ilvl w:val="0"/>
          <w:numId w:val="0"/>
        </w:numPr>
        <w:ind w:left="357" w:hanging="357"/>
        <w:rPr>
          <w:b/>
          <w:bCs/>
        </w:rPr>
      </w:pPr>
      <w:r w:rsidRPr="00B62D75">
        <w:rPr>
          <w:b/>
          <w:bCs/>
        </w:rPr>
        <w:t>Evidence standards framework for digital health technology (item 8)</w:t>
      </w:r>
    </w:p>
    <w:p w14:paraId="17504351" w14:textId="3EAC647E" w:rsidR="00150266" w:rsidRDefault="00D00268" w:rsidP="00150266">
      <w:pPr>
        <w:pStyle w:val="Numberedpara"/>
      </w:pPr>
      <w:r>
        <w:t xml:space="preserve">Felix Greaves </w:t>
      </w:r>
      <w:r w:rsidR="004B1468">
        <w:t>presented a</w:t>
      </w:r>
      <w:r w:rsidR="00150266">
        <w:t xml:space="preserve"> progress report on the work to update NICE’s Evidence Standards Framework (ESF) for Digital Health Technologies (DHT) to </w:t>
      </w:r>
      <w:r w:rsidR="00150266" w:rsidRPr="003502EB">
        <w:t>include data-driven technologies that incorporate artificial intelligence</w:t>
      </w:r>
      <w:r w:rsidR="00150266">
        <w:t>.  The standards framework</w:t>
      </w:r>
      <w:r w:rsidR="00150266" w:rsidRPr="00150266">
        <w:t xml:space="preserve"> </w:t>
      </w:r>
      <w:r w:rsidR="00150266">
        <w:t xml:space="preserve">will be published on the NICE website in </w:t>
      </w:r>
      <w:r w:rsidR="000D2648">
        <w:t xml:space="preserve">late </w:t>
      </w:r>
      <w:r w:rsidR="00150266">
        <w:t xml:space="preserve">July 2022.  The </w:t>
      </w:r>
      <w:r w:rsidR="00B62D75">
        <w:t>NICE project team will continue to explore how the ESF might be relevant to existing NICE processes and to highlight where it can be used as a useful reference tool.</w:t>
      </w:r>
    </w:p>
    <w:p w14:paraId="0223873C" w14:textId="572524D0" w:rsidR="007B045C" w:rsidRPr="007B045C" w:rsidRDefault="007B045C" w:rsidP="007B045C">
      <w:pPr>
        <w:pStyle w:val="Numberedpara"/>
        <w:numPr>
          <w:ilvl w:val="0"/>
          <w:numId w:val="0"/>
        </w:numPr>
        <w:rPr>
          <w:b/>
          <w:bCs/>
        </w:rPr>
      </w:pPr>
      <w:r>
        <w:rPr>
          <w:b/>
          <w:bCs/>
        </w:rPr>
        <w:t>Board meetings (item 9)</w:t>
      </w:r>
    </w:p>
    <w:p w14:paraId="443004C4" w14:textId="728EAE77" w:rsidR="007B045C" w:rsidRPr="007B045C" w:rsidRDefault="00CD60C9" w:rsidP="007B045C">
      <w:pPr>
        <w:pStyle w:val="Numberedpara"/>
      </w:pPr>
      <w:r>
        <w:t xml:space="preserve">This item will </w:t>
      </w:r>
      <w:r w:rsidR="00150266">
        <w:t>b</w:t>
      </w:r>
      <w:r>
        <w:t>e dealt with via email.</w:t>
      </w:r>
    </w:p>
    <w:p w14:paraId="303FF33B" w14:textId="7F0A8033" w:rsidR="005A69D6" w:rsidRPr="007B4D49" w:rsidRDefault="00405A4B" w:rsidP="00B55E00">
      <w:pPr>
        <w:pStyle w:val="Heading2"/>
        <w:rPr>
          <w:szCs w:val="22"/>
        </w:rPr>
      </w:pPr>
      <w:r>
        <w:rPr>
          <w:szCs w:val="22"/>
        </w:rPr>
        <w:t>Operational management committee</w:t>
      </w:r>
      <w:r w:rsidR="005A69D6" w:rsidRPr="007B4D49">
        <w:rPr>
          <w:szCs w:val="22"/>
        </w:rPr>
        <w:t xml:space="preserve"> (item </w:t>
      </w:r>
      <w:r w:rsidR="007B045C">
        <w:rPr>
          <w:szCs w:val="22"/>
        </w:rPr>
        <w:t>10</w:t>
      </w:r>
      <w:r w:rsidR="00C05347" w:rsidRPr="007B4D49">
        <w:rPr>
          <w:szCs w:val="22"/>
        </w:rPr>
        <w:t>)</w:t>
      </w:r>
    </w:p>
    <w:p w14:paraId="5B7E9FA3" w14:textId="27F67DCC" w:rsidR="00FF4B03" w:rsidRDefault="00405A4B" w:rsidP="00405A4B">
      <w:pPr>
        <w:pStyle w:val="Paragraph"/>
        <w:rPr>
          <w:rFonts w:cs="Arial"/>
        </w:rPr>
      </w:pPr>
      <w:r>
        <w:rPr>
          <w:rFonts w:cs="Arial"/>
        </w:rPr>
        <w:t xml:space="preserve">ET noted the minutes and actions from the OMC meeting held on </w:t>
      </w:r>
      <w:r w:rsidR="007B045C">
        <w:rPr>
          <w:rFonts w:cs="Arial"/>
        </w:rPr>
        <w:t>13 June</w:t>
      </w:r>
      <w:r>
        <w:rPr>
          <w:rFonts w:cs="Arial"/>
        </w:rPr>
        <w:t xml:space="preserve"> 2022. </w:t>
      </w:r>
    </w:p>
    <w:p w14:paraId="3644BF4C" w14:textId="654D8201" w:rsidR="007B045C" w:rsidRPr="007B045C" w:rsidRDefault="007B045C" w:rsidP="007B045C">
      <w:pPr>
        <w:pStyle w:val="Paragraph"/>
        <w:numPr>
          <w:ilvl w:val="0"/>
          <w:numId w:val="0"/>
        </w:numPr>
        <w:rPr>
          <w:rFonts w:cs="Arial"/>
          <w:b/>
          <w:bCs/>
        </w:rPr>
      </w:pPr>
      <w:r>
        <w:rPr>
          <w:rFonts w:cs="Arial"/>
          <w:b/>
          <w:bCs/>
        </w:rPr>
        <w:t>Review of the agenda (item11)</w:t>
      </w:r>
    </w:p>
    <w:p w14:paraId="5C300602" w14:textId="6EE64FBB" w:rsidR="007B045C" w:rsidRDefault="007B045C" w:rsidP="00405A4B">
      <w:pPr>
        <w:pStyle w:val="Paragraph"/>
        <w:rPr>
          <w:rFonts w:cs="Arial"/>
        </w:rPr>
      </w:pPr>
      <w:r>
        <w:rPr>
          <w:rFonts w:cs="Arial"/>
        </w:rPr>
        <w:t>No comments raised.</w:t>
      </w:r>
    </w:p>
    <w:p w14:paraId="5CCB4DFA" w14:textId="0A9FAEB4" w:rsidR="00022C1D" w:rsidRDefault="00022C1D">
      <w:pPr>
        <w:rPr>
          <w:rFonts w:ascii="Arial" w:hAnsi="Arial" w:cs="Arial"/>
          <w:b/>
          <w:bCs/>
          <w:sz w:val="22"/>
          <w:szCs w:val="22"/>
        </w:rPr>
      </w:pPr>
    </w:p>
    <w:p w14:paraId="4090E01F" w14:textId="07582D37" w:rsidR="007B045C" w:rsidRPr="007B045C" w:rsidRDefault="007B045C" w:rsidP="007B045C">
      <w:pPr>
        <w:pStyle w:val="Paragraph"/>
        <w:numPr>
          <w:ilvl w:val="0"/>
          <w:numId w:val="0"/>
        </w:numPr>
        <w:rPr>
          <w:rFonts w:cs="Arial"/>
          <w:b/>
          <w:bCs/>
        </w:rPr>
      </w:pPr>
      <w:r>
        <w:rPr>
          <w:rFonts w:cs="Arial"/>
          <w:b/>
          <w:bCs/>
        </w:rPr>
        <w:t>Other business (item 12)</w:t>
      </w:r>
    </w:p>
    <w:p w14:paraId="2260B379" w14:textId="6F6A2E25" w:rsidR="007B045C" w:rsidRDefault="007B045C" w:rsidP="00405A4B">
      <w:pPr>
        <w:pStyle w:val="Paragraph"/>
        <w:rPr>
          <w:rFonts w:cs="Arial"/>
        </w:rPr>
      </w:pPr>
      <w:r>
        <w:rPr>
          <w:rFonts w:cs="Arial"/>
          <w:b/>
          <w:bCs/>
        </w:rPr>
        <w:t>Gender neutral language</w:t>
      </w:r>
      <w:r>
        <w:rPr>
          <w:rFonts w:cs="Arial"/>
        </w:rPr>
        <w:t xml:space="preserve"> </w:t>
      </w:r>
      <w:r w:rsidR="00D00268">
        <w:rPr>
          <w:rFonts w:cs="Arial"/>
        </w:rPr>
        <w:t>–</w:t>
      </w:r>
      <w:r>
        <w:rPr>
          <w:rFonts w:cs="Arial"/>
        </w:rPr>
        <w:t xml:space="preserve"> </w:t>
      </w:r>
      <w:r w:rsidR="00EF6F6D">
        <w:rPr>
          <w:rFonts w:cs="Arial"/>
        </w:rPr>
        <w:t>Following the recent intervention by the SoS, i</w:t>
      </w:r>
      <w:r w:rsidR="00D00268">
        <w:rPr>
          <w:rFonts w:cs="Arial"/>
        </w:rPr>
        <w:t xml:space="preserve">t was agreed to await the Government’s decision on </w:t>
      </w:r>
      <w:r w:rsidR="00EF6F6D">
        <w:rPr>
          <w:rFonts w:cs="Arial"/>
        </w:rPr>
        <w:t xml:space="preserve">the use of </w:t>
      </w:r>
      <w:proofErr w:type="gramStart"/>
      <w:r w:rsidR="00D00268">
        <w:rPr>
          <w:rFonts w:cs="Arial"/>
        </w:rPr>
        <w:t>gender neutral</w:t>
      </w:r>
      <w:proofErr w:type="gramEnd"/>
      <w:r w:rsidR="00D00268">
        <w:rPr>
          <w:rFonts w:cs="Arial"/>
        </w:rPr>
        <w:t xml:space="preserve"> language </w:t>
      </w:r>
      <w:r w:rsidR="00EF6F6D">
        <w:rPr>
          <w:rFonts w:cs="Arial"/>
        </w:rPr>
        <w:t>before making changes to NICE content.  I</w:t>
      </w:r>
      <w:r w:rsidR="00D00268">
        <w:rPr>
          <w:rFonts w:cs="Arial"/>
        </w:rPr>
        <w:t>n the meantime</w:t>
      </w:r>
      <w:r w:rsidR="004B1468">
        <w:rPr>
          <w:rFonts w:cs="Arial"/>
        </w:rPr>
        <w:t>,</w:t>
      </w:r>
      <w:r w:rsidR="00D00268">
        <w:rPr>
          <w:rFonts w:cs="Arial"/>
        </w:rPr>
        <w:t xml:space="preserve"> Phil Hemmings has been asked to communicate with the NICE and Proud network to keep them updated.</w:t>
      </w:r>
    </w:p>
    <w:p w14:paraId="251B95CE" w14:textId="3F0B9C5B" w:rsidR="007B045C" w:rsidRDefault="007B045C" w:rsidP="00405A4B">
      <w:pPr>
        <w:pStyle w:val="Paragraph"/>
        <w:rPr>
          <w:rFonts w:cs="Arial"/>
        </w:rPr>
      </w:pPr>
      <w:r>
        <w:rPr>
          <w:rFonts w:cs="Arial"/>
          <w:b/>
          <w:bCs/>
        </w:rPr>
        <w:t xml:space="preserve">MHRA </w:t>
      </w:r>
      <w:r w:rsidR="0049252F">
        <w:rPr>
          <w:rFonts w:cs="Arial"/>
          <w:b/>
          <w:bCs/>
        </w:rPr>
        <w:t xml:space="preserve">public </w:t>
      </w:r>
      <w:r>
        <w:rPr>
          <w:rFonts w:cs="Arial"/>
          <w:b/>
          <w:bCs/>
        </w:rPr>
        <w:t>consultation</w:t>
      </w:r>
      <w:r>
        <w:rPr>
          <w:rFonts w:cs="Arial"/>
        </w:rPr>
        <w:t xml:space="preserve"> </w:t>
      </w:r>
      <w:r w:rsidR="0049252F">
        <w:rPr>
          <w:rFonts w:cs="Arial"/>
        </w:rPr>
        <w:t xml:space="preserve">– ET noted that the Government had published its response to the </w:t>
      </w:r>
      <w:r w:rsidR="002B710D">
        <w:rPr>
          <w:rFonts w:cs="Arial"/>
        </w:rPr>
        <w:t>M</w:t>
      </w:r>
      <w:r w:rsidR="00D9347F">
        <w:rPr>
          <w:rFonts w:cs="Arial"/>
        </w:rPr>
        <w:t>HR</w:t>
      </w:r>
      <w:r w:rsidR="002B710D">
        <w:rPr>
          <w:rFonts w:cs="Arial"/>
        </w:rPr>
        <w:t xml:space="preserve">A’s </w:t>
      </w:r>
      <w:r w:rsidR="0049252F">
        <w:rPr>
          <w:rFonts w:cs="Arial"/>
        </w:rPr>
        <w:t xml:space="preserve">consultation on the future regulation of medical devices in the UK.  Mark Chapman was asked to provide a summary paper for discussion at </w:t>
      </w:r>
      <w:r w:rsidR="002B710D">
        <w:rPr>
          <w:rFonts w:cs="Arial"/>
        </w:rPr>
        <w:t xml:space="preserve">the informal </w:t>
      </w:r>
      <w:r w:rsidR="0049252F">
        <w:rPr>
          <w:rFonts w:cs="Arial"/>
        </w:rPr>
        <w:t>ET next week.</w:t>
      </w:r>
    </w:p>
    <w:p w14:paraId="185E77A2" w14:textId="77BE75E2" w:rsidR="0049252F" w:rsidRPr="009C100A" w:rsidRDefault="0049252F" w:rsidP="0049252F">
      <w:pPr>
        <w:pStyle w:val="Paragraph"/>
        <w:numPr>
          <w:ilvl w:val="0"/>
          <w:numId w:val="0"/>
        </w:numPr>
        <w:ind w:left="357"/>
        <w:jc w:val="right"/>
        <w:rPr>
          <w:rFonts w:cs="Arial"/>
        </w:rPr>
      </w:pPr>
      <w:r>
        <w:rPr>
          <w:rFonts w:cs="Arial"/>
          <w:b/>
          <w:bCs/>
        </w:rPr>
        <w:t>ACTION: MC</w:t>
      </w:r>
    </w:p>
    <w:sectPr w:rsidR="0049252F" w:rsidRPr="009C100A"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B0166D">
      <w:fldChar w:fldCharType="begin"/>
    </w:r>
    <w:r w:rsidR="00B0166D">
      <w:instrText xml:space="preserve"> NUMPAGES  </w:instrText>
    </w:r>
    <w:r w:rsidR="00B0166D">
      <w:fldChar w:fldCharType="separate"/>
    </w:r>
    <w:r>
      <w:rPr>
        <w:noProof/>
      </w:rPr>
      <w:t>5</w:t>
    </w:r>
    <w:r w:rsidR="00B0166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3A383A0"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5"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4343">
    <w:abstractNumId w:val="38"/>
  </w:num>
  <w:num w:numId="2" w16cid:durableId="2144686757">
    <w:abstractNumId w:val="14"/>
  </w:num>
  <w:num w:numId="3" w16cid:durableId="1171214637">
    <w:abstractNumId w:val="7"/>
  </w:num>
  <w:num w:numId="4" w16cid:durableId="1139228566">
    <w:abstractNumId w:val="29"/>
  </w:num>
  <w:num w:numId="5" w16cid:durableId="1269583705">
    <w:abstractNumId w:val="9"/>
  </w:num>
  <w:num w:numId="6" w16cid:durableId="2145342724">
    <w:abstractNumId w:val="16"/>
  </w:num>
  <w:num w:numId="7" w16cid:durableId="912545675">
    <w:abstractNumId w:val="19"/>
  </w:num>
  <w:num w:numId="8" w16cid:durableId="1555699855">
    <w:abstractNumId w:val="42"/>
  </w:num>
  <w:num w:numId="9" w16cid:durableId="1951742268">
    <w:abstractNumId w:val="17"/>
  </w:num>
  <w:num w:numId="10" w16cid:durableId="1514420253">
    <w:abstractNumId w:val="18"/>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1"/>
  </w:num>
  <w:num w:numId="15" w16cid:durableId="1286812209">
    <w:abstractNumId w:val="34"/>
  </w:num>
  <w:num w:numId="16" w16cid:durableId="1112938236">
    <w:abstractNumId w:val="20"/>
  </w:num>
  <w:num w:numId="17" w16cid:durableId="1959750820">
    <w:abstractNumId w:val="26"/>
  </w:num>
  <w:num w:numId="18" w16cid:durableId="1158375475">
    <w:abstractNumId w:val="32"/>
  </w:num>
  <w:num w:numId="19" w16cid:durableId="1904675506">
    <w:abstractNumId w:val="12"/>
  </w:num>
  <w:num w:numId="20" w16cid:durableId="543256195">
    <w:abstractNumId w:val="36"/>
  </w:num>
  <w:num w:numId="21" w16cid:durableId="376662135">
    <w:abstractNumId w:val="25"/>
  </w:num>
  <w:num w:numId="22" w16cid:durableId="1630630068">
    <w:abstractNumId w:val="22"/>
  </w:num>
  <w:num w:numId="23" w16cid:durableId="880170583">
    <w:abstractNumId w:val="41"/>
  </w:num>
  <w:num w:numId="24" w16cid:durableId="994260760">
    <w:abstractNumId w:val="33"/>
  </w:num>
  <w:num w:numId="25" w16cid:durableId="1675650935">
    <w:abstractNumId w:val="0"/>
  </w:num>
  <w:num w:numId="26" w16cid:durableId="35938483">
    <w:abstractNumId w:val="8"/>
  </w:num>
  <w:num w:numId="27" w16cid:durableId="1974556253">
    <w:abstractNumId w:val="10"/>
  </w:num>
  <w:num w:numId="28" w16cid:durableId="1967004414">
    <w:abstractNumId w:val="6"/>
  </w:num>
  <w:num w:numId="29" w16cid:durableId="1429426885">
    <w:abstractNumId w:val="40"/>
  </w:num>
  <w:num w:numId="30" w16cid:durableId="473715365">
    <w:abstractNumId w:val="11"/>
  </w:num>
  <w:num w:numId="31" w16cid:durableId="1764833132">
    <w:abstractNumId w:val="1"/>
  </w:num>
  <w:num w:numId="32" w16cid:durableId="2109693518">
    <w:abstractNumId w:val="30"/>
  </w:num>
  <w:num w:numId="33" w16cid:durableId="1045639414">
    <w:abstractNumId w:val="23"/>
  </w:num>
  <w:num w:numId="34" w16cid:durableId="304089515">
    <w:abstractNumId w:val="37"/>
  </w:num>
  <w:num w:numId="35" w16cid:durableId="928389035">
    <w:abstractNumId w:val="13"/>
  </w:num>
  <w:num w:numId="36" w16cid:durableId="1966815806">
    <w:abstractNumId w:val="27"/>
  </w:num>
  <w:num w:numId="37" w16cid:durableId="537813670">
    <w:abstractNumId w:val="24"/>
  </w:num>
  <w:num w:numId="38" w16cid:durableId="1682004897">
    <w:abstractNumId w:val="39"/>
  </w:num>
  <w:num w:numId="39" w16cid:durableId="1118987223">
    <w:abstractNumId w:val="28"/>
  </w:num>
  <w:num w:numId="40" w16cid:durableId="1883396378">
    <w:abstractNumId w:val="35"/>
  </w:num>
  <w:num w:numId="41" w16cid:durableId="1589077267">
    <w:abstractNumId w:val="3"/>
  </w:num>
  <w:num w:numId="42" w16cid:durableId="175384123">
    <w:abstractNumId w:val="31"/>
  </w:num>
  <w:num w:numId="43" w16cid:durableId="2060737785">
    <w:abstractNumId w:val="2"/>
  </w:num>
  <w:num w:numId="44" w16cid:durableId="1510213322">
    <w:abstractNumId w:val="43"/>
  </w:num>
  <w:num w:numId="45" w16cid:durableId="8640987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C1D"/>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6C54"/>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27284"/>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DB"/>
    <w:rsid w:val="001C7AA3"/>
    <w:rsid w:val="001D007A"/>
    <w:rsid w:val="001D08AA"/>
    <w:rsid w:val="001D1AC3"/>
    <w:rsid w:val="001D1D53"/>
    <w:rsid w:val="001D276E"/>
    <w:rsid w:val="001D355B"/>
    <w:rsid w:val="001D3E9B"/>
    <w:rsid w:val="001D4501"/>
    <w:rsid w:val="001D467A"/>
    <w:rsid w:val="001D4A6D"/>
    <w:rsid w:val="001D54D6"/>
    <w:rsid w:val="001D5A9B"/>
    <w:rsid w:val="001D5AF4"/>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10D"/>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3D74"/>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E76B9"/>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634"/>
    <w:rsid w:val="0049088B"/>
    <w:rsid w:val="00491EDF"/>
    <w:rsid w:val="00491FE8"/>
    <w:rsid w:val="0049252F"/>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411"/>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6DC"/>
    <w:rsid w:val="00701D7C"/>
    <w:rsid w:val="00702817"/>
    <w:rsid w:val="00702C06"/>
    <w:rsid w:val="00702F17"/>
    <w:rsid w:val="00703883"/>
    <w:rsid w:val="00703E2F"/>
    <w:rsid w:val="00704195"/>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856"/>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946"/>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5FE"/>
    <w:rsid w:val="008E6CD0"/>
    <w:rsid w:val="008E7183"/>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2B6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2604"/>
    <w:rsid w:val="009929C0"/>
    <w:rsid w:val="00992F3C"/>
    <w:rsid w:val="00993837"/>
    <w:rsid w:val="00993E8B"/>
    <w:rsid w:val="00993E9C"/>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6A"/>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665A"/>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39"/>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2"/>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A57"/>
    <w:rsid w:val="00AF4B0F"/>
    <w:rsid w:val="00AF6295"/>
    <w:rsid w:val="00AF6C0C"/>
    <w:rsid w:val="00AF6E2B"/>
    <w:rsid w:val="00AF7053"/>
    <w:rsid w:val="00AF7542"/>
    <w:rsid w:val="00AF7558"/>
    <w:rsid w:val="00AF7BCF"/>
    <w:rsid w:val="00B00797"/>
    <w:rsid w:val="00B01019"/>
    <w:rsid w:val="00B01103"/>
    <w:rsid w:val="00B01423"/>
    <w:rsid w:val="00B01638"/>
    <w:rsid w:val="00B0166D"/>
    <w:rsid w:val="00B017A9"/>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9E1"/>
    <w:rsid w:val="00B4241F"/>
    <w:rsid w:val="00B43294"/>
    <w:rsid w:val="00B4338F"/>
    <w:rsid w:val="00B435A5"/>
    <w:rsid w:val="00B437C3"/>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E00"/>
    <w:rsid w:val="00B562A7"/>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BF6"/>
    <w:rsid w:val="00B6200D"/>
    <w:rsid w:val="00B62498"/>
    <w:rsid w:val="00B62510"/>
    <w:rsid w:val="00B62D75"/>
    <w:rsid w:val="00B633C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349A"/>
    <w:rsid w:val="00B93948"/>
    <w:rsid w:val="00B94951"/>
    <w:rsid w:val="00B95724"/>
    <w:rsid w:val="00B9611B"/>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76"/>
    <w:rsid w:val="00BC248E"/>
    <w:rsid w:val="00BC2A0B"/>
    <w:rsid w:val="00BC324D"/>
    <w:rsid w:val="00BC337E"/>
    <w:rsid w:val="00BC3520"/>
    <w:rsid w:val="00BC459D"/>
    <w:rsid w:val="00BC4ACF"/>
    <w:rsid w:val="00BC5264"/>
    <w:rsid w:val="00BC57BA"/>
    <w:rsid w:val="00BC5DEA"/>
    <w:rsid w:val="00BC620C"/>
    <w:rsid w:val="00BC6548"/>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152"/>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30"/>
    <w:rsid w:val="00C15B9A"/>
    <w:rsid w:val="00C1608A"/>
    <w:rsid w:val="00C1615C"/>
    <w:rsid w:val="00C16BEB"/>
    <w:rsid w:val="00C16D6C"/>
    <w:rsid w:val="00C17B9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4A3"/>
    <w:rsid w:val="00C64FC2"/>
    <w:rsid w:val="00C65204"/>
    <w:rsid w:val="00C653B2"/>
    <w:rsid w:val="00C65816"/>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0C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5574"/>
    <w:rsid w:val="00D15DCF"/>
    <w:rsid w:val="00D15F6F"/>
    <w:rsid w:val="00D160EA"/>
    <w:rsid w:val="00D164E3"/>
    <w:rsid w:val="00D17756"/>
    <w:rsid w:val="00D17BF2"/>
    <w:rsid w:val="00D17F23"/>
    <w:rsid w:val="00D20500"/>
    <w:rsid w:val="00D207B8"/>
    <w:rsid w:val="00D20974"/>
    <w:rsid w:val="00D20E6F"/>
    <w:rsid w:val="00D20FFB"/>
    <w:rsid w:val="00D21DF5"/>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575B"/>
    <w:rsid w:val="00D860CA"/>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47F"/>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F46"/>
    <w:rsid w:val="00E33FA3"/>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6F6D"/>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77DCF"/>
    <w:rsid w:val="00F80155"/>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83D"/>
    <w:rsid w:val="00FB70D5"/>
    <w:rsid w:val="00FB7D08"/>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6749</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2022-12-28T10:36:00Z</dcterms:created>
  <dcterms:modified xsi:type="dcterms:W3CDTF">2022-12-28T10:37:00Z</dcterms:modified>
</cp:coreProperties>
</file>