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B5EB5FE" w:rsidR="00975C12" w:rsidRPr="00F40D3F" w:rsidRDefault="00975C12" w:rsidP="00975C12">
      <w:pPr>
        <w:pStyle w:val="Heading1"/>
        <w:jc w:val="center"/>
      </w:pPr>
      <w:r w:rsidRPr="00F40D3F">
        <w:t>Minutes of the meeting held on</w:t>
      </w:r>
      <w:r w:rsidR="00D7665D">
        <w:t xml:space="preserve"> </w:t>
      </w:r>
      <w:r w:rsidR="00CB1958">
        <w:t>1</w:t>
      </w:r>
      <w:r w:rsidR="00F81AAA">
        <w:t xml:space="preserve"> Novem</w:t>
      </w:r>
      <w:r w:rsidR="00E23751">
        <w:t>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441BC595" w:rsidR="00C35168"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t>Chief Executive (chair)</w:t>
      </w:r>
    </w:p>
    <w:p w14:paraId="31E6C958" w14:textId="3B8344FA"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0BA7614E"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t>Director, Centre for Guidelines</w:t>
      </w:r>
    </w:p>
    <w:p w14:paraId="279A4D12" w14:textId="5D478CF0"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t>Director, Communications</w:t>
      </w:r>
    </w:p>
    <w:p w14:paraId="10597384" w14:textId="6D09AF63" w:rsidR="005876D1" w:rsidRPr="001E20D6"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t>Director, Science, Evidence and Analytics</w:t>
      </w:r>
    </w:p>
    <w:p w14:paraId="597D2ACE" w14:textId="40059765" w:rsidR="000E223C" w:rsidRDefault="000E223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Helen Knight</w:t>
      </w:r>
      <w:r w:rsidRPr="001E20D6">
        <w:rPr>
          <w:sz w:val="22"/>
          <w:szCs w:val="22"/>
        </w:rPr>
        <w:tab/>
        <w:t xml:space="preserve">Acting </w:t>
      </w:r>
      <w:r w:rsidR="00A214C6" w:rsidRPr="001E20D6">
        <w:rPr>
          <w:sz w:val="22"/>
          <w:szCs w:val="22"/>
        </w:rPr>
        <w:t>I</w:t>
      </w:r>
      <w:r w:rsidRPr="001E20D6">
        <w:rPr>
          <w:sz w:val="22"/>
          <w:szCs w:val="22"/>
        </w:rPr>
        <w:t>nterim Director, Medicines Evaluation</w:t>
      </w:r>
    </w:p>
    <w:p w14:paraId="318DCC24" w14:textId="40662FA1" w:rsidR="00EE4E15" w:rsidRPr="001E20D6" w:rsidRDefault="00EE4E15"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Pr>
          <w:sz w:val="22"/>
          <w:szCs w:val="22"/>
        </w:rPr>
        <w:tab/>
        <w:t xml:space="preserve">Interim Director, </w:t>
      </w:r>
      <w:proofErr w:type="gramStart"/>
      <w:r>
        <w:rPr>
          <w:sz w:val="22"/>
          <w:szCs w:val="22"/>
        </w:rPr>
        <w:t>Health</w:t>
      </w:r>
      <w:proofErr w:type="gramEnd"/>
      <w:r>
        <w:rPr>
          <w:sz w:val="22"/>
          <w:szCs w:val="22"/>
        </w:rPr>
        <w:t xml:space="preserve"> and Social Care</w:t>
      </w:r>
    </w:p>
    <w:p w14:paraId="2E183195" w14:textId="308D1E96"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t xml:space="preserve">Director, </w:t>
      </w:r>
      <w:r w:rsidR="00046D0F">
        <w:rPr>
          <w:sz w:val="22"/>
          <w:szCs w:val="22"/>
        </w:rPr>
        <w:t>Finance</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C64EF1E" w14:textId="214C6FA1" w:rsidR="00EE4E15" w:rsidRDefault="00EE4E15" w:rsidP="00FE0664">
      <w:pPr>
        <w:pStyle w:val="NICEnormal"/>
        <w:tabs>
          <w:tab w:val="left" w:pos="2552"/>
        </w:tabs>
        <w:spacing w:after="0" w:line="240" w:lineRule="auto"/>
        <w:ind w:left="2268" w:hanging="2268"/>
        <w:rPr>
          <w:sz w:val="22"/>
          <w:szCs w:val="22"/>
        </w:rPr>
      </w:pPr>
      <w:r>
        <w:rPr>
          <w:sz w:val="22"/>
          <w:szCs w:val="22"/>
        </w:rPr>
        <w:t>Portia Dodds</w:t>
      </w:r>
      <w:r w:rsidR="005E5AA4">
        <w:rPr>
          <w:sz w:val="22"/>
          <w:szCs w:val="22"/>
        </w:rPr>
        <w:tab/>
        <w:t>Project Services Co-</w:t>
      </w:r>
      <w:proofErr w:type="spellStart"/>
      <w:r w:rsidR="005E5AA4">
        <w:rPr>
          <w:sz w:val="22"/>
          <w:szCs w:val="22"/>
        </w:rPr>
        <w:t>ordinator</w:t>
      </w:r>
      <w:proofErr w:type="spellEnd"/>
      <w:r w:rsidR="005E5AA4">
        <w:rPr>
          <w:sz w:val="22"/>
          <w:szCs w:val="22"/>
        </w:rPr>
        <w:t>, CHTE (item 5)</w:t>
      </w:r>
    </w:p>
    <w:p w14:paraId="2A0673FB" w14:textId="49971103" w:rsidR="00EE4E15" w:rsidRDefault="00EE4E15" w:rsidP="00FE0664">
      <w:pPr>
        <w:pStyle w:val="NICEnormal"/>
        <w:tabs>
          <w:tab w:val="left" w:pos="2552"/>
        </w:tabs>
        <w:spacing w:after="0" w:line="240" w:lineRule="auto"/>
        <w:ind w:left="2268" w:hanging="2268"/>
        <w:rPr>
          <w:sz w:val="22"/>
          <w:szCs w:val="22"/>
        </w:rPr>
      </w:pPr>
      <w:r>
        <w:rPr>
          <w:sz w:val="22"/>
          <w:szCs w:val="22"/>
        </w:rPr>
        <w:t>Eleanor Donegan</w:t>
      </w:r>
      <w:r w:rsidR="005E5AA4">
        <w:rPr>
          <w:sz w:val="22"/>
          <w:szCs w:val="22"/>
        </w:rPr>
        <w:tab/>
        <w:t>Technical Adviser, CHTE (item 5)</w:t>
      </w:r>
    </w:p>
    <w:p w14:paraId="4BA584B1" w14:textId="77777777" w:rsidR="00A27CD8" w:rsidRDefault="00A27CD8" w:rsidP="00A27CD8">
      <w:pPr>
        <w:pStyle w:val="NICEnormal"/>
        <w:tabs>
          <w:tab w:val="left" w:pos="2552"/>
        </w:tabs>
        <w:spacing w:after="0" w:line="240" w:lineRule="auto"/>
        <w:ind w:left="2268" w:hanging="2268"/>
        <w:rPr>
          <w:sz w:val="22"/>
          <w:szCs w:val="22"/>
        </w:rPr>
      </w:pPr>
      <w:r>
        <w:rPr>
          <w:sz w:val="22"/>
          <w:szCs w:val="22"/>
        </w:rPr>
        <w:t>Nicky Tyson</w:t>
      </w:r>
      <w:r>
        <w:rPr>
          <w:sz w:val="22"/>
          <w:szCs w:val="22"/>
        </w:rPr>
        <w:tab/>
        <w:t>OD and EDI Consultant, HR team (item 5)</w:t>
      </w:r>
    </w:p>
    <w:p w14:paraId="048D084A" w14:textId="12A4126B" w:rsidR="00EE4E15" w:rsidRDefault="00EE4E15" w:rsidP="00FE0664">
      <w:pPr>
        <w:pStyle w:val="NICEnormal"/>
        <w:tabs>
          <w:tab w:val="left" w:pos="2552"/>
        </w:tabs>
        <w:spacing w:after="0" w:line="240" w:lineRule="auto"/>
        <w:ind w:left="2268" w:hanging="2268"/>
        <w:rPr>
          <w:sz w:val="22"/>
          <w:szCs w:val="22"/>
        </w:rPr>
      </w:pPr>
      <w:r>
        <w:rPr>
          <w:sz w:val="22"/>
          <w:szCs w:val="22"/>
        </w:rPr>
        <w:t>Koonal Shah</w:t>
      </w:r>
      <w:r w:rsidR="005E5AA4">
        <w:rPr>
          <w:sz w:val="22"/>
          <w:szCs w:val="22"/>
        </w:rPr>
        <w:tab/>
        <w:t>Associate Director, SP&amp;R team, SEA (item 6)</w:t>
      </w:r>
    </w:p>
    <w:p w14:paraId="3E80F145" w14:textId="3B633B8F" w:rsidR="00EE4E15" w:rsidRDefault="00EE4E15" w:rsidP="00FE0664">
      <w:pPr>
        <w:pStyle w:val="NICEnormal"/>
        <w:tabs>
          <w:tab w:val="left" w:pos="2552"/>
        </w:tabs>
        <w:spacing w:after="0" w:line="240" w:lineRule="auto"/>
        <w:ind w:left="2268" w:hanging="2268"/>
        <w:rPr>
          <w:sz w:val="22"/>
          <w:szCs w:val="22"/>
        </w:rPr>
      </w:pPr>
      <w:r>
        <w:rPr>
          <w:sz w:val="22"/>
          <w:szCs w:val="22"/>
        </w:rPr>
        <w:t>Juliet Kenny</w:t>
      </w:r>
      <w:r w:rsidR="005E5AA4">
        <w:rPr>
          <w:sz w:val="22"/>
          <w:szCs w:val="22"/>
        </w:rPr>
        <w:tab/>
        <w:t>Scientific Advisor, SP&amp;R team, SEA (item 6)</w:t>
      </w:r>
    </w:p>
    <w:p w14:paraId="1181217B" w14:textId="0435EA23" w:rsidR="00EE4E15" w:rsidRDefault="00EE4E15" w:rsidP="00FE0664">
      <w:pPr>
        <w:pStyle w:val="NICEnormal"/>
        <w:tabs>
          <w:tab w:val="left" w:pos="2552"/>
        </w:tabs>
        <w:spacing w:after="0" w:line="240" w:lineRule="auto"/>
        <w:ind w:left="2268" w:hanging="2268"/>
        <w:rPr>
          <w:sz w:val="22"/>
          <w:szCs w:val="22"/>
        </w:rPr>
      </w:pPr>
      <w:r>
        <w:rPr>
          <w:sz w:val="22"/>
          <w:szCs w:val="22"/>
        </w:rPr>
        <w:t>Li Fang</w:t>
      </w:r>
      <w:r w:rsidR="005E5AA4">
        <w:rPr>
          <w:sz w:val="22"/>
          <w:szCs w:val="22"/>
        </w:rPr>
        <w:tab/>
        <w:t>Clinical Fellow (item 6)</w:t>
      </w:r>
    </w:p>
    <w:p w14:paraId="61FAD8D8" w14:textId="2B48C8AF" w:rsidR="00EE4E15" w:rsidRDefault="00EE4E15" w:rsidP="00FE0664">
      <w:pPr>
        <w:pStyle w:val="NICEnormal"/>
        <w:tabs>
          <w:tab w:val="left" w:pos="2552"/>
        </w:tabs>
        <w:spacing w:after="0" w:line="240" w:lineRule="auto"/>
        <w:ind w:left="2268" w:hanging="2268"/>
        <w:rPr>
          <w:sz w:val="22"/>
          <w:szCs w:val="22"/>
        </w:rPr>
      </w:pPr>
      <w:r>
        <w:rPr>
          <w:sz w:val="22"/>
          <w:szCs w:val="22"/>
        </w:rPr>
        <w:t>Nick Baillie</w:t>
      </w:r>
      <w:r w:rsidR="005E5AA4">
        <w:rPr>
          <w:sz w:val="22"/>
          <w:szCs w:val="22"/>
        </w:rPr>
        <w:tab/>
      </w:r>
      <w:proofErr w:type="spellStart"/>
      <w:r w:rsidR="005E5AA4">
        <w:rPr>
          <w:sz w:val="22"/>
          <w:szCs w:val="22"/>
        </w:rPr>
        <w:t>Programme</w:t>
      </w:r>
      <w:proofErr w:type="spellEnd"/>
      <w:r w:rsidR="005E5AA4">
        <w:rPr>
          <w:sz w:val="22"/>
          <w:szCs w:val="22"/>
        </w:rPr>
        <w:t xml:space="preserve"> Director (item 7)</w:t>
      </w:r>
    </w:p>
    <w:p w14:paraId="52284209" w14:textId="4A07E59E" w:rsidR="00EE4E15" w:rsidRDefault="00EE4E15" w:rsidP="00FE0664">
      <w:pPr>
        <w:pStyle w:val="NICEnormal"/>
        <w:tabs>
          <w:tab w:val="left" w:pos="2552"/>
        </w:tabs>
        <w:spacing w:after="0" w:line="240" w:lineRule="auto"/>
        <w:ind w:left="2268" w:hanging="2268"/>
        <w:rPr>
          <w:sz w:val="22"/>
          <w:szCs w:val="22"/>
        </w:rPr>
      </w:pPr>
      <w:r>
        <w:rPr>
          <w:sz w:val="22"/>
          <w:szCs w:val="22"/>
        </w:rPr>
        <w:t>Eileen Platt</w:t>
      </w:r>
      <w:r w:rsidR="005E5AA4">
        <w:rPr>
          <w:sz w:val="22"/>
          <w:szCs w:val="22"/>
        </w:rPr>
        <w:tab/>
        <w:t>Head of HR Operations and Resources (item 8)</w:t>
      </w:r>
    </w:p>
    <w:p w14:paraId="1CF70CA0" w14:textId="0776BF40" w:rsidR="00FE0664" w:rsidRDefault="00FE0664" w:rsidP="00FE0664">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t>Corporate Governance and Risk Manager (minutes)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4F65D512" w14:textId="2F29F9C5" w:rsidR="005E5AA4" w:rsidRDefault="005E5AA4" w:rsidP="00FE0664">
      <w:pPr>
        <w:pStyle w:val="NICEnormal"/>
        <w:tabs>
          <w:tab w:val="left" w:pos="2552"/>
        </w:tabs>
        <w:spacing w:after="0" w:line="240" w:lineRule="auto"/>
        <w:ind w:left="2268" w:hanging="2268"/>
        <w:rPr>
          <w:b/>
          <w:bCs/>
          <w:sz w:val="22"/>
          <w:szCs w:val="22"/>
        </w:rPr>
      </w:pPr>
      <w:r>
        <w:rPr>
          <w:b/>
          <w:bCs/>
          <w:sz w:val="22"/>
          <w:szCs w:val="22"/>
        </w:rPr>
        <w:t>Guest</w:t>
      </w:r>
    </w:p>
    <w:p w14:paraId="785FBE00" w14:textId="75E9B29F" w:rsidR="005E5AA4" w:rsidRPr="005E5AA4" w:rsidRDefault="005E5AA4" w:rsidP="00FE0664">
      <w:pPr>
        <w:pStyle w:val="NICEnormal"/>
        <w:tabs>
          <w:tab w:val="left" w:pos="2552"/>
        </w:tabs>
        <w:spacing w:after="0" w:line="240" w:lineRule="auto"/>
        <w:ind w:left="2268" w:hanging="2268"/>
        <w:rPr>
          <w:sz w:val="22"/>
          <w:szCs w:val="22"/>
        </w:rPr>
      </w:pPr>
      <w:r>
        <w:rPr>
          <w:sz w:val="22"/>
          <w:szCs w:val="22"/>
        </w:rPr>
        <w:t>Suzanne Tang</w:t>
      </w:r>
      <w:r w:rsidR="004B4530">
        <w:rPr>
          <w:sz w:val="22"/>
          <w:szCs w:val="22"/>
        </w:rPr>
        <w:tab/>
        <w:t>Public Health Registrar</w:t>
      </w:r>
      <w:r w:rsidR="00A27CD8">
        <w:rPr>
          <w:sz w:val="22"/>
          <w:szCs w:val="22"/>
        </w:rPr>
        <w:t xml:space="preserve"> (item 7)</w:t>
      </w: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75AD15D3" w:rsidR="005D09EB" w:rsidRDefault="00EE4E15" w:rsidP="008A0A12">
      <w:pPr>
        <w:pStyle w:val="Numberedpara"/>
      </w:pPr>
      <w:r>
        <w:t>There were no a</w:t>
      </w:r>
      <w:r w:rsidR="00486184">
        <w:t>pologies</w:t>
      </w:r>
      <w:r w:rsidR="00C73560">
        <w:t xml:space="preserve"> for absence</w:t>
      </w:r>
      <w:r>
        <w:t>.</w:t>
      </w:r>
    </w:p>
    <w:p w14:paraId="66468C56" w14:textId="67127977" w:rsidR="006F3BE2" w:rsidRDefault="006F3BE2" w:rsidP="00B55E00">
      <w:pPr>
        <w:pStyle w:val="Heading2"/>
      </w:pPr>
      <w:r>
        <w:t xml:space="preserve">Declarations of interest (item </w:t>
      </w:r>
      <w:r w:rsidR="00EE0338">
        <w:t>2</w:t>
      </w:r>
      <w:r>
        <w:t>)</w:t>
      </w:r>
    </w:p>
    <w:p w14:paraId="77510A9D" w14:textId="0B72896F" w:rsidR="0069182A" w:rsidRPr="0069182A" w:rsidRDefault="006F3BE2" w:rsidP="00E00E8E">
      <w:pPr>
        <w:pStyle w:val="Numberedpara"/>
        <w:rPr>
          <w:b/>
          <w:bCs/>
        </w:rPr>
      </w:pPr>
      <w:r>
        <w:t xml:space="preserve">The </w:t>
      </w:r>
      <w:r w:rsidRPr="008B3AAD">
        <w:t>previously declared interests were noted</w:t>
      </w:r>
      <w:r w:rsidR="0069182A">
        <w:t>.</w:t>
      </w:r>
    </w:p>
    <w:p w14:paraId="02157615" w14:textId="36E493B2" w:rsidR="006F3BE2" w:rsidRPr="008B3AAD" w:rsidRDefault="006F3BE2" w:rsidP="00B55E00">
      <w:pPr>
        <w:pStyle w:val="Heading2"/>
      </w:pPr>
      <w:r w:rsidRPr="008B3AAD">
        <w:t>Notes of the previous meeting</w:t>
      </w:r>
      <w:r w:rsidR="00EA0D83" w:rsidRPr="008B3AAD">
        <w:t>s</w:t>
      </w:r>
      <w:r w:rsidRPr="008B3AAD">
        <w:t xml:space="preserve"> (item </w:t>
      </w:r>
      <w:r w:rsidR="00FD53E9" w:rsidRPr="008B3AAD">
        <w:t>3.1</w:t>
      </w:r>
      <w:r w:rsidRPr="008B3AAD">
        <w:t>)</w:t>
      </w:r>
    </w:p>
    <w:p w14:paraId="44D6D123" w14:textId="6B48012D" w:rsidR="00EA0D83" w:rsidRDefault="00EA0D83" w:rsidP="00E4047B">
      <w:pPr>
        <w:pStyle w:val="Numberedpara"/>
        <w:tabs>
          <w:tab w:val="left" w:pos="1701"/>
        </w:tabs>
      </w:pPr>
      <w:r w:rsidRPr="008B3AAD">
        <w:t>T</w:t>
      </w:r>
      <w:r w:rsidR="006F3BE2" w:rsidRPr="008B3AAD">
        <w:t>he minutes of the meeting held on</w:t>
      </w:r>
      <w:r w:rsidR="002919E6" w:rsidRPr="008B3AAD">
        <w:t xml:space="preserve"> </w:t>
      </w:r>
      <w:r w:rsidR="00EE4E15">
        <w:t>18</w:t>
      </w:r>
      <w:r w:rsidR="00AF4DF5">
        <w:t xml:space="preserve"> Octo</w:t>
      </w:r>
      <w:r w:rsidR="004038A8">
        <w:t>ber</w:t>
      </w:r>
      <w:r w:rsidR="00FB465A" w:rsidRPr="008B3AAD">
        <w:t xml:space="preserve"> </w:t>
      </w:r>
      <w:r w:rsidR="00AA6BE9" w:rsidRPr="008B3AAD">
        <w:t>2022</w:t>
      </w:r>
      <w:r w:rsidR="00E46189" w:rsidRPr="008B3AAD">
        <w:t xml:space="preserve"> were </w:t>
      </w:r>
      <w:r w:rsidR="00390471" w:rsidRPr="008B3AAD">
        <w:t>agreed as a correct record</w:t>
      </w:r>
      <w:r w:rsidR="00EE4E15">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737197B7" w:rsidR="00036639" w:rsidRPr="00036639" w:rsidRDefault="00036639" w:rsidP="0017400A">
      <w:pPr>
        <w:pStyle w:val="Numberedpara"/>
        <w:rPr>
          <w:b/>
          <w:bCs/>
        </w:rPr>
      </w:pPr>
      <w:r>
        <w:t xml:space="preserve">The actions from the meeting on </w:t>
      </w:r>
      <w:r w:rsidR="00EE4E15">
        <w:t>18</w:t>
      </w:r>
      <w:r w:rsidR="002D5725">
        <w:t xml:space="preserve"> Octo</w:t>
      </w:r>
      <w:r w:rsidR="004038A8">
        <w:t>ber</w:t>
      </w:r>
      <w:r>
        <w:t xml:space="preserve"> 2022 were </w:t>
      </w:r>
      <w:r w:rsidR="00917F65">
        <w:t>reviewed</w:t>
      </w:r>
      <w:r w:rsidR="00482547">
        <w:t xml:space="preserve"> and the following matters arising were discussed:</w:t>
      </w:r>
      <w:r>
        <w:t xml:space="preserve">  </w:t>
      </w:r>
    </w:p>
    <w:p w14:paraId="1F6A1DF5" w14:textId="5995E02C" w:rsidR="00EA28C5" w:rsidRDefault="00482547" w:rsidP="00A01790">
      <w:pPr>
        <w:pStyle w:val="Numberedpara"/>
      </w:pPr>
      <w:r w:rsidRPr="00EA28C5">
        <w:rPr>
          <w:b/>
          <w:bCs/>
        </w:rPr>
        <w:t xml:space="preserve">Minute </w:t>
      </w:r>
      <w:r w:rsidR="003349CB" w:rsidRPr="00EA28C5">
        <w:rPr>
          <w:b/>
          <w:bCs/>
        </w:rPr>
        <w:t>13</w:t>
      </w:r>
      <w:r>
        <w:t xml:space="preserve"> </w:t>
      </w:r>
      <w:r w:rsidR="002D5725">
        <w:t>–</w:t>
      </w:r>
      <w:r>
        <w:t xml:space="preserve"> </w:t>
      </w:r>
      <w:r w:rsidR="00EA28C5">
        <w:t xml:space="preserve">Boryana Stambolova </w:t>
      </w:r>
      <w:r w:rsidR="001C06BD">
        <w:t xml:space="preserve">had </w:t>
      </w:r>
      <w:r w:rsidR="00EA28C5">
        <w:t>circulated a schedule of the business case</w:t>
      </w:r>
      <w:r w:rsidR="001C06BD">
        <w:t xml:space="preserve"> </w:t>
      </w:r>
      <w:r w:rsidR="00EA28C5">
        <w:t xml:space="preserve">submissions to utilise the forecast underspend.  The total forecast </w:t>
      </w:r>
      <w:proofErr w:type="gramStart"/>
      <w:r w:rsidR="00EA28C5">
        <w:t>spend</w:t>
      </w:r>
      <w:proofErr w:type="gramEnd"/>
      <w:r w:rsidR="00EA28C5">
        <w:t xml:space="preserve"> on the 17 projects listed was £1.9m until 31 March 2023, of which 70% (</w:t>
      </w:r>
      <w:proofErr w:type="spellStart"/>
      <w:r w:rsidR="001C06BD">
        <w:t>approx</w:t>
      </w:r>
      <w:proofErr w:type="spellEnd"/>
      <w:r w:rsidR="00EA28C5">
        <w:t xml:space="preserve"> £1.3m) is planned to be spent during </w:t>
      </w:r>
      <w:r w:rsidR="001C06BD">
        <w:t>Q4</w:t>
      </w:r>
      <w:r w:rsidR="00EA28C5">
        <w:t xml:space="preserve">. The actual expenditure </w:t>
      </w:r>
      <w:proofErr w:type="gramStart"/>
      <w:r w:rsidR="00EA28C5">
        <w:t>at</w:t>
      </w:r>
      <w:proofErr w:type="gramEnd"/>
      <w:r w:rsidR="00EA28C5">
        <w:t xml:space="preserve"> 30 Sept</w:t>
      </w:r>
      <w:r w:rsidR="00852643">
        <w:t>ember</w:t>
      </w:r>
      <w:r w:rsidR="00EA28C5">
        <w:t xml:space="preserve"> was £160k.</w:t>
      </w:r>
      <w:r w:rsidR="00852643">
        <w:t xml:space="preserve">  The table had been RAG rated with the finance and commercial team’s assessment of the maturity of the project in terms of procurement and likely spend.</w:t>
      </w:r>
      <w:r w:rsidR="00685746">
        <w:t xml:space="preserve">  Boryana agreed to speak with ET members individually regarding the progress of spend.</w:t>
      </w:r>
    </w:p>
    <w:p w14:paraId="1ECAB3BE" w14:textId="4BE5E9A0" w:rsidR="00575012" w:rsidRPr="00575012" w:rsidRDefault="00176493" w:rsidP="00575012">
      <w:pPr>
        <w:pStyle w:val="Numberedpara"/>
        <w:numPr>
          <w:ilvl w:val="0"/>
          <w:numId w:val="0"/>
        </w:numPr>
        <w:ind w:left="357"/>
      </w:pPr>
      <w:r w:rsidRPr="00575012">
        <w:rPr>
          <w:b/>
          <w:bCs/>
        </w:rPr>
        <w:lastRenderedPageBreak/>
        <w:t xml:space="preserve">Minute </w:t>
      </w:r>
      <w:r w:rsidR="003349CB" w:rsidRPr="00575012">
        <w:rPr>
          <w:b/>
          <w:bCs/>
        </w:rPr>
        <w:t>17 &amp; 1</w:t>
      </w:r>
      <w:r w:rsidR="00575012">
        <w:rPr>
          <w:b/>
          <w:bCs/>
        </w:rPr>
        <w:t>9</w:t>
      </w:r>
      <w:r w:rsidR="002D5725">
        <w:t xml:space="preserve"> – </w:t>
      </w:r>
      <w:r w:rsidR="00575012">
        <w:t xml:space="preserve">A further paper on maintaining </w:t>
      </w:r>
      <w:r w:rsidR="00575012" w:rsidRPr="00575012">
        <w:t>the living COVID guideline including the MTA and STA</w:t>
      </w:r>
      <w:r w:rsidR="00575012">
        <w:t xml:space="preserve"> will be presented to ET next week.</w:t>
      </w:r>
    </w:p>
    <w:p w14:paraId="2358D79F" w14:textId="60D515CD" w:rsidR="00C6273F" w:rsidRPr="00C6273F" w:rsidRDefault="00176493" w:rsidP="00176493">
      <w:pPr>
        <w:pStyle w:val="Numberedpara"/>
        <w:rPr>
          <w:b/>
          <w:bCs/>
        </w:rPr>
      </w:pPr>
      <w:r>
        <w:rPr>
          <w:b/>
          <w:bCs/>
        </w:rPr>
        <w:t xml:space="preserve">Minute </w:t>
      </w:r>
      <w:r w:rsidR="003349CB">
        <w:rPr>
          <w:b/>
          <w:bCs/>
        </w:rPr>
        <w:t>22</w:t>
      </w:r>
      <w:r>
        <w:t xml:space="preserve"> –</w:t>
      </w:r>
      <w:r w:rsidR="002D5725">
        <w:t xml:space="preserve"> </w:t>
      </w:r>
      <w:r w:rsidR="00575012">
        <w:t xml:space="preserve">Paul Chrisp confirmed a final meeting of the GRIP had taken place and assurances were given to the </w:t>
      </w:r>
      <w:r w:rsidR="00A27CD8">
        <w:t xml:space="preserve">panel </w:t>
      </w:r>
      <w:r w:rsidR="00575012">
        <w:t xml:space="preserve">members that a re-focussed group would be established and their views would be </w:t>
      </w:r>
      <w:proofErr w:type="gramStart"/>
      <w:r w:rsidR="00575012">
        <w:t>taken into account</w:t>
      </w:r>
      <w:proofErr w:type="gramEnd"/>
      <w:r w:rsidR="00575012">
        <w:t xml:space="preserve"> in how it </w:t>
      </w:r>
      <w:r w:rsidR="00A27CD8">
        <w:t xml:space="preserve">will </w:t>
      </w:r>
      <w:r w:rsidR="00575012">
        <w:t>operate going forward.</w:t>
      </w:r>
    </w:p>
    <w:p w14:paraId="29D16C19" w14:textId="09574C96" w:rsidR="00620D1F" w:rsidRPr="005D46AF" w:rsidRDefault="002E63C9" w:rsidP="005D46AF">
      <w:pPr>
        <w:pStyle w:val="Numberedpara"/>
        <w:numPr>
          <w:ilvl w:val="0"/>
          <w:numId w:val="0"/>
        </w:numPr>
        <w:ind w:left="357" w:hanging="357"/>
      </w:pPr>
      <w:r>
        <w:rPr>
          <w:b/>
          <w:bCs/>
        </w:rPr>
        <w:t>Octo</w:t>
      </w:r>
      <w:r w:rsidR="00C61D96">
        <w:rPr>
          <w:b/>
          <w:bCs/>
        </w:rPr>
        <w:t>ber</w:t>
      </w:r>
      <w:r w:rsidR="003462FF">
        <w:rPr>
          <w:b/>
          <w:bCs/>
        </w:rPr>
        <w:t xml:space="preserve"> board </w:t>
      </w:r>
      <w:r>
        <w:rPr>
          <w:b/>
          <w:bCs/>
        </w:rPr>
        <w:t>strategy away day</w:t>
      </w:r>
      <w:r w:rsidR="00AD6A59" w:rsidRPr="005D46AF">
        <w:rPr>
          <w:b/>
          <w:bCs/>
        </w:rPr>
        <w:t xml:space="preserve"> (item 4)</w:t>
      </w:r>
    </w:p>
    <w:p w14:paraId="52268F4E" w14:textId="7BADB199" w:rsidR="00837437" w:rsidRDefault="00D9791A" w:rsidP="00E85C84">
      <w:pPr>
        <w:pStyle w:val="Numberedpara"/>
      </w:pPr>
      <w:r>
        <w:t xml:space="preserve">ET </w:t>
      </w:r>
      <w:r w:rsidR="00D57F8B">
        <w:t>reflected on the board strategy</w:t>
      </w:r>
      <w:r>
        <w:t xml:space="preserve"> day</w:t>
      </w:r>
      <w:r w:rsidR="00A844AC">
        <w:t xml:space="preserve"> </w:t>
      </w:r>
      <w:r w:rsidR="001E0941">
        <w:t xml:space="preserve">and </w:t>
      </w:r>
      <w:r w:rsidR="00A844AC">
        <w:t xml:space="preserve">noted the </w:t>
      </w:r>
      <w:r w:rsidR="001E0941">
        <w:t>next steps</w:t>
      </w:r>
      <w:r w:rsidR="00A844AC">
        <w:t>.  The key outcomes</w:t>
      </w:r>
      <w:r w:rsidR="00D57F8B">
        <w:t xml:space="preserve"> were being summarised in a paper by Dani Mason</w:t>
      </w:r>
      <w:r w:rsidR="00DE1C3F">
        <w:t xml:space="preserve"> </w:t>
      </w:r>
      <w:r w:rsidR="00A844AC">
        <w:t>which will be</w:t>
      </w:r>
      <w:r w:rsidR="00DE1C3F">
        <w:t xml:space="preserve"> shar</w:t>
      </w:r>
      <w:r w:rsidR="00A844AC">
        <w:t>ed</w:t>
      </w:r>
      <w:r w:rsidR="00DE1C3F">
        <w:t xml:space="preserve"> with the board members.</w:t>
      </w:r>
      <w:r w:rsidR="001E0941">
        <w:t xml:space="preserve">  It was queried whether the </w:t>
      </w:r>
      <w:r w:rsidR="00A844AC">
        <w:t>key messages</w:t>
      </w:r>
      <w:r w:rsidR="001E0941">
        <w:t xml:space="preserve"> from the </w:t>
      </w:r>
      <w:r w:rsidR="00A844AC">
        <w:t xml:space="preserve">board </w:t>
      </w:r>
      <w:r w:rsidR="001E0941">
        <w:t xml:space="preserve">will </w:t>
      </w:r>
      <w:r w:rsidR="00A844AC">
        <w:t xml:space="preserve">form </w:t>
      </w:r>
      <w:r w:rsidR="001E0941">
        <w:t xml:space="preserve">the basis </w:t>
      </w:r>
      <w:r w:rsidR="00A844AC">
        <w:t xml:space="preserve">of </w:t>
      </w:r>
      <w:r w:rsidR="00A27CD8">
        <w:t xml:space="preserve">ET’s </w:t>
      </w:r>
      <w:r w:rsidR="001E0941">
        <w:t>strategic planning</w:t>
      </w:r>
      <w:r w:rsidR="00A27CD8">
        <w:t xml:space="preserve"> session</w:t>
      </w:r>
      <w:r w:rsidR="001E0941">
        <w:t>.</w:t>
      </w:r>
    </w:p>
    <w:p w14:paraId="3FF57E5F" w14:textId="059345A0" w:rsidR="00DE1C3F" w:rsidRDefault="00A844AC" w:rsidP="00E85C84">
      <w:pPr>
        <w:pStyle w:val="Numberedpara"/>
      </w:pPr>
      <w:r>
        <w:t>Sam Roberts confirmed that she was working on a separate paper with Kendal</w:t>
      </w:r>
      <w:r w:rsidR="002B3552">
        <w:t>l</w:t>
      </w:r>
      <w:r>
        <w:t xml:space="preserve"> Jamieson Gilmore f</w:t>
      </w:r>
      <w:r w:rsidR="00DE1C3F">
        <w:t xml:space="preserve">or the ET strategic planning day on 15 November, </w:t>
      </w:r>
      <w:r w:rsidR="001E0941">
        <w:t>which will be circulated in advance</w:t>
      </w:r>
      <w:r w:rsidR="00A27CD8">
        <w:t xml:space="preserve"> of the meeting</w:t>
      </w:r>
      <w:r w:rsidR="001E0941">
        <w:t>.</w:t>
      </w:r>
    </w:p>
    <w:p w14:paraId="32B308D9" w14:textId="771A12BC" w:rsidR="001E0941" w:rsidRPr="00E518C6" w:rsidRDefault="001E0941" w:rsidP="00E85C84">
      <w:pPr>
        <w:pStyle w:val="Numberedpara"/>
      </w:pPr>
      <w:r>
        <w:t xml:space="preserve">It was noted that the </w:t>
      </w:r>
      <w:r w:rsidR="00A844AC">
        <w:t>‘</w:t>
      </w:r>
      <w:r>
        <w:t>in person</w:t>
      </w:r>
      <w:r w:rsidR="00A844AC">
        <w:t>’</w:t>
      </w:r>
      <w:r>
        <w:t xml:space="preserve"> </w:t>
      </w:r>
      <w:r w:rsidR="00A844AC">
        <w:t xml:space="preserve">informal </w:t>
      </w:r>
      <w:r>
        <w:t>E</w:t>
      </w:r>
      <w:r w:rsidR="00A844AC">
        <w:t>T</w:t>
      </w:r>
      <w:r>
        <w:t xml:space="preserve"> meeting planned for 8 November may be affected by rail strikes</w:t>
      </w:r>
      <w:r w:rsidR="00A844AC">
        <w:t xml:space="preserve"> planned for 7 &amp; 9 November</w:t>
      </w:r>
      <w:r>
        <w:t>.</w:t>
      </w:r>
      <w:r w:rsidR="00A844AC">
        <w:t xml:space="preserve">  David Coombs was asked to look at whether the arrangements will need to be changed.</w:t>
      </w:r>
    </w:p>
    <w:p w14:paraId="22CA718B" w14:textId="4EB57307" w:rsidR="00AD6A59" w:rsidRPr="00621DDE" w:rsidRDefault="00B14874" w:rsidP="00405A4B">
      <w:pPr>
        <w:pStyle w:val="Numberedpara"/>
        <w:numPr>
          <w:ilvl w:val="0"/>
          <w:numId w:val="0"/>
        </w:numPr>
        <w:rPr>
          <w:b/>
          <w:bCs/>
        </w:rPr>
      </w:pPr>
      <w:bookmarkStart w:id="0" w:name="_Hlk113882076"/>
      <w:r>
        <w:rPr>
          <w:b/>
          <w:bCs/>
        </w:rPr>
        <w:t>EDI focus on recruitment</w:t>
      </w:r>
      <w:r w:rsidR="002E63C9" w:rsidRPr="00621DDE">
        <w:rPr>
          <w:b/>
          <w:bCs/>
        </w:rPr>
        <w:t xml:space="preserve"> </w:t>
      </w:r>
      <w:r w:rsidR="00AD6A59" w:rsidRPr="00621DDE">
        <w:rPr>
          <w:b/>
          <w:bCs/>
        </w:rPr>
        <w:t>(item 5)</w:t>
      </w:r>
    </w:p>
    <w:p w14:paraId="5AEFDDCF" w14:textId="0C859B26" w:rsidR="001661B7" w:rsidRDefault="00C358D9" w:rsidP="00200BF0">
      <w:pPr>
        <w:pStyle w:val="Numberedpara"/>
      </w:pPr>
      <w:bookmarkStart w:id="1" w:name="_Hlk77685832"/>
      <w:r w:rsidRPr="00621DDE">
        <w:t xml:space="preserve">ET </w:t>
      </w:r>
      <w:r w:rsidR="00996B27">
        <w:t>received an update on the EDI KPIs and an update on activities during October by directorate.  Members of the DAWN staff network joined the meeting.  The theme this month was recruitment.</w:t>
      </w:r>
    </w:p>
    <w:p w14:paraId="444905D2" w14:textId="07729ED5" w:rsidR="00996B27" w:rsidRDefault="00996B27" w:rsidP="00A27CD8">
      <w:pPr>
        <w:pStyle w:val="Numberedpara"/>
        <w:spacing w:after="120"/>
      </w:pPr>
      <w:r>
        <w:t>Nicky Tyson introduced proposals for improving recruitment process and practice</w:t>
      </w:r>
      <w:r w:rsidR="00064913">
        <w:t>, focussing on four key areas:</w:t>
      </w:r>
    </w:p>
    <w:p w14:paraId="53440D78" w14:textId="37E9B416" w:rsidR="00064913" w:rsidRDefault="00A27CD8" w:rsidP="00064913">
      <w:pPr>
        <w:pStyle w:val="Numberedpara"/>
        <w:numPr>
          <w:ilvl w:val="0"/>
          <w:numId w:val="13"/>
        </w:numPr>
        <w:spacing w:after="120"/>
        <w:ind w:left="1071" w:hanging="357"/>
      </w:pPr>
      <w:r>
        <w:t>d</w:t>
      </w:r>
      <w:r w:rsidR="00064913">
        <w:t>eveloping and improving diverse recruitment panels</w:t>
      </w:r>
    </w:p>
    <w:p w14:paraId="4883073A" w14:textId="12B3B900" w:rsidR="00064913" w:rsidRDefault="00A27CD8" w:rsidP="00064913">
      <w:pPr>
        <w:pStyle w:val="Numberedpara"/>
        <w:numPr>
          <w:ilvl w:val="0"/>
          <w:numId w:val="13"/>
        </w:numPr>
        <w:spacing w:after="120"/>
        <w:ind w:left="1071" w:hanging="357"/>
      </w:pPr>
      <w:r>
        <w:t>s</w:t>
      </w:r>
      <w:r w:rsidR="00064913">
        <w:t>upporting hiring managers with high quality recruitment training</w:t>
      </w:r>
    </w:p>
    <w:p w14:paraId="6A6E55D2" w14:textId="39B142F4" w:rsidR="00064913" w:rsidRDefault="00A27CD8" w:rsidP="00064913">
      <w:pPr>
        <w:pStyle w:val="Numberedpara"/>
        <w:numPr>
          <w:ilvl w:val="0"/>
          <w:numId w:val="13"/>
        </w:numPr>
        <w:spacing w:after="120"/>
        <w:ind w:left="1071" w:hanging="357"/>
      </w:pPr>
      <w:r>
        <w:t>b</w:t>
      </w:r>
      <w:r w:rsidR="00064913">
        <w:t>uilding in greater hiring manager accountability for recruitment decisions and candidate feedback</w:t>
      </w:r>
    </w:p>
    <w:p w14:paraId="23A1BC6F" w14:textId="3AE646A6" w:rsidR="00064913" w:rsidRDefault="00A27CD8" w:rsidP="00A27CD8">
      <w:pPr>
        <w:pStyle w:val="Numberedpara"/>
        <w:numPr>
          <w:ilvl w:val="0"/>
          <w:numId w:val="13"/>
        </w:numPr>
        <w:spacing w:after="120"/>
        <w:ind w:left="1071" w:hanging="357"/>
      </w:pPr>
      <w:r>
        <w:t>a</w:t>
      </w:r>
      <w:r w:rsidR="00064913">
        <w:t>chieving a healthy balance of internal / external appointments</w:t>
      </w:r>
    </w:p>
    <w:p w14:paraId="1149BB26" w14:textId="753EA34C" w:rsidR="003F5C5C" w:rsidRPr="00F4600C" w:rsidRDefault="00064913" w:rsidP="00200BF0">
      <w:pPr>
        <w:pStyle w:val="Numberedpara"/>
      </w:pPr>
      <w:r>
        <w:t xml:space="preserve">The proposal was to provide additional </w:t>
      </w:r>
      <w:r w:rsidR="00D55791">
        <w:t xml:space="preserve">180 </w:t>
      </w:r>
      <w:r>
        <w:t xml:space="preserve">training </w:t>
      </w:r>
      <w:r w:rsidR="00D55791">
        <w:t>places to hiring managers between November - March 2023 to support the changes.</w:t>
      </w:r>
      <w:r w:rsidR="003F5C5C">
        <w:t xml:space="preserve">  Following a debate of the proposal to </w:t>
      </w:r>
      <w:r w:rsidR="003F5C5C" w:rsidRPr="003F5C5C">
        <w:rPr>
          <w:lang w:val="en-US"/>
        </w:rPr>
        <w:t xml:space="preserve">launch a NICE-wide engagement campaign to expand </w:t>
      </w:r>
      <w:r w:rsidR="003F5C5C">
        <w:rPr>
          <w:lang w:val="en-US"/>
        </w:rPr>
        <w:t>the</w:t>
      </w:r>
      <w:r w:rsidR="003F5C5C" w:rsidRPr="003F5C5C">
        <w:rPr>
          <w:lang w:val="en-US"/>
        </w:rPr>
        <w:t xml:space="preserve"> pool of available panelists</w:t>
      </w:r>
      <w:r w:rsidR="003F5C5C">
        <w:t xml:space="preserve"> to achieve more diverse interview panels, </w:t>
      </w:r>
      <w:r w:rsidR="003F5C5C" w:rsidRPr="003F5C5C">
        <w:rPr>
          <w:lang w:val="en-US"/>
        </w:rPr>
        <w:t>with the support of REN</w:t>
      </w:r>
      <w:r w:rsidR="003F5C5C">
        <w:rPr>
          <w:lang w:val="en-US"/>
        </w:rPr>
        <w:t>, ET proposed that</w:t>
      </w:r>
      <w:r w:rsidR="00F4600C">
        <w:rPr>
          <w:lang w:val="en-US"/>
        </w:rPr>
        <w:t>:</w:t>
      </w:r>
    </w:p>
    <w:p w14:paraId="7F0B9BB5" w14:textId="0F08101A" w:rsidR="00F4600C" w:rsidRDefault="00F4600C" w:rsidP="00A27CD8">
      <w:pPr>
        <w:pStyle w:val="Numberedpara"/>
        <w:numPr>
          <w:ilvl w:val="0"/>
          <w:numId w:val="14"/>
        </w:numPr>
        <w:spacing w:after="120"/>
        <w:ind w:left="1071" w:hanging="357"/>
      </w:pPr>
      <w:r>
        <w:t xml:space="preserve">from November it will be mandatory for all band 7 plus roles, to have a diverse panel which includes one Black, Asian and minority ethnic </w:t>
      </w:r>
      <w:r w:rsidR="00A27CD8">
        <w:t>panellist</w:t>
      </w:r>
    </w:p>
    <w:p w14:paraId="6EE8D823" w14:textId="2FE4CA86" w:rsidR="00F4600C" w:rsidRDefault="00F4600C" w:rsidP="00F4600C">
      <w:pPr>
        <w:pStyle w:val="Numberedpara"/>
        <w:numPr>
          <w:ilvl w:val="0"/>
          <w:numId w:val="14"/>
        </w:numPr>
      </w:pPr>
      <w:r>
        <w:t xml:space="preserve">from November, the </w:t>
      </w:r>
      <w:r w:rsidRPr="003F5C5C">
        <w:rPr>
          <w:lang w:val="en-US"/>
        </w:rPr>
        <w:t>pool of available panelists</w:t>
      </w:r>
      <w:r>
        <w:rPr>
          <w:lang w:val="en-US"/>
        </w:rPr>
        <w:t xml:space="preserve"> is opened to staff at all level</w:t>
      </w:r>
      <w:r w:rsidR="00A27CD8">
        <w:rPr>
          <w:lang w:val="en-US"/>
        </w:rPr>
        <w:t>s, not limited to band 7 and above.</w:t>
      </w:r>
    </w:p>
    <w:p w14:paraId="3C4BAFE1" w14:textId="435E7728" w:rsidR="00F4600C" w:rsidRDefault="00F4600C" w:rsidP="00200BF0">
      <w:pPr>
        <w:pStyle w:val="Numberedpara"/>
      </w:pPr>
      <w:r>
        <w:t xml:space="preserve">The inclusion of other diversities in the pool of available interview </w:t>
      </w:r>
      <w:proofErr w:type="spellStart"/>
      <w:r>
        <w:t>panelists</w:t>
      </w:r>
      <w:proofErr w:type="spellEnd"/>
      <w:r>
        <w:t xml:space="preserve">, will be the next phase of the work. </w:t>
      </w:r>
    </w:p>
    <w:p w14:paraId="54AF55FE" w14:textId="1E22B0D1" w:rsidR="00064913" w:rsidRDefault="003F5C5C" w:rsidP="00200BF0">
      <w:pPr>
        <w:pStyle w:val="Numberedpara"/>
      </w:pPr>
      <w:r>
        <w:t xml:space="preserve">ET agreed that </w:t>
      </w:r>
      <w:r w:rsidR="00F4600C">
        <w:t xml:space="preserve">the revised proposals be shared with the NEDG group </w:t>
      </w:r>
      <w:r w:rsidR="00A27CD8">
        <w:t>for consideration</w:t>
      </w:r>
      <w:r w:rsidR="00F4600C">
        <w:t xml:space="preserve"> and, subject to its support, </w:t>
      </w:r>
      <w:r w:rsidR="00A27CD8">
        <w:t xml:space="preserve">be </w:t>
      </w:r>
      <w:r w:rsidR="00F4600C">
        <w:t xml:space="preserve">communicated to staff at the all-staff meeting on 15 November, where </w:t>
      </w:r>
      <w:r w:rsidR="00AD5787">
        <w:t xml:space="preserve">four </w:t>
      </w:r>
      <w:r w:rsidR="00F4600C">
        <w:t xml:space="preserve">ET members will be invited to talk about the work that is happening in their directorate to support </w:t>
      </w:r>
      <w:r w:rsidR="00AD5787">
        <w:t>the four bullet points highlighted above.</w:t>
      </w:r>
    </w:p>
    <w:p w14:paraId="4CE7A3C1" w14:textId="67121742" w:rsidR="001661B7" w:rsidRPr="00A04C46" w:rsidRDefault="00A04C46" w:rsidP="00A04C46">
      <w:pPr>
        <w:pStyle w:val="Numberedpara"/>
        <w:numPr>
          <w:ilvl w:val="0"/>
          <w:numId w:val="0"/>
        </w:numPr>
        <w:ind w:left="357"/>
        <w:jc w:val="right"/>
        <w:rPr>
          <w:b/>
          <w:bCs/>
        </w:rPr>
      </w:pPr>
      <w:r w:rsidRPr="00A04C46">
        <w:rPr>
          <w:b/>
          <w:bCs/>
        </w:rPr>
        <w:t xml:space="preserve">ACTION: </w:t>
      </w:r>
      <w:r w:rsidR="00B14874">
        <w:rPr>
          <w:b/>
          <w:bCs/>
        </w:rPr>
        <w:t>NT</w:t>
      </w:r>
      <w:r w:rsidR="008E032E">
        <w:rPr>
          <w:b/>
          <w:bCs/>
        </w:rPr>
        <w:t xml:space="preserve"> / All</w:t>
      </w:r>
    </w:p>
    <w:p w14:paraId="2C43A701" w14:textId="2F14BAF5" w:rsidR="00AB32AF" w:rsidRDefault="00B14874" w:rsidP="00AB32AF">
      <w:pPr>
        <w:pStyle w:val="Heading2"/>
      </w:pPr>
      <w:r>
        <w:lastRenderedPageBreak/>
        <w:t>Environmental sustainability strategy</w:t>
      </w:r>
      <w:r w:rsidR="00AB32AF">
        <w:t xml:space="preserve"> </w:t>
      </w:r>
      <w:r w:rsidR="00AB32AF" w:rsidRPr="00405A4B">
        <w:t xml:space="preserve">(item </w:t>
      </w:r>
      <w:r w:rsidR="00AB32AF">
        <w:t>6)</w:t>
      </w:r>
    </w:p>
    <w:p w14:paraId="14EB217C" w14:textId="591E93C1" w:rsidR="00764147" w:rsidRDefault="00AB32AF" w:rsidP="00AB32AF">
      <w:pPr>
        <w:pStyle w:val="Numberedpara"/>
      </w:pPr>
      <w:r>
        <w:t>F</w:t>
      </w:r>
      <w:r w:rsidR="000617A3">
        <w:t xml:space="preserve">elix </w:t>
      </w:r>
      <w:r w:rsidR="0080105D">
        <w:t xml:space="preserve">Greaves </w:t>
      </w:r>
      <w:r w:rsidR="000617A3">
        <w:t xml:space="preserve">introduced </w:t>
      </w:r>
      <w:r w:rsidR="00C91E2A">
        <w:t>a draft strategy for NICE’s future work on environmental sustainability</w:t>
      </w:r>
      <w:r w:rsidR="00A27CD8">
        <w:t xml:space="preserve"> </w:t>
      </w:r>
      <w:r w:rsidR="00C91E2A">
        <w:t>which provided clarity on how NICE can include environmental impact data in guidance to reduce the carbon footprint of health and care. It described how this work should be aligned to NICE’s wider organisational transformation programme to really add value to the patient, system and planetary benefits associated with NICE’s outputs.</w:t>
      </w:r>
    </w:p>
    <w:p w14:paraId="66A71018" w14:textId="39AB6BDF" w:rsidR="006C4B6C" w:rsidRDefault="00C91E2A" w:rsidP="00362730">
      <w:pPr>
        <w:pStyle w:val="Numberedpara"/>
        <w:spacing w:after="120"/>
      </w:pPr>
      <w:r>
        <w:t xml:space="preserve">ET </w:t>
      </w:r>
      <w:r w:rsidR="00FA0DE5">
        <w:t xml:space="preserve">welcomed the report and </w:t>
      </w:r>
      <w:r w:rsidR="009F7527">
        <w:t>support</w:t>
      </w:r>
      <w:r w:rsidR="00EC1082">
        <w:t>ed</w:t>
      </w:r>
      <w:r w:rsidR="009F7527">
        <w:t xml:space="preserve"> the proposed way forward </w:t>
      </w:r>
      <w:r w:rsidR="00EC1082">
        <w:t xml:space="preserve">set out </w:t>
      </w:r>
      <w:r w:rsidR="009F7527">
        <w:t xml:space="preserve">in para 26, but asked for further work </w:t>
      </w:r>
      <w:r w:rsidR="0060402B">
        <w:t xml:space="preserve">on the paper </w:t>
      </w:r>
      <w:r w:rsidR="009F7527">
        <w:t xml:space="preserve">to </w:t>
      </w:r>
      <w:r w:rsidR="003F0FE6">
        <w:t xml:space="preserve">better </w:t>
      </w:r>
      <w:r w:rsidR="009F7527">
        <w:t>understand</w:t>
      </w:r>
      <w:r w:rsidR="00EC1082">
        <w:t>:</w:t>
      </w:r>
    </w:p>
    <w:p w14:paraId="22831CD7" w14:textId="3A4B0E37" w:rsidR="00EC1082" w:rsidRDefault="00EC1082" w:rsidP="00EC1082">
      <w:pPr>
        <w:pStyle w:val="Numberedpara"/>
        <w:numPr>
          <w:ilvl w:val="0"/>
          <w:numId w:val="15"/>
        </w:numPr>
        <w:spacing w:after="60"/>
        <w:ind w:left="1071" w:hanging="357"/>
      </w:pPr>
      <w:r>
        <w:t xml:space="preserve">the full portfolio of activities that need to be </w:t>
      </w:r>
      <w:proofErr w:type="gramStart"/>
      <w:r w:rsidR="0060402B">
        <w:t>considered</w:t>
      </w:r>
      <w:proofErr w:type="gramEnd"/>
    </w:p>
    <w:p w14:paraId="6C6D2D4B" w14:textId="14B9F9C4" w:rsidR="00067C7D" w:rsidRDefault="00233652" w:rsidP="00EC1082">
      <w:pPr>
        <w:pStyle w:val="Numberedpara"/>
        <w:numPr>
          <w:ilvl w:val="0"/>
          <w:numId w:val="15"/>
        </w:numPr>
        <w:spacing w:after="60"/>
        <w:ind w:left="1071" w:hanging="357"/>
      </w:pPr>
      <w:r>
        <w:t xml:space="preserve">consider how the work can link with guidelines and a focus on reducing unnecessary </w:t>
      </w:r>
      <w:proofErr w:type="gramStart"/>
      <w:r>
        <w:t>care</w:t>
      </w:r>
      <w:proofErr w:type="gramEnd"/>
    </w:p>
    <w:p w14:paraId="3CD02050" w14:textId="7CB4D00A" w:rsidR="00EC1082" w:rsidRDefault="00EC1082" w:rsidP="00EC1082">
      <w:pPr>
        <w:pStyle w:val="Numberedpara"/>
        <w:numPr>
          <w:ilvl w:val="0"/>
          <w:numId w:val="15"/>
        </w:numPr>
        <w:spacing w:after="60"/>
        <w:ind w:left="1071" w:hanging="357"/>
      </w:pPr>
      <w:r>
        <w:t xml:space="preserve">what are the high impact issues that </w:t>
      </w:r>
      <w:r w:rsidR="0060402B">
        <w:t>are</w:t>
      </w:r>
      <w:r>
        <w:t xml:space="preserve"> </w:t>
      </w:r>
      <w:proofErr w:type="gramStart"/>
      <w:r>
        <w:t>implementable</w:t>
      </w:r>
      <w:proofErr w:type="gramEnd"/>
    </w:p>
    <w:p w14:paraId="16163804" w14:textId="67D6E198" w:rsidR="00EC1082" w:rsidRDefault="003F0FE6" w:rsidP="00EC1082">
      <w:pPr>
        <w:pStyle w:val="Numberedpara"/>
        <w:numPr>
          <w:ilvl w:val="0"/>
          <w:numId w:val="15"/>
        </w:numPr>
      </w:pPr>
      <w:r>
        <w:t>whether the</w:t>
      </w:r>
      <w:r w:rsidR="00EC1082">
        <w:t xml:space="preserve"> next steps </w:t>
      </w:r>
      <w:r>
        <w:t xml:space="preserve">could </w:t>
      </w:r>
      <w:r w:rsidR="00EC1082">
        <w:t>be tested with partners (</w:t>
      </w:r>
      <w:proofErr w:type="spellStart"/>
      <w:proofErr w:type="gramStart"/>
      <w:r w:rsidR="00EC1082">
        <w:t>eg</w:t>
      </w:r>
      <w:proofErr w:type="spellEnd"/>
      <w:proofErr w:type="gramEnd"/>
      <w:r w:rsidR="00EC1082">
        <w:t xml:space="preserve"> </w:t>
      </w:r>
      <w:r w:rsidR="00067C7D">
        <w:t xml:space="preserve">Nick Watts and </w:t>
      </w:r>
      <w:r w:rsidR="00EC1082">
        <w:t xml:space="preserve">MHRA) to share </w:t>
      </w:r>
      <w:r w:rsidR="00067C7D">
        <w:t xml:space="preserve">the proposals </w:t>
      </w:r>
      <w:r w:rsidR="00EC1082">
        <w:t>and seek their thoughts</w:t>
      </w:r>
    </w:p>
    <w:p w14:paraId="7832103C" w14:textId="2B42C224" w:rsidR="00C91E2A" w:rsidRDefault="00FA0DE5" w:rsidP="00E44482">
      <w:pPr>
        <w:pStyle w:val="Numberedpara"/>
      </w:pPr>
      <w:r>
        <w:t xml:space="preserve">It was confirmed that that this work </w:t>
      </w:r>
      <w:r w:rsidR="00290B55">
        <w:t xml:space="preserve">should not focus on </w:t>
      </w:r>
      <w:r>
        <w:t xml:space="preserve">re-visiting the funding mandate applicable to TA guidance.  </w:t>
      </w:r>
      <w:r w:rsidR="00C91E2A">
        <w:t xml:space="preserve">It was </w:t>
      </w:r>
      <w:r>
        <w:t>also noted</w:t>
      </w:r>
      <w:r w:rsidR="00C91E2A">
        <w:t xml:space="preserve"> that</w:t>
      </w:r>
      <w:r w:rsidR="00067C7D">
        <w:t xml:space="preserve"> the paper </w:t>
      </w:r>
      <w:r>
        <w:t xml:space="preserve">should be </w:t>
      </w:r>
      <w:r w:rsidR="00067C7D">
        <w:t xml:space="preserve">deferred if it was not possible to address </w:t>
      </w:r>
      <w:r>
        <w:t xml:space="preserve">all of </w:t>
      </w:r>
      <w:r w:rsidR="00067C7D">
        <w:t>ET’s points in time for the December board meeting.</w:t>
      </w:r>
    </w:p>
    <w:p w14:paraId="1A827EA6" w14:textId="77777777" w:rsidR="009F3419" w:rsidRPr="009F3419" w:rsidRDefault="009F3419" w:rsidP="009F3419">
      <w:pPr>
        <w:pStyle w:val="Numberedpara"/>
        <w:numPr>
          <w:ilvl w:val="0"/>
          <w:numId w:val="0"/>
        </w:numPr>
        <w:ind w:left="357"/>
        <w:jc w:val="right"/>
        <w:rPr>
          <w:b/>
          <w:bCs/>
        </w:rPr>
      </w:pPr>
      <w:r w:rsidRPr="009F3419">
        <w:rPr>
          <w:b/>
          <w:bCs/>
        </w:rPr>
        <w:t>ACTION: FG/KS/JK</w:t>
      </w:r>
    </w:p>
    <w:bookmarkEnd w:id="0"/>
    <w:p w14:paraId="4EF7BF0F" w14:textId="117FB591" w:rsidR="0057361A" w:rsidRPr="00D9791A" w:rsidRDefault="00C01772" w:rsidP="00D9791A">
      <w:pPr>
        <w:pStyle w:val="Heading1"/>
        <w:rPr>
          <w:sz w:val="22"/>
          <w:szCs w:val="22"/>
        </w:rPr>
      </w:pPr>
      <w:r>
        <w:rPr>
          <w:sz w:val="22"/>
          <w:szCs w:val="22"/>
        </w:rPr>
        <w:t>Review of NICE guidance support products</w:t>
      </w:r>
      <w:r w:rsidR="00D9791A">
        <w:rPr>
          <w:sz w:val="22"/>
          <w:szCs w:val="22"/>
        </w:rPr>
        <w:t xml:space="preserve"> (item 7)</w:t>
      </w:r>
    </w:p>
    <w:p w14:paraId="00900D27" w14:textId="25BB8925" w:rsidR="00D9791A" w:rsidRDefault="000617A3" w:rsidP="00AB0D64">
      <w:pPr>
        <w:pStyle w:val="Numberedpara"/>
      </w:pPr>
      <w:r>
        <w:t>Suzanne Tang joined the meeting</w:t>
      </w:r>
      <w:r w:rsidR="00067C7D">
        <w:t xml:space="preserve"> to present an overview </w:t>
      </w:r>
      <w:r w:rsidR="00067C7D" w:rsidRPr="00BE65F5">
        <w:t>of guidance implementation support products</w:t>
      </w:r>
      <w:r w:rsidR="00067C7D">
        <w:t xml:space="preserve"> and asked ET to </w:t>
      </w:r>
      <w:r w:rsidR="003F0FE6">
        <w:t>agree</w:t>
      </w:r>
      <w:r w:rsidR="00067C7D">
        <w:t xml:space="preserve"> </w:t>
      </w:r>
      <w:r w:rsidR="00067C7D" w:rsidRPr="00BE65F5">
        <w:t xml:space="preserve">the </w:t>
      </w:r>
      <w:r w:rsidR="00067C7D">
        <w:t xml:space="preserve">future </w:t>
      </w:r>
      <w:r w:rsidR="00067C7D" w:rsidRPr="00BE65F5">
        <w:t xml:space="preserve">approach to implementation </w:t>
      </w:r>
      <w:r w:rsidR="00067C7D">
        <w:t xml:space="preserve">in the context of Digital Living Guidelines </w:t>
      </w:r>
      <w:r w:rsidR="00067C7D" w:rsidRPr="00BE65F5">
        <w:t xml:space="preserve">and </w:t>
      </w:r>
      <w:r w:rsidR="00067C7D">
        <w:t xml:space="preserve">think about </w:t>
      </w:r>
      <w:r w:rsidR="00067C7D" w:rsidRPr="00BE65F5">
        <w:t>where resources can be best placed for maximum impact across the system</w:t>
      </w:r>
      <w:r w:rsidR="00067C7D">
        <w:t>.</w:t>
      </w:r>
    </w:p>
    <w:p w14:paraId="4B4C758F" w14:textId="1CFEBEA4" w:rsidR="00AB5E0C" w:rsidRDefault="00AB5E0C" w:rsidP="00AB0D64">
      <w:pPr>
        <w:pStyle w:val="Numberedpara"/>
      </w:pPr>
      <w:r>
        <w:t>The review highlighted the importance of having an</w:t>
      </w:r>
      <w:r w:rsidRPr="003A33FE">
        <w:t xml:space="preserve"> evidence-informed implementation approach</w:t>
      </w:r>
      <w:r>
        <w:t xml:space="preserve"> with products that align with this, </w:t>
      </w:r>
      <w:proofErr w:type="gramStart"/>
      <w:r>
        <w:t>and also</w:t>
      </w:r>
      <w:proofErr w:type="gramEnd"/>
      <w:r>
        <w:t xml:space="preserve"> </w:t>
      </w:r>
      <w:r w:rsidRPr="003A33FE">
        <w:t>highlighted the value of personal interactions with users in supporting implementation of NICE guidance, for example through the field team</w:t>
      </w:r>
      <w:r>
        <w:t>.</w:t>
      </w:r>
    </w:p>
    <w:p w14:paraId="5A71300A" w14:textId="1E1DE46F" w:rsidR="00AB5E0C" w:rsidRPr="000514B7" w:rsidRDefault="004B5654" w:rsidP="00FE3B00">
      <w:pPr>
        <w:pStyle w:val="Numberedpara"/>
      </w:pPr>
      <w:r w:rsidRPr="000514B7">
        <w:t>ET</w:t>
      </w:r>
      <w:r w:rsidR="00AB5E0C" w:rsidRPr="000514B7">
        <w:t xml:space="preserve"> agreed that whilst shared learning </w:t>
      </w:r>
      <w:r w:rsidR="00FE3B00" w:rsidRPr="000514B7">
        <w:t>examples were no longer produced</w:t>
      </w:r>
      <w:r w:rsidR="00AB5E0C" w:rsidRPr="000514B7">
        <w:t xml:space="preserve">, </w:t>
      </w:r>
      <w:r w:rsidR="00FE3B00" w:rsidRPr="000514B7">
        <w:t>they had shown to be of value</w:t>
      </w:r>
      <w:r w:rsidR="00AB5E0C" w:rsidRPr="000514B7">
        <w:t xml:space="preserve">, and therefore should be taken forward </w:t>
      </w:r>
      <w:r w:rsidR="00FE3B00" w:rsidRPr="000514B7">
        <w:t xml:space="preserve">but in a </w:t>
      </w:r>
      <w:r w:rsidR="007D3627" w:rsidRPr="000514B7">
        <w:t xml:space="preserve">different, </w:t>
      </w:r>
      <w:r w:rsidR="00FE3B00" w:rsidRPr="000514B7">
        <w:t>less resource intensive manner for NICE.</w:t>
      </w:r>
    </w:p>
    <w:p w14:paraId="7BD12B4C" w14:textId="0AA69CD6" w:rsidR="004C7E21" w:rsidRDefault="004C7E21" w:rsidP="00FE3B00">
      <w:pPr>
        <w:pStyle w:val="Numberedpara"/>
      </w:pPr>
      <w:r>
        <w:t xml:space="preserve">In terms of next steps, ET supported a broader exploration of implementation approaches </w:t>
      </w:r>
      <w:r w:rsidR="005D0F7E">
        <w:t>aligned to</w:t>
      </w:r>
      <w:r>
        <w:t xml:space="preserve"> Digital Living Guidelines, involving international DLG producers, national stakeholders, and local end users, to inform the next stage of this work.  This paper </w:t>
      </w:r>
      <w:r w:rsidR="00AD63B1">
        <w:t xml:space="preserve">should </w:t>
      </w:r>
      <w:r>
        <w:t>also be shared with the Director of Implementation when they take up the role in December.</w:t>
      </w:r>
    </w:p>
    <w:p w14:paraId="54D3265E" w14:textId="20B2CF8E" w:rsidR="009923D2" w:rsidRPr="00697A1D" w:rsidRDefault="00697A1D" w:rsidP="00697A1D">
      <w:pPr>
        <w:pStyle w:val="Numberedpara"/>
        <w:numPr>
          <w:ilvl w:val="0"/>
          <w:numId w:val="0"/>
        </w:numPr>
        <w:jc w:val="right"/>
        <w:rPr>
          <w:b/>
          <w:bCs/>
        </w:rPr>
      </w:pPr>
      <w:r w:rsidRPr="00697A1D">
        <w:rPr>
          <w:b/>
          <w:bCs/>
        </w:rPr>
        <w:t xml:space="preserve">ACTION: </w:t>
      </w:r>
      <w:r w:rsidR="004C7E21">
        <w:rPr>
          <w:b/>
          <w:bCs/>
        </w:rPr>
        <w:t>JR/NB</w:t>
      </w:r>
    </w:p>
    <w:p w14:paraId="1D560A44" w14:textId="591D01C8" w:rsidR="00D9791A" w:rsidRPr="00D9791A" w:rsidRDefault="00C01772" w:rsidP="00D9791A">
      <w:pPr>
        <w:pStyle w:val="Heading1"/>
        <w:rPr>
          <w:sz w:val="22"/>
          <w:szCs w:val="22"/>
        </w:rPr>
      </w:pPr>
      <w:r>
        <w:rPr>
          <w:sz w:val="22"/>
          <w:szCs w:val="22"/>
        </w:rPr>
        <w:t>Hybrid working – communication and engagement plans</w:t>
      </w:r>
      <w:r w:rsidR="00D9791A">
        <w:rPr>
          <w:sz w:val="22"/>
          <w:szCs w:val="22"/>
        </w:rPr>
        <w:t xml:space="preserve"> (item </w:t>
      </w:r>
      <w:r>
        <w:rPr>
          <w:sz w:val="22"/>
          <w:szCs w:val="22"/>
        </w:rPr>
        <w:t>8</w:t>
      </w:r>
      <w:r w:rsidR="00D9791A">
        <w:rPr>
          <w:sz w:val="22"/>
          <w:szCs w:val="22"/>
        </w:rPr>
        <w:t>)</w:t>
      </w:r>
    </w:p>
    <w:p w14:paraId="63CDD5EC" w14:textId="5186CE58" w:rsidR="00A24394" w:rsidRPr="00CF7AF5" w:rsidRDefault="000617A3" w:rsidP="004F0C1A">
      <w:pPr>
        <w:pStyle w:val="Numberedpara"/>
        <w:rPr>
          <w:color w:val="000000" w:themeColor="text1"/>
        </w:rPr>
      </w:pPr>
      <w:r w:rsidRPr="00CF7AF5">
        <w:rPr>
          <w:color w:val="000000" w:themeColor="text1"/>
        </w:rPr>
        <w:t xml:space="preserve">ET </w:t>
      </w:r>
      <w:r w:rsidR="00E567F2" w:rsidRPr="00CF7AF5">
        <w:rPr>
          <w:color w:val="000000" w:themeColor="text1"/>
        </w:rPr>
        <w:t xml:space="preserve">discussed the plans for engaging with all staff </w:t>
      </w:r>
      <w:r w:rsidR="000514B7" w:rsidRPr="00CF7AF5">
        <w:rPr>
          <w:color w:val="000000" w:themeColor="text1"/>
        </w:rPr>
        <w:t>on the</w:t>
      </w:r>
      <w:r w:rsidR="00E567F2" w:rsidRPr="00CF7AF5">
        <w:rPr>
          <w:color w:val="000000" w:themeColor="text1"/>
        </w:rPr>
        <w:t xml:space="preserve"> </w:t>
      </w:r>
      <w:r w:rsidR="000514B7" w:rsidRPr="00CF7AF5">
        <w:rPr>
          <w:color w:val="000000" w:themeColor="text1"/>
        </w:rPr>
        <w:t xml:space="preserve">proposed </w:t>
      </w:r>
      <w:r w:rsidR="00E567F2" w:rsidRPr="00CF7AF5">
        <w:rPr>
          <w:color w:val="000000" w:themeColor="text1"/>
        </w:rPr>
        <w:t>new employment contracts that will be available at NICE to support hybrid working.</w:t>
      </w:r>
    </w:p>
    <w:p w14:paraId="6807CC62" w14:textId="211EC609" w:rsidR="00E567F2" w:rsidRPr="00CF7AF5" w:rsidRDefault="00E567F2" w:rsidP="004F0C1A">
      <w:pPr>
        <w:pStyle w:val="Numberedpara"/>
        <w:rPr>
          <w:color w:val="000000" w:themeColor="text1"/>
        </w:rPr>
      </w:pPr>
      <w:r w:rsidRPr="00CF7AF5">
        <w:rPr>
          <w:color w:val="000000" w:themeColor="text1"/>
        </w:rPr>
        <w:t xml:space="preserve">The timescale for the engagement plan was queried </w:t>
      </w:r>
      <w:proofErr w:type="gramStart"/>
      <w:r w:rsidRPr="00CF7AF5">
        <w:rPr>
          <w:color w:val="000000" w:themeColor="text1"/>
        </w:rPr>
        <w:t>in light of</w:t>
      </w:r>
      <w:proofErr w:type="gramEnd"/>
      <w:r w:rsidRPr="00CF7AF5">
        <w:rPr>
          <w:color w:val="000000" w:themeColor="text1"/>
        </w:rPr>
        <w:t xml:space="preserve"> other activities underway and the staff survey about to be launched, however on balance, it was agreed to progress the </w:t>
      </w:r>
      <w:r w:rsidR="000514B7" w:rsidRPr="00CF7AF5">
        <w:rPr>
          <w:color w:val="000000" w:themeColor="text1"/>
        </w:rPr>
        <w:t>engagement</w:t>
      </w:r>
      <w:r w:rsidRPr="00CF7AF5">
        <w:rPr>
          <w:color w:val="000000" w:themeColor="text1"/>
        </w:rPr>
        <w:t xml:space="preserve"> as staff have </w:t>
      </w:r>
      <w:r w:rsidR="003F0FE6" w:rsidRPr="00CF7AF5">
        <w:rPr>
          <w:color w:val="000000" w:themeColor="text1"/>
        </w:rPr>
        <w:t>rais</w:t>
      </w:r>
      <w:r w:rsidRPr="00CF7AF5">
        <w:rPr>
          <w:color w:val="000000" w:themeColor="text1"/>
        </w:rPr>
        <w:t>ed concerns about the delay</w:t>
      </w:r>
      <w:r w:rsidR="003F0FE6" w:rsidRPr="00CF7AF5">
        <w:rPr>
          <w:color w:val="000000" w:themeColor="text1"/>
        </w:rPr>
        <w:t xml:space="preserve"> whilst the </w:t>
      </w:r>
      <w:r w:rsidR="000514B7" w:rsidRPr="00CF7AF5">
        <w:rPr>
          <w:color w:val="000000" w:themeColor="text1"/>
        </w:rPr>
        <w:t xml:space="preserve">contracts for the existing </w:t>
      </w:r>
      <w:r w:rsidR="003F0FE6" w:rsidRPr="00CF7AF5">
        <w:rPr>
          <w:color w:val="000000" w:themeColor="text1"/>
        </w:rPr>
        <w:t xml:space="preserve">homebased </w:t>
      </w:r>
      <w:r w:rsidR="000514B7" w:rsidRPr="00CF7AF5">
        <w:rPr>
          <w:color w:val="000000" w:themeColor="text1"/>
        </w:rPr>
        <w:t>staff were resolved</w:t>
      </w:r>
      <w:r w:rsidRPr="00CF7AF5">
        <w:rPr>
          <w:color w:val="000000" w:themeColor="text1"/>
        </w:rPr>
        <w:t>.</w:t>
      </w:r>
    </w:p>
    <w:p w14:paraId="6CDD1968" w14:textId="5322560F" w:rsidR="00E567F2" w:rsidRDefault="00E567F2" w:rsidP="00AB0D64">
      <w:pPr>
        <w:pStyle w:val="Numberedpara"/>
      </w:pPr>
      <w:r>
        <w:lastRenderedPageBreak/>
        <w:t xml:space="preserve">It was agreed that Eileen Platt would come back to ET next week with an update on hybrid working timetable, a table </w:t>
      </w:r>
      <w:r w:rsidR="003F0FE6">
        <w:t>detailing</w:t>
      </w:r>
      <w:r>
        <w:t xml:space="preserve"> all the current HR activities involving staff engagement</w:t>
      </w:r>
      <w:r w:rsidR="0027550B">
        <w:t xml:space="preserve">/participation </w:t>
      </w:r>
      <w:r>
        <w:t xml:space="preserve">and confirmation of the materials that will be going out to staff. </w:t>
      </w:r>
    </w:p>
    <w:p w14:paraId="6503388C" w14:textId="0ECA8823" w:rsidR="00205759" w:rsidRPr="00205759" w:rsidRDefault="00205759" w:rsidP="00205759">
      <w:pPr>
        <w:pStyle w:val="Numberedpara"/>
        <w:numPr>
          <w:ilvl w:val="0"/>
          <w:numId w:val="0"/>
        </w:numPr>
        <w:ind w:left="357"/>
        <w:jc w:val="right"/>
        <w:rPr>
          <w:b/>
          <w:bCs/>
        </w:rPr>
      </w:pPr>
      <w:r w:rsidRPr="00205759">
        <w:rPr>
          <w:b/>
          <w:bCs/>
        </w:rPr>
        <w:t xml:space="preserve">ACTION: </w:t>
      </w:r>
      <w:r w:rsidR="00C01772">
        <w:rPr>
          <w:b/>
          <w:bCs/>
        </w:rPr>
        <w:t>EP</w:t>
      </w:r>
    </w:p>
    <w:p w14:paraId="657728C6" w14:textId="2BB325F6" w:rsidR="00774DF0" w:rsidRDefault="00774DF0" w:rsidP="00774DF0">
      <w:pPr>
        <w:pStyle w:val="Heading2"/>
      </w:pPr>
      <w:r>
        <w:t xml:space="preserve">Operational Management Committee </w:t>
      </w:r>
      <w:r w:rsidRPr="00405A4B">
        <w:t xml:space="preserve">(item </w:t>
      </w:r>
      <w:r w:rsidR="00D9791A">
        <w:t>9</w:t>
      </w:r>
      <w:r w:rsidR="003462FF">
        <w:t>)</w:t>
      </w:r>
    </w:p>
    <w:p w14:paraId="6AC08108" w14:textId="7B805049" w:rsidR="00B80A2A" w:rsidRDefault="004E3E80" w:rsidP="002E1E55">
      <w:pPr>
        <w:pStyle w:val="Numberedpara"/>
      </w:pPr>
      <w:r>
        <w:t>Th</w:t>
      </w:r>
      <w:r w:rsidR="00350CAB">
        <w:t>e minutes and actions from the meeting</w:t>
      </w:r>
      <w:r w:rsidR="005D083F">
        <w:t xml:space="preserve"> </w:t>
      </w:r>
      <w:r w:rsidR="0076202B">
        <w:t xml:space="preserve">held </w:t>
      </w:r>
      <w:r w:rsidR="00350CAB">
        <w:t xml:space="preserve">on </w:t>
      </w:r>
      <w:r w:rsidR="00C01772">
        <w:t>24</w:t>
      </w:r>
      <w:r w:rsidR="005D083F">
        <w:t xml:space="preserve"> </w:t>
      </w:r>
      <w:r w:rsidR="00D9791A">
        <w:t>Octo</w:t>
      </w:r>
      <w:r w:rsidR="0076202B">
        <w:t>ber</w:t>
      </w:r>
      <w:r w:rsidR="00B614C4">
        <w:t xml:space="preserve"> 2022</w:t>
      </w:r>
      <w:r w:rsidR="003C5508">
        <w:t xml:space="preserve"> were </w:t>
      </w:r>
      <w:r w:rsidR="00D9791A">
        <w:t>no</w:t>
      </w:r>
      <w:r w:rsidR="00CA282F">
        <w:t>ted.</w:t>
      </w:r>
    </w:p>
    <w:bookmarkEnd w:id="1"/>
    <w:p w14:paraId="10D0F13C" w14:textId="2FA32B28" w:rsidR="008E6502" w:rsidRDefault="003500EC" w:rsidP="008E6502">
      <w:pPr>
        <w:pStyle w:val="Heading2"/>
      </w:pPr>
      <w:r>
        <w:t>O</w:t>
      </w:r>
      <w:r w:rsidR="00774DF0" w:rsidRPr="00974ADE">
        <w:t>ther business</w:t>
      </w:r>
      <w:r w:rsidR="008E6502" w:rsidRPr="00974ADE">
        <w:t xml:space="preserve"> (item </w:t>
      </w:r>
      <w:r w:rsidR="00D9791A">
        <w:t>10</w:t>
      </w:r>
      <w:r w:rsidR="008E6502" w:rsidRPr="00974ADE">
        <w:t>)</w:t>
      </w:r>
    </w:p>
    <w:p w14:paraId="316CBB9E" w14:textId="4D9C42CF" w:rsidR="00187A3D" w:rsidRPr="00C01772" w:rsidRDefault="00C01772" w:rsidP="00C01772">
      <w:pPr>
        <w:pStyle w:val="Paragraph"/>
        <w:numPr>
          <w:ilvl w:val="0"/>
          <w:numId w:val="0"/>
        </w:numPr>
        <w:ind w:left="357" w:hanging="357"/>
        <w:rPr>
          <w:rFonts w:cs="Arial"/>
          <w:b/>
          <w:bCs/>
        </w:rPr>
      </w:pPr>
      <w:r w:rsidRPr="00C01772">
        <w:rPr>
          <w:rFonts w:cs="Arial"/>
          <w:b/>
          <w:bCs/>
        </w:rPr>
        <w:t>DIT business case (item 10.1)</w:t>
      </w:r>
    </w:p>
    <w:p w14:paraId="3EAD8631" w14:textId="154C36E8" w:rsidR="00C01772" w:rsidRPr="00685746" w:rsidRDefault="000617A3" w:rsidP="00685746">
      <w:pPr>
        <w:pStyle w:val="Paragraph"/>
        <w:rPr>
          <w:rFonts w:cs="Arial"/>
        </w:rPr>
      </w:pPr>
      <w:r>
        <w:rPr>
          <w:rFonts w:cs="Arial"/>
        </w:rPr>
        <w:t xml:space="preserve">Alexia requested that business case for DIT strategy work be added to the agenda for the informal ET on 8 November as the next formal meeting on 22 November would be too much of a delay.  It was agreed that the item be added </w:t>
      </w:r>
      <w:r w:rsidR="009F4BBD">
        <w:rPr>
          <w:rFonts w:cs="Arial"/>
        </w:rPr>
        <w:t>for next week and Elaine Repton would attend the start of the meeting to note any formal decisions</w:t>
      </w:r>
      <w:r w:rsidR="00685746">
        <w:rPr>
          <w:rFonts w:cs="Arial"/>
        </w:rPr>
        <w:t>.</w:t>
      </w:r>
    </w:p>
    <w:p w14:paraId="7199B6B6" w14:textId="211ABE7A" w:rsidR="00C01772" w:rsidRPr="00C01772" w:rsidRDefault="00C01772" w:rsidP="00C01772">
      <w:pPr>
        <w:pStyle w:val="Paragraph"/>
        <w:numPr>
          <w:ilvl w:val="0"/>
          <w:numId w:val="0"/>
        </w:numPr>
        <w:rPr>
          <w:rFonts w:cs="Arial"/>
          <w:b/>
          <w:bCs/>
        </w:rPr>
      </w:pPr>
      <w:r w:rsidRPr="00C01772">
        <w:rPr>
          <w:rFonts w:cs="Arial"/>
          <w:b/>
          <w:bCs/>
        </w:rPr>
        <w:t>Competition and Markets Authority (item 10.2)</w:t>
      </w:r>
    </w:p>
    <w:p w14:paraId="38848131" w14:textId="6E5505F9" w:rsidR="00C01772" w:rsidRPr="00685746" w:rsidRDefault="00685746" w:rsidP="00D9791A">
      <w:pPr>
        <w:pStyle w:val="Paragraph"/>
        <w:rPr>
          <w:rFonts w:cs="Arial"/>
        </w:rPr>
      </w:pPr>
      <w:r>
        <w:rPr>
          <w:rFonts w:cs="Arial"/>
        </w:rPr>
        <w:t xml:space="preserve">It was noted that the </w:t>
      </w:r>
      <w:r w:rsidRPr="00685746">
        <w:rPr>
          <w:rFonts w:cs="Arial"/>
        </w:rPr>
        <w:t>Competition and Markets Authority</w:t>
      </w:r>
      <w:r>
        <w:rPr>
          <w:rFonts w:cs="Arial"/>
        </w:rPr>
        <w:t xml:space="preserve"> had requested NICE’s input in relation to a medicine which is specifically referenced in an epilepsy guideline.  It was agreed that Boryana would discuss the issue separately with Helen Knight and </w:t>
      </w:r>
      <w:r w:rsidR="003B11B8">
        <w:rPr>
          <w:rFonts w:cs="Arial"/>
        </w:rPr>
        <w:t xml:space="preserve">Ian </w:t>
      </w:r>
      <w:r w:rsidR="00E76B33">
        <w:rPr>
          <w:rFonts w:cs="Arial"/>
        </w:rPr>
        <w:t xml:space="preserve">Watson </w:t>
      </w:r>
      <w:r w:rsidR="003B11B8">
        <w:rPr>
          <w:rFonts w:cs="Arial"/>
        </w:rPr>
        <w:t>and</w:t>
      </w:r>
      <w:r>
        <w:rPr>
          <w:rFonts w:cs="Arial"/>
        </w:rPr>
        <w:t xml:space="preserve"> send an email advising ET of the full details.</w:t>
      </w:r>
    </w:p>
    <w:p w14:paraId="208E56E9" w14:textId="052618B9" w:rsidR="00C01772" w:rsidRPr="00362D7A" w:rsidRDefault="00362D7A" w:rsidP="00362D7A">
      <w:pPr>
        <w:pStyle w:val="Paragraph"/>
        <w:numPr>
          <w:ilvl w:val="0"/>
          <w:numId w:val="0"/>
        </w:numPr>
        <w:jc w:val="right"/>
        <w:rPr>
          <w:rFonts w:cs="Arial"/>
          <w:b/>
          <w:bCs/>
        </w:rPr>
      </w:pPr>
      <w:r w:rsidRPr="00362D7A">
        <w:rPr>
          <w:rFonts w:cs="Arial"/>
          <w:b/>
          <w:bCs/>
        </w:rPr>
        <w:t>ACTION: BS</w:t>
      </w:r>
      <w:r w:rsidR="00685746">
        <w:rPr>
          <w:rFonts w:cs="Arial"/>
          <w:b/>
          <w:bCs/>
        </w:rPr>
        <w:t xml:space="preserve"> &amp; HK</w:t>
      </w:r>
    </w:p>
    <w:p w14:paraId="15B16231" w14:textId="2B9DB6AD" w:rsidR="00362D7A" w:rsidRPr="00362D7A" w:rsidRDefault="00362D7A" w:rsidP="00362D7A">
      <w:pPr>
        <w:pStyle w:val="Paragraph"/>
        <w:numPr>
          <w:ilvl w:val="0"/>
          <w:numId w:val="0"/>
        </w:numPr>
        <w:rPr>
          <w:rFonts w:cs="Arial"/>
          <w:b/>
          <w:bCs/>
        </w:rPr>
      </w:pPr>
      <w:r w:rsidRPr="00362D7A">
        <w:rPr>
          <w:rFonts w:cs="Arial"/>
          <w:b/>
          <w:bCs/>
        </w:rPr>
        <w:t>Christmas parties (item 10.3)</w:t>
      </w:r>
    </w:p>
    <w:p w14:paraId="70277E10" w14:textId="0AE54B5C" w:rsidR="00362D7A" w:rsidRPr="009F5C56" w:rsidRDefault="0099211C" w:rsidP="009F5C56">
      <w:pPr>
        <w:pStyle w:val="Paragraph"/>
        <w:rPr>
          <w:rFonts w:cs="Arial"/>
        </w:rPr>
      </w:pPr>
      <w:r>
        <w:rPr>
          <w:rFonts w:cs="Arial"/>
        </w:rPr>
        <w:t xml:space="preserve">It was queried whether there were going to be </w:t>
      </w:r>
      <w:r w:rsidR="000514B7">
        <w:rPr>
          <w:rFonts w:cs="Arial"/>
        </w:rPr>
        <w:t xml:space="preserve">staff </w:t>
      </w:r>
      <w:r w:rsidR="009F5C56">
        <w:rPr>
          <w:rFonts w:cs="Arial"/>
        </w:rPr>
        <w:t>Christmas</w:t>
      </w:r>
      <w:r>
        <w:rPr>
          <w:rFonts w:cs="Arial"/>
        </w:rPr>
        <w:t xml:space="preserve"> parties arranged this year.  Mark Chapman and Felix Greaves agreed to work with the </w:t>
      </w:r>
      <w:r w:rsidR="009F5C56">
        <w:rPr>
          <w:rFonts w:cs="Arial"/>
        </w:rPr>
        <w:t xml:space="preserve">staff </w:t>
      </w:r>
      <w:r>
        <w:rPr>
          <w:rFonts w:cs="Arial"/>
        </w:rPr>
        <w:t xml:space="preserve">social committee </w:t>
      </w:r>
      <w:r w:rsidR="009F5C56">
        <w:rPr>
          <w:rFonts w:cs="Arial"/>
        </w:rPr>
        <w:t xml:space="preserve">and liaise the facilities team </w:t>
      </w:r>
      <w:r>
        <w:rPr>
          <w:rFonts w:cs="Arial"/>
        </w:rPr>
        <w:t>to</w:t>
      </w:r>
      <w:r w:rsidR="009F5C56">
        <w:rPr>
          <w:rFonts w:cs="Arial"/>
        </w:rPr>
        <w:t xml:space="preserve"> discuss whether it w</w:t>
      </w:r>
      <w:r w:rsidR="00E171F3">
        <w:rPr>
          <w:rFonts w:cs="Arial"/>
        </w:rPr>
        <w:t>ill be</w:t>
      </w:r>
      <w:r w:rsidR="009F5C56">
        <w:rPr>
          <w:rFonts w:cs="Arial"/>
        </w:rPr>
        <w:t xml:space="preserve"> possible to get people together, </w:t>
      </w:r>
      <w:r w:rsidR="00E171F3">
        <w:rPr>
          <w:rFonts w:cs="Arial"/>
        </w:rPr>
        <w:t xml:space="preserve">either </w:t>
      </w:r>
      <w:r w:rsidR="009F5C56">
        <w:rPr>
          <w:rFonts w:cs="Arial"/>
        </w:rPr>
        <w:t>within the offices or an external venue, and to explore options to fund the events.</w:t>
      </w:r>
    </w:p>
    <w:p w14:paraId="2A913813" w14:textId="395C994D" w:rsidR="00362D7A" w:rsidRPr="00362D7A" w:rsidRDefault="00362D7A" w:rsidP="00362D7A">
      <w:pPr>
        <w:pStyle w:val="Paragraph"/>
        <w:numPr>
          <w:ilvl w:val="0"/>
          <w:numId w:val="0"/>
        </w:numPr>
        <w:ind w:left="357"/>
        <w:jc w:val="right"/>
        <w:rPr>
          <w:rFonts w:cs="Arial"/>
          <w:b/>
          <w:bCs/>
        </w:rPr>
      </w:pPr>
      <w:r w:rsidRPr="00362D7A">
        <w:rPr>
          <w:rFonts w:cs="Arial"/>
          <w:b/>
          <w:bCs/>
        </w:rPr>
        <w:t>ACTION: MC</w:t>
      </w:r>
      <w:r w:rsidR="009F5C56">
        <w:rPr>
          <w:rFonts w:cs="Arial"/>
          <w:b/>
          <w:bCs/>
        </w:rPr>
        <w:t xml:space="preserve"> &amp; FG</w:t>
      </w:r>
    </w:p>
    <w:p w14:paraId="22714F6A" w14:textId="4619827F" w:rsidR="00C01772" w:rsidRPr="00362D7A" w:rsidRDefault="00362D7A" w:rsidP="00362D7A">
      <w:pPr>
        <w:pStyle w:val="Paragraph"/>
        <w:numPr>
          <w:ilvl w:val="0"/>
          <w:numId w:val="0"/>
        </w:numPr>
        <w:rPr>
          <w:rFonts w:cs="Arial"/>
          <w:b/>
          <w:bCs/>
        </w:rPr>
      </w:pPr>
      <w:r w:rsidRPr="00362D7A">
        <w:rPr>
          <w:rFonts w:cs="Arial"/>
          <w:b/>
          <w:bCs/>
        </w:rPr>
        <w:t>Virtual wards (10.4)</w:t>
      </w:r>
    </w:p>
    <w:p w14:paraId="4050B54D" w14:textId="537E8EAB" w:rsidR="00C01772" w:rsidRDefault="00362D7A" w:rsidP="00D9791A">
      <w:pPr>
        <w:pStyle w:val="Paragraph"/>
        <w:rPr>
          <w:rFonts w:cs="Arial"/>
        </w:rPr>
      </w:pPr>
      <w:r>
        <w:rPr>
          <w:rFonts w:cs="Arial"/>
        </w:rPr>
        <w:t>Felix Greaves agreed to email ET separately with an update</w:t>
      </w:r>
      <w:r w:rsidR="00996B27">
        <w:rPr>
          <w:rFonts w:cs="Arial"/>
        </w:rPr>
        <w:t xml:space="preserve"> on virtual wards</w:t>
      </w:r>
      <w:r>
        <w:rPr>
          <w:rFonts w:cs="Arial"/>
        </w:rPr>
        <w:t>.</w:t>
      </w:r>
    </w:p>
    <w:p w14:paraId="7BF94277" w14:textId="1284FE59" w:rsidR="00362D7A" w:rsidRPr="00362D7A" w:rsidRDefault="00362D7A" w:rsidP="00362D7A">
      <w:pPr>
        <w:pStyle w:val="Paragraph"/>
        <w:numPr>
          <w:ilvl w:val="0"/>
          <w:numId w:val="0"/>
        </w:numPr>
        <w:ind w:left="357"/>
        <w:jc w:val="right"/>
        <w:rPr>
          <w:rFonts w:cs="Arial"/>
          <w:b/>
          <w:bCs/>
        </w:rPr>
      </w:pPr>
      <w:r w:rsidRPr="00362D7A">
        <w:rPr>
          <w:rFonts w:cs="Arial"/>
          <w:b/>
          <w:bCs/>
        </w:rPr>
        <w:t>ACTION: FG</w:t>
      </w:r>
    </w:p>
    <w:sectPr w:rsidR="00362D7A" w:rsidRPr="00362D7A" w:rsidSect="007E3015">
      <w:head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8574001"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4"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2"/>
  </w:num>
  <w:num w:numId="2" w16cid:durableId="2024937599">
    <w:abstractNumId w:val="7"/>
  </w:num>
  <w:num w:numId="3" w16cid:durableId="1296836499">
    <w:abstractNumId w:val="11"/>
  </w:num>
  <w:num w:numId="4" w16cid:durableId="520969579">
    <w:abstractNumId w:val="2"/>
  </w:num>
  <w:num w:numId="5" w16cid:durableId="2136288113">
    <w:abstractNumId w:val="10"/>
  </w:num>
  <w:num w:numId="6" w16cid:durableId="1195197478">
    <w:abstractNumId w:val="0"/>
  </w:num>
  <w:num w:numId="7" w16cid:durableId="902571007">
    <w:abstractNumId w:val="4"/>
  </w:num>
  <w:num w:numId="8" w16cid:durableId="521280574">
    <w:abstractNumId w:val="6"/>
  </w:num>
  <w:num w:numId="9" w16cid:durableId="55134676">
    <w:abstractNumId w:val="13"/>
  </w:num>
  <w:num w:numId="10" w16cid:durableId="1103649077">
    <w:abstractNumId w:val="5"/>
  </w:num>
  <w:num w:numId="11" w16cid:durableId="126703478">
    <w:abstractNumId w:val="1"/>
  </w:num>
  <w:num w:numId="12" w16cid:durableId="605621364">
    <w:abstractNumId w:val="14"/>
  </w:num>
  <w:num w:numId="13" w16cid:durableId="1249461890">
    <w:abstractNumId w:val="8"/>
  </w:num>
  <w:num w:numId="14" w16cid:durableId="2090686013">
    <w:abstractNumId w:val="9"/>
  </w:num>
  <w:num w:numId="15" w16cid:durableId="43956986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02D"/>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652"/>
    <w:rsid w:val="002338FF"/>
    <w:rsid w:val="00234122"/>
    <w:rsid w:val="00234BE0"/>
    <w:rsid w:val="00234D13"/>
    <w:rsid w:val="00234F90"/>
    <w:rsid w:val="0023535E"/>
    <w:rsid w:val="00235851"/>
    <w:rsid w:val="00236041"/>
    <w:rsid w:val="00236124"/>
    <w:rsid w:val="00236173"/>
    <w:rsid w:val="00236928"/>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0B55"/>
    <w:rsid w:val="002919E6"/>
    <w:rsid w:val="00291BF8"/>
    <w:rsid w:val="00291FCD"/>
    <w:rsid w:val="00292053"/>
    <w:rsid w:val="00292A9E"/>
    <w:rsid w:val="00292BB8"/>
    <w:rsid w:val="00292E64"/>
    <w:rsid w:val="00293029"/>
    <w:rsid w:val="002947B1"/>
    <w:rsid w:val="00294DA2"/>
    <w:rsid w:val="00295B7B"/>
    <w:rsid w:val="00296242"/>
    <w:rsid w:val="002965CC"/>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552"/>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B2E"/>
    <w:rsid w:val="002D60E5"/>
    <w:rsid w:val="002D6B0B"/>
    <w:rsid w:val="002D73FA"/>
    <w:rsid w:val="002D74BA"/>
    <w:rsid w:val="002D75AC"/>
    <w:rsid w:val="002D75B8"/>
    <w:rsid w:val="002D7674"/>
    <w:rsid w:val="002D76A6"/>
    <w:rsid w:val="002D798B"/>
    <w:rsid w:val="002D7B9D"/>
    <w:rsid w:val="002E0002"/>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E34"/>
    <w:rsid w:val="002E3E86"/>
    <w:rsid w:val="002E41F8"/>
    <w:rsid w:val="002E47A0"/>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D67"/>
    <w:rsid w:val="00377FB6"/>
    <w:rsid w:val="0038092D"/>
    <w:rsid w:val="00380C7A"/>
    <w:rsid w:val="00380E85"/>
    <w:rsid w:val="00380FA8"/>
    <w:rsid w:val="00381698"/>
    <w:rsid w:val="003819BA"/>
    <w:rsid w:val="00382594"/>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3248"/>
    <w:rsid w:val="00393715"/>
    <w:rsid w:val="0039389A"/>
    <w:rsid w:val="00393B5A"/>
    <w:rsid w:val="00393E69"/>
    <w:rsid w:val="003949B5"/>
    <w:rsid w:val="00394BF2"/>
    <w:rsid w:val="00394CCB"/>
    <w:rsid w:val="00394E99"/>
    <w:rsid w:val="0039522C"/>
    <w:rsid w:val="0039655C"/>
    <w:rsid w:val="00396757"/>
    <w:rsid w:val="003968BF"/>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0FE6"/>
    <w:rsid w:val="003F1659"/>
    <w:rsid w:val="003F2268"/>
    <w:rsid w:val="003F426C"/>
    <w:rsid w:val="003F5829"/>
    <w:rsid w:val="003F5C5C"/>
    <w:rsid w:val="003F5C81"/>
    <w:rsid w:val="003F5EA3"/>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21"/>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746"/>
    <w:rsid w:val="006858DE"/>
    <w:rsid w:val="006860D7"/>
    <w:rsid w:val="00686373"/>
    <w:rsid w:val="00686881"/>
    <w:rsid w:val="006874F1"/>
    <w:rsid w:val="006875CA"/>
    <w:rsid w:val="00687F6D"/>
    <w:rsid w:val="00687FC1"/>
    <w:rsid w:val="00687FE3"/>
    <w:rsid w:val="006900FC"/>
    <w:rsid w:val="00690173"/>
    <w:rsid w:val="00690502"/>
    <w:rsid w:val="00690793"/>
    <w:rsid w:val="00690987"/>
    <w:rsid w:val="00690A31"/>
    <w:rsid w:val="00690E39"/>
    <w:rsid w:val="00690F52"/>
    <w:rsid w:val="0069171B"/>
    <w:rsid w:val="0069182A"/>
    <w:rsid w:val="0069194C"/>
    <w:rsid w:val="00691F9D"/>
    <w:rsid w:val="006921E1"/>
    <w:rsid w:val="006928CF"/>
    <w:rsid w:val="00693911"/>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BA3"/>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627"/>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05D"/>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437"/>
    <w:rsid w:val="008376FE"/>
    <w:rsid w:val="00837A3B"/>
    <w:rsid w:val="00837D1D"/>
    <w:rsid w:val="00837E6C"/>
    <w:rsid w:val="00840612"/>
    <w:rsid w:val="00841AAD"/>
    <w:rsid w:val="00841BEE"/>
    <w:rsid w:val="00841F2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312C"/>
    <w:rsid w:val="00853C40"/>
    <w:rsid w:val="00853E15"/>
    <w:rsid w:val="008541ED"/>
    <w:rsid w:val="00854413"/>
    <w:rsid w:val="00854CF6"/>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34"/>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2E2"/>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5E1E"/>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3B1"/>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D0B"/>
    <w:rsid w:val="00D560AD"/>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91A"/>
    <w:rsid w:val="00DA01CB"/>
    <w:rsid w:val="00DA0518"/>
    <w:rsid w:val="00DA0D2A"/>
    <w:rsid w:val="00DA0F7D"/>
    <w:rsid w:val="00DA1B23"/>
    <w:rsid w:val="00DA21F3"/>
    <w:rsid w:val="00DA3807"/>
    <w:rsid w:val="00DA40F1"/>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07B"/>
    <w:rsid w:val="00E153C1"/>
    <w:rsid w:val="00E1567D"/>
    <w:rsid w:val="00E1579F"/>
    <w:rsid w:val="00E15F0A"/>
    <w:rsid w:val="00E15F1F"/>
    <w:rsid w:val="00E16149"/>
    <w:rsid w:val="00E16232"/>
    <w:rsid w:val="00E164B9"/>
    <w:rsid w:val="00E171F3"/>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8A85-F619-429D-AC00-002F5200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7945</Characters>
  <Application>Microsoft Office Word</Application>
  <DocSecurity>0</DocSecurity>
  <Lines>66</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2023-05-18T11:44:00Z</dcterms:created>
  <dcterms:modified xsi:type="dcterms:W3CDTF">2023-05-18T11:44:00Z</dcterms:modified>
</cp:coreProperties>
</file>