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E90B6" w14:textId="77777777" w:rsidR="00E064D9" w:rsidRDefault="00E064D9" w:rsidP="00BB1F6A">
      <w:pPr>
        <w:jc w:val="center"/>
      </w:pPr>
    </w:p>
    <w:p w14:paraId="44751B75" w14:textId="777FA4F9" w:rsidR="0087602F" w:rsidRPr="00514B21" w:rsidRDefault="00F61238" w:rsidP="00F31464">
      <w:pPr>
        <w:pStyle w:val="Title"/>
        <w:spacing w:before="4080"/>
        <w:jc w:val="center"/>
      </w:pPr>
      <w:r w:rsidRPr="00514B21">
        <w:t xml:space="preserve">Lessons learnt from the </w:t>
      </w:r>
      <w:r w:rsidR="00F249CA">
        <w:t>UK</w:t>
      </w:r>
      <w:r w:rsidR="00F249CA" w:rsidRPr="00514B21">
        <w:t xml:space="preserve"> </w:t>
      </w:r>
      <w:r w:rsidRPr="00514B21">
        <w:t>project to test new models for evaluating and purchasing antimicrobials</w:t>
      </w:r>
    </w:p>
    <w:p w14:paraId="16D6F8FD" w14:textId="312EF256" w:rsidR="00D15413" w:rsidRDefault="00D15413" w:rsidP="00F31464">
      <w:pPr>
        <w:pStyle w:val="Subtitle"/>
        <w:jc w:val="center"/>
      </w:pPr>
      <w:r w:rsidRPr="00514B21">
        <w:t>Report from external workshops (July and August 2022)</w:t>
      </w:r>
    </w:p>
    <w:p w14:paraId="71139818" w14:textId="77777777" w:rsidR="00F31464" w:rsidRPr="00F31464" w:rsidRDefault="00F31464" w:rsidP="00F31464"/>
    <w:p w14:paraId="7104ACF0" w14:textId="77777777" w:rsidR="003446EC" w:rsidRPr="00514B21" w:rsidRDefault="003446EC" w:rsidP="00F31464">
      <w:pPr>
        <w:pStyle w:val="Subtitle"/>
        <w:rPr>
          <w:sz w:val="52"/>
          <w:szCs w:val="52"/>
        </w:rPr>
        <w:sectPr w:rsidR="003446EC" w:rsidRPr="00514B21">
          <w:headerReference w:type="default" r:id="rId11"/>
          <w:footerReference w:type="default" r:id="rId12"/>
          <w:footerReference w:type="first" r:id="rId13"/>
          <w:pgSz w:w="12240" w:h="15840"/>
          <w:pgMar w:top="1440" w:right="1440" w:bottom="1440" w:left="1440" w:header="720" w:footer="720" w:gutter="0"/>
          <w:cols w:space="720"/>
          <w:docGrid w:linePitch="360"/>
        </w:sectPr>
      </w:pPr>
    </w:p>
    <w:p w14:paraId="3D723694" w14:textId="77777777" w:rsidR="005E11BF" w:rsidRPr="00514B21" w:rsidRDefault="005E11BF">
      <w:pPr>
        <w:sectPr w:rsidR="005E11BF" w:rsidRPr="00514B21" w:rsidSect="0063715E">
          <w:pgSz w:w="12240" w:h="15840"/>
          <w:pgMar w:top="1440" w:right="1440" w:bottom="1440" w:left="1440" w:header="720" w:footer="720" w:gutter="0"/>
          <w:cols w:space="720"/>
          <w:titlePg/>
          <w:docGrid w:linePitch="360"/>
        </w:sectPr>
      </w:pPr>
    </w:p>
    <w:p w14:paraId="6A98535B" w14:textId="019BA020" w:rsidR="00625C0F" w:rsidRDefault="00405B3A" w:rsidP="00E73715">
      <w:pPr>
        <w:pStyle w:val="Heading1"/>
      </w:pPr>
      <w:r>
        <w:t>Project b</w:t>
      </w:r>
      <w:r w:rsidR="00625C0F">
        <w:t>ackground</w:t>
      </w:r>
    </w:p>
    <w:p w14:paraId="12E53B4B" w14:textId="2E81D713" w:rsidR="00D568CF" w:rsidRDefault="00952760" w:rsidP="00D568CF">
      <w:r>
        <w:t xml:space="preserve">The UK’s five-year </w:t>
      </w:r>
      <w:hyperlink r:id="rId14" w:history="1">
        <w:r w:rsidRPr="007F5F9A">
          <w:rPr>
            <w:rStyle w:val="Hyperlink"/>
          </w:rPr>
          <w:t>national action plan</w:t>
        </w:r>
      </w:hyperlink>
      <w:r>
        <w:t xml:space="preserve"> for antimicrobial resistance</w:t>
      </w:r>
      <w:r w:rsidR="001F312C">
        <w:t>, published in January 2019, commits to test</w:t>
      </w:r>
      <w:r w:rsidR="00F80B25">
        <w:t>ing</w:t>
      </w:r>
      <w:r w:rsidR="001F312C">
        <w:t xml:space="preserve"> a new evaluation and payment model for antimicrobials</w:t>
      </w:r>
      <w:r w:rsidR="00475C76" w:rsidRPr="00475C76">
        <w:rPr>
          <w:rFonts w:ascii="Arial" w:eastAsia="Arial" w:hAnsi="Arial" w:cs="Arial"/>
          <w:sz w:val="24"/>
          <w:szCs w:val="24"/>
          <w:lang w:eastAsia="en-GB"/>
        </w:rPr>
        <w:t xml:space="preserve"> </w:t>
      </w:r>
      <w:r w:rsidR="00F80B25">
        <w:t>that</w:t>
      </w:r>
      <w:r w:rsidR="00475C76" w:rsidRPr="00475C76">
        <w:t xml:space="preserve"> </w:t>
      </w:r>
      <w:r w:rsidR="00F80B25">
        <w:t xml:space="preserve">addresses global market failures and </w:t>
      </w:r>
      <w:r w:rsidR="00475C76" w:rsidRPr="00475C76">
        <w:t>incentivise</w:t>
      </w:r>
      <w:r w:rsidR="00F80B25">
        <w:t>s</w:t>
      </w:r>
      <w:r w:rsidR="00475C76" w:rsidRPr="00475C76">
        <w:t xml:space="preserve"> the development of new antimicrobials</w:t>
      </w:r>
      <w:r w:rsidR="001F312C">
        <w:t>.</w:t>
      </w:r>
      <w:r w:rsidR="00FC4E3D">
        <w:t xml:space="preserve"> </w:t>
      </w:r>
      <w:r w:rsidR="001F312C">
        <w:t xml:space="preserve">In July 2019, </w:t>
      </w:r>
      <w:r w:rsidR="00405B3A">
        <w:t xml:space="preserve">NICE, NHS England and </w:t>
      </w:r>
      <w:r w:rsidR="00405B3A" w:rsidRPr="00AC7EB8">
        <w:t xml:space="preserve">the Department of Health and Social Care (DHSC) </w:t>
      </w:r>
      <w:r w:rsidR="00276980">
        <w:t xml:space="preserve">(the ‘project team’) </w:t>
      </w:r>
      <w:r w:rsidR="00405B3A">
        <w:t xml:space="preserve">started a joint project to test a novel health technology evaluation approach and commercial framework </w:t>
      </w:r>
      <w:r w:rsidR="00F80B25">
        <w:t>that sought to</w:t>
      </w:r>
      <w:r w:rsidR="00405B3A">
        <w:t xml:space="preserve"> capture the value of antimicrobial products to both patients and the NHS </w:t>
      </w:r>
      <w:r w:rsidR="0056476D">
        <w:t>(measured in quality-adjusted life years, QALYs)</w:t>
      </w:r>
      <w:r w:rsidR="00DA63B7">
        <w:t>. This was undertaken</w:t>
      </w:r>
      <w:r w:rsidR="0056476D">
        <w:t xml:space="preserve"> </w:t>
      </w:r>
      <w:r w:rsidR="00937CF9">
        <w:t xml:space="preserve">through a NICE-led health technology assessment (HTA) </w:t>
      </w:r>
      <w:r w:rsidR="00405B3A">
        <w:t xml:space="preserve">and pays the </w:t>
      </w:r>
      <w:r w:rsidR="00EE458F">
        <w:t xml:space="preserve">pharmaceutical </w:t>
      </w:r>
      <w:r w:rsidR="00405B3A">
        <w:t>companies a fixed annual fee informed by that value and delinked from the volume of medicines used.</w:t>
      </w:r>
      <w:r w:rsidR="00D568CF" w:rsidRPr="00D568CF">
        <w:t xml:space="preserve"> </w:t>
      </w:r>
      <w:r w:rsidR="00D568CF">
        <w:t xml:space="preserve">The new payment structure for the two drugs selected for the project, </w:t>
      </w:r>
      <w:r w:rsidR="00F74170" w:rsidRPr="00F74170">
        <w:t>ceftazidime–avibactam</w:t>
      </w:r>
      <w:r w:rsidR="00D568CF" w:rsidRPr="00204A4E">
        <w:t xml:space="preserve"> </w:t>
      </w:r>
      <w:r w:rsidR="00D568CF">
        <w:t>(</w:t>
      </w:r>
      <w:proofErr w:type="spellStart"/>
      <w:r w:rsidR="00D568CF">
        <w:t>Zavicefta</w:t>
      </w:r>
      <w:proofErr w:type="spellEnd"/>
      <w:r w:rsidR="00D568CF">
        <w:t xml:space="preserve">, Pfizer) </w:t>
      </w:r>
      <w:r w:rsidR="00D568CF" w:rsidRPr="00204A4E">
        <w:t xml:space="preserve">and </w:t>
      </w:r>
      <w:proofErr w:type="spellStart"/>
      <w:r w:rsidR="00F74170" w:rsidRPr="00F74170">
        <w:t>cefiderocol</w:t>
      </w:r>
      <w:proofErr w:type="spellEnd"/>
      <w:r w:rsidR="00D568CF">
        <w:t xml:space="preserve"> (</w:t>
      </w:r>
      <w:proofErr w:type="spellStart"/>
      <w:r w:rsidR="00D568CF">
        <w:t>Fetcroja</w:t>
      </w:r>
      <w:proofErr w:type="spellEnd"/>
      <w:r w:rsidR="00D568CF">
        <w:t xml:space="preserve">, Shionogi), took effect from July 2022. </w:t>
      </w:r>
    </w:p>
    <w:p w14:paraId="7FE55C74" w14:textId="377796C7" w:rsidR="00405B3A" w:rsidRDefault="00405B3A" w:rsidP="00405B3A">
      <w:r w:rsidRPr="00B34154">
        <w:t>NICE</w:t>
      </w:r>
      <w:r>
        <w:t>, NHS England</w:t>
      </w:r>
      <w:r w:rsidR="0083750E">
        <w:t>,</w:t>
      </w:r>
      <w:r>
        <w:t xml:space="preserve"> DHSC</w:t>
      </w:r>
      <w:r w:rsidRPr="00B34154">
        <w:t xml:space="preserve"> </w:t>
      </w:r>
      <w:r w:rsidR="0083750E">
        <w:t xml:space="preserve">and the devolved governments </w:t>
      </w:r>
      <w:r>
        <w:t xml:space="preserve">are </w:t>
      </w:r>
      <w:r w:rsidRPr="00B34154">
        <w:t>now working with stakeholders to review the approach taken in this project and develop routine arrangements for the evaluation and purchase of antimicrobials for the NHS</w:t>
      </w:r>
      <w:r w:rsidR="0083750E">
        <w:t xml:space="preserve"> across the UK</w:t>
      </w:r>
      <w:r w:rsidRPr="00B34154">
        <w:t>.</w:t>
      </w:r>
      <w:r>
        <w:t xml:space="preserve"> The project team held workshop</w:t>
      </w:r>
      <w:r w:rsidR="0083750E">
        <w:t>s with stakeholders</w:t>
      </w:r>
      <w:r>
        <w:t xml:space="preserve"> in </w:t>
      </w:r>
      <w:r w:rsidR="0083750E">
        <w:t xml:space="preserve">July and August </w:t>
      </w:r>
      <w:r>
        <w:t>2022 to capture the lessons learnt</w:t>
      </w:r>
      <w:r w:rsidR="007428EE">
        <w:t xml:space="preserve"> from the project</w:t>
      </w:r>
      <w:r>
        <w:t xml:space="preserve">. </w:t>
      </w:r>
      <w:r w:rsidR="0083750E">
        <w:t xml:space="preserve">Workshop attendees were asked to provide feedback on </w:t>
      </w:r>
      <w:r>
        <w:t>the:</w:t>
      </w:r>
    </w:p>
    <w:p w14:paraId="1D18CA39" w14:textId="651BBE99" w:rsidR="00405B3A" w:rsidRDefault="00405B3A" w:rsidP="00405B3A">
      <w:pPr>
        <w:pStyle w:val="ListParagraph"/>
        <w:numPr>
          <w:ilvl w:val="0"/>
          <w:numId w:val="44"/>
        </w:numPr>
      </w:pPr>
      <w:r>
        <w:t>procurement process</w:t>
      </w:r>
    </w:p>
    <w:p w14:paraId="5B12BEC1" w14:textId="53499F69" w:rsidR="00405B3A" w:rsidRDefault="00405B3A" w:rsidP="00405B3A">
      <w:pPr>
        <w:pStyle w:val="ListParagraph"/>
        <w:numPr>
          <w:ilvl w:val="0"/>
          <w:numId w:val="44"/>
        </w:numPr>
      </w:pPr>
      <w:r>
        <w:t>model contract</w:t>
      </w:r>
    </w:p>
    <w:p w14:paraId="792CC7FA" w14:textId="2A28EF3E" w:rsidR="00405B3A" w:rsidRDefault="00D64986" w:rsidP="00405B3A">
      <w:pPr>
        <w:pStyle w:val="ListParagraph"/>
        <w:numPr>
          <w:ilvl w:val="0"/>
          <w:numId w:val="44"/>
        </w:numPr>
      </w:pPr>
      <w:r>
        <w:t>eligibility</w:t>
      </w:r>
      <w:r w:rsidR="00405B3A">
        <w:t xml:space="preserve"> and selection criteria</w:t>
      </w:r>
    </w:p>
    <w:p w14:paraId="4600C82B" w14:textId="488AB583" w:rsidR="00405B3A" w:rsidRDefault="00405B3A" w:rsidP="00405B3A">
      <w:pPr>
        <w:pStyle w:val="ListParagraph"/>
        <w:numPr>
          <w:ilvl w:val="0"/>
          <w:numId w:val="44"/>
        </w:numPr>
      </w:pPr>
      <w:r>
        <w:t>NICE evaluation</w:t>
      </w:r>
      <w:r w:rsidR="0083750E">
        <w:t>.</w:t>
      </w:r>
    </w:p>
    <w:p w14:paraId="270BE753" w14:textId="5A0BB914" w:rsidR="00405B3A" w:rsidRDefault="0042622D" w:rsidP="00405B3A">
      <w:r>
        <w:t xml:space="preserve">Workshop participants included </w:t>
      </w:r>
      <w:r w:rsidR="00C337FB">
        <w:t>representatives from the ABPI</w:t>
      </w:r>
      <w:r w:rsidR="00324D69">
        <w:t xml:space="preserve"> and </w:t>
      </w:r>
      <w:r w:rsidR="00C337FB">
        <w:t xml:space="preserve">pharmaceutical </w:t>
      </w:r>
      <w:r>
        <w:t>industry;</w:t>
      </w:r>
      <w:r w:rsidR="00C337FB">
        <w:t xml:space="preserve"> </w:t>
      </w:r>
      <w:r w:rsidR="00324D69">
        <w:t>academi</w:t>
      </w:r>
      <w:r>
        <w:t xml:space="preserve">c institutions; members of the </w:t>
      </w:r>
      <w:r w:rsidR="00324D69">
        <w:t>NICE antimicrobial evaluation committee</w:t>
      </w:r>
      <w:r>
        <w:t>; the clinical and patient experts</w:t>
      </w:r>
      <w:r w:rsidR="00324D69">
        <w:t xml:space="preserve"> </w:t>
      </w:r>
      <w:r>
        <w:t>who advise</w:t>
      </w:r>
      <w:r w:rsidR="00321F6B">
        <w:t>d</w:t>
      </w:r>
      <w:r>
        <w:t xml:space="preserve"> the NICE committee; and </w:t>
      </w:r>
      <w:r w:rsidR="00324D69">
        <w:t xml:space="preserve">national and international key opinion leaders </w:t>
      </w:r>
      <w:r w:rsidR="007C0D71">
        <w:t xml:space="preserve">(KOLs) </w:t>
      </w:r>
      <w:r w:rsidR="00324D69">
        <w:t xml:space="preserve">in antimicrobial resistance. </w:t>
      </w:r>
      <w:r w:rsidR="00405B3A">
        <w:t xml:space="preserve">This report summarises </w:t>
      </w:r>
      <w:r w:rsidR="0083750E">
        <w:t xml:space="preserve">the </w:t>
      </w:r>
      <w:r w:rsidR="00405B3A">
        <w:t xml:space="preserve">discussions. </w:t>
      </w:r>
    </w:p>
    <w:p w14:paraId="029298D7" w14:textId="1959A798" w:rsidR="00E73715" w:rsidRPr="00514B21" w:rsidRDefault="00E44846" w:rsidP="00E73715">
      <w:pPr>
        <w:pStyle w:val="Heading1"/>
      </w:pPr>
      <w:r>
        <w:t>S</w:t>
      </w:r>
      <w:r w:rsidR="00E73715" w:rsidRPr="00514B21">
        <w:t>ummary</w:t>
      </w:r>
      <w:r>
        <w:t xml:space="preserve"> of stakeholder feedback</w:t>
      </w:r>
      <w:r w:rsidR="00E73715" w:rsidRPr="00514B21">
        <w:tab/>
      </w:r>
    </w:p>
    <w:p w14:paraId="4CA21D10" w14:textId="1F7F21CD" w:rsidR="00E73715" w:rsidRPr="00F31464" w:rsidRDefault="00E73715" w:rsidP="00F31464">
      <w:pPr>
        <w:pStyle w:val="Heading2"/>
      </w:pPr>
      <w:r w:rsidRPr="00F31464">
        <w:t xml:space="preserve">Procurement </w:t>
      </w:r>
      <w:r w:rsidR="00CC4EBB" w:rsidRPr="00F31464">
        <w:t>p</w:t>
      </w:r>
      <w:r w:rsidRPr="00F31464">
        <w:t>rocess</w:t>
      </w:r>
    </w:p>
    <w:p w14:paraId="65A7C290" w14:textId="419CFD2E" w:rsidR="000769FE" w:rsidRDefault="00B9232F" w:rsidP="000769FE">
      <w:r>
        <w:t>The two products included in the pilot</w:t>
      </w:r>
      <w:r w:rsidR="00F249CA">
        <w:t xml:space="preserve">, </w:t>
      </w:r>
      <w:r w:rsidR="00F249CA" w:rsidRPr="00204A4E">
        <w:t>ceftazidime–avibactam and cefiderocol</w:t>
      </w:r>
      <w:r w:rsidR="00F249CA">
        <w:t>,</w:t>
      </w:r>
      <w:r>
        <w:t xml:space="preserve"> were selected following a</w:t>
      </w:r>
      <w:r w:rsidR="00E30820">
        <w:t>n</w:t>
      </w:r>
      <w:r>
        <w:t xml:space="preserve"> </w:t>
      </w:r>
      <w:r w:rsidR="00E30820">
        <w:t xml:space="preserve">open competitive </w:t>
      </w:r>
      <w:r>
        <w:t xml:space="preserve">procurement process. </w:t>
      </w:r>
      <w:r w:rsidR="00541A27">
        <w:t xml:space="preserve">Two contracts were available: one for an antimicrobial new to the market and a second for an existing product with 2 to 3 years on the market. </w:t>
      </w:r>
      <w:r w:rsidR="00F249CA">
        <w:t>The invitation to tender was launched in July 2020 and a product for each contract was selected in December 2020</w:t>
      </w:r>
      <w:r w:rsidR="00F61CA8">
        <w:t>.</w:t>
      </w:r>
      <w:r w:rsidR="003246E1">
        <w:t xml:space="preserve"> </w:t>
      </w:r>
      <w:r w:rsidR="000769FE">
        <w:t xml:space="preserve">The procurement used a competitive dialogue process. This allowed companies and NHS England to discuss the details of the requirements and the final of form of the contract including the invoice price, </w:t>
      </w:r>
      <w:proofErr w:type="gramStart"/>
      <w:r w:rsidR="000769FE">
        <w:t>usage</w:t>
      </w:r>
      <w:proofErr w:type="gramEnd"/>
      <w:r w:rsidR="000769FE">
        <w:t xml:space="preserve"> and key performance indicators.  This meant NHS England could refine the specification of the invitation to tender, and the companies could submit their bids from a fully informed position.</w:t>
      </w:r>
    </w:p>
    <w:p w14:paraId="0241C116" w14:textId="5F92D505" w:rsidR="00E73715" w:rsidRPr="00514B21" w:rsidRDefault="00E73715" w:rsidP="00E73715">
      <w:r w:rsidRPr="00514B21">
        <w:t xml:space="preserve">Participants </w:t>
      </w:r>
      <w:r w:rsidR="00E01EA9">
        <w:t xml:space="preserve">recognised </w:t>
      </w:r>
      <w:r w:rsidRPr="00514B21">
        <w:t xml:space="preserve">that </w:t>
      </w:r>
      <w:r w:rsidR="00E01EA9">
        <w:t xml:space="preserve">the use of an </w:t>
      </w:r>
      <w:r w:rsidRPr="00514B21">
        <w:t xml:space="preserve">open </w:t>
      </w:r>
      <w:r w:rsidR="00E01EA9">
        <w:t xml:space="preserve">competitive tender </w:t>
      </w:r>
      <w:r w:rsidRPr="00514B21">
        <w:t xml:space="preserve">approach was </w:t>
      </w:r>
      <w:r w:rsidR="00E01EA9">
        <w:t xml:space="preserve">necessary in the pilot to comply with </w:t>
      </w:r>
      <w:r w:rsidR="004B1ACC">
        <w:t>p</w:t>
      </w:r>
      <w:r w:rsidR="00E01EA9">
        <w:t xml:space="preserve">ublic </w:t>
      </w:r>
      <w:r w:rsidR="004B1ACC">
        <w:t>c</w:t>
      </w:r>
      <w:r w:rsidR="00E01EA9">
        <w:t xml:space="preserve">ontract </w:t>
      </w:r>
      <w:r w:rsidR="004B1ACC">
        <w:t>r</w:t>
      </w:r>
      <w:r w:rsidR="00E01EA9">
        <w:t>egulations (PCR 2015),</w:t>
      </w:r>
      <w:r w:rsidRPr="00514B21">
        <w:t xml:space="preserve"> because </w:t>
      </w:r>
      <w:r w:rsidR="00E01EA9">
        <w:t xml:space="preserve">we </w:t>
      </w:r>
      <w:r w:rsidR="00BD3371">
        <w:t xml:space="preserve">were limited to </w:t>
      </w:r>
      <w:r w:rsidR="00E01EA9">
        <w:t>select</w:t>
      </w:r>
      <w:r w:rsidR="00BD3371">
        <w:t>ing</w:t>
      </w:r>
      <w:r w:rsidR="00E01EA9">
        <w:t xml:space="preserve"> </w:t>
      </w:r>
      <w:r w:rsidRPr="00514B21">
        <w:t xml:space="preserve">only two products </w:t>
      </w:r>
      <w:r w:rsidR="00E01EA9">
        <w:t xml:space="preserve">– </w:t>
      </w:r>
      <w:r w:rsidR="00BD3371">
        <w:t xml:space="preserve">one </w:t>
      </w:r>
      <w:r w:rsidR="00E01EA9">
        <w:t xml:space="preserve">new-to-market antimicrobial and </w:t>
      </w:r>
      <w:r w:rsidR="00BD3371">
        <w:t xml:space="preserve">one </w:t>
      </w:r>
      <w:r w:rsidR="00E01EA9">
        <w:t>existing antimicrobial</w:t>
      </w:r>
      <w:r w:rsidRPr="00514B21">
        <w:t>.</w:t>
      </w:r>
      <w:r w:rsidR="00BF3086">
        <w:t xml:space="preserve"> But industry found </w:t>
      </w:r>
      <w:r w:rsidR="00BD3371">
        <w:t xml:space="preserve">the process </w:t>
      </w:r>
      <w:r w:rsidR="00BF3086">
        <w:t xml:space="preserve">time-consuming and long, and this had knock-on effects for launching other products in their </w:t>
      </w:r>
      <w:r w:rsidR="00BF3086">
        <w:lastRenderedPageBreak/>
        <w:t>portfolio</w:t>
      </w:r>
      <w:r w:rsidR="00BD3371">
        <w:t>s</w:t>
      </w:r>
      <w:r w:rsidR="00BF3086">
        <w:t xml:space="preserve">. </w:t>
      </w:r>
      <w:r w:rsidR="00BD3371">
        <w:t xml:space="preserve">Companies </w:t>
      </w:r>
      <w:r w:rsidR="00E423DC">
        <w:t xml:space="preserve">would prefer a </w:t>
      </w:r>
      <w:r w:rsidRPr="00514B21">
        <w:t>simpl</w:t>
      </w:r>
      <w:r w:rsidR="00E423DC">
        <w:t>er</w:t>
      </w:r>
      <w:r w:rsidRPr="00514B21">
        <w:t xml:space="preserve"> procurement process</w:t>
      </w:r>
      <w:r w:rsidR="00E423DC">
        <w:t xml:space="preserve">, and </w:t>
      </w:r>
      <w:r w:rsidR="00BD3371">
        <w:t xml:space="preserve">several stakeholders support the suggestion to award </w:t>
      </w:r>
      <w:bookmarkStart w:id="0" w:name="_Hlk113460434"/>
      <w:r w:rsidR="00E423DC">
        <w:t>contracts to all products meeting the eligibility criteria rather than looking for a mechanism that narrows down applicants to a single successful supplier</w:t>
      </w:r>
      <w:bookmarkEnd w:id="0"/>
      <w:r w:rsidRPr="00514B21">
        <w:t>.</w:t>
      </w:r>
      <w:r w:rsidR="00057981" w:rsidRPr="00057981">
        <w:t xml:space="preserve"> </w:t>
      </w:r>
    </w:p>
    <w:p w14:paraId="2F992D67" w14:textId="249CB2D4" w:rsidR="00E73715" w:rsidRPr="00514B21" w:rsidRDefault="00B52412" w:rsidP="00E73715">
      <w:r>
        <w:t>Companies were grateful for t</w:t>
      </w:r>
      <w:r w:rsidR="00E73715" w:rsidRPr="00514B21">
        <w:t>he opportunity to engage in dialogue with NICE</w:t>
      </w:r>
      <w:r w:rsidR="00A62079">
        <w:t>, NHS England</w:t>
      </w:r>
      <w:r w:rsidR="00E73715" w:rsidRPr="00514B21">
        <w:t xml:space="preserve"> and DHSC as part of the tender</w:t>
      </w:r>
      <w:r>
        <w:t>, because of t</w:t>
      </w:r>
      <w:r w:rsidR="00E73715" w:rsidRPr="00514B21">
        <w:t xml:space="preserve">he complexities </w:t>
      </w:r>
      <w:r>
        <w:t xml:space="preserve">of </w:t>
      </w:r>
      <w:r w:rsidR="00E73715" w:rsidRPr="00514B21">
        <w:t xml:space="preserve">evaluating antimicrobials and the novelty of the payment model. </w:t>
      </w:r>
    </w:p>
    <w:p w14:paraId="226F9C0B" w14:textId="77777777" w:rsidR="00E73715" w:rsidRPr="00F31464" w:rsidRDefault="00E73715" w:rsidP="00F31464">
      <w:pPr>
        <w:pStyle w:val="Heading2"/>
      </w:pPr>
      <w:r w:rsidRPr="00F31464">
        <w:t xml:space="preserve">The model </w:t>
      </w:r>
      <w:proofErr w:type="gramStart"/>
      <w:r w:rsidRPr="00F31464">
        <w:t>contract</w:t>
      </w:r>
      <w:proofErr w:type="gramEnd"/>
      <w:r w:rsidRPr="00F31464">
        <w:t xml:space="preserve"> </w:t>
      </w:r>
    </w:p>
    <w:p w14:paraId="3584E827" w14:textId="2728BABA" w:rsidR="004B1ACC" w:rsidRPr="00DA63B7" w:rsidRDefault="00D568CF" w:rsidP="004B1ACC">
      <w:pPr>
        <w:rPr>
          <w:rFonts w:cstheme="minorHAnsi"/>
        </w:rPr>
      </w:pPr>
      <w:r>
        <w:t xml:space="preserve">The </w:t>
      </w:r>
      <w:hyperlink r:id="rId15" w:history="1">
        <w:r w:rsidRPr="00D568CF">
          <w:rPr>
            <w:rStyle w:val="Hyperlink"/>
          </w:rPr>
          <w:t>contracts</w:t>
        </w:r>
      </w:hyperlink>
      <w:r>
        <w:t xml:space="preserve"> apply to England only, and have </w:t>
      </w:r>
      <w:r w:rsidRPr="00DA3C76">
        <w:t>been agreed for a 3-year period with an option to extend up to 10 years.</w:t>
      </w:r>
      <w:r>
        <w:t xml:space="preserve"> </w:t>
      </w:r>
      <w:r w:rsidRPr="00204A4E">
        <w:t xml:space="preserve">Purchasing authorities will acquire </w:t>
      </w:r>
      <w:r>
        <w:t xml:space="preserve">the antimicrobials </w:t>
      </w:r>
      <w:r w:rsidRPr="00204A4E">
        <w:t>using an agreed confidential invoice price</w:t>
      </w:r>
      <w:r>
        <w:t xml:space="preserve">, and </w:t>
      </w:r>
      <w:r w:rsidRPr="00204A4E">
        <w:t>NHS England will subtract the costs of these purchases from its quarterly payments to the company.</w:t>
      </w:r>
      <w:r>
        <w:t xml:space="preserve"> The contracts also </w:t>
      </w:r>
      <w:r w:rsidRPr="00DA3C76">
        <w:t xml:space="preserve">stipulate conditions relating to good stewardship, </w:t>
      </w:r>
      <w:proofErr w:type="gramStart"/>
      <w:r w:rsidRPr="00DA3C76">
        <w:t>manufacturing</w:t>
      </w:r>
      <w:proofErr w:type="gramEnd"/>
      <w:r w:rsidRPr="00DA3C76">
        <w:t xml:space="preserve"> and environmental practices; monitoring for emerging resistance; and ensuring supply of </w:t>
      </w:r>
      <w:r>
        <w:t>the antimicrobial</w:t>
      </w:r>
      <w:r w:rsidRPr="00DA3C76">
        <w:t>.</w:t>
      </w:r>
      <w:r>
        <w:t xml:space="preserve"> </w:t>
      </w:r>
      <w:r w:rsidR="004B1ACC">
        <w:t xml:space="preserve">The pilot project imposed a cap on the maximum contract value of £10m per year. </w:t>
      </w:r>
      <w:r w:rsidR="004B1ACC" w:rsidRPr="009F3708">
        <w:rPr>
          <w:rFonts w:cstheme="minorHAnsi"/>
        </w:rPr>
        <w:t>The cap</w:t>
      </w:r>
      <w:r w:rsidR="004B1ACC">
        <w:rPr>
          <w:rFonts w:cstheme="minorHAnsi"/>
        </w:rPr>
        <w:t xml:space="preserve"> was set at the outset of the project</w:t>
      </w:r>
      <w:r w:rsidR="0028343E">
        <w:rPr>
          <w:rFonts w:cstheme="minorHAnsi"/>
        </w:rPr>
        <w:t xml:space="preserve"> </w:t>
      </w:r>
      <w:r w:rsidR="00102B47">
        <w:rPr>
          <w:rFonts w:cstheme="minorHAnsi"/>
        </w:rPr>
        <w:t xml:space="preserve">and </w:t>
      </w:r>
      <w:r w:rsidR="0028343E">
        <w:rPr>
          <w:rFonts w:cstheme="minorHAnsi"/>
        </w:rPr>
        <w:t xml:space="preserve">was communicated to </w:t>
      </w:r>
      <w:r w:rsidR="008B25C5">
        <w:rPr>
          <w:rFonts w:cstheme="minorHAnsi"/>
        </w:rPr>
        <w:t xml:space="preserve">companies </w:t>
      </w:r>
      <w:r w:rsidR="0028343E">
        <w:rPr>
          <w:rFonts w:cstheme="minorHAnsi"/>
        </w:rPr>
        <w:t xml:space="preserve">before the inviting them </w:t>
      </w:r>
      <w:r w:rsidR="00102B47">
        <w:rPr>
          <w:rFonts w:cstheme="minorHAnsi"/>
        </w:rPr>
        <w:t xml:space="preserve">to submit their </w:t>
      </w:r>
      <w:r w:rsidR="0028343E">
        <w:rPr>
          <w:rFonts w:cstheme="minorHAnsi"/>
        </w:rPr>
        <w:t xml:space="preserve">final </w:t>
      </w:r>
      <w:r w:rsidR="00102B47">
        <w:rPr>
          <w:rFonts w:cstheme="minorHAnsi"/>
        </w:rPr>
        <w:t>application to be part of the pilot</w:t>
      </w:r>
      <w:r w:rsidR="008B25C5">
        <w:rPr>
          <w:rFonts w:cstheme="minorHAnsi"/>
        </w:rPr>
        <w:t>. The value of £10m</w:t>
      </w:r>
      <w:r w:rsidR="004B1ACC" w:rsidRPr="009F3708">
        <w:rPr>
          <w:rFonts w:cstheme="minorHAnsi"/>
        </w:rPr>
        <w:t xml:space="preserve"> reflect</w:t>
      </w:r>
      <w:r w:rsidR="008B25C5">
        <w:rPr>
          <w:rFonts w:cstheme="minorHAnsi"/>
        </w:rPr>
        <w:t>s</w:t>
      </w:r>
      <w:r w:rsidR="004B1ACC" w:rsidRPr="009F3708">
        <w:rPr>
          <w:rFonts w:cstheme="minorHAnsi"/>
        </w:rPr>
        <w:t xml:space="preserve"> England’s ‘fair share’ of the global </w:t>
      </w:r>
      <w:r w:rsidR="004B1ACC">
        <w:rPr>
          <w:rFonts w:cstheme="minorHAnsi"/>
        </w:rPr>
        <w:t xml:space="preserve">pull incentive for </w:t>
      </w:r>
      <w:r w:rsidR="004B1ACC" w:rsidRPr="009F3708">
        <w:rPr>
          <w:rFonts w:cstheme="minorHAnsi"/>
        </w:rPr>
        <w:t>a new antimicrobial</w:t>
      </w:r>
      <w:r w:rsidR="004B1ACC">
        <w:rPr>
          <w:rFonts w:cstheme="minorHAnsi"/>
        </w:rPr>
        <w:t>; t</w:t>
      </w:r>
      <w:r w:rsidR="004B1ACC" w:rsidRPr="009F3708">
        <w:rPr>
          <w:rFonts w:cstheme="minorHAnsi"/>
        </w:rPr>
        <w:t xml:space="preserve">hat is, </w:t>
      </w:r>
      <w:r w:rsidR="00B50CFC">
        <w:rPr>
          <w:rFonts w:cstheme="minorHAnsi"/>
        </w:rPr>
        <w:t xml:space="preserve">a payment to the </w:t>
      </w:r>
      <w:r w:rsidR="0075103A">
        <w:rPr>
          <w:rFonts w:cstheme="minorHAnsi"/>
        </w:rPr>
        <w:t>company</w:t>
      </w:r>
      <w:r w:rsidR="00B50CFC">
        <w:rPr>
          <w:rFonts w:cstheme="minorHAnsi"/>
        </w:rPr>
        <w:t xml:space="preserve"> that ensures </w:t>
      </w:r>
      <w:r w:rsidR="004B1ACC" w:rsidRPr="009F3708">
        <w:rPr>
          <w:rFonts w:cstheme="minorHAnsi"/>
        </w:rPr>
        <w:t xml:space="preserve">a </w:t>
      </w:r>
      <w:r w:rsidR="00B50CFC">
        <w:rPr>
          <w:rFonts w:cstheme="minorHAnsi"/>
        </w:rPr>
        <w:t xml:space="preserve">sufficient </w:t>
      </w:r>
      <w:r w:rsidR="004B1ACC" w:rsidRPr="009F3708">
        <w:rPr>
          <w:rFonts w:cstheme="minorHAnsi"/>
        </w:rPr>
        <w:t xml:space="preserve">return on investment </w:t>
      </w:r>
      <w:r w:rsidR="00B50CFC">
        <w:rPr>
          <w:rFonts w:cstheme="minorHAnsi"/>
        </w:rPr>
        <w:t xml:space="preserve">to </w:t>
      </w:r>
      <w:r w:rsidR="004B1ACC" w:rsidRPr="009F3708">
        <w:rPr>
          <w:rFonts w:cstheme="minorHAnsi"/>
        </w:rPr>
        <w:t xml:space="preserve">make </w:t>
      </w:r>
      <w:r w:rsidR="00B50CFC">
        <w:rPr>
          <w:rFonts w:cstheme="minorHAnsi"/>
        </w:rPr>
        <w:t xml:space="preserve">the </w:t>
      </w:r>
      <w:r w:rsidR="004B1ACC" w:rsidRPr="009F3708">
        <w:rPr>
          <w:rFonts w:cstheme="minorHAnsi"/>
        </w:rPr>
        <w:t xml:space="preserve">development </w:t>
      </w:r>
      <w:r w:rsidR="00B50CFC">
        <w:rPr>
          <w:rFonts w:cstheme="minorHAnsi"/>
        </w:rPr>
        <w:t xml:space="preserve">of a new antimicrobial </w:t>
      </w:r>
      <w:r w:rsidR="004B1ACC" w:rsidRPr="009F3708">
        <w:rPr>
          <w:rFonts w:cstheme="minorHAnsi"/>
        </w:rPr>
        <w:t>worthwhile</w:t>
      </w:r>
      <w:r w:rsidR="004B1ACC">
        <w:rPr>
          <w:rFonts w:cstheme="minorHAnsi"/>
        </w:rPr>
        <w:t xml:space="preserve">. It was calculated by rescaling </w:t>
      </w:r>
      <w:r w:rsidR="004B1ACC" w:rsidRPr="009F3708">
        <w:rPr>
          <w:rFonts w:cstheme="minorHAnsi"/>
        </w:rPr>
        <w:t>published estimates of the required size of a global pull incentive</w:t>
      </w:r>
      <w:r w:rsidR="004B1ACC">
        <w:rPr>
          <w:rFonts w:cstheme="minorHAnsi"/>
        </w:rPr>
        <w:t xml:space="preserve"> to reflect </w:t>
      </w:r>
      <w:r w:rsidR="004B1ACC" w:rsidRPr="009F3708">
        <w:rPr>
          <w:rFonts w:cstheme="minorHAnsi"/>
        </w:rPr>
        <w:t xml:space="preserve">England’s </w:t>
      </w:r>
      <w:r w:rsidR="004B1ACC" w:rsidRPr="00937CF9">
        <w:rPr>
          <w:rFonts w:cstheme="minorHAnsi"/>
        </w:rPr>
        <w:t xml:space="preserve">share of </w:t>
      </w:r>
      <w:r w:rsidR="004B1ACC">
        <w:rPr>
          <w:rFonts w:cstheme="minorHAnsi"/>
        </w:rPr>
        <w:t xml:space="preserve">the </w:t>
      </w:r>
      <w:r w:rsidR="004B1ACC" w:rsidRPr="00937CF9">
        <w:rPr>
          <w:rFonts w:cstheme="minorHAnsi"/>
        </w:rPr>
        <w:t>pharma</w:t>
      </w:r>
      <w:r w:rsidR="004B1ACC">
        <w:rPr>
          <w:rFonts w:cstheme="minorHAnsi"/>
        </w:rPr>
        <w:t>ceutical</w:t>
      </w:r>
      <w:r w:rsidR="004B1ACC" w:rsidRPr="00937CF9">
        <w:rPr>
          <w:rFonts w:cstheme="minorHAnsi"/>
        </w:rPr>
        <w:t xml:space="preserve"> market</w:t>
      </w:r>
      <w:r w:rsidR="004B1ACC" w:rsidRPr="009F3708">
        <w:rPr>
          <w:rFonts w:cstheme="minorHAnsi"/>
        </w:rPr>
        <w:t xml:space="preserve">. </w:t>
      </w:r>
    </w:p>
    <w:p w14:paraId="2EC21163" w14:textId="5C245CDE" w:rsidR="00E73715" w:rsidRPr="00514B21" w:rsidRDefault="00942705" w:rsidP="00E73715">
      <w:pPr>
        <w:rPr>
          <w:rFonts w:eastAsiaTheme="minorEastAsia"/>
          <w:color w:val="000000" w:themeColor="text1"/>
        </w:rPr>
      </w:pPr>
      <w:r>
        <w:rPr>
          <w:rFonts w:eastAsiaTheme="minorEastAsia"/>
          <w:color w:val="000000" w:themeColor="text1"/>
        </w:rPr>
        <w:t xml:space="preserve">Having a cap on the contract value set stakeholders’ expectations as to the basis on which prospective contracts would move through the procurement process from evaluation to contract </w:t>
      </w:r>
      <w:proofErr w:type="gramStart"/>
      <w:r>
        <w:rPr>
          <w:rFonts w:eastAsiaTheme="minorEastAsia"/>
          <w:color w:val="000000" w:themeColor="text1"/>
        </w:rPr>
        <w:t>awarding, and</w:t>
      </w:r>
      <w:proofErr w:type="gramEnd"/>
      <w:r>
        <w:rPr>
          <w:rFonts w:eastAsiaTheme="minorEastAsia"/>
          <w:color w:val="000000" w:themeColor="text1"/>
        </w:rPr>
        <w:t xml:space="preserve"> provided reassurance that the </w:t>
      </w:r>
      <w:r w:rsidR="00E73715" w:rsidRPr="00514B21">
        <w:rPr>
          <w:rFonts w:eastAsiaTheme="minorEastAsia"/>
          <w:color w:val="000000" w:themeColor="text1"/>
        </w:rPr>
        <w:t xml:space="preserve">process met </w:t>
      </w:r>
      <w:r>
        <w:rPr>
          <w:rFonts w:cstheme="minorHAnsi"/>
        </w:rPr>
        <w:t>public contract regulations 2015 (PCR2015)</w:t>
      </w:r>
      <w:r w:rsidR="00E73715" w:rsidRPr="00514B21">
        <w:rPr>
          <w:rFonts w:eastAsiaTheme="minorEastAsia"/>
          <w:color w:val="000000" w:themeColor="text1"/>
        </w:rPr>
        <w:t xml:space="preserve">. Participants did suggest, however, that value of the cap would need to be reviewed in future. </w:t>
      </w:r>
      <w:r w:rsidR="00937CB0" w:rsidRPr="00514B21">
        <w:rPr>
          <w:rFonts w:eastAsiaTheme="minorEastAsia"/>
          <w:color w:val="000000" w:themeColor="text1"/>
        </w:rPr>
        <w:t xml:space="preserve">For example, </w:t>
      </w:r>
      <w:r w:rsidR="003B2E21">
        <w:rPr>
          <w:rFonts w:eastAsiaTheme="minorEastAsia"/>
          <w:color w:val="000000" w:themeColor="text1"/>
        </w:rPr>
        <w:t>if</w:t>
      </w:r>
      <w:r w:rsidR="00674CB0">
        <w:rPr>
          <w:rFonts w:eastAsiaTheme="minorEastAsia"/>
          <w:color w:val="000000" w:themeColor="text1"/>
        </w:rPr>
        <w:t xml:space="preserve"> other countries </w:t>
      </w:r>
      <w:r w:rsidR="003B2E21">
        <w:rPr>
          <w:rFonts w:eastAsiaTheme="minorEastAsia"/>
          <w:color w:val="000000" w:themeColor="text1"/>
        </w:rPr>
        <w:t xml:space="preserve">do </w:t>
      </w:r>
      <w:r w:rsidR="00674CB0">
        <w:rPr>
          <w:rFonts w:eastAsiaTheme="minorEastAsia"/>
          <w:color w:val="000000" w:themeColor="text1"/>
        </w:rPr>
        <w:t xml:space="preserve">not </w:t>
      </w:r>
      <w:r w:rsidR="003B2E21">
        <w:rPr>
          <w:rFonts w:eastAsiaTheme="minorEastAsia"/>
          <w:color w:val="000000" w:themeColor="text1"/>
        </w:rPr>
        <w:t xml:space="preserve">pay </w:t>
      </w:r>
      <w:r w:rsidR="00674CB0">
        <w:rPr>
          <w:rFonts w:eastAsiaTheme="minorEastAsia"/>
          <w:color w:val="000000" w:themeColor="text1"/>
        </w:rPr>
        <w:t xml:space="preserve">their ‘fair share’ of a pull incentive, thereby reducing the pool of </w:t>
      </w:r>
      <w:r w:rsidR="003827AD">
        <w:rPr>
          <w:rFonts w:eastAsiaTheme="minorEastAsia"/>
          <w:color w:val="000000" w:themeColor="text1"/>
        </w:rPr>
        <w:t xml:space="preserve">contributors, </w:t>
      </w:r>
      <w:r w:rsidR="000769FE">
        <w:rPr>
          <w:rFonts w:eastAsiaTheme="minorEastAsia"/>
          <w:color w:val="000000" w:themeColor="text1"/>
        </w:rPr>
        <w:t xml:space="preserve">England’s </w:t>
      </w:r>
      <w:r w:rsidR="003B2E21">
        <w:rPr>
          <w:rFonts w:eastAsiaTheme="minorEastAsia"/>
          <w:color w:val="000000" w:themeColor="text1"/>
        </w:rPr>
        <w:t xml:space="preserve">contribution </w:t>
      </w:r>
      <w:r w:rsidR="00AB5471">
        <w:rPr>
          <w:rFonts w:eastAsiaTheme="minorEastAsia"/>
          <w:color w:val="000000" w:themeColor="text1"/>
        </w:rPr>
        <w:t>of £10m per year may not be sufficient to translate to a pull incentive for industry</w:t>
      </w:r>
      <w:r w:rsidR="00937CB0" w:rsidRPr="00514B21">
        <w:rPr>
          <w:rFonts w:eastAsiaTheme="minorEastAsia"/>
          <w:color w:val="000000" w:themeColor="text1"/>
        </w:rPr>
        <w:t xml:space="preserve">. </w:t>
      </w:r>
      <w:r w:rsidR="00E73715" w:rsidRPr="00514B21">
        <w:rPr>
          <w:rFonts w:eastAsiaTheme="minorEastAsia"/>
          <w:color w:val="000000" w:themeColor="text1"/>
        </w:rPr>
        <w:t xml:space="preserve">It was noted that the NICE evaluation of both products estimated </w:t>
      </w:r>
      <w:r>
        <w:rPr>
          <w:rFonts w:eastAsiaTheme="minorEastAsia"/>
          <w:color w:val="000000" w:themeColor="text1"/>
        </w:rPr>
        <w:t xml:space="preserve">QALYs that would translate to </w:t>
      </w:r>
      <w:r w:rsidR="00E73715" w:rsidRPr="00514B21">
        <w:rPr>
          <w:rFonts w:eastAsiaTheme="minorEastAsia"/>
          <w:color w:val="000000" w:themeColor="text1"/>
        </w:rPr>
        <w:t>monetary values above the cap</w:t>
      </w:r>
      <w:r w:rsidR="000769FE">
        <w:rPr>
          <w:rFonts w:eastAsiaTheme="minorEastAsia"/>
          <w:color w:val="000000" w:themeColor="text1"/>
        </w:rPr>
        <w:t>, if quality-adjusted life years (QALYs) are valued at £20,000 each</w:t>
      </w:r>
      <w:r w:rsidR="00E73715" w:rsidRPr="00514B21">
        <w:rPr>
          <w:rFonts w:eastAsiaTheme="minorEastAsia"/>
          <w:color w:val="000000" w:themeColor="text1"/>
        </w:rPr>
        <w:t xml:space="preserve">. From a public perspective, this could be seen as providing assurance that the NHS is not overpaying given the large uncertainties in the modelling. </w:t>
      </w:r>
      <w:r w:rsidR="000769FE">
        <w:rPr>
          <w:rFonts w:eastAsiaTheme="minorEastAsia"/>
          <w:color w:val="000000" w:themeColor="text1"/>
        </w:rPr>
        <w:t>For industry, a</w:t>
      </w:r>
      <w:r w:rsidR="00E73715" w:rsidRPr="00514B21">
        <w:rPr>
          <w:rFonts w:eastAsiaTheme="minorEastAsia"/>
          <w:color w:val="000000" w:themeColor="text1"/>
        </w:rPr>
        <w:t xml:space="preserve">n alternative interpretation was that the companies were not fully compensated for the value of their products. </w:t>
      </w:r>
    </w:p>
    <w:p w14:paraId="6621D010" w14:textId="29C46C5C" w:rsidR="00E73715" w:rsidRPr="00514B21" w:rsidRDefault="00E73715" w:rsidP="00E73715">
      <w:pPr>
        <w:rPr>
          <w:rFonts w:eastAsiaTheme="minorEastAsia"/>
          <w:color w:val="000000" w:themeColor="text1"/>
        </w:rPr>
      </w:pPr>
      <w:r w:rsidRPr="00514B21">
        <w:rPr>
          <w:rFonts w:eastAsiaTheme="minorEastAsia"/>
          <w:color w:val="000000" w:themeColor="text1"/>
        </w:rPr>
        <w:t>Participants argued that the cap could be flexible, varying according to how well the products met some of the selection criteria that were used to identify products</w:t>
      </w:r>
      <w:r w:rsidR="001A7C9B">
        <w:rPr>
          <w:rFonts w:eastAsiaTheme="minorEastAsia"/>
          <w:color w:val="000000" w:themeColor="text1"/>
        </w:rPr>
        <w:t xml:space="preserve"> eligible</w:t>
      </w:r>
      <w:r w:rsidRPr="00514B21">
        <w:rPr>
          <w:rFonts w:eastAsiaTheme="minorEastAsia"/>
          <w:color w:val="000000" w:themeColor="text1"/>
        </w:rPr>
        <w:t xml:space="preserve"> for the pilot. It was suggested that this would allow for more accurate reimbursement of the highest quality antimicrobials and provide incentives to companies who would otherwise struggle to qualify for the process. For instance, a lower </w:t>
      </w:r>
      <w:r w:rsidR="000769FE">
        <w:rPr>
          <w:rFonts w:eastAsiaTheme="minorEastAsia"/>
          <w:color w:val="000000" w:themeColor="text1"/>
        </w:rPr>
        <w:t>value</w:t>
      </w:r>
      <w:r w:rsidRPr="00514B21">
        <w:rPr>
          <w:rFonts w:eastAsiaTheme="minorEastAsia"/>
          <w:color w:val="000000" w:themeColor="text1"/>
        </w:rPr>
        <w:t xml:space="preserve"> could be in place for products with weaker supply chain assurances, </w:t>
      </w:r>
      <w:r w:rsidR="001A7C9B">
        <w:rPr>
          <w:rFonts w:eastAsiaTheme="minorEastAsia"/>
          <w:color w:val="000000" w:themeColor="text1"/>
        </w:rPr>
        <w:t xml:space="preserve">to avoid </w:t>
      </w:r>
      <w:r w:rsidRPr="00514B21">
        <w:rPr>
          <w:rFonts w:eastAsiaTheme="minorEastAsia"/>
          <w:color w:val="000000" w:themeColor="text1"/>
        </w:rPr>
        <w:t>exclud</w:t>
      </w:r>
      <w:r w:rsidR="001A7C9B">
        <w:rPr>
          <w:rFonts w:eastAsiaTheme="minorEastAsia"/>
          <w:color w:val="000000" w:themeColor="text1"/>
        </w:rPr>
        <w:t>ing</w:t>
      </w:r>
      <w:r w:rsidRPr="00514B21">
        <w:rPr>
          <w:rFonts w:eastAsiaTheme="minorEastAsia"/>
          <w:color w:val="000000" w:themeColor="text1"/>
        </w:rPr>
        <w:t xml:space="preserve"> </w:t>
      </w:r>
      <w:r w:rsidR="000253FA" w:rsidRPr="00514B21">
        <w:t>small- and medium-sized companies</w:t>
      </w:r>
      <w:r w:rsidR="000253FA" w:rsidRPr="00514B21">
        <w:rPr>
          <w:rFonts w:eastAsiaTheme="minorEastAsia"/>
          <w:color w:val="000000" w:themeColor="text1"/>
        </w:rPr>
        <w:t xml:space="preserve"> </w:t>
      </w:r>
      <w:r w:rsidRPr="00514B21">
        <w:rPr>
          <w:rFonts w:eastAsiaTheme="minorEastAsia"/>
          <w:color w:val="000000" w:themeColor="text1"/>
        </w:rPr>
        <w:t xml:space="preserve">with reduced supply infrastructure. It was also proposed that variations in value could be used to incentivise evidence generation by </w:t>
      </w:r>
      <w:r w:rsidR="001A7C9B">
        <w:rPr>
          <w:rFonts w:eastAsiaTheme="minorEastAsia"/>
          <w:color w:val="000000" w:themeColor="text1"/>
        </w:rPr>
        <w:t>setting a</w:t>
      </w:r>
      <w:r w:rsidR="001A7C9B" w:rsidRPr="00514B21">
        <w:rPr>
          <w:rFonts w:eastAsiaTheme="minorEastAsia"/>
          <w:color w:val="000000" w:themeColor="text1"/>
        </w:rPr>
        <w:t xml:space="preserve"> </w:t>
      </w:r>
      <w:r w:rsidRPr="00514B21">
        <w:rPr>
          <w:rFonts w:eastAsiaTheme="minorEastAsia"/>
          <w:color w:val="000000" w:themeColor="text1"/>
        </w:rPr>
        <w:t xml:space="preserve">higher </w:t>
      </w:r>
      <w:r w:rsidR="000769FE">
        <w:rPr>
          <w:rFonts w:eastAsiaTheme="minorEastAsia"/>
          <w:color w:val="000000" w:themeColor="text1"/>
        </w:rPr>
        <w:t>value</w:t>
      </w:r>
      <w:r w:rsidRPr="00514B21">
        <w:rPr>
          <w:rFonts w:eastAsiaTheme="minorEastAsia"/>
          <w:color w:val="000000" w:themeColor="text1"/>
        </w:rPr>
        <w:t xml:space="preserve"> for products </w:t>
      </w:r>
      <w:r w:rsidR="001A7C9B">
        <w:rPr>
          <w:rFonts w:eastAsiaTheme="minorEastAsia"/>
          <w:color w:val="000000" w:themeColor="text1"/>
        </w:rPr>
        <w:t xml:space="preserve">supported by </w:t>
      </w:r>
      <w:r w:rsidRPr="00514B21">
        <w:rPr>
          <w:rFonts w:eastAsiaTheme="minorEastAsia"/>
          <w:color w:val="000000" w:themeColor="text1"/>
        </w:rPr>
        <w:t>higher quality evidence.</w:t>
      </w:r>
      <w:r w:rsidR="001A7C9B">
        <w:rPr>
          <w:rFonts w:eastAsiaTheme="minorEastAsia"/>
          <w:color w:val="000000" w:themeColor="text1"/>
        </w:rPr>
        <w:t xml:space="preserve"> </w:t>
      </w:r>
    </w:p>
    <w:p w14:paraId="0F5EAF35" w14:textId="4D7AAF4F" w:rsidR="00E73715" w:rsidRPr="00514B21" w:rsidRDefault="00E73715" w:rsidP="00E73715">
      <w:pPr>
        <w:rPr>
          <w:rFonts w:eastAsiaTheme="minorEastAsia"/>
          <w:color w:val="000000" w:themeColor="text1"/>
        </w:rPr>
      </w:pPr>
      <w:r w:rsidRPr="00514B21">
        <w:rPr>
          <w:rFonts w:eastAsiaTheme="minorEastAsia"/>
          <w:color w:val="000000" w:themeColor="text1"/>
        </w:rPr>
        <w:t xml:space="preserve">The </w:t>
      </w:r>
      <w:r w:rsidR="00C40B96">
        <w:rPr>
          <w:rFonts w:eastAsiaTheme="minorEastAsia"/>
          <w:color w:val="000000" w:themeColor="text1"/>
        </w:rPr>
        <w:t xml:space="preserve">contract’s </w:t>
      </w:r>
      <w:r w:rsidRPr="00514B21">
        <w:rPr>
          <w:rFonts w:eastAsiaTheme="minorEastAsia"/>
          <w:color w:val="000000" w:themeColor="text1"/>
        </w:rPr>
        <w:t xml:space="preserve">surveillance requirements were supported, with recognition </w:t>
      </w:r>
      <w:r w:rsidR="00C40B96">
        <w:rPr>
          <w:rFonts w:eastAsiaTheme="minorEastAsia"/>
          <w:color w:val="000000" w:themeColor="text1"/>
        </w:rPr>
        <w:t xml:space="preserve">that this would </w:t>
      </w:r>
      <w:r w:rsidRPr="00514B21">
        <w:rPr>
          <w:rFonts w:eastAsiaTheme="minorEastAsia"/>
          <w:color w:val="000000" w:themeColor="text1"/>
        </w:rPr>
        <w:t>generate data that could potentially inform future evaluations.</w:t>
      </w:r>
      <w:r w:rsidRPr="00514B21">
        <w:rPr>
          <w:rFonts w:cstheme="minorHAnsi"/>
        </w:rPr>
        <w:t xml:space="preserve"> </w:t>
      </w:r>
      <w:r w:rsidRPr="00514B21">
        <w:rPr>
          <w:rFonts w:eastAsiaTheme="minorEastAsia"/>
          <w:color w:val="000000" w:themeColor="text1"/>
        </w:rPr>
        <w:t>Similar praise was given to contract</w:t>
      </w:r>
      <w:r w:rsidR="00C40B96">
        <w:rPr>
          <w:rFonts w:eastAsiaTheme="minorEastAsia"/>
          <w:color w:val="000000" w:themeColor="text1"/>
        </w:rPr>
        <w:t>’</w:t>
      </w:r>
      <w:r w:rsidRPr="00514B21">
        <w:rPr>
          <w:rFonts w:eastAsiaTheme="minorEastAsia"/>
          <w:color w:val="000000" w:themeColor="text1"/>
        </w:rPr>
        <w:t xml:space="preserve">s stewardship requirements which are vital to combat antimicrobial resistance. However, there </w:t>
      </w:r>
      <w:r w:rsidR="00A61964">
        <w:rPr>
          <w:rFonts w:eastAsiaTheme="minorEastAsia"/>
          <w:color w:val="000000" w:themeColor="text1"/>
        </w:rPr>
        <w:t>were</w:t>
      </w:r>
      <w:r w:rsidRPr="00514B21">
        <w:rPr>
          <w:rFonts w:eastAsiaTheme="minorEastAsia"/>
          <w:color w:val="000000" w:themeColor="text1"/>
        </w:rPr>
        <w:t xml:space="preserve"> concern</w:t>
      </w:r>
      <w:r w:rsidR="00A61964">
        <w:rPr>
          <w:rFonts w:eastAsiaTheme="minorEastAsia"/>
          <w:color w:val="000000" w:themeColor="text1"/>
        </w:rPr>
        <w:t>s</w:t>
      </w:r>
      <w:r w:rsidRPr="00514B21">
        <w:rPr>
          <w:rFonts w:eastAsiaTheme="minorEastAsia"/>
          <w:color w:val="000000" w:themeColor="text1"/>
        </w:rPr>
        <w:t xml:space="preserve"> </w:t>
      </w:r>
      <w:r w:rsidR="00A61964">
        <w:rPr>
          <w:rFonts w:eastAsiaTheme="minorEastAsia"/>
          <w:color w:val="000000" w:themeColor="text1"/>
        </w:rPr>
        <w:t>about</w:t>
      </w:r>
      <w:r w:rsidRPr="00514B21">
        <w:rPr>
          <w:rFonts w:eastAsiaTheme="minorEastAsia"/>
          <w:color w:val="000000" w:themeColor="text1"/>
        </w:rPr>
        <w:t xml:space="preserve"> </w:t>
      </w:r>
      <w:r w:rsidRPr="00514B21">
        <w:rPr>
          <w:rFonts w:eastAsiaTheme="minorEastAsia"/>
          <w:color w:val="000000" w:themeColor="text1"/>
        </w:rPr>
        <w:lastRenderedPageBreak/>
        <w:t>us</w:t>
      </w:r>
      <w:r w:rsidR="00C40B96">
        <w:rPr>
          <w:rFonts w:eastAsiaTheme="minorEastAsia"/>
          <w:color w:val="000000" w:themeColor="text1"/>
        </w:rPr>
        <w:t>ing</w:t>
      </w:r>
      <w:r w:rsidRPr="00514B21">
        <w:rPr>
          <w:rFonts w:eastAsiaTheme="minorEastAsia"/>
          <w:color w:val="000000" w:themeColor="text1"/>
        </w:rPr>
        <w:t xml:space="preserve"> </w:t>
      </w:r>
      <w:proofErr w:type="spellStart"/>
      <w:r w:rsidRPr="00514B21">
        <w:rPr>
          <w:rFonts w:eastAsiaTheme="minorEastAsia"/>
          <w:color w:val="000000" w:themeColor="text1"/>
        </w:rPr>
        <w:t>Blueteq</w:t>
      </w:r>
      <w:proofErr w:type="spellEnd"/>
      <w:r w:rsidRPr="00514B21">
        <w:rPr>
          <w:rFonts w:eastAsiaTheme="minorEastAsia"/>
          <w:color w:val="000000" w:themeColor="text1"/>
        </w:rPr>
        <w:t xml:space="preserve"> forms</w:t>
      </w:r>
      <w:r w:rsidR="008101C9">
        <w:rPr>
          <w:rFonts w:eastAsiaTheme="minorEastAsia"/>
          <w:color w:val="000000" w:themeColor="text1"/>
        </w:rPr>
        <w:t>, which are completed by doctors for approval when prescribing high cost drugs,</w:t>
      </w:r>
      <w:r w:rsidRPr="00514B21">
        <w:rPr>
          <w:rFonts w:eastAsiaTheme="minorEastAsia"/>
          <w:color w:val="000000" w:themeColor="text1"/>
        </w:rPr>
        <w:t xml:space="preserve"> to monitor usage because</w:t>
      </w:r>
      <w:r w:rsidR="00C40B96">
        <w:rPr>
          <w:rFonts w:eastAsiaTheme="minorEastAsia"/>
          <w:color w:val="000000" w:themeColor="text1"/>
        </w:rPr>
        <w:t xml:space="preserve"> </w:t>
      </w:r>
      <w:r w:rsidRPr="00514B21">
        <w:rPr>
          <w:rFonts w:eastAsiaTheme="minorEastAsia"/>
          <w:color w:val="000000" w:themeColor="text1"/>
        </w:rPr>
        <w:t>the</w:t>
      </w:r>
      <w:r w:rsidR="008101C9">
        <w:rPr>
          <w:rFonts w:eastAsiaTheme="minorEastAsia"/>
          <w:color w:val="000000" w:themeColor="text1"/>
        </w:rPr>
        <w:t>ir completion is not</w:t>
      </w:r>
      <w:r w:rsidRPr="00514B21">
        <w:rPr>
          <w:rFonts w:eastAsiaTheme="minorEastAsia"/>
          <w:color w:val="000000" w:themeColor="text1"/>
        </w:rPr>
        <w:t xml:space="preserve"> mandatory </w:t>
      </w:r>
      <w:r w:rsidR="00C40B96">
        <w:rPr>
          <w:rFonts w:eastAsiaTheme="minorEastAsia"/>
          <w:color w:val="000000" w:themeColor="text1"/>
        </w:rPr>
        <w:t xml:space="preserve">for these </w:t>
      </w:r>
      <w:r w:rsidR="008101C9">
        <w:rPr>
          <w:rFonts w:eastAsiaTheme="minorEastAsia"/>
          <w:color w:val="000000" w:themeColor="text1"/>
        </w:rPr>
        <w:t xml:space="preserve">pilot </w:t>
      </w:r>
      <w:r w:rsidR="00C40B96">
        <w:rPr>
          <w:rFonts w:eastAsiaTheme="minorEastAsia"/>
          <w:color w:val="000000" w:themeColor="text1"/>
        </w:rPr>
        <w:t>products</w:t>
      </w:r>
      <w:r w:rsidRPr="00514B21">
        <w:rPr>
          <w:rFonts w:eastAsiaTheme="minorEastAsia"/>
          <w:color w:val="000000" w:themeColor="text1"/>
        </w:rPr>
        <w:t xml:space="preserve">. As a result, completion rates may be </w:t>
      </w:r>
      <w:proofErr w:type="gramStart"/>
      <w:r w:rsidRPr="00514B21">
        <w:rPr>
          <w:rFonts w:eastAsiaTheme="minorEastAsia"/>
          <w:color w:val="000000" w:themeColor="text1"/>
        </w:rPr>
        <w:t>low</w:t>
      </w:r>
      <w:proofErr w:type="gramEnd"/>
      <w:r w:rsidR="00C40B96">
        <w:rPr>
          <w:rFonts w:eastAsiaTheme="minorEastAsia"/>
          <w:color w:val="000000" w:themeColor="text1"/>
        </w:rPr>
        <w:t xml:space="preserve"> and it will be difficult to monitor </w:t>
      </w:r>
      <w:r w:rsidR="00496DE2">
        <w:rPr>
          <w:rFonts w:eastAsiaTheme="minorEastAsia"/>
          <w:color w:val="000000" w:themeColor="text1"/>
        </w:rPr>
        <w:t xml:space="preserve">reasons for prescribing and </w:t>
      </w:r>
      <w:r w:rsidR="00C40B96">
        <w:rPr>
          <w:rFonts w:eastAsiaTheme="minorEastAsia"/>
          <w:color w:val="000000" w:themeColor="text1"/>
        </w:rPr>
        <w:t>adherence to the NICE guidance</w:t>
      </w:r>
      <w:r w:rsidRPr="00514B21">
        <w:rPr>
          <w:rFonts w:eastAsiaTheme="minorEastAsia"/>
          <w:color w:val="000000" w:themeColor="text1"/>
        </w:rPr>
        <w:t xml:space="preserve">. Another stewardship aspect </w:t>
      </w:r>
      <w:r w:rsidR="00C40B96">
        <w:rPr>
          <w:rFonts w:eastAsiaTheme="minorEastAsia"/>
          <w:color w:val="000000" w:themeColor="text1"/>
        </w:rPr>
        <w:t xml:space="preserve">discussed in the workshops </w:t>
      </w:r>
      <w:r w:rsidRPr="00514B21">
        <w:rPr>
          <w:rFonts w:eastAsiaTheme="minorEastAsia"/>
          <w:color w:val="000000" w:themeColor="text1"/>
        </w:rPr>
        <w:t xml:space="preserve">was the </w:t>
      </w:r>
      <w:r w:rsidR="00C40B96">
        <w:rPr>
          <w:rFonts w:eastAsiaTheme="minorEastAsia"/>
          <w:color w:val="000000" w:themeColor="text1"/>
        </w:rPr>
        <w:t xml:space="preserve">products’ </w:t>
      </w:r>
      <w:r w:rsidRPr="00514B21">
        <w:rPr>
          <w:rFonts w:eastAsiaTheme="minorEastAsia"/>
          <w:color w:val="000000" w:themeColor="text1"/>
        </w:rPr>
        <w:t xml:space="preserve">hospital invoice price. </w:t>
      </w:r>
      <w:r w:rsidR="006328B9">
        <w:rPr>
          <w:rFonts w:eastAsiaTheme="minorEastAsia"/>
          <w:color w:val="000000" w:themeColor="text1"/>
        </w:rPr>
        <w:t xml:space="preserve">Usage </w:t>
      </w:r>
      <w:r w:rsidRPr="00514B21">
        <w:rPr>
          <w:rFonts w:eastAsiaTheme="minorEastAsia"/>
          <w:color w:val="000000" w:themeColor="text1"/>
        </w:rPr>
        <w:t xml:space="preserve">should be carefully monitored </w:t>
      </w:r>
      <w:r w:rsidR="006328B9">
        <w:rPr>
          <w:rFonts w:eastAsiaTheme="minorEastAsia"/>
          <w:color w:val="000000" w:themeColor="text1"/>
        </w:rPr>
        <w:t>to ensure the price is</w:t>
      </w:r>
      <w:r w:rsidR="006328B9" w:rsidRPr="00514B21">
        <w:rPr>
          <w:rFonts w:eastAsiaTheme="minorEastAsia"/>
          <w:color w:val="000000" w:themeColor="text1"/>
        </w:rPr>
        <w:t xml:space="preserve"> </w:t>
      </w:r>
      <w:r w:rsidR="006328B9">
        <w:rPr>
          <w:rFonts w:eastAsiaTheme="minorEastAsia"/>
          <w:color w:val="000000" w:themeColor="text1"/>
        </w:rPr>
        <w:t>not encouraging over- or under-prescribing</w:t>
      </w:r>
      <w:r w:rsidRPr="00514B21">
        <w:rPr>
          <w:rFonts w:eastAsiaTheme="minorEastAsia"/>
          <w:color w:val="000000" w:themeColor="text1"/>
        </w:rPr>
        <w:t xml:space="preserve"> from appropriate levels. </w:t>
      </w:r>
      <w:r w:rsidR="006328B9">
        <w:rPr>
          <w:rFonts w:eastAsiaTheme="minorEastAsia"/>
          <w:color w:val="000000" w:themeColor="text1"/>
        </w:rPr>
        <w:t>C</w:t>
      </w:r>
      <w:r w:rsidRPr="00514B21">
        <w:rPr>
          <w:rFonts w:eastAsiaTheme="minorEastAsia"/>
          <w:color w:val="000000" w:themeColor="text1"/>
        </w:rPr>
        <w:t xml:space="preserve">ommittee </w:t>
      </w:r>
      <w:r w:rsidR="006328B9">
        <w:rPr>
          <w:rFonts w:eastAsiaTheme="minorEastAsia"/>
          <w:color w:val="000000" w:themeColor="text1"/>
        </w:rPr>
        <w:t xml:space="preserve">members felt that they could have provided helpful </w:t>
      </w:r>
      <w:r w:rsidRPr="00514B21">
        <w:rPr>
          <w:rFonts w:eastAsiaTheme="minorEastAsia"/>
          <w:color w:val="000000" w:themeColor="text1"/>
        </w:rPr>
        <w:t xml:space="preserve">input into </w:t>
      </w:r>
      <w:r w:rsidR="006328B9">
        <w:rPr>
          <w:rFonts w:eastAsiaTheme="minorEastAsia"/>
          <w:color w:val="000000" w:themeColor="text1"/>
        </w:rPr>
        <w:t xml:space="preserve">the </w:t>
      </w:r>
      <w:r w:rsidRPr="00514B21">
        <w:rPr>
          <w:rFonts w:eastAsiaTheme="minorEastAsia"/>
          <w:color w:val="000000" w:themeColor="text1"/>
        </w:rPr>
        <w:t xml:space="preserve">price, </w:t>
      </w:r>
      <w:r w:rsidR="006328B9">
        <w:rPr>
          <w:rFonts w:eastAsiaTheme="minorEastAsia"/>
          <w:color w:val="000000" w:themeColor="text1"/>
        </w:rPr>
        <w:t xml:space="preserve">but </w:t>
      </w:r>
      <w:r w:rsidRPr="00514B21">
        <w:rPr>
          <w:rFonts w:eastAsiaTheme="minorEastAsia"/>
          <w:color w:val="000000" w:themeColor="text1"/>
        </w:rPr>
        <w:t>it was recognised that during the pilot there was not time</w:t>
      </w:r>
      <w:r w:rsidR="00277241" w:rsidRPr="00514B21">
        <w:rPr>
          <w:rFonts w:eastAsiaTheme="minorEastAsia"/>
          <w:color w:val="000000" w:themeColor="text1"/>
        </w:rPr>
        <w:t xml:space="preserve"> for this to be discussed</w:t>
      </w:r>
      <w:r w:rsidRPr="00514B21">
        <w:rPr>
          <w:rFonts w:eastAsiaTheme="minorEastAsia"/>
          <w:color w:val="000000" w:themeColor="text1"/>
        </w:rPr>
        <w:t xml:space="preserve"> within the committee meetings. </w:t>
      </w:r>
      <w:r w:rsidR="00D62DF7" w:rsidRPr="00514B21">
        <w:rPr>
          <w:rFonts w:eastAsiaTheme="minorEastAsia"/>
          <w:color w:val="000000" w:themeColor="text1"/>
        </w:rPr>
        <w:t xml:space="preserve">Future contracts should also consider how to account for instances of exceptional usage, during which demand increases in response to an outbreak. </w:t>
      </w:r>
      <w:r w:rsidR="00CA3D3B" w:rsidRPr="00514B21">
        <w:rPr>
          <w:rFonts w:eastAsiaTheme="minorEastAsia"/>
          <w:color w:val="000000" w:themeColor="text1"/>
        </w:rPr>
        <w:t>In extreme cases, this could mean the company would have lower revenues compared with a standard payment model.</w:t>
      </w:r>
    </w:p>
    <w:p w14:paraId="3E743927" w14:textId="79A49A81" w:rsidR="00E73715" w:rsidRPr="00F31464" w:rsidRDefault="00D64986" w:rsidP="00F31464">
      <w:pPr>
        <w:pStyle w:val="Heading2"/>
      </w:pPr>
      <w:r w:rsidRPr="00F31464">
        <w:t xml:space="preserve">Eligibility </w:t>
      </w:r>
      <w:r w:rsidR="00E73715" w:rsidRPr="00F31464">
        <w:t>and selection criteria</w:t>
      </w:r>
    </w:p>
    <w:p w14:paraId="1BB95C92" w14:textId="52BCF022" w:rsidR="00E30820" w:rsidRDefault="00E30820" w:rsidP="00E73715">
      <w:r>
        <w:t xml:space="preserve">Products had to meet </w:t>
      </w:r>
      <w:hyperlink r:id="rId16" w:history="1">
        <w:r w:rsidR="00D17A82" w:rsidRPr="000769FE">
          <w:rPr>
            <w:rStyle w:val="Hyperlink"/>
          </w:rPr>
          <w:t>eligibility</w:t>
        </w:r>
        <w:r w:rsidRPr="000769FE">
          <w:rPr>
            <w:rStyle w:val="Hyperlink"/>
          </w:rPr>
          <w:t xml:space="preserve"> criteria</w:t>
        </w:r>
      </w:hyperlink>
      <w:r>
        <w:t xml:space="preserve"> before they could be considered for inclusion in the pilot. </w:t>
      </w:r>
      <w:r w:rsidR="00D17A82">
        <w:t>Eligible</w:t>
      </w:r>
      <w:r w:rsidR="00A94306">
        <w:t xml:space="preserve"> products were then scored on a set of </w:t>
      </w:r>
      <w:hyperlink r:id="rId17" w:history="1">
        <w:r w:rsidR="00A94306" w:rsidRPr="00276980">
          <w:rPr>
            <w:rStyle w:val="Hyperlink"/>
          </w:rPr>
          <w:t>selection criteria</w:t>
        </w:r>
      </w:hyperlink>
      <w:r w:rsidR="00FF44C9">
        <w:t>. These included</w:t>
      </w:r>
      <w:r w:rsidR="00A94306">
        <w:t xml:space="preserve"> address</w:t>
      </w:r>
      <w:r w:rsidR="00FF44C9">
        <w:t>ing</w:t>
      </w:r>
      <w:r w:rsidR="00A94306">
        <w:t xml:space="preserve"> global and UK-specific unmet clinical need</w:t>
      </w:r>
      <w:r w:rsidR="00B0124E">
        <w:t xml:space="preserve"> (with a focus on products active against severe drug resistant gram-negative bacterial infections)</w:t>
      </w:r>
      <w:r w:rsidR="00FF44C9">
        <w:t xml:space="preserve">, </w:t>
      </w:r>
      <w:r w:rsidR="003F38F3">
        <w:t>product novelty</w:t>
      </w:r>
      <w:r w:rsidR="00FF44C9">
        <w:t xml:space="preserve"> and company commitments to reliability of supply and antimicrobial stewardship.</w:t>
      </w:r>
    </w:p>
    <w:p w14:paraId="0DF342FF" w14:textId="576A1520" w:rsidR="001E0EA6" w:rsidRPr="00514B21" w:rsidRDefault="00E73715" w:rsidP="00E73715">
      <w:r w:rsidRPr="00514B21">
        <w:t xml:space="preserve">There was consensus that the pilot was correct to focus on </w:t>
      </w:r>
      <w:r w:rsidR="00CA3D3B" w:rsidRPr="00514B21">
        <w:t>multi</w:t>
      </w:r>
      <w:r w:rsidR="009C6912" w:rsidRPr="00514B21">
        <w:t>-drug-resistant</w:t>
      </w:r>
      <w:r w:rsidRPr="00514B21">
        <w:t xml:space="preserve"> gram-negative </w:t>
      </w:r>
      <w:r w:rsidR="009C6912" w:rsidRPr="00514B21">
        <w:t>infections</w:t>
      </w:r>
      <w:r w:rsidRPr="00514B21">
        <w:t xml:space="preserve"> </w:t>
      </w:r>
      <w:r w:rsidR="00BE7D3D">
        <w:t>because</w:t>
      </w:r>
      <w:r w:rsidR="00BE7D3D" w:rsidRPr="00514B21">
        <w:t xml:space="preserve"> </w:t>
      </w:r>
      <w:r w:rsidRPr="00514B21">
        <w:t xml:space="preserve">they present the greatest </w:t>
      </w:r>
      <w:r w:rsidR="00BE7D3D">
        <w:t xml:space="preserve">unmet </w:t>
      </w:r>
      <w:r w:rsidRPr="00514B21">
        <w:t xml:space="preserve">clinical need for antimicrobial innovation. </w:t>
      </w:r>
      <w:r w:rsidR="004504BD" w:rsidRPr="00514B21">
        <w:t xml:space="preserve">Participants acknowledged </w:t>
      </w:r>
      <w:r w:rsidR="0000752F" w:rsidRPr="00514B21">
        <w:t xml:space="preserve">that a likely consequence would be to disincentivise investment in antimicrobials with characteristics outside of the selection criteria. </w:t>
      </w:r>
    </w:p>
    <w:p w14:paraId="32599A16" w14:textId="6D9BA032" w:rsidR="00D527A0" w:rsidRPr="00514B21" w:rsidRDefault="004504BD" w:rsidP="00E73715">
      <w:r w:rsidRPr="00514B21">
        <w:t>T</w:t>
      </w:r>
      <w:r w:rsidR="009C6912" w:rsidRPr="00514B21">
        <w:t xml:space="preserve">here </w:t>
      </w:r>
      <w:r w:rsidR="00D64986">
        <w:t xml:space="preserve">are </w:t>
      </w:r>
      <w:r w:rsidR="009C6912" w:rsidRPr="00514B21">
        <w:t xml:space="preserve">differences in global unmet needs compared with those of the UK, but </w:t>
      </w:r>
      <w:r w:rsidR="0000752F" w:rsidRPr="00514B21">
        <w:t xml:space="preserve">participants agreed </w:t>
      </w:r>
      <w:r w:rsidR="009C6912" w:rsidRPr="00514B21">
        <w:t xml:space="preserve">that it was </w:t>
      </w:r>
      <w:r w:rsidR="00BE7D3D">
        <w:t xml:space="preserve">appropriate to apply </w:t>
      </w:r>
      <w:r w:rsidR="009C6912" w:rsidRPr="00514B21">
        <w:t xml:space="preserve">greater weight to the WHO pathogen priority list </w:t>
      </w:r>
      <w:r w:rsidR="00BE7D3D">
        <w:t xml:space="preserve">because </w:t>
      </w:r>
      <w:r w:rsidR="009C6912" w:rsidRPr="00514B21">
        <w:t>support for these can be</w:t>
      </w:r>
      <w:r w:rsidR="00AD789F" w:rsidRPr="00514B21">
        <w:t xml:space="preserve"> better</w:t>
      </w:r>
      <w:r w:rsidR="009C6912" w:rsidRPr="00514B21">
        <w:t xml:space="preserve"> aligned internationally to </w:t>
      </w:r>
      <w:r w:rsidR="00D64986">
        <w:t xml:space="preserve">deliver </w:t>
      </w:r>
      <w:r w:rsidR="009C6912" w:rsidRPr="00514B21">
        <w:t xml:space="preserve">a sufficient pull incentive. </w:t>
      </w:r>
      <w:r w:rsidR="00D64986">
        <w:t xml:space="preserve">Participants understood that the </w:t>
      </w:r>
      <w:r w:rsidR="00AD789F" w:rsidRPr="00514B21">
        <w:t xml:space="preserve">clinical </w:t>
      </w:r>
      <w:r w:rsidR="009C6912" w:rsidRPr="00514B21">
        <w:t xml:space="preserve">criteria used to select </w:t>
      </w:r>
      <w:r w:rsidR="00D64986">
        <w:t xml:space="preserve">eligible </w:t>
      </w:r>
      <w:r w:rsidR="009C6912" w:rsidRPr="00514B21">
        <w:t xml:space="preserve">products are likely to evolve in future as global unmet needs change, as has been the case historically. </w:t>
      </w:r>
      <w:r w:rsidR="00D64986">
        <w:t>They suggested consulting with i</w:t>
      </w:r>
      <w:r w:rsidR="009C6912" w:rsidRPr="00514B21">
        <w:t xml:space="preserve">nternational experts to </w:t>
      </w:r>
      <w:r w:rsidR="00D64986">
        <w:t>inform</w:t>
      </w:r>
      <w:r w:rsidR="009C6912" w:rsidRPr="00514B21">
        <w:t xml:space="preserve"> this. However,</w:t>
      </w:r>
      <w:r w:rsidR="00BE7D3D">
        <w:t xml:space="preserve"> they cautioned that</w:t>
      </w:r>
      <w:r w:rsidR="009C6912" w:rsidRPr="00514B21">
        <w:t xml:space="preserve"> changing the selection criteria </w:t>
      </w:r>
      <w:r w:rsidR="00BE7D3D">
        <w:t xml:space="preserve">would penalise </w:t>
      </w:r>
      <w:r w:rsidR="009C6912" w:rsidRPr="00514B21">
        <w:t xml:space="preserve">antimicrobial products taken forward </w:t>
      </w:r>
      <w:r w:rsidR="00D527A0">
        <w:t>through clinical development</w:t>
      </w:r>
      <w:r w:rsidR="00BE7D3D">
        <w:t>,</w:t>
      </w:r>
      <w:r w:rsidR="00D527A0">
        <w:t xml:space="preserve"> </w:t>
      </w:r>
      <w:r w:rsidR="009C6912" w:rsidRPr="00514B21">
        <w:t>at great expense</w:t>
      </w:r>
      <w:r w:rsidR="00BE7D3D">
        <w:t>,</w:t>
      </w:r>
      <w:r w:rsidR="009C6912" w:rsidRPr="00514B21">
        <w:t xml:space="preserve"> based on criteria that are subsequently removed by the time the product comes to market. </w:t>
      </w:r>
    </w:p>
    <w:p w14:paraId="223C7884" w14:textId="60BE51CF" w:rsidR="00BE7D3D" w:rsidRDefault="009C6912" w:rsidP="00E73715">
      <w:r w:rsidRPr="00514B21">
        <w:t>The</w:t>
      </w:r>
      <w:r w:rsidR="00E73715" w:rsidRPr="00514B21">
        <w:t xml:space="preserve"> </w:t>
      </w:r>
      <w:r w:rsidR="00BE7D3D">
        <w:t xml:space="preserve">other </w:t>
      </w:r>
      <w:r w:rsidR="00E73715" w:rsidRPr="00514B21">
        <w:t xml:space="preserve">clinical </w:t>
      </w:r>
      <w:r w:rsidRPr="00514B21">
        <w:t>selection criteria were positively regarded</w:t>
      </w:r>
      <w:r w:rsidR="006B2330">
        <w:t>, and participants felt they were appropriately weighted</w:t>
      </w:r>
      <w:r w:rsidR="00E73715" w:rsidRPr="00514B21">
        <w:t>.</w:t>
      </w:r>
      <w:r w:rsidRPr="00514B21">
        <w:t xml:space="preserve"> </w:t>
      </w:r>
      <w:r w:rsidR="0013726F">
        <w:t xml:space="preserve">A few modifications were suggested. For example, </w:t>
      </w:r>
      <w:r w:rsidRPr="00514B21">
        <w:t xml:space="preserve">the </w:t>
      </w:r>
      <w:r w:rsidR="00BE7D3D">
        <w:t xml:space="preserve">assessment of a product’s </w:t>
      </w:r>
      <w:r w:rsidRPr="00514B21">
        <w:t xml:space="preserve">novelty </w:t>
      </w:r>
      <w:r w:rsidR="00BE7D3D">
        <w:t xml:space="preserve">should </w:t>
      </w:r>
      <w:r w:rsidRPr="00514B21">
        <w:t xml:space="preserve">extend beyond </w:t>
      </w:r>
      <w:r w:rsidR="00BE7D3D">
        <w:t xml:space="preserve">the novelty of the </w:t>
      </w:r>
      <w:r w:rsidRPr="00514B21">
        <w:t xml:space="preserve">chemical entity and encompass factors such a mode of delivery. Products with oral or nasal delivery systems </w:t>
      </w:r>
      <w:r w:rsidR="003E3641" w:rsidRPr="00514B21">
        <w:t>are more sustainable</w:t>
      </w:r>
      <w:r w:rsidR="00D34D3C">
        <w:t xml:space="preserve"> than intravenous drugs</w:t>
      </w:r>
      <w:r w:rsidR="003E3641" w:rsidRPr="00514B21">
        <w:t xml:space="preserve"> and </w:t>
      </w:r>
      <w:r w:rsidR="00D34D3C">
        <w:t xml:space="preserve">can </w:t>
      </w:r>
      <w:r w:rsidRPr="00514B21">
        <w:t xml:space="preserve">be administered in the community, </w:t>
      </w:r>
      <w:r w:rsidR="001E0EA6" w:rsidRPr="00514B21">
        <w:t>reducing length of hospital stay and</w:t>
      </w:r>
      <w:r w:rsidRPr="00514B21">
        <w:t xml:space="preserve"> the risk of in-hospital transmission of resistant infections. </w:t>
      </w:r>
      <w:r w:rsidR="00D34D3C">
        <w:t>Clinical experts were keen to incentivise products that reduce pressure on UK hospitals.</w:t>
      </w:r>
    </w:p>
    <w:p w14:paraId="0BC17027" w14:textId="40D7C958" w:rsidR="00E73715" w:rsidRPr="00514B21" w:rsidRDefault="00BE7D3D" w:rsidP="00E73715">
      <w:r>
        <w:t xml:space="preserve">Participants </w:t>
      </w:r>
      <w:r w:rsidR="006B2330">
        <w:t xml:space="preserve">considered </w:t>
      </w:r>
      <w:r>
        <w:t xml:space="preserve">the non-clinical criteria </w:t>
      </w:r>
      <w:r w:rsidR="006B2330">
        <w:t>to be appropriate. But they suggested that</w:t>
      </w:r>
      <w:r w:rsidR="000F5FFF" w:rsidRPr="00514B21">
        <w:t xml:space="preserve">, as the process moves from competitive selection to </w:t>
      </w:r>
      <w:r w:rsidR="006B2330">
        <w:t>being open to all eligible products</w:t>
      </w:r>
      <w:r w:rsidR="00F232EA" w:rsidRPr="00514B21">
        <w:t xml:space="preserve">, the non-clinical criteria would </w:t>
      </w:r>
      <w:r w:rsidR="005A38F5">
        <w:t>be more appropriate as key performance indicators (</w:t>
      </w:r>
      <w:r w:rsidR="00F232EA" w:rsidRPr="00514B21">
        <w:t>KPIs</w:t>
      </w:r>
      <w:r w:rsidR="005A38F5">
        <w:t>) in the contract</w:t>
      </w:r>
      <w:r w:rsidR="006B2330">
        <w:t xml:space="preserve"> </w:t>
      </w:r>
      <w:r w:rsidR="00F232EA" w:rsidRPr="00514B21">
        <w:t>rather than determin</w:t>
      </w:r>
      <w:r w:rsidR="006B2330">
        <w:t>ing</w:t>
      </w:r>
      <w:r w:rsidR="00F232EA" w:rsidRPr="00514B21">
        <w:t xml:space="preserve"> whether a product </w:t>
      </w:r>
      <w:r w:rsidR="00D17A82">
        <w:t>is eligible</w:t>
      </w:r>
      <w:r w:rsidR="00F232EA" w:rsidRPr="00514B21">
        <w:t xml:space="preserve"> for </w:t>
      </w:r>
      <w:r w:rsidR="005A38F5">
        <w:t>a contract</w:t>
      </w:r>
      <w:r w:rsidR="002133D3">
        <w:t xml:space="preserve">, </w:t>
      </w:r>
      <w:r w:rsidR="002133D3" w:rsidRPr="00655E16">
        <w:rPr>
          <w:rFonts w:cstheme="minorHAnsi"/>
        </w:rPr>
        <w:t>such as assurances over the supply chain</w:t>
      </w:r>
      <w:r w:rsidR="00F232EA" w:rsidRPr="00514B21">
        <w:t>.</w:t>
      </w:r>
      <w:r w:rsidR="00DB69F5">
        <w:t xml:space="preserve"> But it was proposed that delinking sales force remuneration from sales volume </w:t>
      </w:r>
      <w:r w:rsidR="00F86C54">
        <w:t xml:space="preserve">should </w:t>
      </w:r>
      <w:r w:rsidR="00DB69F5">
        <w:t xml:space="preserve">remain an eligibility </w:t>
      </w:r>
      <w:proofErr w:type="gramStart"/>
      <w:r w:rsidR="00DB69F5">
        <w:lastRenderedPageBreak/>
        <w:t>criterion, and</w:t>
      </w:r>
      <w:proofErr w:type="gramEnd"/>
      <w:r w:rsidR="00DB69F5">
        <w:t xml:space="preserve"> </w:t>
      </w:r>
      <w:r w:rsidR="00FF44C9">
        <w:t xml:space="preserve">should </w:t>
      </w:r>
      <w:r w:rsidR="00DB69F5">
        <w:t xml:space="preserve">in fact </w:t>
      </w:r>
      <w:r w:rsidR="00FF44C9">
        <w:t xml:space="preserve">be </w:t>
      </w:r>
      <w:r w:rsidR="00DB69F5">
        <w:t xml:space="preserve">strengthened to stipulate that companies </w:t>
      </w:r>
      <w:r w:rsidR="00E74186" w:rsidRPr="00514B21">
        <w:t>must have</w:t>
      </w:r>
      <w:r w:rsidR="00496DE2">
        <w:t xml:space="preserve"> already</w:t>
      </w:r>
      <w:r w:rsidR="00E74186" w:rsidRPr="00514B21">
        <w:t xml:space="preserve"> </w:t>
      </w:r>
      <w:r w:rsidR="00DB69F5">
        <w:t>done this</w:t>
      </w:r>
      <w:r w:rsidR="00496DE2">
        <w:t xml:space="preserve"> before entering the procurement</w:t>
      </w:r>
      <w:r w:rsidR="00E74186" w:rsidRPr="00514B21">
        <w:t xml:space="preserve">, instead of requiring them to do so in future </w:t>
      </w:r>
      <w:r w:rsidR="00E34C0B">
        <w:t>(</w:t>
      </w:r>
      <w:r w:rsidR="00E74186" w:rsidRPr="00514B21">
        <w:t>as the was the case in the pilot</w:t>
      </w:r>
      <w:r w:rsidR="00E34C0B">
        <w:t>)</w:t>
      </w:r>
      <w:r w:rsidR="00E74186" w:rsidRPr="00514B21">
        <w:t xml:space="preserve">. This would signal to companies that </w:t>
      </w:r>
      <w:r w:rsidR="001E0EA6" w:rsidRPr="00514B21">
        <w:t xml:space="preserve">good stewardship practices for antimicrobials are a pre-requisite for consideration </w:t>
      </w:r>
      <w:r w:rsidR="00237BCC">
        <w:t>for a contract</w:t>
      </w:r>
      <w:r w:rsidR="001E0EA6" w:rsidRPr="00514B21">
        <w:t>.</w:t>
      </w:r>
    </w:p>
    <w:p w14:paraId="49B5C662" w14:textId="24B053CE" w:rsidR="000F5FFF" w:rsidRPr="00514B21" w:rsidRDefault="000F5FFF" w:rsidP="00E73715">
      <w:r w:rsidRPr="00514B21">
        <w:t>Participants noted that the quality and quantity of data used to determine whether products meet selection criteria is likely to be lacking. Pharmacokinetic and pharmacodynamic data were highlighted as important to determine whether antimicrobials were effective at penetrating tissue at the site of infection. The evidence requirements attached to the selection criteria were seen as crucial to act as signals to companies to improve data collection.</w:t>
      </w:r>
    </w:p>
    <w:p w14:paraId="2A74063F" w14:textId="0AC8C223" w:rsidR="005A38F5" w:rsidRPr="00514B21" w:rsidRDefault="003E3641" w:rsidP="005A38F5">
      <w:r w:rsidRPr="00514B21">
        <w:t>With the</w:t>
      </w:r>
      <w:r w:rsidR="00F11316" w:rsidRPr="00514B21">
        <w:t xml:space="preserve"> focus of the</w:t>
      </w:r>
      <w:r w:rsidRPr="00514B21">
        <w:t xml:space="preserve"> pilot evaluations on new antimicrobials, </w:t>
      </w:r>
      <w:r w:rsidR="00F35418">
        <w:t xml:space="preserve">participants advocated for </w:t>
      </w:r>
      <w:r w:rsidR="009C08B7">
        <w:t>extending</w:t>
      </w:r>
      <w:r w:rsidR="00F35418">
        <w:t xml:space="preserve"> </w:t>
      </w:r>
      <w:r w:rsidR="009C08B7">
        <w:t xml:space="preserve">the eligibility for </w:t>
      </w:r>
      <w:r w:rsidR="00F11316" w:rsidRPr="00514B21">
        <w:t>subscription-based reimbursement</w:t>
      </w:r>
      <w:r w:rsidR="002D78DE" w:rsidRPr="00514B21">
        <w:t xml:space="preserve"> </w:t>
      </w:r>
      <w:r w:rsidR="009C08B7">
        <w:t>to</w:t>
      </w:r>
      <w:r w:rsidR="009C08B7" w:rsidRPr="00514B21">
        <w:t xml:space="preserve"> </w:t>
      </w:r>
      <w:r w:rsidR="00F35418">
        <w:t xml:space="preserve">all on-patent </w:t>
      </w:r>
      <w:r w:rsidR="002D78DE" w:rsidRPr="00514B21">
        <w:t xml:space="preserve">antimicrobials on the market. Participants noted that </w:t>
      </w:r>
      <w:r w:rsidR="000253FA" w:rsidRPr="00514B21">
        <w:t xml:space="preserve">because </w:t>
      </w:r>
      <w:r w:rsidR="002D78DE" w:rsidRPr="00514B21">
        <w:t>the antimicrobial pipeline is currently limited</w:t>
      </w:r>
      <w:r w:rsidR="000253FA" w:rsidRPr="00514B21">
        <w:t xml:space="preserve">, extending </w:t>
      </w:r>
      <w:r w:rsidR="009C08B7">
        <w:t xml:space="preserve">this </w:t>
      </w:r>
      <w:r w:rsidR="00F11316" w:rsidRPr="00514B21">
        <w:t xml:space="preserve">payment model </w:t>
      </w:r>
      <w:r w:rsidR="00D527A0">
        <w:t xml:space="preserve">to </w:t>
      </w:r>
      <w:r w:rsidR="000253FA" w:rsidRPr="00514B21">
        <w:t>older</w:t>
      </w:r>
      <w:r w:rsidR="00F11316" w:rsidRPr="00514B21">
        <w:t xml:space="preserve"> antimicrobials could </w:t>
      </w:r>
      <w:r w:rsidR="000253FA" w:rsidRPr="00514B21">
        <w:t xml:space="preserve">accelerate </w:t>
      </w:r>
      <w:r w:rsidR="00D527A0">
        <w:t>the development of new ones</w:t>
      </w:r>
      <w:r w:rsidR="00F11316" w:rsidRPr="00514B21">
        <w:t>.</w:t>
      </w:r>
      <w:r w:rsidR="00D64986">
        <w:t xml:space="preserve"> </w:t>
      </w:r>
      <w:r w:rsidR="005A38F5">
        <w:t xml:space="preserve">There was also appetite for broadening the eligibility for UK subscription-based contracts to include </w:t>
      </w:r>
      <w:r w:rsidR="005A38F5">
        <w:rPr>
          <w:rFonts w:cstheme="minorHAnsi"/>
        </w:rPr>
        <w:t xml:space="preserve">antibiotics outside the WHO priority pathogen list and </w:t>
      </w:r>
      <w:r w:rsidR="005A38F5" w:rsidRPr="00514B21">
        <w:rPr>
          <w:rFonts w:cstheme="minorHAnsi"/>
        </w:rPr>
        <w:t xml:space="preserve">other types of antimicrobials </w:t>
      </w:r>
      <w:proofErr w:type="gramStart"/>
      <w:r w:rsidR="005A38F5">
        <w:rPr>
          <w:rFonts w:cstheme="minorHAnsi"/>
        </w:rPr>
        <w:t>e.g.</w:t>
      </w:r>
      <w:proofErr w:type="gramEnd"/>
      <w:r w:rsidR="005A38F5" w:rsidRPr="00514B21">
        <w:rPr>
          <w:rFonts w:cstheme="minorHAnsi"/>
        </w:rPr>
        <w:t xml:space="preserve"> antifungals</w:t>
      </w:r>
      <w:r w:rsidR="005A38F5">
        <w:rPr>
          <w:rFonts w:cstheme="minorHAnsi"/>
        </w:rPr>
        <w:t>. A 2-tier system was suggested - with a higher cap for antibiotics that target priority pathogens, and a lower cap for antimicrobials that address a lesser unmet need.</w:t>
      </w:r>
    </w:p>
    <w:p w14:paraId="780C42A6" w14:textId="51B9E86F" w:rsidR="00E73715" w:rsidRPr="00F31464" w:rsidRDefault="00E73715" w:rsidP="00F31464">
      <w:pPr>
        <w:pStyle w:val="Heading2"/>
      </w:pPr>
      <w:r w:rsidRPr="00F31464">
        <w:t>NICE evaluation</w:t>
      </w:r>
    </w:p>
    <w:p w14:paraId="6416CD4D" w14:textId="160C9B04" w:rsidR="008B25C5" w:rsidRPr="008B25C5" w:rsidRDefault="008B25C5" w:rsidP="00DA4012">
      <w:r>
        <w:t xml:space="preserve">The </w:t>
      </w:r>
      <w:r w:rsidR="00867AD1">
        <w:t xml:space="preserve">NICE </w:t>
      </w:r>
      <w:r>
        <w:t>committee met in public in January and February 2022 and the outcome of these meetings was published as draft NICE guidance in April 2022</w:t>
      </w:r>
      <w:r w:rsidR="00273A57">
        <w:t>,</w:t>
      </w:r>
      <w:r w:rsidR="00867AD1">
        <w:t xml:space="preserve"> a</w:t>
      </w:r>
      <w:r w:rsidR="00867AD1" w:rsidRPr="00867AD1">
        <w:t xml:space="preserve">longside all </w:t>
      </w:r>
      <w:r w:rsidR="00867AD1">
        <w:t xml:space="preserve">the </w:t>
      </w:r>
      <w:r w:rsidR="00867AD1" w:rsidRPr="00867AD1">
        <w:t>documents considered by the committee</w:t>
      </w:r>
      <w:r>
        <w:t>.</w:t>
      </w:r>
      <w:r w:rsidR="00867AD1">
        <w:t xml:space="preserve"> </w:t>
      </w:r>
      <w:r>
        <w:t>Commercial discussions between NHS England and the respective companies</w:t>
      </w:r>
      <w:r w:rsidR="004C0A01">
        <w:t xml:space="preserve"> – informed by NICE’s draft guidance</w:t>
      </w:r>
      <w:r>
        <w:t xml:space="preserve"> </w:t>
      </w:r>
      <w:r w:rsidR="004C0A01">
        <w:t xml:space="preserve">– </w:t>
      </w:r>
      <w:r>
        <w:t xml:space="preserve">took place in Spring 2022, the </w:t>
      </w:r>
      <w:r w:rsidRPr="009529B5">
        <w:t>contracts</w:t>
      </w:r>
      <w:r>
        <w:t xml:space="preserve"> were awarded in June, and the new payment structure took effect from July</w:t>
      </w:r>
      <w:r w:rsidR="00867AD1">
        <w:t xml:space="preserve"> 2022</w:t>
      </w:r>
      <w:r>
        <w:t>. Final NICE guidance</w:t>
      </w:r>
      <w:r w:rsidR="002F02BE">
        <w:t>, updated to include details of the commercial arrangements,</w:t>
      </w:r>
      <w:r>
        <w:t xml:space="preserve"> was published </w:t>
      </w:r>
      <w:r w:rsidRPr="00204A4E">
        <w:t xml:space="preserve">for </w:t>
      </w:r>
      <w:hyperlink r:id="rId18" w:history="1">
        <w:r>
          <w:rPr>
            <w:rStyle w:val="Hyperlink"/>
          </w:rPr>
          <w:t>ceftazidime–avibactam</w:t>
        </w:r>
      </w:hyperlink>
      <w:r w:rsidRPr="00204A4E">
        <w:t xml:space="preserve"> and </w:t>
      </w:r>
      <w:hyperlink r:id="rId19" w:history="1">
        <w:r w:rsidRPr="00204A4E">
          <w:rPr>
            <w:rStyle w:val="Hyperlink"/>
          </w:rPr>
          <w:t>cefiderocol</w:t>
        </w:r>
      </w:hyperlink>
      <w:r>
        <w:t xml:space="preserve"> in August 2022.</w:t>
      </w:r>
    </w:p>
    <w:p w14:paraId="252545A7" w14:textId="63BAA3C2" w:rsidR="000253FA" w:rsidRPr="00514B21" w:rsidRDefault="000253FA" w:rsidP="000253FA">
      <w:pPr>
        <w:pStyle w:val="Heading3"/>
      </w:pPr>
      <w:r w:rsidRPr="00514B21">
        <w:t xml:space="preserve">Achieving the </w:t>
      </w:r>
      <w:r w:rsidR="00F474A9" w:rsidRPr="00514B21">
        <w:t>‘pull incentive’</w:t>
      </w:r>
      <w:r w:rsidRPr="00514B21">
        <w:t xml:space="preserve"> objective</w:t>
      </w:r>
    </w:p>
    <w:p w14:paraId="67669BBF" w14:textId="2EAAE3A8" w:rsidR="00674CB0" w:rsidRDefault="00674CB0" w:rsidP="000253FA">
      <w:r>
        <w:t>The principal policy objective of the pilot was to provide a payment mechanism that offered an appropriate ‘pull incentive’ to prospective antimicrobial companies to invest in research and development of new products.</w:t>
      </w:r>
    </w:p>
    <w:p w14:paraId="40B08D57" w14:textId="3CB0D84B" w:rsidR="000253FA" w:rsidRPr="00514B21" w:rsidRDefault="000253FA" w:rsidP="000253FA">
      <w:r w:rsidRPr="00514B21">
        <w:t xml:space="preserve">Support for the </w:t>
      </w:r>
      <w:r w:rsidR="007B1760" w:rsidRPr="00514B21">
        <w:t>purpose</w:t>
      </w:r>
      <w:r w:rsidR="00CC4EBB">
        <w:t>, execution</w:t>
      </w:r>
      <w:r w:rsidR="007B1760" w:rsidRPr="00514B21">
        <w:t xml:space="preserve"> and </w:t>
      </w:r>
      <w:r w:rsidR="00CC4EBB">
        <w:t>outputs</w:t>
      </w:r>
      <w:r w:rsidR="00CC4EBB" w:rsidRPr="00514B21">
        <w:t xml:space="preserve"> </w:t>
      </w:r>
      <w:r w:rsidR="007B1760" w:rsidRPr="00514B21">
        <w:t xml:space="preserve">of the pilot was universal. Participants </w:t>
      </w:r>
      <w:r w:rsidR="00CC4EBB">
        <w:t xml:space="preserve">congratulated </w:t>
      </w:r>
      <w:r w:rsidR="007B1760" w:rsidRPr="00514B21">
        <w:t>NICE and NHS</w:t>
      </w:r>
      <w:r w:rsidR="00CC4EBB">
        <w:t xml:space="preserve"> </w:t>
      </w:r>
      <w:r w:rsidR="007B1760" w:rsidRPr="00514B21">
        <w:t>E</w:t>
      </w:r>
      <w:r w:rsidR="00CC4EBB">
        <w:t>ngland for</w:t>
      </w:r>
      <w:r w:rsidR="007B1760" w:rsidRPr="00514B21">
        <w:t xml:space="preserve"> pioneer</w:t>
      </w:r>
      <w:r w:rsidR="00CC4EBB">
        <w:t>ing</w:t>
      </w:r>
      <w:r w:rsidR="007B1760" w:rsidRPr="00514B21">
        <w:t xml:space="preserve"> such a clear and transparent approach that addresses a major market failure in healthcare. </w:t>
      </w:r>
      <w:r w:rsidR="00BF7BF0" w:rsidRPr="00514B21">
        <w:t xml:space="preserve">They were </w:t>
      </w:r>
      <w:r w:rsidR="008648ED" w:rsidRPr="00514B21">
        <w:t>encouraged</w:t>
      </w:r>
      <w:r w:rsidR="00BF7BF0" w:rsidRPr="00514B21">
        <w:t xml:space="preserve"> that knowledge</w:t>
      </w:r>
      <w:r w:rsidR="00CC4EBB">
        <w:t>-</w:t>
      </w:r>
      <w:r w:rsidR="00BF7BF0" w:rsidRPr="00514B21">
        <w:t xml:space="preserve">sharing activities with devolved nations in the UK and G20 partners are </w:t>
      </w:r>
      <w:r w:rsidR="008648ED" w:rsidRPr="00514B21">
        <w:t xml:space="preserve">already </w:t>
      </w:r>
      <w:r w:rsidR="00CC4EBB">
        <w:t xml:space="preserve">underway to encourage </w:t>
      </w:r>
      <w:r w:rsidR="008648ED" w:rsidRPr="00514B21">
        <w:t xml:space="preserve">international alignment and provide </w:t>
      </w:r>
      <w:r w:rsidR="00CC4EBB">
        <w:t xml:space="preserve">the necessary </w:t>
      </w:r>
      <w:r w:rsidR="00CC4EBB" w:rsidRPr="009529B5">
        <w:rPr>
          <w:i/>
          <w:iCs/>
        </w:rPr>
        <w:t>global</w:t>
      </w:r>
      <w:r w:rsidR="00CC4EBB">
        <w:t xml:space="preserve"> </w:t>
      </w:r>
      <w:r w:rsidR="008648ED" w:rsidRPr="00514B21">
        <w:t xml:space="preserve">pull incentive for </w:t>
      </w:r>
      <w:r w:rsidR="00CC4EBB">
        <w:t>industry</w:t>
      </w:r>
      <w:r w:rsidR="008648ED" w:rsidRPr="00514B21">
        <w:t xml:space="preserve">. In particular, the US was singled out as the most important country to support this approach due to </w:t>
      </w:r>
      <w:r w:rsidR="00CC4EBB">
        <w:t xml:space="preserve">its </w:t>
      </w:r>
      <w:r w:rsidR="008648ED" w:rsidRPr="00514B21">
        <w:t xml:space="preserve">large </w:t>
      </w:r>
      <w:r w:rsidR="00CC4EBB">
        <w:t xml:space="preserve">contribution to </w:t>
      </w:r>
      <w:r w:rsidR="008648ED" w:rsidRPr="00514B21">
        <w:t>global healthcare expenditure.</w:t>
      </w:r>
    </w:p>
    <w:p w14:paraId="739F407A" w14:textId="53063295" w:rsidR="008648ED" w:rsidRPr="00514B21" w:rsidRDefault="00A4308E" w:rsidP="000253FA">
      <w:r w:rsidRPr="00514B21">
        <w:t xml:space="preserve">Participants suggested that the pharmaceutical industry </w:t>
      </w:r>
      <w:r w:rsidR="00CC4EBB">
        <w:t xml:space="preserve">should be </w:t>
      </w:r>
      <w:r w:rsidRPr="00514B21">
        <w:t xml:space="preserve">consulted to determine whether this </w:t>
      </w:r>
      <w:r w:rsidR="006E13A6">
        <w:t xml:space="preserve">pilot </w:t>
      </w:r>
      <w:r w:rsidRPr="00514B21">
        <w:t xml:space="preserve">payment model </w:t>
      </w:r>
      <w:proofErr w:type="gramStart"/>
      <w:r w:rsidR="006E13A6">
        <w:t>actually translates</w:t>
      </w:r>
      <w:proofErr w:type="gramEnd"/>
      <w:r w:rsidR="006E13A6">
        <w:t xml:space="preserve"> into increased </w:t>
      </w:r>
      <w:r w:rsidRPr="00514B21">
        <w:t>investment in antimicrobials. It was noted that th</w:t>
      </w:r>
      <w:r w:rsidR="006E13A6">
        <w:t xml:space="preserve">e pilot </w:t>
      </w:r>
      <w:r w:rsidRPr="00514B21">
        <w:t xml:space="preserve">project </w:t>
      </w:r>
      <w:r w:rsidR="006E13A6">
        <w:t xml:space="preserve">evaluated </w:t>
      </w:r>
      <w:r w:rsidRPr="00514B21">
        <w:t xml:space="preserve">two </w:t>
      </w:r>
      <w:r w:rsidR="009C08B7">
        <w:t xml:space="preserve">very </w:t>
      </w:r>
      <w:r w:rsidR="00DC15C4" w:rsidRPr="00514B21">
        <w:t>effective</w:t>
      </w:r>
      <w:r w:rsidRPr="00514B21">
        <w:t xml:space="preserve"> antimicrobials</w:t>
      </w:r>
      <w:r w:rsidR="009C08B7">
        <w:t>,</w:t>
      </w:r>
      <w:r w:rsidR="006E13A6">
        <w:t xml:space="preserve"> and that</w:t>
      </w:r>
      <w:r w:rsidR="009C08B7">
        <w:t xml:space="preserve"> not all future </w:t>
      </w:r>
      <w:r w:rsidR="003A5E1E">
        <w:t>products</w:t>
      </w:r>
      <w:r w:rsidR="00CC7E67">
        <w:t xml:space="preserve"> </w:t>
      </w:r>
      <w:r w:rsidR="009C08B7">
        <w:t xml:space="preserve">will </w:t>
      </w:r>
      <w:r w:rsidR="00DC15C4" w:rsidRPr="00514B21">
        <w:t>justify the same level of contract value,</w:t>
      </w:r>
      <w:r w:rsidR="00A13C02">
        <w:t xml:space="preserve"> potentially</w:t>
      </w:r>
      <w:r w:rsidR="00DC15C4" w:rsidRPr="00514B21">
        <w:t xml:space="preserve"> reducing the size of the pull incentive. </w:t>
      </w:r>
    </w:p>
    <w:p w14:paraId="746B1191" w14:textId="6A78EAE9" w:rsidR="15BB2E78" w:rsidRDefault="006E13A6" w:rsidP="15BB2E78">
      <w:r>
        <w:lastRenderedPageBreak/>
        <w:t>Participants felt that t</w:t>
      </w:r>
      <w:r w:rsidR="00A67311" w:rsidRPr="00514B21">
        <w:t xml:space="preserve">he principal barrier to </w:t>
      </w:r>
      <w:r w:rsidR="0092492E" w:rsidRPr="00514B21">
        <w:t xml:space="preserve">achieving </w:t>
      </w:r>
      <w:r>
        <w:t xml:space="preserve">a </w:t>
      </w:r>
      <w:r w:rsidR="0092492E" w:rsidRPr="00514B21">
        <w:t xml:space="preserve">global pull incentive </w:t>
      </w:r>
      <w:r>
        <w:t xml:space="preserve">through this type of HTA and payment model </w:t>
      </w:r>
      <w:r w:rsidR="0092492E" w:rsidRPr="00514B21">
        <w:t>was the c</w:t>
      </w:r>
      <w:r w:rsidR="00DC15C4" w:rsidRPr="00514B21">
        <w:t>omplexity of evaluation</w:t>
      </w:r>
      <w:r w:rsidR="0092492E" w:rsidRPr="00514B21">
        <w:t xml:space="preserve">. The process was resource intensive for NICE, EEPRU and the </w:t>
      </w:r>
      <w:r w:rsidR="0075103A">
        <w:t>companies</w:t>
      </w:r>
      <w:r w:rsidR="0092492E" w:rsidRPr="00514B21">
        <w:t xml:space="preserve">. Given </w:t>
      </w:r>
      <w:r w:rsidR="007E707D" w:rsidRPr="00514B21">
        <w:t xml:space="preserve">that </w:t>
      </w:r>
      <w:r w:rsidR="0092492E" w:rsidRPr="00514B21">
        <w:t xml:space="preserve">international co-ordination </w:t>
      </w:r>
      <w:r w:rsidR="007E707D" w:rsidRPr="00514B21">
        <w:t>is essential to achieve a pull incentive</w:t>
      </w:r>
      <w:r w:rsidR="00B6400F">
        <w:t>,</w:t>
      </w:r>
      <w:r w:rsidR="007E707D" w:rsidRPr="00514B21">
        <w:t xml:space="preserve"> it is crucial for the process not to be too burdensome</w:t>
      </w:r>
      <w:r w:rsidR="0092492E" w:rsidRPr="00514B21">
        <w:t xml:space="preserve"> </w:t>
      </w:r>
      <w:r w:rsidR="007E707D" w:rsidRPr="00514B21">
        <w:t xml:space="preserve">because some countries will not have HTA agencies as well-resourced as </w:t>
      </w:r>
      <w:proofErr w:type="gramStart"/>
      <w:r w:rsidR="007E707D" w:rsidRPr="00514B21">
        <w:t>NICE</w:t>
      </w:r>
      <w:r w:rsidR="00B6400F">
        <w:t>,</w:t>
      </w:r>
      <w:r w:rsidR="007E707D" w:rsidRPr="00514B21">
        <w:t xml:space="preserve"> or</w:t>
      </w:r>
      <w:proofErr w:type="gramEnd"/>
      <w:r w:rsidR="007E707D" w:rsidRPr="00514B21">
        <w:t xml:space="preserve"> </w:t>
      </w:r>
      <w:r w:rsidR="00B6400F">
        <w:t xml:space="preserve">might </w:t>
      </w:r>
      <w:r w:rsidR="007E707D" w:rsidRPr="00514B21">
        <w:t xml:space="preserve">have </w:t>
      </w:r>
      <w:r w:rsidR="0092492E" w:rsidRPr="00514B21">
        <w:t>low</w:t>
      </w:r>
      <w:r w:rsidR="00B6400F">
        <w:t>er</w:t>
      </w:r>
      <w:r w:rsidR="0092492E" w:rsidRPr="00514B21">
        <w:t xml:space="preserve"> levels of antimicrobial resistance </w:t>
      </w:r>
      <w:r w:rsidR="007E707D" w:rsidRPr="00514B21">
        <w:t>and a smaller</w:t>
      </w:r>
      <w:r w:rsidR="0092492E" w:rsidRPr="00514B21">
        <w:t xml:space="preserve"> appetite for action</w:t>
      </w:r>
      <w:r w:rsidR="007E707D" w:rsidRPr="00514B21">
        <w:t xml:space="preserve">. </w:t>
      </w:r>
      <w:r w:rsidR="00B6400F">
        <w:t>For these countries, participants suggested that a</w:t>
      </w:r>
      <w:r w:rsidR="007E707D" w:rsidRPr="00514B21">
        <w:t xml:space="preserve"> process us</w:t>
      </w:r>
      <w:r w:rsidR="00B6400F">
        <w:t>ing</w:t>
      </w:r>
      <w:r w:rsidR="007E707D" w:rsidRPr="00514B21">
        <w:t xml:space="preserve"> qualitative criteria to score products</w:t>
      </w:r>
      <w:r w:rsidR="00FC49A2" w:rsidRPr="00514B21">
        <w:t xml:space="preserve"> </w:t>
      </w:r>
      <w:r w:rsidR="00B6400F">
        <w:t xml:space="preserve">might </w:t>
      </w:r>
      <w:r w:rsidR="00FC49A2" w:rsidRPr="00514B21">
        <w:t>be preferable</w:t>
      </w:r>
      <w:r w:rsidR="007E707D" w:rsidRPr="00514B21">
        <w:t xml:space="preserve"> </w:t>
      </w:r>
      <w:r w:rsidR="00B6400F">
        <w:t xml:space="preserve">to </w:t>
      </w:r>
      <w:r w:rsidR="007E707D" w:rsidRPr="00514B21">
        <w:t xml:space="preserve">a full </w:t>
      </w:r>
      <w:r w:rsidR="007A3855">
        <w:t xml:space="preserve">health economic </w:t>
      </w:r>
      <w:r w:rsidR="007E707D" w:rsidRPr="00514B21">
        <w:t>model</w:t>
      </w:r>
      <w:r w:rsidR="00FC49A2" w:rsidRPr="00514B21">
        <w:t>. This was also raised as a potential solution for the future NICE process</w:t>
      </w:r>
      <w:r w:rsidR="00B6400F">
        <w:t>,</w:t>
      </w:r>
      <w:r w:rsidR="00FC49A2" w:rsidRPr="00514B21">
        <w:t xml:space="preserve"> to accommodate the lower evidence quality in antimicrobial effectiveness research</w:t>
      </w:r>
      <w:r w:rsidR="00B6400F">
        <w:t xml:space="preserve"> and uncertainty in health economic modelling methods</w:t>
      </w:r>
      <w:r w:rsidR="00FC49A2" w:rsidRPr="00514B21">
        <w:t xml:space="preserve">. </w:t>
      </w:r>
    </w:p>
    <w:p w14:paraId="76497BAB" w14:textId="2D579567" w:rsidR="00A975B7" w:rsidRDefault="00A975B7" w:rsidP="15BB2E78">
      <w:r>
        <w:t xml:space="preserve">Finally, some participants suggested that subscription-based contracts for antimicrobials should be excluded from the </w:t>
      </w:r>
      <w:hyperlink r:id="rId20" w:history="1">
        <w:r>
          <w:rPr>
            <w:rStyle w:val="Hyperlink"/>
          </w:rPr>
          <w:t>voluntary scheme for branded medicines pricing and access (VPAS)</w:t>
        </w:r>
      </w:hyperlink>
      <w:r w:rsidR="00995645">
        <w:t>, because the repayments could undermine the pull incentive.</w:t>
      </w:r>
    </w:p>
    <w:p w14:paraId="6BE030A8" w14:textId="639B3DE7" w:rsidR="00FC49A2" w:rsidRDefault="00FC49A2" w:rsidP="00FC49A2">
      <w:pPr>
        <w:pStyle w:val="Heading3"/>
      </w:pPr>
      <w:r w:rsidRPr="00514B21">
        <w:t>Estimating the value of antimicrobials to the NHS</w:t>
      </w:r>
    </w:p>
    <w:p w14:paraId="58267302" w14:textId="58745B82" w:rsidR="006A2CE5" w:rsidRDefault="006A2CE5" w:rsidP="006A2CE5">
      <w:r>
        <w:t xml:space="preserve">Estimating the full value of an antimicrobial is complex and requires a different perspective to that which NICE currently uses. NICE’s current evaluation methods focus on health benefits for people that receive the drug, and sometimes their </w:t>
      </w:r>
      <w:proofErr w:type="spellStart"/>
      <w:r>
        <w:t>carers</w:t>
      </w:r>
      <w:proofErr w:type="spellEnd"/>
      <w:r>
        <w:t>. For antimicrobials, the health benefits go far beyond this. For example, effective antibiotics are essential in:</w:t>
      </w:r>
    </w:p>
    <w:p w14:paraId="5616EA6B" w14:textId="77777777" w:rsidR="006A2CE5" w:rsidRDefault="006A2CE5" w:rsidP="006A2CE5">
      <w:pPr>
        <w:pStyle w:val="ListParagraph"/>
        <w:numPr>
          <w:ilvl w:val="0"/>
          <w:numId w:val="47"/>
        </w:numPr>
      </w:pPr>
      <w:r w:rsidRPr="007A0B6A">
        <w:t>reducing problems associated with overuse</w:t>
      </w:r>
      <w:r>
        <w:t xml:space="preserve"> of a broad-spectrum antimicrobial by replacing it with a narrow-spectrum drug (‘spectrum value’)</w:t>
      </w:r>
    </w:p>
    <w:p w14:paraId="0619CED2" w14:textId="77777777" w:rsidR="00496DE2" w:rsidRDefault="00496DE2" w:rsidP="006A2CE5">
      <w:pPr>
        <w:pStyle w:val="ListParagraph"/>
        <w:numPr>
          <w:ilvl w:val="0"/>
          <w:numId w:val="47"/>
        </w:numPr>
      </w:pPr>
      <w:r>
        <w:t>reducing the spread of infection to other people (‘transmission value’)</w:t>
      </w:r>
    </w:p>
    <w:p w14:paraId="482BEAC7" w14:textId="5BFFF9AA" w:rsidR="006A2CE5" w:rsidRDefault="006A2CE5" w:rsidP="006A2CE5">
      <w:pPr>
        <w:pStyle w:val="ListParagraph"/>
        <w:numPr>
          <w:ilvl w:val="0"/>
          <w:numId w:val="47"/>
        </w:numPr>
      </w:pPr>
      <w:r>
        <w:t xml:space="preserve">ensuring that chemotherapy, </w:t>
      </w:r>
      <w:proofErr w:type="gramStart"/>
      <w:r>
        <w:t>surgery</w:t>
      </w:r>
      <w:proofErr w:type="gramEnd"/>
      <w:r>
        <w:t xml:space="preserve"> and other medical procedures can go ahead (‘enablement value’)</w:t>
      </w:r>
    </w:p>
    <w:p w14:paraId="57DAC150" w14:textId="77777777" w:rsidR="006A2CE5" w:rsidRDefault="006A2CE5" w:rsidP="006A2CE5">
      <w:pPr>
        <w:pStyle w:val="ListParagraph"/>
        <w:numPr>
          <w:ilvl w:val="0"/>
          <w:numId w:val="47"/>
        </w:numPr>
      </w:pPr>
      <w:r>
        <w:t>providing a range of treatment options to reduce the risk of resistance developing and be prepared for existing antimicrobials becoming ineffective (‘diversity value’ and ‘insurance value’).</w:t>
      </w:r>
    </w:p>
    <w:p w14:paraId="1EDE4395" w14:textId="77777777" w:rsidR="006A2CE5" w:rsidRPr="0028639A" w:rsidRDefault="006A2CE5" w:rsidP="006A2CE5">
      <w:r>
        <w:t>Collectively these additional attributes of value are abbreviated to ‘STEDI’ values.</w:t>
      </w:r>
    </w:p>
    <w:p w14:paraId="3C1FFD25" w14:textId="0C1EAE4D" w:rsidR="00FC49A2" w:rsidRPr="00514B21" w:rsidRDefault="009A0579" w:rsidP="00FC49A2">
      <w:r w:rsidRPr="00514B21">
        <w:t xml:space="preserve">The scope and scale of </w:t>
      </w:r>
      <w:r w:rsidR="00FC49A2" w:rsidRPr="00514B21">
        <w:t>EEPRU</w:t>
      </w:r>
      <w:r w:rsidR="0094496C">
        <w:t>’s</w:t>
      </w:r>
      <w:r w:rsidR="00FC49A2" w:rsidRPr="00514B21">
        <w:t xml:space="preserve"> modelling</w:t>
      </w:r>
      <w:r w:rsidRPr="00514B21">
        <w:t xml:space="preserve"> was </w:t>
      </w:r>
      <w:r w:rsidR="00E45E0E">
        <w:t>praised</w:t>
      </w:r>
      <w:r w:rsidR="00E45E0E" w:rsidRPr="00514B21">
        <w:t xml:space="preserve"> </w:t>
      </w:r>
      <w:r w:rsidRPr="00514B21">
        <w:t>by all participants</w:t>
      </w:r>
      <w:r w:rsidR="00B263EE">
        <w:t xml:space="preserve">, especially </w:t>
      </w:r>
      <w:proofErr w:type="gramStart"/>
      <w:r w:rsidR="00B263EE">
        <w:t>in light of</w:t>
      </w:r>
      <w:proofErr w:type="gramEnd"/>
      <w:r w:rsidR="00B263EE">
        <w:t xml:space="preserve"> the tight timescale within which they achieved </w:t>
      </w:r>
      <w:r w:rsidR="004C39C7">
        <w:t>it</w:t>
      </w:r>
      <w:r w:rsidRPr="00514B21">
        <w:t xml:space="preserve">. </w:t>
      </w:r>
      <w:r w:rsidR="00321D58" w:rsidRPr="00514B21">
        <w:t>Identifying</w:t>
      </w:r>
      <w:r w:rsidR="00D2653F" w:rsidRPr="00514B21">
        <w:t xml:space="preserve"> and </w:t>
      </w:r>
      <w:r w:rsidR="00321D58" w:rsidRPr="00514B21">
        <w:t xml:space="preserve">synthesizing </w:t>
      </w:r>
      <w:r w:rsidR="00321D58" w:rsidRPr="00514B21">
        <w:rPr>
          <w:i/>
          <w:iCs/>
        </w:rPr>
        <w:t>in vitro</w:t>
      </w:r>
      <w:r w:rsidR="00321D58" w:rsidRPr="00514B21">
        <w:t xml:space="preserve"> </w:t>
      </w:r>
      <w:r w:rsidR="00E45E0E">
        <w:t xml:space="preserve">susceptibility </w:t>
      </w:r>
      <w:r w:rsidR="00321D58" w:rsidRPr="00514B21">
        <w:t xml:space="preserve">evidence and linking </w:t>
      </w:r>
      <w:r w:rsidR="00E45E0E">
        <w:t>it</w:t>
      </w:r>
      <w:r w:rsidR="00E45E0E" w:rsidRPr="00514B21">
        <w:t xml:space="preserve"> </w:t>
      </w:r>
      <w:r w:rsidR="00321D58" w:rsidRPr="00514B21">
        <w:t xml:space="preserve">to downstream health outcomes was seen as an immensely complex task that had not previously been </w:t>
      </w:r>
      <w:r w:rsidR="00E45E0E">
        <w:t>attempted for antimicrobials</w:t>
      </w:r>
      <w:r w:rsidR="00321D58" w:rsidRPr="00514B21">
        <w:t>.</w:t>
      </w:r>
      <w:r w:rsidR="00D2653F" w:rsidRPr="00514B21">
        <w:t xml:space="preserve"> Although not all benefits were captured by the model, </w:t>
      </w:r>
      <w:r w:rsidR="00E45E0E">
        <w:t xml:space="preserve">the outputs were perceived to be very informative and helpful by both </w:t>
      </w:r>
      <w:r w:rsidR="00321D58" w:rsidRPr="00514B21">
        <w:t xml:space="preserve">committee </w:t>
      </w:r>
      <w:r w:rsidR="00E45E0E">
        <w:t>members and key opinion leaders in antimicrobial resistance</w:t>
      </w:r>
      <w:r w:rsidR="00321D58" w:rsidRPr="00514B21">
        <w:t xml:space="preserve">. </w:t>
      </w:r>
    </w:p>
    <w:p w14:paraId="22BC4289" w14:textId="6F2E376A" w:rsidR="00A07353" w:rsidRPr="00514B21" w:rsidRDefault="00D2653F" w:rsidP="00FC49A2">
      <w:r w:rsidRPr="00514B21">
        <w:t xml:space="preserve">The most prominent aspects of value not fully captured by the model were STEDI </w:t>
      </w:r>
      <w:r w:rsidR="00BE0809">
        <w:t xml:space="preserve">(spectrum, transmission, enablement, </w:t>
      </w:r>
      <w:proofErr w:type="gramStart"/>
      <w:r w:rsidR="00BE0809">
        <w:t>diversity</w:t>
      </w:r>
      <w:proofErr w:type="gramEnd"/>
      <w:r w:rsidR="00BE0809">
        <w:t xml:space="preserve"> and insurance) </w:t>
      </w:r>
      <w:r w:rsidRPr="00514B21">
        <w:t xml:space="preserve">values, which are seen as central to quantifying the additional value of antimicrobials compared with other types of therapies. </w:t>
      </w:r>
      <w:r w:rsidR="00A07353" w:rsidRPr="00514B21">
        <w:t>Participants noted that this reflects the lack of methods and data available to model them appropriately rather than the quality of EEPRU</w:t>
      </w:r>
      <w:r w:rsidR="00B263EE">
        <w:t>’</w:t>
      </w:r>
      <w:r w:rsidR="00A07353" w:rsidRPr="00514B21">
        <w:t>s work.</w:t>
      </w:r>
      <w:r w:rsidRPr="00514B21">
        <w:t xml:space="preserve"> </w:t>
      </w:r>
      <w:r w:rsidR="00A07353" w:rsidRPr="00514B21">
        <w:t>Of the STEDI values, participants highlighted enablement and insurance value as the most important drivers of value and that methodological work in these areas should be encouraged.</w:t>
      </w:r>
      <w:r w:rsidR="00A22FBF" w:rsidRPr="00514B21">
        <w:t xml:space="preserve"> Others noted that some of the STEDI values, such as insurance and diversity value, overlap and would double count benefits if they were both modelled. </w:t>
      </w:r>
      <w:r w:rsidR="00B263EE">
        <w:t>Participants advised a</w:t>
      </w:r>
      <w:r w:rsidR="00A22FBF" w:rsidRPr="00514B21">
        <w:t xml:space="preserve">dapting the STEDI framework </w:t>
      </w:r>
      <w:r w:rsidR="00B263EE">
        <w:t>to account for this.</w:t>
      </w:r>
    </w:p>
    <w:p w14:paraId="1107E7B5" w14:textId="065D81D3" w:rsidR="00321D58" w:rsidRPr="00514B21" w:rsidRDefault="008D233D" w:rsidP="00FC49A2">
      <w:r>
        <w:lastRenderedPageBreak/>
        <w:t>Participants recognised that t</w:t>
      </w:r>
      <w:r w:rsidR="005A6D9D" w:rsidRPr="00514B21">
        <w:t xml:space="preserve">hese </w:t>
      </w:r>
      <w:r>
        <w:t xml:space="preserve">evaluations </w:t>
      </w:r>
      <w:r w:rsidR="005A6D9D" w:rsidRPr="00514B21">
        <w:t xml:space="preserve">placed new responsibilities on the committee: they had to </w:t>
      </w:r>
      <w:r>
        <w:t xml:space="preserve">agree </w:t>
      </w:r>
      <w:r w:rsidR="005A6D9D" w:rsidRPr="00514B21">
        <w:t>a precise number in terms of population QALYs</w:t>
      </w:r>
      <w:r>
        <w:t>,</w:t>
      </w:r>
      <w:r w:rsidR="005A6D9D" w:rsidRPr="00514B21">
        <w:t xml:space="preserve"> informed by an unusual and complex model</w:t>
      </w:r>
      <w:r w:rsidR="003D6A6E" w:rsidRPr="00514B21">
        <w:t xml:space="preserve"> which </w:t>
      </w:r>
      <w:r>
        <w:t xml:space="preserve">they felt </w:t>
      </w:r>
      <w:r w:rsidR="005A6D9D" w:rsidRPr="00514B21">
        <w:t xml:space="preserve">did not </w:t>
      </w:r>
      <w:r w:rsidR="00087896" w:rsidRPr="00514B21">
        <w:t>capture</w:t>
      </w:r>
      <w:r w:rsidR="005A6D9D" w:rsidRPr="00514B21">
        <w:t xml:space="preserve"> </w:t>
      </w:r>
      <w:r>
        <w:t xml:space="preserve">all relevant </w:t>
      </w:r>
      <w:r w:rsidR="00087896" w:rsidRPr="00514B21">
        <w:t xml:space="preserve">benefits </w:t>
      </w:r>
      <w:r>
        <w:t xml:space="preserve">or </w:t>
      </w:r>
      <w:r w:rsidR="00087896" w:rsidRPr="00514B21">
        <w:t>patient groups</w:t>
      </w:r>
      <w:r w:rsidR="005A6D9D" w:rsidRPr="00893261">
        <w:t>.</w:t>
      </w:r>
      <w:r w:rsidR="00893261" w:rsidRPr="009529B5">
        <w:t xml:space="preserve"> It is unusual for a NICE committee to assign a value to benefits not captured in a model, but it was important for informing the commercial discussions between NHS England and the companies.</w:t>
      </w:r>
      <w:r w:rsidR="00893261">
        <w:rPr>
          <w:color w:val="FF0000"/>
        </w:rPr>
        <w:t xml:space="preserve"> </w:t>
      </w:r>
      <w:r w:rsidR="003D6A6E" w:rsidRPr="00514B21">
        <w:t xml:space="preserve">There was admiration and understanding for how the committee navigated these challenges. </w:t>
      </w:r>
      <w:proofErr w:type="gramStart"/>
      <w:r w:rsidR="003D6A6E" w:rsidRPr="00514B21">
        <w:t>In particular, it</w:t>
      </w:r>
      <w:proofErr w:type="gramEnd"/>
      <w:r w:rsidR="003D6A6E" w:rsidRPr="00514B21">
        <w:t xml:space="preserve"> was noted that </w:t>
      </w:r>
      <w:r w:rsidR="001A5AF3">
        <w:t xml:space="preserve">the committee had to make recommendations </w:t>
      </w:r>
      <w:r w:rsidR="003D6A6E" w:rsidRPr="00514B21">
        <w:t xml:space="preserve">in the face of considerable uncertainty, and that </w:t>
      </w:r>
      <w:r w:rsidR="008D494E">
        <w:t>“</w:t>
      </w:r>
      <w:r w:rsidR="003D6A6E" w:rsidRPr="00514B21">
        <w:t>the perfect should not be the enemy of the good</w:t>
      </w:r>
      <w:r w:rsidR="008D494E">
        <w:t>”</w:t>
      </w:r>
      <w:r w:rsidR="003D6A6E" w:rsidRPr="00514B21">
        <w:t xml:space="preserve">. </w:t>
      </w:r>
      <w:r w:rsidR="00AA64C6">
        <w:t>P</w:t>
      </w:r>
      <w:r w:rsidR="00AA64C6" w:rsidRPr="00514B21">
        <w:t xml:space="preserve">articipants noted that the </w:t>
      </w:r>
      <w:r w:rsidR="00AA64C6">
        <w:t>committee’s final QALY</w:t>
      </w:r>
      <w:r w:rsidR="00AA64C6" w:rsidRPr="00514B21">
        <w:t xml:space="preserve"> estimates </w:t>
      </w:r>
      <w:r w:rsidR="00AA64C6">
        <w:t xml:space="preserve">(accounting for the uncaptured value in the model) relied </w:t>
      </w:r>
      <w:r w:rsidR="00AA64C6" w:rsidRPr="00514B21">
        <w:t>on expert opinion</w:t>
      </w:r>
      <w:r w:rsidR="00AA64C6">
        <w:t xml:space="preserve"> and committee judgement.</w:t>
      </w:r>
      <w:r w:rsidR="00AA64C6" w:rsidRPr="00514B21" w:rsidDel="008D494E">
        <w:t xml:space="preserve"> </w:t>
      </w:r>
      <w:r w:rsidR="00AA64C6">
        <w:t>It was acknowledge</w:t>
      </w:r>
      <w:r w:rsidR="00224E5F">
        <w:t>d</w:t>
      </w:r>
      <w:r w:rsidR="00AA64C6">
        <w:t xml:space="preserve"> that </w:t>
      </w:r>
      <w:r w:rsidR="00224E5F">
        <w:t xml:space="preserve">the </w:t>
      </w:r>
      <w:r w:rsidR="00224E5F">
        <w:rPr>
          <w:rFonts w:cstheme="minorHAnsi"/>
        </w:rPr>
        <w:t>m</w:t>
      </w:r>
      <w:r w:rsidR="00224E5F" w:rsidRPr="003256EB">
        <w:rPr>
          <w:rFonts w:cstheme="minorHAnsi"/>
        </w:rPr>
        <w:t xml:space="preserve">ethods </w:t>
      </w:r>
      <w:r w:rsidR="00224E5F">
        <w:rPr>
          <w:rFonts w:cstheme="minorHAnsi"/>
        </w:rPr>
        <w:t xml:space="preserve">and data sources for quantitatively evaluating the full value of a new antimicrobial </w:t>
      </w:r>
      <w:r w:rsidR="00224E5F" w:rsidRPr="003256EB">
        <w:rPr>
          <w:rFonts w:cstheme="minorHAnsi"/>
        </w:rPr>
        <w:t xml:space="preserve">need further refinement before it is possible to reliably, </w:t>
      </w:r>
      <w:proofErr w:type="gramStart"/>
      <w:r w:rsidR="00224E5F" w:rsidRPr="003256EB">
        <w:rPr>
          <w:rFonts w:cstheme="minorHAnsi"/>
        </w:rPr>
        <w:t>robustly</w:t>
      </w:r>
      <w:proofErr w:type="gramEnd"/>
      <w:r w:rsidR="00224E5F" w:rsidRPr="003256EB">
        <w:rPr>
          <w:rFonts w:cstheme="minorHAnsi"/>
        </w:rPr>
        <w:t xml:space="preserve"> and fairly replicate the process</w:t>
      </w:r>
      <w:r w:rsidR="00224E5F">
        <w:rPr>
          <w:rFonts w:cstheme="minorHAnsi"/>
        </w:rPr>
        <w:t xml:space="preserve"> used in the pilot</w:t>
      </w:r>
      <w:r w:rsidR="00224E5F" w:rsidRPr="003256EB">
        <w:rPr>
          <w:rFonts w:cstheme="minorHAnsi"/>
        </w:rPr>
        <w:t xml:space="preserve">. </w:t>
      </w:r>
      <w:r w:rsidR="00224E5F">
        <w:rPr>
          <w:rFonts w:cstheme="minorHAnsi"/>
        </w:rPr>
        <w:t>Academics advised that t</w:t>
      </w:r>
      <w:r w:rsidR="00224E5F" w:rsidRPr="003256EB">
        <w:rPr>
          <w:rFonts w:cstheme="minorHAnsi"/>
        </w:rPr>
        <w:t>his</w:t>
      </w:r>
      <w:r w:rsidR="00224E5F">
        <w:rPr>
          <w:rFonts w:cstheme="minorHAnsi"/>
        </w:rPr>
        <w:t xml:space="preserve"> programme of research</w:t>
      </w:r>
      <w:r w:rsidR="00224E5F" w:rsidRPr="003256EB">
        <w:rPr>
          <w:rFonts w:cstheme="minorHAnsi"/>
        </w:rPr>
        <w:t xml:space="preserve"> would take years.</w:t>
      </w:r>
      <w:r w:rsidR="00AA64C6" w:rsidRPr="00AA64C6">
        <w:t xml:space="preserve"> </w:t>
      </w:r>
      <w:r w:rsidR="00E74DE6" w:rsidRPr="00514B21">
        <w:t xml:space="preserve">Participants </w:t>
      </w:r>
      <w:r w:rsidR="00224E5F">
        <w:t xml:space="preserve">noted that improved </w:t>
      </w:r>
      <w:r w:rsidR="00224E5F" w:rsidRPr="00514B21">
        <w:t xml:space="preserve">surveillance will </w:t>
      </w:r>
      <w:r w:rsidR="00224E5F">
        <w:t xml:space="preserve">help </w:t>
      </w:r>
      <w:r w:rsidR="00224E5F" w:rsidRPr="00514B21">
        <w:t>inform</w:t>
      </w:r>
      <w:r w:rsidR="00224E5F">
        <w:t xml:space="preserve"> estimates</w:t>
      </w:r>
      <w:r w:rsidR="00224E5F" w:rsidRPr="00514B21">
        <w:t xml:space="preserve"> of patient population sizes, which were an influential driver of the QALY </w:t>
      </w:r>
      <w:r w:rsidR="00224E5F">
        <w:t>benefits, but</w:t>
      </w:r>
      <w:r w:rsidR="00224E5F" w:rsidRPr="00514B21">
        <w:t xml:space="preserve"> </w:t>
      </w:r>
      <w:r w:rsidR="00E74DE6" w:rsidRPr="00514B21">
        <w:t xml:space="preserve">speculated that forecasting trends in resistant pathogens was likely to remain highly uncertain even </w:t>
      </w:r>
      <w:r w:rsidR="00224E5F">
        <w:t>as</w:t>
      </w:r>
      <w:r w:rsidR="00224E5F" w:rsidRPr="00514B21">
        <w:t xml:space="preserve"> </w:t>
      </w:r>
      <w:r w:rsidR="00E74DE6" w:rsidRPr="00514B21">
        <w:t>data collection and quality improves over time.</w:t>
      </w:r>
    </w:p>
    <w:p w14:paraId="7439F7BB" w14:textId="337A1895" w:rsidR="00C825E7" w:rsidRPr="00F31464" w:rsidRDefault="00554DB6" w:rsidP="00F31464">
      <w:pPr>
        <w:pStyle w:val="Heading3"/>
      </w:pPr>
      <w:r w:rsidRPr="00F31464">
        <w:t>Providing stewardship guidance</w:t>
      </w:r>
      <w:r w:rsidR="0093356F" w:rsidRPr="00F31464">
        <w:t xml:space="preserve"> </w:t>
      </w:r>
    </w:p>
    <w:p w14:paraId="6F357419" w14:textId="377D393D" w:rsidR="00565D37" w:rsidRPr="00514B21" w:rsidRDefault="00554DB6" w:rsidP="15BB2E78">
      <w:r w:rsidRPr="00514B21">
        <w:t>All participants agreed that incorporating stewardship advice into the guidance documents was appropriate and welcome</w:t>
      </w:r>
      <w:r w:rsidR="00BE2D64">
        <w:t>,</w:t>
      </w:r>
      <w:r w:rsidR="00565D37" w:rsidRPr="00514B21">
        <w:t xml:space="preserve"> and </w:t>
      </w:r>
      <w:r w:rsidR="00BE2D64">
        <w:t xml:space="preserve">an important part of </w:t>
      </w:r>
      <w:r w:rsidR="00D0518E" w:rsidRPr="00514B21">
        <w:t>knowledge</w:t>
      </w:r>
      <w:r w:rsidR="00BE2D64">
        <w:t>-</w:t>
      </w:r>
      <w:r w:rsidR="00D0518E" w:rsidRPr="00514B21">
        <w:t xml:space="preserve">sharing activities with international partners. </w:t>
      </w:r>
    </w:p>
    <w:p w14:paraId="5FFF2967" w14:textId="69782485" w:rsidR="00270D0F" w:rsidRDefault="00270D0F" w:rsidP="009529B5">
      <w:pPr>
        <w:pStyle w:val="Heading3"/>
      </w:pPr>
      <w:r w:rsidRPr="00514B21">
        <w:t xml:space="preserve">Using the NICE </w:t>
      </w:r>
      <w:r w:rsidR="00DA46DC" w:rsidRPr="00514B21">
        <w:t xml:space="preserve">multiple technology appraisal </w:t>
      </w:r>
      <w:r w:rsidR="00DA46DC">
        <w:t>(</w:t>
      </w:r>
      <w:r w:rsidRPr="00514B21">
        <w:t>MTA</w:t>
      </w:r>
      <w:r w:rsidR="00DA46DC">
        <w:t>)</w:t>
      </w:r>
      <w:r w:rsidRPr="00514B21">
        <w:t xml:space="preserve"> process</w:t>
      </w:r>
    </w:p>
    <w:p w14:paraId="151F3280" w14:textId="7B54BEF8" w:rsidR="00893EEB" w:rsidRDefault="00674CB0" w:rsidP="00270D0F">
      <w:r>
        <w:t xml:space="preserve">The </w:t>
      </w:r>
      <w:r w:rsidR="00893EEB">
        <w:t>pilot</w:t>
      </w:r>
      <w:r w:rsidR="00273A57">
        <w:t>’s</w:t>
      </w:r>
      <w:r w:rsidR="00893EEB">
        <w:t xml:space="preserve"> technology evaluation process </w:t>
      </w:r>
      <w:r w:rsidR="00273A57">
        <w:t xml:space="preserve">was modelled </w:t>
      </w:r>
      <w:r w:rsidR="00893EEB">
        <w:t>on the NICE multiple technology appraisal</w:t>
      </w:r>
      <w:r w:rsidR="008B25C5">
        <w:t xml:space="preserve"> (MTA)</w:t>
      </w:r>
      <w:r w:rsidR="00893EEB">
        <w:t xml:space="preserve"> process</w:t>
      </w:r>
      <w:r w:rsidR="00321F6B">
        <w:t>, in which an academic group is commissioned to do the economic analys</w:t>
      </w:r>
      <w:r w:rsidR="006D675F">
        <w:t>e</w:t>
      </w:r>
      <w:r w:rsidR="00321F6B">
        <w:t>s and</w:t>
      </w:r>
      <w:r w:rsidR="00893EEB">
        <w:t xml:space="preserve"> </w:t>
      </w:r>
      <w:r w:rsidR="00321F6B">
        <w:t>c</w:t>
      </w:r>
      <w:r w:rsidR="00893EEB">
        <w:t xml:space="preserve">ompanies </w:t>
      </w:r>
      <w:r w:rsidR="00321F6B">
        <w:t xml:space="preserve">are </w:t>
      </w:r>
      <w:r w:rsidR="00893EEB">
        <w:t xml:space="preserve">invited to submit evidence in support of their products, including </w:t>
      </w:r>
      <w:r w:rsidR="00321F6B">
        <w:t xml:space="preserve">their own </w:t>
      </w:r>
      <w:r w:rsidR="00893EEB">
        <w:t xml:space="preserve">economic model. </w:t>
      </w:r>
      <w:r w:rsidR="006D675F">
        <w:t xml:space="preserve">The academic group commissioned for the pilot was the </w:t>
      </w:r>
      <w:r w:rsidR="006D675F" w:rsidRPr="0092406A">
        <w:t xml:space="preserve">Policy Research Unit in Economic Methods of Evaluation in Health </w:t>
      </w:r>
      <w:r w:rsidR="006D675F">
        <w:t>and</w:t>
      </w:r>
      <w:r w:rsidR="006D675F" w:rsidRPr="0092406A">
        <w:t xml:space="preserve"> Social Care Interventions</w:t>
      </w:r>
      <w:r w:rsidR="006D675F">
        <w:t xml:space="preserve"> (‘EEPRU’). </w:t>
      </w:r>
      <w:r w:rsidR="00893EEB">
        <w:t xml:space="preserve">A specially convened </w:t>
      </w:r>
      <w:hyperlink r:id="rId21" w:history="1">
        <w:r w:rsidR="006D675F">
          <w:rPr>
            <w:rStyle w:val="Hyperlink"/>
          </w:rPr>
          <w:t>NICE committee</w:t>
        </w:r>
      </w:hyperlink>
      <w:r w:rsidR="00893EEB">
        <w:t xml:space="preserve"> made up of existing NICE committee members</w:t>
      </w:r>
      <w:r w:rsidR="002A068E">
        <w:t xml:space="preserve">, supplemented by several </w:t>
      </w:r>
      <w:r w:rsidR="00893EEB">
        <w:t xml:space="preserve">specialist </w:t>
      </w:r>
      <w:r w:rsidR="002A068E">
        <w:t>members, was responsible for deliberating on the evidence,</w:t>
      </w:r>
      <w:r w:rsidR="006D675F">
        <w:t xml:space="preserve"> including EEPRU’s findings and comments received during </w:t>
      </w:r>
      <w:r w:rsidR="00273A57">
        <w:t xml:space="preserve">the </w:t>
      </w:r>
      <w:r w:rsidR="006D675F">
        <w:t>consultation of EEPRU’s reports, and</w:t>
      </w:r>
      <w:r w:rsidR="002A068E">
        <w:t xml:space="preserve"> determining the value of the products </w:t>
      </w:r>
      <w:r w:rsidR="006D675F">
        <w:t>to inform commercial discussions between NHS England and the respective companies</w:t>
      </w:r>
      <w:r w:rsidR="002A068E">
        <w:t xml:space="preserve">. </w:t>
      </w:r>
    </w:p>
    <w:p w14:paraId="7B7A5E96" w14:textId="2E9C13D3" w:rsidR="00270D0F" w:rsidRPr="00514B21" w:rsidRDefault="00273A57" w:rsidP="00270D0F">
      <w:r>
        <w:t>Participants</w:t>
      </w:r>
      <w:r w:rsidRPr="00514B21">
        <w:t xml:space="preserve"> </w:t>
      </w:r>
      <w:r w:rsidR="00270D0F" w:rsidRPr="00514B21">
        <w:t xml:space="preserve">agreed that </w:t>
      </w:r>
      <w:r>
        <w:t xml:space="preserve">it was appropriate to </w:t>
      </w:r>
      <w:r w:rsidR="00270D0F" w:rsidRPr="00514B21">
        <w:t>us</w:t>
      </w:r>
      <w:r>
        <w:t>e</w:t>
      </w:r>
      <w:r w:rsidR="00270D0F" w:rsidRPr="00514B21">
        <w:t xml:space="preserve"> a multiple technology appraisal (MTA) process for the pilot. As there </w:t>
      </w:r>
      <w:r w:rsidR="00480AF2">
        <w:t>was</w:t>
      </w:r>
      <w:r w:rsidR="00480AF2" w:rsidRPr="00514B21">
        <w:t xml:space="preserve"> </w:t>
      </w:r>
      <w:r w:rsidR="00270D0F" w:rsidRPr="00514B21">
        <w:t xml:space="preserve">a lack of consensus for how to model antimicrobials, </w:t>
      </w:r>
      <w:r w:rsidR="00480AF2">
        <w:t xml:space="preserve">using </w:t>
      </w:r>
      <w:r w:rsidR="00270D0F" w:rsidRPr="00514B21">
        <w:t xml:space="preserve">an academic group </w:t>
      </w:r>
      <w:r w:rsidR="00480AF2">
        <w:t xml:space="preserve">to </w:t>
      </w:r>
      <w:r w:rsidR="00270D0F" w:rsidRPr="00514B21">
        <w:t xml:space="preserve">develop the model ensured consistency between the two </w:t>
      </w:r>
      <w:r w:rsidR="00480AF2">
        <w:t>evaluations</w:t>
      </w:r>
      <w:r w:rsidR="00FD5EBE" w:rsidRPr="00514B21">
        <w:t>.</w:t>
      </w:r>
      <w:r w:rsidR="00CD1262">
        <w:t xml:space="preserve"> </w:t>
      </w:r>
      <w:r w:rsidR="00CD1262" w:rsidRPr="009F3708">
        <w:rPr>
          <w:rFonts w:cstheme="minorHAnsi"/>
        </w:rPr>
        <w:t>Using a large academic group meant that substantial staff and resources could be assigned to the project, which was more resource</w:t>
      </w:r>
      <w:r w:rsidR="00CD1262">
        <w:rPr>
          <w:rFonts w:cstheme="minorHAnsi"/>
        </w:rPr>
        <w:t xml:space="preserve"> </w:t>
      </w:r>
      <w:r w:rsidR="00CD1262" w:rsidRPr="009F3708">
        <w:rPr>
          <w:rFonts w:cstheme="minorHAnsi"/>
        </w:rPr>
        <w:t>intensive and technically challenging than anticipated</w:t>
      </w:r>
      <w:r w:rsidR="00CD1262">
        <w:rPr>
          <w:rFonts w:cstheme="minorHAnsi"/>
        </w:rPr>
        <w:t>.</w:t>
      </w:r>
    </w:p>
    <w:p w14:paraId="77A165A8" w14:textId="46DE42E0" w:rsidR="00FD5EBE" w:rsidRPr="00514B21" w:rsidRDefault="00DA46DC" w:rsidP="00270D0F">
      <w:r>
        <w:t>Some p</w:t>
      </w:r>
      <w:r w:rsidR="00FD5EBE" w:rsidRPr="00514B21">
        <w:t xml:space="preserve">articipants argued that greater company involvement should be introduced as the process </w:t>
      </w:r>
      <w:r w:rsidR="00CD1262">
        <w:t>develops</w:t>
      </w:r>
      <w:r w:rsidR="00FD5EBE" w:rsidRPr="00514B21">
        <w:t>. It was noted that a</w:t>
      </w:r>
      <w:r w:rsidR="00CD1262">
        <w:t xml:space="preserve"> single technology appraisal (</w:t>
      </w:r>
      <w:r w:rsidR="00890506" w:rsidRPr="00514B21">
        <w:t>STA</w:t>
      </w:r>
      <w:r w:rsidR="00CD1262">
        <w:t>)</w:t>
      </w:r>
      <w:r w:rsidR="00FD5EBE" w:rsidRPr="00514B21">
        <w:t xml:space="preserve">-style process, in which companies submit their own </w:t>
      </w:r>
      <w:r w:rsidR="00CD1262">
        <w:t xml:space="preserve">economic </w:t>
      </w:r>
      <w:r w:rsidR="00FD5EBE" w:rsidRPr="00514B21">
        <w:t xml:space="preserve">model, could be more appropriate in future as </w:t>
      </w:r>
      <w:r w:rsidR="00CD1262">
        <w:t xml:space="preserve">a </w:t>
      </w:r>
      <w:r w:rsidR="00FD5EBE" w:rsidRPr="00514B21">
        <w:t xml:space="preserve">means of reducing the resource burden on NICE and the </w:t>
      </w:r>
      <w:r w:rsidR="00CD1262">
        <w:t>external assessment group</w:t>
      </w:r>
      <w:r w:rsidR="00FD5EBE" w:rsidRPr="00514B21">
        <w:t xml:space="preserve">. </w:t>
      </w:r>
      <w:r w:rsidR="00CD1262">
        <w:t>T</w:t>
      </w:r>
      <w:r w:rsidR="00CD1262" w:rsidRPr="00514B21">
        <w:rPr>
          <w:rFonts w:cstheme="minorHAnsi"/>
        </w:rPr>
        <w:t xml:space="preserve">his view was not unanimous amongst industry, because small to medium-sized antimicrobial </w:t>
      </w:r>
      <w:r w:rsidR="0075103A">
        <w:rPr>
          <w:rFonts w:cstheme="minorHAnsi"/>
        </w:rPr>
        <w:t>companies</w:t>
      </w:r>
      <w:r w:rsidR="0075103A" w:rsidRPr="00514B21">
        <w:rPr>
          <w:rFonts w:cstheme="minorHAnsi"/>
        </w:rPr>
        <w:t xml:space="preserve"> </w:t>
      </w:r>
      <w:r w:rsidR="00CD1262" w:rsidRPr="00514B21">
        <w:rPr>
          <w:rFonts w:cstheme="minorHAnsi"/>
        </w:rPr>
        <w:t>are unlikely to be able to develop economic models with the required level of complexity</w:t>
      </w:r>
      <w:r w:rsidR="00CD1262">
        <w:rPr>
          <w:rFonts w:cstheme="minorHAnsi"/>
        </w:rPr>
        <w:t xml:space="preserve">. </w:t>
      </w:r>
      <w:r w:rsidR="00CD1262" w:rsidRPr="00514B21">
        <w:rPr>
          <w:rFonts w:cstheme="minorHAnsi"/>
        </w:rPr>
        <w:t>Academi</w:t>
      </w:r>
      <w:r w:rsidR="000C168C">
        <w:rPr>
          <w:rFonts w:cstheme="minorHAnsi"/>
        </w:rPr>
        <w:t>cs</w:t>
      </w:r>
      <w:r w:rsidR="00CD1262" w:rsidRPr="00514B21">
        <w:rPr>
          <w:rFonts w:cstheme="minorHAnsi"/>
        </w:rPr>
        <w:t xml:space="preserve"> were also concerned about the risk of companies introducing bias into the model, which would be difficult for an academic group to identify and amend because of the complexity of the model</w:t>
      </w:r>
      <w:r w:rsidR="00CD1262" w:rsidRPr="00514B21">
        <w:t xml:space="preserve"> </w:t>
      </w:r>
      <w:r w:rsidR="00CD1262">
        <w:t>and shorter timescales of an</w:t>
      </w:r>
      <w:r w:rsidR="00001C9E" w:rsidRPr="00514B21">
        <w:t xml:space="preserve"> STA. Routine </w:t>
      </w:r>
      <w:r w:rsidR="00001C9E" w:rsidRPr="00514B21">
        <w:lastRenderedPageBreak/>
        <w:t xml:space="preserve">development of economic models of antimicrobials would also require explicit NICE guidance on how those models should be produced, akin to the reference cases that underpin each of NICE’s guidance-producing programmes. </w:t>
      </w:r>
      <w:r w:rsidR="00CD1262">
        <w:t>Participants suggested that a</w:t>
      </w:r>
      <w:r w:rsidR="00001C9E" w:rsidRPr="00514B21">
        <w:t xml:space="preserve"> dedicated specialist committee</w:t>
      </w:r>
      <w:r w:rsidR="00CE018A" w:rsidRPr="00514B21">
        <w:t xml:space="preserve"> could be formed so that specialist knowledge on the particulars of antimicrobial evaluation</w:t>
      </w:r>
      <w:r w:rsidR="00812C7D">
        <w:t>s</w:t>
      </w:r>
      <w:r w:rsidR="00CE018A" w:rsidRPr="00514B21">
        <w:t xml:space="preserve"> would be accumulated and retained.</w:t>
      </w:r>
    </w:p>
    <w:p w14:paraId="754B5D8D" w14:textId="780A27CD" w:rsidR="00E44846" w:rsidRDefault="00CE018A">
      <w:pPr>
        <w:rPr>
          <w:rFonts w:asciiTheme="majorHAnsi" w:eastAsiaTheme="majorEastAsia" w:hAnsiTheme="majorHAnsi" w:cstheme="majorBidi"/>
          <w:color w:val="2F5496" w:themeColor="accent1" w:themeShade="BF"/>
          <w:sz w:val="32"/>
          <w:szCs w:val="32"/>
        </w:rPr>
      </w:pPr>
      <w:r w:rsidRPr="00514B21">
        <w:t xml:space="preserve">The complexity </w:t>
      </w:r>
      <w:r w:rsidR="006C7FDF">
        <w:t xml:space="preserve">of </w:t>
      </w:r>
      <w:r w:rsidRPr="00514B21">
        <w:t>antimicrobial</w:t>
      </w:r>
      <w:r w:rsidR="006C7FDF">
        <w:t xml:space="preserve"> modelling</w:t>
      </w:r>
      <w:r w:rsidRPr="00514B21">
        <w:t xml:space="preserve"> led participants to suggest that a common model applicable to a wide range of antimicrobials </w:t>
      </w:r>
      <w:r w:rsidR="006C7FDF">
        <w:t xml:space="preserve">could </w:t>
      </w:r>
      <w:r w:rsidRPr="00514B21">
        <w:t xml:space="preserve">be developed. This would </w:t>
      </w:r>
      <w:r w:rsidR="006C7FDF">
        <w:t xml:space="preserve">ensure consistency, improve </w:t>
      </w:r>
      <w:proofErr w:type="gramStart"/>
      <w:r w:rsidR="006C7FDF">
        <w:t>robustness</w:t>
      </w:r>
      <w:proofErr w:type="gramEnd"/>
      <w:r w:rsidR="006C7FDF">
        <w:t xml:space="preserve"> and avoid du</w:t>
      </w:r>
      <w:r w:rsidR="00285A02" w:rsidRPr="00514B21">
        <w:t xml:space="preserve">plicating efforts across evaluations. An alternative suggestion was </w:t>
      </w:r>
      <w:r w:rsidR="006C7FDF">
        <w:t xml:space="preserve">to </w:t>
      </w:r>
      <w:r w:rsidR="00285A02" w:rsidRPr="00514B21">
        <w:t xml:space="preserve">depart from both the STA and MTA style of </w:t>
      </w:r>
      <w:r w:rsidR="00101229" w:rsidRPr="00514B21">
        <w:t>assessment</w:t>
      </w:r>
      <w:r w:rsidR="006C7FDF">
        <w:t>, which both</w:t>
      </w:r>
      <w:r w:rsidR="00101229" w:rsidRPr="00514B21">
        <w:t xml:space="preserve"> </w:t>
      </w:r>
      <w:r w:rsidR="006C7FDF">
        <w:t>use cost-utility analyses to quantify benefits</w:t>
      </w:r>
      <w:r w:rsidR="00101229" w:rsidRPr="00514B21">
        <w:t xml:space="preserve">, </w:t>
      </w:r>
      <w:r w:rsidR="006C7FDF">
        <w:t xml:space="preserve">and </w:t>
      </w:r>
      <w:r w:rsidR="00101229" w:rsidRPr="00514B21">
        <w:t>instead adopt a more qualitative approach that score</w:t>
      </w:r>
      <w:r w:rsidR="006C7FDF">
        <w:t>s</w:t>
      </w:r>
      <w:r w:rsidR="00101229" w:rsidRPr="00514B21">
        <w:t xml:space="preserve"> products on a set of criteria</w:t>
      </w:r>
      <w:r w:rsidR="00FA1505">
        <w:t xml:space="preserve">, which could </w:t>
      </w:r>
      <w:r w:rsidR="00FA1505">
        <w:rPr>
          <w:rFonts w:cstheme="minorHAnsi"/>
        </w:rPr>
        <w:t xml:space="preserve">use some of the </w:t>
      </w:r>
      <w:r w:rsidR="00FA1505" w:rsidRPr="00514B21">
        <w:rPr>
          <w:rFonts w:cstheme="minorHAnsi"/>
        </w:rPr>
        <w:t>criteria used to select the two products for the pilot.</w:t>
      </w:r>
      <w:r w:rsidR="00101229" w:rsidRPr="00514B21">
        <w:t xml:space="preserve"> This system would be </w:t>
      </w:r>
      <w:proofErr w:type="gramStart"/>
      <w:r w:rsidR="00101229" w:rsidRPr="00514B21">
        <w:t>similar to</w:t>
      </w:r>
      <w:proofErr w:type="gramEnd"/>
      <w:r w:rsidR="00101229" w:rsidRPr="00514B21">
        <w:t xml:space="preserve"> that suggested in the proposed PASTEUR Act in the US and would not necessitate complex modelling. </w:t>
      </w:r>
      <w:r w:rsidR="00A61964">
        <w:t>A</w:t>
      </w:r>
      <w:r w:rsidR="00101229" w:rsidRPr="00514B21">
        <w:t xml:space="preserve"> common conceptual model </w:t>
      </w:r>
      <w:r w:rsidR="00FA1505">
        <w:t xml:space="preserve">could be developed, </w:t>
      </w:r>
      <w:r w:rsidR="00101229" w:rsidRPr="00514B21">
        <w:t>link</w:t>
      </w:r>
      <w:r w:rsidR="00FA1505">
        <w:t>ing</w:t>
      </w:r>
      <w:r w:rsidR="00101229" w:rsidRPr="00514B21">
        <w:t xml:space="preserve"> basic information on mode of action</w:t>
      </w:r>
      <w:r w:rsidR="005541AE" w:rsidRPr="00514B21">
        <w:t xml:space="preserve">, </w:t>
      </w:r>
      <w:r w:rsidR="00101229" w:rsidRPr="00514B21">
        <w:rPr>
          <w:i/>
          <w:iCs/>
        </w:rPr>
        <w:t>in vitro</w:t>
      </w:r>
      <w:r w:rsidR="00101229" w:rsidRPr="00514B21">
        <w:t xml:space="preserve"> evidence </w:t>
      </w:r>
      <w:r w:rsidR="005541AE" w:rsidRPr="00514B21">
        <w:t>and</w:t>
      </w:r>
      <w:r w:rsidR="00101229" w:rsidRPr="00514B21">
        <w:t xml:space="preserve"> STEDI values</w:t>
      </w:r>
      <w:r w:rsidR="005541AE" w:rsidRPr="00514B21">
        <w:t xml:space="preserve"> to obtain a contract value. </w:t>
      </w:r>
    </w:p>
    <w:p w14:paraId="2DF3EEEB" w14:textId="3CE2BF85" w:rsidR="00E44846" w:rsidRDefault="00E44846" w:rsidP="00E44846">
      <w:pPr>
        <w:pStyle w:val="Heading1"/>
      </w:pPr>
      <w:r>
        <w:t>Project team conclusions</w:t>
      </w:r>
    </w:p>
    <w:p w14:paraId="28338FAF" w14:textId="24AA7F7F" w:rsidR="00E44846" w:rsidRDefault="00E44846" w:rsidP="00E44846">
      <w:r w:rsidRPr="00436CFF">
        <w:t xml:space="preserve">NICE is the first </w:t>
      </w:r>
      <w:r>
        <w:t>HTA</w:t>
      </w:r>
      <w:r w:rsidRPr="00436CFF">
        <w:t xml:space="preserve"> organisation anywhere in the world to attempt to estimate the full benefits of an antimicrobial </w:t>
      </w:r>
      <w:r w:rsidR="003369B3">
        <w:t>by quantifying the population health effects through consideration of the STEDI values</w:t>
      </w:r>
      <w:r w:rsidRPr="00436CFF">
        <w:t>. This was a ground-breaking project that has provided the first quantification of the value of important antimicrobial products which target difficult-to-treat drug-resistant pathogens with a high unmet need in the UK and designated as a global priority by the WHO.</w:t>
      </w:r>
    </w:p>
    <w:p w14:paraId="5D1BE4B2" w14:textId="32C002D6" w:rsidR="00E44846" w:rsidRDefault="00E44846" w:rsidP="00E44846">
      <w:pPr>
        <w:rPr>
          <w:rFonts w:cstheme="minorHAnsi"/>
        </w:rPr>
      </w:pPr>
      <w:r w:rsidRPr="00436CFF">
        <w:t xml:space="preserve">EEPRU </w:t>
      </w:r>
      <w:r>
        <w:t xml:space="preserve">used innovative modelling methods in these evaluations. </w:t>
      </w:r>
      <w:r w:rsidRPr="00436CFF">
        <w:t>For example, in the absence of RCT or observational data</w:t>
      </w:r>
      <w:r>
        <w:t xml:space="preserve"> that was generalisable to multi-drug resistant infections</w:t>
      </w:r>
      <w:r w:rsidRPr="00436CFF">
        <w:t xml:space="preserve">, </w:t>
      </w:r>
      <w:r>
        <w:t xml:space="preserve">EEPRU </w:t>
      </w:r>
      <w:r w:rsidRPr="00436CFF">
        <w:t xml:space="preserve">used results from in vitro ‘susceptibility’ studies – which determine how well an antimicrobial slows a pathogen’s growth – as a surrogate for modelling clinical outcomes. </w:t>
      </w:r>
      <w:r w:rsidR="001637C0">
        <w:t xml:space="preserve">EEPRU used a combination of expert elicitation and published evidence to link susceptibility </w:t>
      </w:r>
      <w:r w:rsidR="00D90135">
        <w:t xml:space="preserve">data </w:t>
      </w:r>
      <w:r w:rsidR="001637C0">
        <w:t xml:space="preserve">to </w:t>
      </w:r>
      <w:r w:rsidR="00D90135">
        <w:t>relevant clinical and economic outcomes including mortality and length</w:t>
      </w:r>
      <w:r w:rsidR="001637C0">
        <w:t xml:space="preserve"> </w:t>
      </w:r>
      <w:r w:rsidR="00D90135">
        <w:t xml:space="preserve">of </w:t>
      </w:r>
      <w:r w:rsidR="001637C0">
        <w:t>hospital stay</w:t>
      </w:r>
      <w:r w:rsidR="00D90135">
        <w:t xml:space="preserve"> by ward </w:t>
      </w:r>
      <w:proofErr w:type="gramStart"/>
      <w:r w:rsidR="00D90135">
        <w:t>type, and</w:t>
      </w:r>
      <w:proofErr w:type="gramEnd"/>
      <w:r w:rsidR="00D90135">
        <w:t xml:space="preserve"> </w:t>
      </w:r>
      <w:r w:rsidR="001637C0">
        <w:t>estimate</w:t>
      </w:r>
      <w:r w:rsidR="00D90135">
        <w:t xml:space="preserve"> the</w:t>
      </w:r>
      <w:r w:rsidR="001637C0">
        <w:t xml:space="preserve"> relative effectiveness of the products in terms of QALYs. </w:t>
      </w:r>
      <w:r>
        <w:t xml:space="preserve">This represents an important advance in the evaluation of antimicrobials, although </w:t>
      </w:r>
      <w:r>
        <w:rPr>
          <w:rFonts w:cstheme="minorHAnsi"/>
        </w:rPr>
        <w:t xml:space="preserve">EEPRU have advised that the methods need refining, which is reflected in NICE’s recommendations for research. </w:t>
      </w:r>
    </w:p>
    <w:p w14:paraId="24E1B54E" w14:textId="27CFA3C3" w:rsidR="00E44846" w:rsidRPr="00861DC7" w:rsidRDefault="00E44846" w:rsidP="00E44846">
      <w:pPr>
        <w:spacing w:line="256" w:lineRule="auto"/>
        <w:rPr>
          <w:rFonts w:cstheme="minorHAnsi"/>
        </w:rPr>
      </w:pPr>
      <w:r w:rsidRPr="00861DC7">
        <w:rPr>
          <w:rFonts w:cstheme="minorHAnsi"/>
        </w:rPr>
        <w:t>Th</w:t>
      </w:r>
      <w:r>
        <w:rPr>
          <w:rFonts w:cstheme="minorHAnsi"/>
        </w:rPr>
        <w:t>e approach to the pilot project</w:t>
      </w:r>
      <w:r w:rsidRPr="00861DC7">
        <w:rPr>
          <w:rFonts w:cstheme="minorHAnsi"/>
        </w:rPr>
        <w:t xml:space="preserve"> was resource</w:t>
      </w:r>
      <w:r>
        <w:rPr>
          <w:rFonts w:cstheme="minorHAnsi"/>
        </w:rPr>
        <w:t xml:space="preserve"> </w:t>
      </w:r>
      <w:r w:rsidRPr="00861DC7">
        <w:rPr>
          <w:rFonts w:cstheme="minorHAnsi"/>
        </w:rPr>
        <w:t>intensive</w:t>
      </w:r>
      <w:r>
        <w:rPr>
          <w:rFonts w:cstheme="minorHAnsi"/>
        </w:rPr>
        <w:t>,</w:t>
      </w:r>
      <w:r w:rsidRPr="00861DC7">
        <w:rPr>
          <w:rFonts w:cstheme="minorHAnsi"/>
        </w:rPr>
        <w:t xml:space="preserve"> </w:t>
      </w:r>
      <w:r w:rsidR="000C5912">
        <w:rPr>
          <w:rFonts w:cstheme="minorHAnsi"/>
        </w:rPr>
        <w:t xml:space="preserve">and </w:t>
      </w:r>
      <w:r w:rsidR="00484BD2">
        <w:rPr>
          <w:rFonts w:cstheme="minorHAnsi"/>
        </w:rPr>
        <w:t>i</w:t>
      </w:r>
      <w:r w:rsidR="00E3580C" w:rsidRPr="009529B5">
        <w:rPr>
          <w:rFonts w:cstheme="minorHAnsi"/>
        </w:rPr>
        <w:t>t</w:t>
      </w:r>
      <w:r>
        <w:rPr>
          <w:rFonts w:cstheme="minorHAnsi"/>
        </w:rPr>
        <w:t xml:space="preserve"> </w:t>
      </w:r>
      <w:r w:rsidRPr="00861DC7">
        <w:rPr>
          <w:rFonts w:cstheme="minorHAnsi"/>
        </w:rPr>
        <w:t xml:space="preserve">would not be possible to apply this approach routinely without significant developments in the methods for economic </w:t>
      </w:r>
      <w:r>
        <w:rPr>
          <w:rFonts w:cstheme="minorHAnsi"/>
        </w:rPr>
        <w:t>analysis</w:t>
      </w:r>
      <w:r w:rsidR="000C5912">
        <w:rPr>
          <w:rFonts w:cstheme="minorHAnsi"/>
        </w:rPr>
        <w:t xml:space="preserve"> and improved surveillance</w:t>
      </w:r>
      <w:r>
        <w:rPr>
          <w:rFonts w:cstheme="minorHAnsi"/>
        </w:rPr>
        <w:t xml:space="preserve">, as described </w:t>
      </w:r>
      <w:r w:rsidR="000C5912">
        <w:rPr>
          <w:rFonts w:cstheme="minorHAnsi"/>
        </w:rPr>
        <w:t>in NICE’s research recommendations</w:t>
      </w:r>
      <w:r>
        <w:rPr>
          <w:rFonts w:cstheme="minorHAnsi"/>
        </w:rPr>
        <w:t xml:space="preserve">. </w:t>
      </w:r>
      <w:r w:rsidR="000C5912" w:rsidRPr="003256EB">
        <w:rPr>
          <w:rFonts w:cstheme="minorHAnsi"/>
        </w:rPr>
        <w:t>This</w:t>
      </w:r>
      <w:r w:rsidR="000C5912">
        <w:rPr>
          <w:rFonts w:cstheme="minorHAnsi"/>
        </w:rPr>
        <w:t xml:space="preserve"> programme of research</w:t>
      </w:r>
      <w:r w:rsidR="000C5912" w:rsidRPr="003256EB">
        <w:rPr>
          <w:rFonts w:cstheme="minorHAnsi"/>
        </w:rPr>
        <w:t xml:space="preserve"> would take years.</w:t>
      </w:r>
      <w:r w:rsidR="000C5912">
        <w:rPr>
          <w:rFonts w:cstheme="minorHAnsi"/>
        </w:rPr>
        <w:t xml:space="preserve"> </w:t>
      </w:r>
      <w:r>
        <w:rPr>
          <w:rFonts w:cstheme="minorHAnsi"/>
        </w:rPr>
        <w:t xml:space="preserve">NICE are </w:t>
      </w:r>
      <w:r w:rsidRPr="00861DC7">
        <w:rPr>
          <w:rFonts w:cstheme="minorHAnsi"/>
        </w:rPr>
        <w:t>consider</w:t>
      </w:r>
      <w:r>
        <w:rPr>
          <w:rFonts w:cstheme="minorHAnsi"/>
        </w:rPr>
        <w:t>ing this feedback in the context of the following</w:t>
      </w:r>
      <w:r w:rsidRPr="00861DC7">
        <w:rPr>
          <w:rFonts w:cstheme="minorHAnsi"/>
        </w:rPr>
        <w:t>:</w:t>
      </w:r>
    </w:p>
    <w:p w14:paraId="1254DA01" w14:textId="3BE9DFE3" w:rsidR="00601EE1" w:rsidRPr="00601EE1" w:rsidRDefault="00601EE1" w:rsidP="00601EE1">
      <w:pPr>
        <w:pStyle w:val="ListParagraph"/>
        <w:numPr>
          <w:ilvl w:val="0"/>
          <w:numId w:val="48"/>
        </w:numPr>
        <w:spacing w:line="256" w:lineRule="auto"/>
        <w:rPr>
          <w:rFonts w:cstheme="minorHAnsi"/>
        </w:rPr>
      </w:pPr>
      <w:r w:rsidRPr="00601EE1">
        <w:rPr>
          <w:rFonts w:cstheme="minorHAnsi"/>
        </w:rPr>
        <w:t xml:space="preserve">The need to develop and implement the “routine” arrangements </w:t>
      </w:r>
      <w:r>
        <w:rPr>
          <w:rFonts w:cstheme="minorHAnsi"/>
        </w:rPr>
        <w:t>for the evaluation and purchase of antimicrobials with minimal delay following the pilot.</w:t>
      </w:r>
    </w:p>
    <w:p w14:paraId="01F5306E" w14:textId="41847A4E" w:rsidR="00E44846" w:rsidRDefault="00E44846" w:rsidP="00E44846">
      <w:pPr>
        <w:pStyle w:val="ListParagraph"/>
        <w:numPr>
          <w:ilvl w:val="0"/>
          <w:numId w:val="48"/>
        </w:numPr>
        <w:spacing w:line="256" w:lineRule="auto"/>
        <w:rPr>
          <w:rFonts w:cstheme="minorHAnsi"/>
        </w:rPr>
      </w:pPr>
      <w:r>
        <w:rPr>
          <w:rFonts w:cstheme="minorHAnsi"/>
        </w:rPr>
        <w:t xml:space="preserve">The existing capacity constraints and finite HTA expertise available to support NICE’s technology evaluation programme. </w:t>
      </w:r>
    </w:p>
    <w:p w14:paraId="364F9D31" w14:textId="77777777" w:rsidR="00E44846" w:rsidRDefault="00E44846" w:rsidP="00E44846">
      <w:pPr>
        <w:pStyle w:val="ListParagraph"/>
        <w:numPr>
          <w:ilvl w:val="0"/>
          <w:numId w:val="48"/>
        </w:numPr>
        <w:spacing w:line="256" w:lineRule="auto"/>
        <w:rPr>
          <w:rFonts w:cstheme="minorHAnsi"/>
        </w:rPr>
      </w:pPr>
      <w:r>
        <w:rPr>
          <w:rFonts w:cstheme="minorHAnsi"/>
        </w:rPr>
        <w:t xml:space="preserve">NICE’s initiative to create a ‘proportionate approach’ to </w:t>
      </w:r>
      <w:proofErr w:type="gramStart"/>
      <w:r>
        <w:rPr>
          <w:rFonts w:cstheme="minorHAnsi"/>
        </w:rPr>
        <w:t>HTA;</w:t>
      </w:r>
      <w:proofErr w:type="gramEnd"/>
      <w:r>
        <w:rPr>
          <w:rFonts w:cstheme="minorHAnsi"/>
        </w:rPr>
        <w:t xml:space="preserve"> balancing the resource with the complexities and risks of each HTA.</w:t>
      </w:r>
    </w:p>
    <w:p w14:paraId="274E213E" w14:textId="667CEC22" w:rsidR="00E44846" w:rsidRDefault="00E44846" w:rsidP="00E44846">
      <w:pPr>
        <w:pStyle w:val="ListParagraph"/>
        <w:numPr>
          <w:ilvl w:val="0"/>
          <w:numId w:val="48"/>
        </w:numPr>
        <w:spacing w:line="256" w:lineRule="auto"/>
        <w:rPr>
          <w:rFonts w:cstheme="minorHAnsi"/>
        </w:rPr>
      </w:pPr>
      <w:r>
        <w:rPr>
          <w:rFonts w:cstheme="minorHAnsi"/>
        </w:rPr>
        <w:t>The importance of timely NICE guidance and achieving</w:t>
      </w:r>
      <w:r w:rsidR="003A5E1E">
        <w:rPr>
          <w:rFonts w:cstheme="minorHAnsi"/>
        </w:rPr>
        <w:t xml:space="preserve"> appropriate</w:t>
      </w:r>
      <w:r>
        <w:rPr>
          <w:rFonts w:cstheme="minorHAnsi"/>
        </w:rPr>
        <w:t xml:space="preserve"> patient access as close as possible to marketing authorisation date</w:t>
      </w:r>
      <w:r w:rsidR="003A5E1E">
        <w:rPr>
          <w:rFonts w:cstheme="minorHAnsi"/>
        </w:rPr>
        <w:t>s for clinically important new antimicrobials</w:t>
      </w:r>
      <w:r>
        <w:rPr>
          <w:rFonts w:cstheme="minorHAnsi"/>
        </w:rPr>
        <w:t>.</w:t>
      </w:r>
    </w:p>
    <w:p w14:paraId="321DDE55" w14:textId="3061661E" w:rsidR="00EB345D" w:rsidRDefault="000C5912" w:rsidP="00E44846">
      <w:pPr>
        <w:rPr>
          <w:rFonts w:cstheme="minorHAnsi"/>
        </w:rPr>
      </w:pPr>
      <w:r>
        <w:rPr>
          <w:rFonts w:cstheme="minorHAnsi"/>
        </w:rPr>
        <w:lastRenderedPageBreak/>
        <w:t>W</w:t>
      </w:r>
      <w:r w:rsidR="00EB345D">
        <w:rPr>
          <w:rFonts w:cstheme="minorHAnsi"/>
        </w:rPr>
        <w:t xml:space="preserve">e </w:t>
      </w:r>
      <w:r w:rsidR="004C2512">
        <w:rPr>
          <w:rFonts w:cstheme="minorHAnsi"/>
        </w:rPr>
        <w:t xml:space="preserve">also </w:t>
      </w:r>
      <w:r w:rsidR="00EB345D">
        <w:rPr>
          <w:rFonts w:cstheme="minorHAnsi"/>
        </w:rPr>
        <w:t xml:space="preserve">heard from stakeholders </w:t>
      </w:r>
      <w:r>
        <w:rPr>
          <w:rFonts w:cstheme="minorHAnsi"/>
        </w:rPr>
        <w:t xml:space="preserve">at the workshops </w:t>
      </w:r>
      <w:r w:rsidR="00EB345D">
        <w:rPr>
          <w:rFonts w:cstheme="minorHAnsi"/>
        </w:rPr>
        <w:t xml:space="preserve">that </w:t>
      </w:r>
      <w:r w:rsidR="001235DC">
        <w:rPr>
          <w:rFonts w:cstheme="minorHAnsi"/>
        </w:rPr>
        <w:t xml:space="preserve">a </w:t>
      </w:r>
      <w:r w:rsidR="00601EE1">
        <w:rPr>
          <w:rFonts w:cstheme="minorHAnsi"/>
        </w:rPr>
        <w:t>quantitative health economic-based</w:t>
      </w:r>
      <w:r w:rsidR="00EB345D">
        <w:rPr>
          <w:rFonts w:cstheme="minorHAnsi"/>
        </w:rPr>
        <w:t xml:space="preserve"> process might not be appropriate for antimicrobials</w:t>
      </w:r>
      <w:r>
        <w:rPr>
          <w:rFonts w:cstheme="minorHAnsi"/>
        </w:rPr>
        <w:t xml:space="preserve"> because the evidence base is unlike traditional effectiveness evidence for other interventions, and because there were several sources of uncertainty and uncaptured value in the economic model</w:t>
      </w:r>
      <w:r w:rsidR="00EB345D">
        <w:rPr>
          <w:rFonts w:cstheme="minorHAnsi"/>
        </w:rPr>
        <w:t>.</w:t>
      </w:r>
      <w:r w:rsidR="00EB345D" w:rsidRPr="00514B21">
        <w:rPr>
          <w:rFonts w:cstheme="minorHAnsi"/>
        </w:rPr>
        <w:t xml:space="preserve"> </w:t>
      </w:r>
      <w:r>
        <w:rPr>
          <w:rFonts w:cstheme="minorHAnsi"/>
        </w:rPr>
        <w:t xml:space="preserve">The suggestion was made </w:t>
      </w:r>
      <w:r w:rsidR="00E3580C">
        <w:rPr>
          <w:rFonts w:cstheme="minorHAnsi"/>
        </w:rPr>
        <w:t xml:space="preserve">to </w:t>
      </w:r>
      <w:r w:rsidR="00EB345D" w:rsidRPr="00514B21">
        <w:rPr>
          <w:rFonts w:cstheme="minorHAnsi"/>
        </w:rPr>
        <w:t>us</w:t>
      </w:r>
      <w:r>
        <w:rPr>
          <w:rFonts w:cstheme="minorHAnsi"/>
        </w:rPr>
        <w:t>e</w:t>
      </w:r>
      <w:r w:rsidR="00EB345D" w:rsidRPr="00514B21">
        <w:rPr>
          <w:rFonts w:cstheme="minorHAnsi"/>
        </w:rPr>
        <w:t xml:space="preserve"> a </w:t>
      </w:r>
      <w:r w:rsidR="00E3580C">
        <w:rPr>
          <w:rFonts w:cstheme="minorHAnsi"/>
        </w:rPr>
        <w:t xml:space="preserve">qualitative </w:t>
      </w:r>
      <w:r w:rsidR="00B24033">
        <w:rPr>
          <w:rFonts w:cstheme="minorHAnsi"/>
        </w:rPr>
        <w:t xml:space="preserve">framework with a </w:t>
      </w:r>
      <w:r>
        <w:rPr>
          <w:rFonts w:cstheme="minorHAnsi"/>
        </w:rPr>
        <w:t xml:space="preserve">points-based </w:t>
      </w:r>
      <w:r w:rsidR="00EB345D" w:rsidRPr="00514B21">
        <w:rPr>
          <w:rFonts w:cstheme="minorHAnsi"/>
        </w:rPr>
        <w:t xml:space="preserve">scoring system </w:t>
      </w:r>
      <w:r>
        <w:rPr>
          <w:rFonts w:cstheme="minorHAnsi"/>
        </w:rPr>
        <w:t xml:space="preserve">to determine the contract value for an antimicrobial, instead of using health economic modelling </w:t>
      </w:r>
      <w:r w:rsidR="00E3580C">
        <w:rPr>
          <w:rFonts w:cstheme="minorHAnsi"/>
        </w:rPr>
        <w:t xml:space="preserve">to estimate </w:t>
      </w:r>
      <w:r>
        <w:rPr>
          <w:rFonts w:cstheme="minorHAnsi"/>
        </w:rPr>
        <w:t>QALY</w:t>
      </w:r>
      <w:r w:rsidR="00E3580C">
        <w:rPr>
          <w:rFonts w:cstheme="minorHAnsi"/>
        </w:rPr>
        <w:t>s</w:t>
      </w:r>
      <w:r>
        <w:rPr>
          <w:rFonts w:cstheme="minorHAnsi"/>
        </w:rPr>
        <w:t>. This scoring system could be</w:t>
      </w:r>
      <w:r w:rsidRPr="00514B21">
        <w:rPr>
          <w:rFonts w:cstheme="minorHAnsi"/>
        </w:rPr>
        <w:t xml:space="preserve"> </w:t>
      </w:r>
      <w:r w:rsidR="00EB345D" w:rsidRPr="00514B21">
        <w:rPr>
          <w:rFonts w:cstheme="minorHAnsi"/>
        </w:rPr>
        <w:t>based on the eligibility and selection criteria used to select the two products for the pilot</w:t>
      </w:r>
      <w:r w:rsidR="00B24033">
        <w:rPr>
          <w:rFonts w:cstheme="minorHAnsi"/>
        </w:rPr>
        <w:t xml:space="preserve">, </w:t>
      </w:r>
      <w:proofErr w:type="gramStart"/>
      <w:r w:rsidR="00B24033">
        <w:rPr>
          <w:rFonts w:cstheme="minorHAnsi"/>
        </w:rPr>
        <w:t>and also</w:t>
      </w:r>
      <w:proofErr w:type="gramEnd"/>
      <w:r w:rsidR="00B24033">
        <w:rPr>
          <w:rFonts w:cstheme="minorHAnsi"/>
        </w:rPr>
        <w:t xml:space="preserve"> informed by the quantitative value estimates from the pilot</w:t>
      </w:r>
      <w:r w:rsidR="00EB345D" w:rsidRPr="00514B21">
        <w:rPr>
          <w:rFonts w:cstheme="minorHAnsi"/>
        </w:rPr>
        <w:t>.</w:t>
      </w:r>
    </w:p>
    <w:p w14:paraId="274F054C" w14:textId="62B35509" w:rsidR="00EB345D" w:rsidRPr="003256EB" w:rsidRDefault="00EB345D" w:rsidP="00E44846">
      <w:pPr>
        <w:rPr>
          <w:rFonts w:cstheme="minorHAnsi"/>
        </w:rPr>
      </w:pPr>
      <w:r>
        <w:rPr>
          <w:rFonts w:cstheme="minorHAnsi"/>
        </w:rPr>
        <w:t>It was encouraging that the QALY estimates</w:t>
      </w:r>
      <w:r w:rsidR="00E3580C">
        <w:rPr>
          <w:rFonts w:cstheme="minorHAnsi"/>
        </w:rPr>
        <w:t xml:space="preserve"> from the pilot evaluations</w:t>
      </w:r>
      <w:r>
        <w:rPr>
          <w:rFonts w:cstheme="minorHAnsi"/>
        </w:rPr>
        <w:t xml:space="preserve"> are sufficient to justify paying England’s ‘fair share’ towards antimicrobial R&amp;D. </w:t>
      </w:r>
      <w:r w:rsidRPr="005F26F8">
        <w:rPr>
          <w:rFonts w:cstheme="minorHAnsi"/>
        </w:rPr>
        <w:t>The most recent calculations of an appropriate global pull incentive (</w:t>
      </w:r>
      <w:proofErr w:type="spellStart"/>
      <w:r w:rsidR="00644BF5">
        <w:fldChar w:fldCharType="begin"/>
      </w:r>
      <w:r w:rsidR="00644BF5">
        <w:instrText xml:space="preserve"> HYPERLINK "https://www.healthaffairs.org/doi/10.1377/hlthaff.2021.00688" </w:instrText>
      </w:r>
      <w:r w:rsidR="00644BF5">
        <w:fldChar w:fldCharType="separate"/>
      </w:r>
      <w:r w:rsidRPr="00EB345D">
        <w:rPr>
          <w:rStyle w:val="Hyperlink"/>
          <w:rFonts w:cstheme="minorHAnsi"/>
        </w:rPr>
        <w:t>Outterson</w:t>
      </w:r>
      <w:proofErr w:type="spellEnd"/>
      <w:r w:rsidRPr="00EB345D">
        <w:rPr>
          <w:rStyle w:val="Hyperlink"/>
          <w:rFonts w:cstheme="minorHAnsi"/>
        </w:rPr>
        <w:t xml:space="preserve"> 2021</w:t>
      </w:r>
      <w:r w:rsidR="00644BF5">
        <w:rPr>
          <w:rStyle w:val="Hyperlink"/>
          <w:rFonts w:cstheme="minorHAnsi"/>
        </w:rPr>
        <w:fldChar w:fldCharType="end"/>
      </w:r>
      <w:r w:rsidRPr="005F26F8">
        <w:rPr>
          <w:rFonts w:cstheme="minorHAnsi"/>
        </w:rPr>
        <w:t>) suggest that England’s £10m annual payment is a generous contribution to the global effort; sitting at the upper end of the target range models</w:t>
      </w:r>
      <w:r>
        <w:rPr>
          <w:rFonts w:cstheme="minorHAnsi"/>
        </w:rPr>
        <w:t xml:space="preserve">. </w:t>
      </w:r>
      <w:r w:rsidR="000769FE">
        <w:rPr>
          <w:rFonts w:cstheme="minorHAnsi"/>
        </w:rPr>
        <w:t>Stakeholders have been invited to submit evidence of what they think the UK contribution should be, if they think the current maximum contract value is insufficient to deliver an appropriate pull incentive.</w:t>
      </w:r>
    </w:p>
    <w:p w14:paraId="61DA296E" w14:textId="77777777" w:rsidR="00E44846" w:rsidRPr="00E44846" w:rsidRDefault="00E44846" w:rsidP="00E44846"/>
    <w:p w14:paraId="5D56174C" w14:textId="56A030C9" w:rsidR="005E11BF" w:rsidRPr="00514B21" w:rsidRDefault="005E11BF">
      <w:pPr>
        <w:sectPr w:rsidR="005E11BF" w:rsidRPr="00514B21" w:rsidSect="005E11BF">
          <w:type w:val="continuous"/>
          <w:pgSz w:w="12240" w:h="15840"/>
          <w:pgMar w:top="1440" w:right="1440" w:bottom="1440" w:left="1440" w:header="720" w:footer="720" w:gutter="0"/>
          <w:cols w:space="720"/>
          <w:titlePg/>
          <w:docGrid w:linePitch="360"/>
        </w:sectPr>
      </w:pPr>
    </w:p>
    <w:p w14:paraId="0C7D61D0" w14:textId="54E8C05C" w:rsidR="00B34C44" w:rsidRDefault="00E44846" w:rsidP="00B40473">
      <w:pPr>
        <w:pStyle w:val="Heading1"/>
      </w:pPr>
      <w:r>
        <w:lastRenderedPageBreak/>
        <w:t>Appendix 1 - C</w:t>
      </w:r>
      <w:r w:rsidR="008261D6">
        <w:t xml:space="preserve">omments from workshop participants </w:t>
      </w:r>
    </w:p>
    <w:p w14:paraId="00286750" w14:textId="4ADDFA17" w:rsidR="007C0D71" w:rsidRPr="007C0D71" w:rsidRDefault="007C0D71" w:rsidP="007C0D71">
      <w:r>
        <w:t>Square brackets denote who made each comment.</w:t>
      </w:r>
    </w:p>
    <w:p w14:paraId="7AE23215" w14:textId="77777777" w:rsidR="00607BCF" w:rsidRPr="00514B21" w:rsidRDefault="00607BCF" w:rsidP="00B40473">
      <w:pPr>
        <w:pStyle w:val="Heading2"/>
      </w:pPr>
      <w:bookmarkStart w:id="1" w:name="_Hlk103246993"/>
      <w:r w:rsidRPr="00514B21">
        <w:t>Procurement process</w:t>
      </w:r>
    </w:p>
    <w:tbl>
      <w:tblPr>
        <w:tblStyle w:val="TableGrid"/>
        <w:tblW w:w="13183" w:type="dxa"/>
        <w:tblLook w:val="04A0" w:firstRow="1" w:lastRow="0" w:firstColumn="1" w:lastColumn="0" w:noHBand="0" w:noVBand="1"/>
      </w:tblPr>
      <w:tblGrid>
        <w:gridCol w:w="1306"/>
        <w:gridCol w:w="2800"/>
        <w:gridCol w:w="5143"/>
        <w:gridCol w:w="2102"/>
        <w:gridCol w:w="1832"/>
      </w:tblGrid>
      <w:tr w:rsidR="00607BCF" w:rsidRPr="00514B21" w14:paraId="7E91A1BA" w14:textId="77777777" w:rsidTr="008261D6">
        <w:trPr>
          <w:trHeight w:val="400"/>
        </w:trPr>
        <w:tc>
          <w:tcPr>
            <w:tcW w:w="1306" w:type="dxa"/>
          </w:tcPr>
          <w:p w14:paraId="1DE051FE" w14:textId="77777777"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Theme</w:t>
            </w:r>
          </w:p>
        </w:tc>
        <w:tc>
          <w:tcPr>
            <w:tcW w:w="2800" w:type="dxa"/>
          </w:tcPr>
          <w:p w14:paraId="41B647C1" w14:textId="77777777"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What went well?</w:t>
            </w:r>
          </w:p>
        </w:tc>
        <w:tc>
          <w:tcPr>
            <w:tcW w:w="5143" w:type="dxa"/>
          </w:tcPr>
          <w:p w14:paraId="08EB7FB9" w14:textId="77777777"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What needs improving?</w:t>
            </w:r>
          </w:p>
        </w:tc>
        <w:tc>
          <w:tcPr>
            <w:tcW w:w="2102" w:type="dxa"/>
          </w:tcPr>
          <w:p w14:paraId="4D8F900F" w14:textId="4F8B673C"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What impact would the improvement</w:t>
            </w:r>
            <w:r w:rsidR="008261D6">
              <w:rPr>
                <w:rFonts w:asciiTheme="minorHAnsi" w:hAnsiTheme="minorHAnsi" w:cstheme="minorHAnsi"/>
                <w:b/>
                <w:bCs/>
                <w:sz w:val="22"/>
                <w:szCs w:val="22"/>
              </w:rPr>
              <w:t>s</w:t>
            </w:r>
            <w:r w:rsidRPr="00514B21">
              <w:rPr>
                <w:rFonts w:asciiTheme="minorHAnsi" w:hAnsiTheme="minorHAnsi" w:cstheme="minorHAnsi"/>
                <w:b/>
                <w:bCs/>
                <w:sz w:val="22"/>
                <w:szCs w:val="22"/>
              </w:rPr>
              <w:t xml:space="preserve"> have?</w:t>
            </w:r>
          </w:p>
        </w:tc>
        <w:tc>
          <w:tcPr>
            <w:tcW w:w="1832" w:type="dxa"/>
          </w:tcPr>
          <w:p w14:paraId="17965D9A" w14:textId="77777777"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Key lessons</w:t>
            </w:r>
          </w:p>
        </w:tc>
      </w:tr>
      <w:tr w:rsidR="005C4450" w:rsidRPr="00514B21" w14:paraId="7BD81DD6" w14:textId="77777777" w:rsidTr="008261D6">
        <w:trPr>
          <w:trHeight w:val="1183"/>
        </w:trPr>
        <w:tc>
          <w:tcPr>
            <w:tcW w:w="1306" w:type="dxa"/>
          </w:tcPr>
          <w:p w14:paraId="33F65308" w14:textId="77777777" w:rsidR="005C4450" w:rsidRPr="00514B21" w:rsidRDefault="005C4450" w:rsidP="008261D6">
            <w:pPr>
              <w:rPr>
                <w:rFonts w:asciiTheme="minorHAnsi" w:hAnsiTheme="minorHAnsi" w:cstheme="minorHAnsi"/>
                <w:sz w:val="22"/>
                <w:szCs w:val="22"/>
              </w:rPr>
            </w:pPr>
            <w:r w:rsidRPr="00514B21">
              <w:rPr>
                <w:rFonts w:asciiTheme="minorHAnsi" w:hAnsiTheme="minorHAnsi" w:cstheme="minorHAnsi"/>
                <w:sz w:val="22"/>
                <w:szCs w:val="22"/>
              </w:rPr>
              <w:t>Open competition approach</w:t>
            </w:r>
          </w:p>
        </w:tc>
        <w:tc>
          <w:tcPr>
            <w:tcW w:w="2800" w:type="dxa"/>
          </w:tcPr>
          <w:p w14:paraId="29966BBA" w14:textId="1C25608B" w:rsidR="00671A07" w:rsidRPr="00514B21" w:rsidRDefault="00671A07" w:rsidP="008261D6">
            <w:pPr>
              <w:pStyle w:val="ListParagraph"/>
              <w:numPr>
                <w:ilvl w:val="0"/>
                <w:numId w:val="37"/>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Process was appropriate given that only two products </w:t>
            </w:r>
            <w:r w:rsidR="006757A1">
              <w:rPr>
                <w:rFonts w:asciiTheme="minorHAnsi" w:hAnsiTheme="minorHAnsi" w:cstheme="minorHAnsi"/>
                <w:sz w:val="22"/>
                <w:szCs w:val="22"/>
              </w:rPr>
              <w:t>could be</w:t>
            </w:r>
            <w:r w:rsidRPr="00514B21">
              <w:rPr>
                <w:rFonts w:asciiTheme="minorHAnsi" w:hAnsiTheme="minorHAnsi" w:cstheme="minorHAnsi"/>
                <w:sz w:val="22"/>
                <w:szCs w:val="22"/>
              </w:rPr>
              <w:t xml:space="preserve"> selected </w:t>
            </w:r>
            <w:r w:rsidR="006757A1">
              <w:rPr>
                <w:rFonts w:asciiTheme="minorHAnsi" w:hAnsiTheme="minorHAnsi" w:cstheme="minorHAnsi"/>
                <w:sz w:val="22"/>
                <w:szCs w:val="22"/>
              </w:rPr>
              <w:t xml:space="preserve">for </w:t>
            </w:r>
            <w:r w:rsidRPr="00514B21">
              <w:rPr>
                <w:rFonts w:asciiTheme="minorHAnsi" w:hAnsiTheme="minorHAnsi" w:cstheme="minorHAnsi"/>
                <w:sz w:val="22"/>
                <w:szCs w:val="22"/>
              </w:rPr>
              <w:t>the pilot</w:t>
            </w:r>
            <w:r w:rsidR="007937E6" w:rsidRPr="00514B21">
              <w:rPr>
                <w:rFonts w:asciiTheme="minorHAnsi" w:hAnsiTheme="minorHAnsi" w:cstheme="minorHAnsi"/>
                <w:sz w:val="22"/>
                <w:szCs w:val="22"/>
              </w:rPr>
              <w:t>.</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[Industry]</w:t>
            </w:r>
          </w:p>
          <w:p w14:paraId="748BAE83" w14:textId="43C4B48F" w:rsidR="00FD3FF2" w:rsidRPr="00514B21" w:rsidRDefault="002F2F3F" w:rsidP="008261D6">
            <w:pPr>
              <w:pStyle w:val="ListParagraph"/>
              <w:numPr>
                <w:ilvl w:val="0"/>
                <w:numId w:val="37"/>
              </w:numPr>
              <w:contextualSpacing w:val="0"/>
              <w:rPr>
                <w:rFonts w:asciiTheme="minorHAnsi" w:hAnsiTheme="minorHAnsi" w:cstheme="minorHAnsi"/>
                <w:sz w:val="22"/>
                <w:szCs w:val="22"/>
              </w:rPr>
            </w:pPr>
            <w:r w:rsidRPr="00514B21">
              <w:rPr>
                <w:rFonts w:asciiTheme="minorHAnsi" w:hAnsiTheme="minorHAnsi" w:cstheme="minorHAnsi"/>
                <w:sz w:val="22"/>
                <w:szCs w:val="22"/>
              </w:rPr>
              <w:t>The complexity of antimicrobial landscape meant dialogue opportunities with NICE</w:t>
            </w:r>
            <w:r w:rsidR="00A92790" w:rsidRPr="00514B21">
              <w:rPr>
                <w:rFonts w:asciiTheme="minorHAnsi" w:hAnsiTheme="minorHAnsi" w:cstheme="minorHAnsi"/>
                <w:sz w:val="22"/>
                <w:szCs w:val="22"/>
              </w:rPr>
              <w:t>, NHSE</w:t>
            </w:r>
            <w:r w:rsidRPr="00514B21">
              <w:rPr>
                <w:rFonts w:asciiTheme="minorHAnsi" w:hAnsiTheme="minorHAnsi" w:cstheme="minorHAnsi"/>
                <w:sz w:val="22"/>
                <w:szCs w:val="22"/>
              </w:rPr>
              <w:t xml:space="preserve"> and DHSC were very helpful</w:t>
            </w:r>
            <w:r w:rsidR="00D20CDF">
              <w:rPr>
                <w:rFonts w:asciiTheme="minorHAnsi" w:hAnsiTheme="minorHAnsi" w:cstheme="minorHAnsi"/>
                <w:sz w:val="22"/>
                <w:szCs w:val="22"/>
              </w:rPr>
              <w:t>.</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[Industry]</w:t>
            </w:r>
          </w:p>
          <w:p w14:paraId="0BDC3A7E" w14:textId="7CBF7D95" w:rsidR="002F2F3F" w:rsidRPr="00514B21" w:rsidRDefault="00C31DF8" w:rsidP="008261D6">
            <w:pPr>
              <w:pStyle w:val="ListParagraph"/>
              <w:numPr>
                <w:ilvl w:val="0"/>
                <w:numId w:val="37"/>
              </w:numPr>
              <w:contextualSpacing w:val="0"/>
              <w:rPr>
                <w:rFonts w:asciiTheme="minorHAnsi" w:hAnsiTheme="minorHAnsi" w:cstheme="minorHAnsi"/>
                <w:sz w:val="22"/>
                <w:szCs w:val="22"/>
              </w:rPr>
            </w:pPr>
            <w:r w:rsidRPr="00514B21">
              <w:rPr>
                <w:rFonts w:asciiTheme="minorHAnsi" w:hAnsiTheme="minorHAnsi" w:cstheme="minorHAnsi"/>
                <w:sz w:val="22"/>
                <w:szCs w:val="22"/>
              </w:rPr>
              <w:t>Transparent e</w:t>
            </w:r>
            <w:r w:rsidR="00FD3FF2" w:rsidRPr="00514B21">
              <w:rPr>
                <w:rFonts w:asciiTheme="minorHAnsi" w:hAnsiTheme="minorHAnsi" w:cstheme="minorHAnsi"/>
                <w:sz w:val="22"/>
                <w:szCs w:val="22"/>
              </w:rPr>
              <w:t>ngagement with stakeholders was very well received globally</w:t>
            </w:r>
            <w:r w:rsidR="00D20CDF">
              <w:rPr>
                <w:rFonts w:asciiTheme="minorHAnsi" w:hAnsiTheme="minorHAnsi" w:cstheme="minorHAnsi"/>
                <w:sz w:val="22"/>
                <w:szCs w:val="22"/>
              </w:rPr>
              <w:t>.</w:t>
            </w:r>
            <w:r w:rsidR="00FD3FF2" w:rsidRPr="00514B21">
              <w:rPr>
                <w:rFonts w:asciiTheme="minorHAnsi" w:hAnsiTheme="minorHAnsi" w:cstheme="minorHAnsi"/>
                <w:sz w:val="22"/>
                <w:szCs w:val="22"/>
              </w:rPr>
              <w:t xml:space="preserve"> </w:t>
            </w:r>
            <w:r w:rsidR="00FD3FF2" w:rsidRPr="00514B21">
              <w:rPr>
                <w:rFonts w:asciiTheme="minorHAnsi" w:hAnsiTheme="minorHAnsi" w:cstheme="minorHAnsi"/>
                <w:i/>
                <w:iCs/>
                <w:sz w:val="22"/>
                <w:szCs w:val="22"/>
              </w:rPr>
              <w:t>[Committee member]</w:t>
            </w:r>
          </w:p>
        </w:tc>
        <w:tc>
          <w:tcPr>
            <w:tcW w:w="5143" w:type="dxa"/>
          </w:tcPr>
          <w:p w14:paraId="45E7994E" w14:textId="43ADE01D" w:rsidR="00A56FD2" w:rsidRPr="006757A1" w:rsidRDefault="00F40C48" w:rsidP="008261D6">
            <w:pPr>
              <w:pStyle w:val="ListParagraph"/>
              <w:numPr>
                <w:ilvl w:val="0"/>
                <w:numId w:val="37"/>
              </w:numPr>
              <w:contextualSpacing w:val="0"/>
              <w:rPr>
                <w:rFonts w:asciiTheme="minorHAnsi" w:hAnsiTheme="minorHAnsi" w:cstheme="minorHAnsi"/>
                <w:sz w:val="22"/>
                <w:szCs w:val="22"/>
              </w:rPr>
            </w:pPr>
            <w:r w:rsidRPr="006757A1">
              <w:rPr>
                <w:rFonts w:asciiTheme="minorHAnsi" w:hAnsiTheme="minorHAnsi" w:cstheme="minorHAnsi"/>
                <w:sz w:val="22"/>
                <w:szCs w:val="22"/>
              </w:rPr>
              <w:t>Simplif</w:t>
            </w:r>
            <w:r w:rsidR="00A92790" w:rsidRPr="006757A1">
              <w:rPr>
                <w:rFonts w:asciiTheme="minorHAnsi" w:hAnsiTheme="minorHAnsi" w:cstheme="minorHAnsi"/>
                <w:sz w:val="22"/>
                <w:szCs w:val="22"/>
              </w:rPr>
              <w:t>y</w:t>
            </w:r>
            <w:r w:rsidRPr="006757A1">
              <w:rPr>
                <w:rFonts w:asciiTheme="minorHAnsi" w:hAnsiTheme="minorHAnsi" w:cstheme="minorHAnsi"/>
                <w:sz w:val="22"/>
                <w:szCs w:val="22"/>
              </w:rPr>
              <w:t xml:space="preserve"> process to make it less burdensome for companies</w:t>
            </w:r>
            <w:r w:rsidR="00650D00" w:rsidRPr="006757A1">
              <w:rPr>
                <w:rFonts w:asciiTheme="minorHAnsi" w:hAnsiTheme="minorHAnsi" w:cstheme="minorHAnsi"/>
                <w:sz w:val="22"/>
                <w:szCs w:val="22"/>
              </w:rPr>
              <w:t>.</w:t>
            </w:r>
            <w:r w:rsidR="00A56FD2" w:rsidRPr="006757A1">
              <w:rPr>
                <w:rFonts w:asciiTheme="minorHAnsi" w:hAnsiTheme="minorHAnsi" w:cstheme="minorHAnsi"/>
                <w:sz w:val="22"/>
                <w:szCs w:val="22"/>
              </w:rPr>
              <w:t xml:space="preserve"> NICE process required </w:t>
            </w:r>
            <w:r w:rsidR="006E7665" w:rsidRPr="006757A1">
              <w:rPr>
                <w:rFonts w:asciiTheme="minorHAnsi" w:hAnsiTheme="minorHAnsi" w:cstheme="minorHAnsi"/>
                <w:sz w:val="22"/>
                <w:szCs w:val="22"/>
              </w:rPr>
              <w:t>significantly</w:t>
            </w:r>
            <w:r w:rsidR="00A56FD2" w:rsidRPr="006757A1">
              <w:rPr>
                <w:rFonts w:asciiTheme="minorHAnsi" w:hAnsiTheme="minorHAnsi" w:cstheme="minorHAnsi"/>
                <w:sz w:val="22"/>
                <w:szCs w:val="22"/>
              </w:rPr>
              <w:t xml:space="preserve"> more resources</w:t>
            </w:r>
            <w:r w:rsidR="00A92790" w:rsidRPr="006757A1">
              <w:rPr>
                <w:rFonts w:asciiTheme="minorHAnsi" w:hAnsiTheme="minorHAnsi" w:cstheme="minorHAnsi"/>
                <w:sz w:val="22"/>
                <w:szCs w:val="22"/>
              </w:rPr>
              <w:t xml:space="preserve"> than Swedish pilot</w:t>
            </w:r>
            <w:r w:rsidR="006757A1">
              <w:rPr>
                <w:rFonts w:asciiTheme="minorHAnsi" w:hAnsiTheme="minorHAnsi" w:cstheme="minorHAnsi"/>
                <w:sz w:val="22"/>
                <w:szCs w:val="22"/>
              </w:rPr>
              <w:t>, and this cause delays to launching other company products</w:t>
            </w:r>
            <w:r w:rsidR="00A56FD2" w:rsidRPr="006757A1">
              <w:rPr>
                <w:rFonts w:asciiTheme="minorHAnsi" w:hAnsiTheme="minorHAnsi" w:cstheme="minorHAnsi"/>
                <w:sz w:val="22"/>
                <w:szCs w:val="22"/>
              </w:rPr>
              <w:t xml:space="preserve">. </w:t>
            </w:r>
            <w:r w:rsidR="006757A1">
              <w:rPr>
                <w:rFonts w:asciiTheme="minorHAnsi" w:hAnsiTheme="minorHAnsi" w:cstheme="minorHAnsi"/>
                <w:sz w:val="22"/>
                <w:szCs w:val="22"/>
              </w:rPr>
              <w:t xml:space="preserve">The benefit of the </w:t>
            </w:r>
            <w:r w:rsidR="00A56FD2" w:rsidRPr="006757A1">
              <w:rPr>
                <w:rFonts w:asciiTheme="minorHAnsi" w:hAnsiTheme="minorHAnsi" w:cstheme="minorHAnsi"/>
                <w:sz w:val="22"/>
                <w:szCs w:val="22"/>
              </w:rPr>
              <w:t xml:space="preserve">Swedish model was </w:t>
            </w:r>
            <w:r w:rsidR="006757A1">
              <w:rPr>
                <w:rFonts w:asciiTheme="minorHAnsi" w:hAnsiTheme="minorHAnsi" w:cstheme="minorHAnsi"/>
                <w:sz w:val="22"/>
                <w:szCs w:val="22"/>
              </w:rPr>
              <w:t xml:space="preserve">that it was </w:t>
            </w:r>
            <w:r w:rsidR="00A56FD2" w:rsidRPr="006757A1">
              <w:rPr>
                <w:rFonts w:asciiTheme="minorHAnsi" w:hAnsiTheme="minorHAnsi" w:cstheme="minorHAnsi"/>
                <w:sz w:val="22"/>
                <w:szCs w:val="22"/>
              </w:rPr>
              <w:t>open to all eligible products and did not include a selection mechanism.</w:t>
            </w:r>
            <w:r w:rsidR="00A56FD2" w:rsidRPr="006757A1">
              <w:rPr>
                <w:rFonts w:asciiTheme="minorHAnsi" w:hAnsiTheme="minorHAnsi" w:cstheme="minorHAnsi"/>
                <w:i/>
                <w:iCs/>
                <w:sz w:val="22"/>
                <w:szCs w:val="22"/>
              </w:rPr>
              <w:t xml:space="preserve"> </w:t>
            </w:r>
            <w:r w:rsidR="006757A1">
              <w:rPr>
                <w:rFonts w:asciiTheme="minorHAnsi" w:hAnsiTheme="minorHAnsi" w:cstheme="minorHAnsi"/>
                <w:sz w:val="22"/>
                <w:szCs w:val="22"/>
              </w:rPr>
              <w:t>Future s</w:t>
            </w:r>
            <w:r w:rsidR="002D0A1E" w:rsidRPr="006757A1">
              <w:rPr>
                <w:rFonts w:asciiTheme="minorHAnsi" w:hAnsiTheme="minorHAnsi" w:cstheme="minorHAnsi"/>
                <w:sz w:val="22"/>
                <w:szCs w:val="22"/>
              </w:rPr>
              <w:t xml:space="preserve">ubscription-based contracts </w:t>
            </w:r>
            <w:r w:rsidR="006757A1">
              <w:rPr>
                <w:rFonts w:asciiTheme="minorHAnsi" w:hAnsiTheme="minorHAnsi" w:cstheme="minorHAnsi"/>
                <w:sz w:val="22"/>
                <w:szCs w:val="22"/>
              </w:rPr>
              <w:t xml:space="preserve">in the UK </w:t>
            </w:r>
            <w:r w:rsidR="002D0A1E" w:rsidRPr="006757A1">
              <w:rPr>
                <w:rFonts w:asciiTheme="minorHAnsi" w:hAnsiTheme="minorHAnsi" w:cstheme="minorHAnsi"/>
                <w:sz w:val="22"/>
                <w:szCs w:val="22"/>
              </w:rPr>
              <w:t xml:space="preserve">should be available for all eligible products </w:t>
            </w:r>
            <w:proofErr w:type="gramStart"/>
            <w:r w:rsidR="002D0A1E" w:rsidRPr="006757A1">
              <w:rPr>
                <w:rFonts w:asciiTheme="minorHAnsi" w:hAnsiTheme="minorHAnsi" w:cstheme="minorHAnsi"/>
                <w:sz w:val="22"/>
                <w:szCs w:val="22"/>
              </w:rPr>
              <w:t>i.e.</w:t>
            </w:r>
            <w:proofErr w:type="gramEnd"/>
            <w:r w:rsidR="002D0A1E" w:rsidRPr="006757A1">
              <w:rPr>
                <w:rFonts w:asciiTheme="minorHAnsi" w:hAnsiTheme="minorHAnsi" w:cstheme="minorHAnsi"/>
                <w:sz w:val="22"/>
                <w:szCs w:val="22"/>
              </w:rPr>
              <w:t xml:space="preserve"> remove the competition for limited number of slots.</w:t>
            </w:r>
            <w:r w:rsidR="002D0A1E" w:rsidRPr="006757A1">
              <w:rPr>
                <w:rFonts w:asciiTheme="minorHAnsi" w:hAnsiTheme="minorHAnsi" w:cstheme="minorHAnsi"/>
                <w:i/>
                <w:iCs/>
                <w:sz w:val="22"/>
                <w:szCs w:val="22"/>
              </w:rPr>
              <w:t xml:space="preserve"> </w:t>
            </w:r>
            <w:r w:rsidR="00A56FD2" w:rsidRPr="006757A1">
              <w:rPr>
                <w:rFonts w:asciiTheme="minorHAnsi" w:hAnsiTheme="minorHAnsi" w:cstheme="minorHAnsi"/>
                <w:i/>
                <w:iCs/>
                <w:sz w:val="22"/>
                <w:szCs w:val="22"/>
              </w:rPr>
              <w:t>[Industry]</w:t>
            </w:r>
          </w:p>
          <w:p w14:paraId="1ABCAC6C" w14:textId="346CC8C7" w:rsidR="00F4711A" w:rsidRPr="00514B21" w:rsidRDefault="00FD3FF2" w:rsidP="008261D6">
            <w:pPr>
              <w:pStyle w:val="ListParagraph"/>
              <w:numPr>
                <w:ilvl w:val="0"/>
                <w:numId w:val="37"/>
              </w:numPr>
              <w:contextualSpacing w:val="0"/>
              <w:rPr>
                <w:rFonts w:asciiTheme="minorHAnsi" w:hAnsiTheme="minorHAnsi" w:cstheme="minorHAnsi"/>
                <w:sz w:val="22"/>
                <w:szCs w:val="22"/>
              </w:rPr>
            </w:pPr>
            <w:bookmarkStart w:id="2" w:name="_Hlk113522255"/>
            <w:r w:rsidRPr="00514B21">
              <w:rPr>
                <w:rFonts w:asciiTheme="minorHAnsi" w:hAnsiTheme="minorHAnsi" w:cstheme="minorHAnsi"/>
                <w:sz w:val="22"/>
                <w:szCs w:val="22"/>
              </w:rPr>
              <w:t>Communication about evidence requirements should start as early as possible</w:t>
            </w:r>
            <w:bookmarkEnd w:id="2"/>
            <w:r w:rsidRPr="00514B21">
              <w:rPr>
                <w:rFonts w:asciiTheme="minorHAnsi" w:hAnsiTheme="minorHAnsi" w:cstheme="minorHAnsi"/>
                <w:sz w:val="22"/>
                <w:szCs w:val="22"/>
              </w:rPr>
              <w:t>.</w:t>
            </w:r>
          </w:p>
        </w:tc>
        <w:tc>
          <w:tcPr>
            <w:tcW w:w="2102" w:type="dxa"/>
          </w:tcPr>
          <w:p w14:paraId="532F6AFF" w14:textId="37D53318" w:rsidR="005C4450" w:rsidRPr="00514B21" w:rsidRDefault="00F40C48" w:rsidP="008261D6">
            <w:pPr>
              <w:rPr>
                <w:rFonts w:asciiTheme="minorHAnsi" w:hAnsiTheme="minorHAnsi" w:cstheme="minorHAnsi"/>
                <w:sz w:val="22"/>
                <w:szCs w:val="22"/>
              </w:rPr>
            </w:pPr>
            <w:r w:rsidRPr="00514B21">
              <w:rPr>
                <w:rFonts w:asciiTheme="minorHAnsi" w:hAnsiTheme="minorHAnsi" w:cstheme="minorHAnsi"/>
                <w:sz w:val="22"/>
                <w:szCs w:val="22"/>
              </w:rPr>
              <w:t xml:space="preserve">Process would remain commercially </w:t>
            </w:r>
            <w:proofErr w:type="gramStart"/>
            <w:r w:rsidRPr="00514B21">
              <w:rPr>
                <w:rFonts w:asciiTheme="minorHAnsi" w:hAnsiTheme="minorHAnsi" w:cstheme="minorHAnsi"/>
                <w:sz w:val="22"/>
                <w:szCs w:val="22"/>
              </w:rPr>
              <w:t>attractive</w:t>
            </w:r>
            <w:proofErr w:type="gramEnd"/>
            <w:r w:rsidR="008C30AF" w:rsidRPr="00514B21">
              <w:rPr>
                <w:rFonts w:asciiTheme="minorHAnsi" w:hAnsiTheme="minorHAnsi" w:cstheme="minorHAnsi"/>
                <w:sz w:val="22"/>
                <w:szCs w:val="22"/>
              </w:rPr>
              <w:t xml:space="preserve"> </w:t>
            </w:r>
            <w:r w:rsidR="00F4711A" w:rsidRPr="00514B21">
              <w:rPr>
                <w:rFonts w:asciiTheme="minorHAnsi" w:hAnsiTheme="minorHAnsi" w:cstheme="minorHAnsi"/>
                <w:sz w:val="22"/>
                <w:szCs w:val="22"/>
              </w:rPr>
              <w:t xml:space="preserve">and </w:t>
            </w:r>
            <w:r w:rsidR="00B91485" w:rsidRPr="00514B21">
              <w:rPr>
                <w:rFonts w:asciiTheme="minorHAnsi" w:hAnsiTheme="minorHAnsi" w:cstheme="minorHAnsi"/>
                <w:sz w:val="22"/>
                <w:szCs w:val="22"/>
              </w:rPr>
              <w:t>all eligible products would benefit from subscription-based contracts</w:t>
            </w:r>
            <w:r w:rsidR="00F4711A" w:rsidRPr="00514B21">
              <w:rPr>
                <w:rFonts w:asciiTheme="minorHAnsi" w:hAnsiTheme="minorHAnsi" w:cstheme="minorHAnsi"/>
                <w:sz w:val="22"/>
                <w:szCs w:val="22"/>
              </w:rPr>
              <w:t>.</w:t>
            </w:r>
          </w:p>
        </w:tc>
        <w:tc>
          <w:tcPr>
            <w:tcW w:w="1832" w:type="dxa"/>
          </w:tcPr>
          <w:p w14:paraId="5D28A894" w14:textId="382C3C96" w:rsidR="005C4450" w:rsidRPr="00514B21" w:rsidRDefault="008C30AF" w:rsidP="008261D6">
            <w:pPr>
              <w:rPr>
                <w:rFonts w:asciiTheme="minorHAnsi" w:hAnsiTheme="minorHAnsi" w:cstheme="minorHAnsi"/>
                <w:sz w:val="22"/>
                <w:szCs w:val="22"/>
              </w:rPr>
            </w:pPr>
            <w:r w:rsidRPr="00514B21">
              <w:rPr>
                <w:rFonts w:asciiTheme="minorHAnsi" w:hAnsiTheme="minorHAnsi" w:cstheme="minorHAnsi"/>
                <w:sz w:val="22"/>
                <w:szCs w:val="22"/>
              </w:rPr>
              <w:t>Necessity of procurement process was questioned but is required to meet regulations on public sector contracts. However, simplification of process would be welcomed.</w:t>
            </w:r>
          </w:p>
        </w:tc>
      </w:tr>
    </w:tbl>
    <w:p w14:paraId="6883627A" w14:textId="77777777" w:rsidR="00816167" w:rsidRPr="00514B21" w:rsidRDefault="00816167" w:rsidP="008261D6">
      <w:pPr>
        <w:pStyle w:val="ListParagraph"/>
        <w:spacing w:after="0" w:line="240" w:lineRule="auto"/>
        <w:contextualSpacing w:val="0"/>
      </w:pPr>
    </w:p>
    <w:p w14:paraId="4573CE94" w14:textId="77777777" w:rsidR="00816167" w:rsidRPr="00514B21" w:rsidRDefault="00816167">
      <w:pPr>
        <w:rPr>
          <w:rFonts w:asciiTheme="majorHAnsi" w:eastAsiaTheme="majorEastAsia" w:hAnsiTheme="majorHAnsi" w:cstheme="majorBidi"/>
          <w:color w:val="2F5496" w:themeColor="accent1" w:themeShade="BF"/>
          <w:sz w:val="26"/>
          <w:szCs w:val="26"/>
        </w:rPr>
      </w:pPr>
      <w:r w:rsidRPr="00514B21">
        <w:br w:type="page"/>
      </w:r>
    </w:p>
    <w:p w14:paraId="1357019E" w14:textId="1365DA49" w:rsidR="00607BCF" w:rsidRPr="00514B21" w:rsidRDefault="00607BCF" w:rsidP="00B40473">
      <w:pPr>
        <w:pStyle w:val="Heading2"/>
      </w:pPr>
      <w:r w:rsidRPr="00514B21">
        <w:lastRenderedPageBreak/>
        <w:t>Model contract</w:t>
      </w:r>
    </w:p>
    <w:tbl>
      <w:tblPr>
        <w:tblStyle w:val="TableGrid"/>
        <w:tblW w:w="13178" w:type="dxa"/>
        <w:tblLook w:val="04A0" w:firstRow="1" w:lastRow="0" w:firstColumn="1" w:lastColumn="0" w:noHBand="0" w:noVBand="1"/>
      </w:tblPr>
      <w:tblGrid>
        <w:gridCol w:w="1432"/>
        <w:gridCol w:w="2674"/>
        <w:gridCol w:w="5139"/>
        <w:gridCol w:w="2105"/>
        <w:gridCol w:w="1828"/>
      </w:tblGrid>
      <w:tr w:rsidR="00607BCF" w:rsidRPr="00514B21" w14:paraId="52AF09F4" w14:textId="77777777" w:rsidTr="00A61964">
        <w:trPr>
          <w:trHeight w:val="393"/>
          <w:tblHeader/>
        </w:trPr>
        <w:tc>
          <w:tcPr>
            <w:tcW w:w="1432" w:type="dxa"/>
          </w:tcPr>
          <w:p w14:paraId="0BAE7E24" w14:textId="77777777"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Theme</w:t>
            </w:r>
          </w:p>
        </w:tc>
        <w:tc>
          <w:tcPr>
            <w:tcW w:w="2674" w:type="dxa"/>
          </w:tcPr>
          <w:p w14:paraId="4029D8EF" w14:textId="77777777"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What went well?</w:t>
            </w:r>
          </w:p>
        </w:tc>
        <w:tc>
          <w:tcPr>
            <w:tcW w:w="5139" w:type="dxa"/>
          </w:tcPr>
          <w:p w14:paraId="207428F6" w14:textId="77777777"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What needs improving?</w:t>
            </w:r>
          </w:p>
        </w:tc>
        <w:tc>
          <w:tcPr>
            <w:tcW w:w="2105" w:type="dxa"/>
          </w:tcPr>
          <w:p w14:paraId="23541A91" w14:textId="15DFA84C"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What impact would the improvement</w:t>
            </w:r>
            <w:r w:rsidR="008261D6">
              <w:rPr>
                <w:rFonts w:asciiTheme="minorHAnsi" w:hAnsiTheme="minorHAnsi" w:cstheme="minorHAnsi"/>
                <w:b/>
                <w:bCs/>
                <w:sz w:val="22"/>
                <w:szCs w:val="22"/>
              </w:rPr>
              <w:t>s</w:t>
            </w:r>
            <w:r w:rsidRPr="00514B21">
              <w:rPr>
                <w:rFonts w:asciiTheme="minorHAnsi" w:hAnsiTheme="minorHAnsi" w:cstheme="minorHAnsi"/>
                <w:b/>
                <w:bCs/>
                <w:sz w:val="22"/>
                <w:szCs w:val="22"/>
              </w:rPr>
              <w:t xml:space="preserve"> have?</w:t>
            </w:r>
          </w:p>
        </w:tc>
        <w:tc>
          <w:tcPr>
            <w:tcW w:w="1828" w:type="dxa"/>
          </w:tcPr>
          <w:p w14:paraId="6C8C052A" w14:textId="77777777"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Key lessons</w:t>
            </w:r>
          </w:p>
        </w:tc>
      </w:tr>
      <w:tr w:rsidR="005C4450" w:rsidRPr="00514B21" w14:paraId="1655499F" w14:textId="77777777" w:rsidTr="008261D6">
        <w:trPr>
          <w:trHeight w:val="699"/>
        </w:trPr>
        <w:tc>
          <w:tcPr>
            <w:tcW w:w="1432" w:type="dxa"/>
          </w:tcPr>
          <w:p w14:paraId="201DAC7C" w14:textId="77777777" w:rsidR="005C4450" w:rsidRPr="00514B21" w:rsidRDefault="005C4450" w:rsidP="008261D6">
            <w:pPr>
              <w:rPr>
                <w:rFonts w:asciiTheme="minorHAnsi" w:hAnsiTheme="minorHAnsi" w:cstheme="minorHAnsi"/>
                <w:sz w:val="22"/>
                <w:szCs w:val="22"/>
              </w:rPr>
            </w:pPr>
            <w:r w:rsidRPr="00514B21">
              <w:rPr>
                <w:rFonts w:asciiTheme="minorHAnsi" w:hAnsiTheme="minorHAnsi" w:cstheme="minorHAnsi"/>
                <w:sz w:val="22"/>
                <w:szCs w:val="22"/>
              </w:rPr>
              <w:t>Contract value cap</w:t>
            </w:r>
          </w:p>
        </w:tc>
        <w:tc>
          <w:tcPr>
            <w:tcW w:w="2674" w:type="dxa"/>
          </w:tcPr>
          <w:p w14:paraId="1FFF6A49" w14:textId="62F4385D" w:rsidR="005C4450" w:rsidRPr="00514B21" w:rsidRDefault="008261D7" w:rsidP="008261D6">
            <w:pPr>
              <w:pStyle w:val="ListParagraph"/>
              <w:numPr>
                <w:ilvl w:val="0"/>
                <w:numId w:val="39"/>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The role of the cap in meeting </w:t>
            </w:r>
            <w:r w:rsidR="00D12F48" w:rsidRPr="00514B21">
              <w:rPr>
                <w:rFonts w:asciiTheme="minorHAnsi" w:hAnsiTheme="minorHAnsi" w:cstheme="minorHAnsi"/>
                <w:sz w:val="22"/>
                <w:szCs w:val="22"/>
              </w:rPr>
              <w:t>public contract regulations 2015 (PCR2015)</w:t>
            </w:r>
            <w:r w:rsidR="002D6E12" w:rsidRPr="00514B21">
              <w:rPr>
                <w:rFonts w:asciiTheme="minorHAnsi" w:hAnsiTheme="minorHAnsi" w:cstheme="minorHAnsi"/>
                <w:sz w:val="22"/>
                <w:szCs w:val="22"/>
              </w:rPr>
              <w:t xml:space="preserve">, </w:t>
            </w:r>
            <w:r w:rsidRPr="00514B21">
              <w:rPr>
                <w:rFonts w:asciiTheme="minorHAnsi" w:hAnsiTheme="minorHAnsi" w:cstheme="minorHAnsi"/>
                <w:sz w:val="22"/>
                <w:szCs w:val="22"/>
              </w:rPr>
              <w:t>is understood as necessary</w:t>
            </w:r>
            <w:r w:rsidR="002D6E12" w:rsidRPr="00514B21">
              <w:rPr>
                <w:rFonts w:asciiTheme="minorHAnsi" w:hAnsiTheme="minorHAnsi" w:cstheme="minorHAnsi"/>
                <w:sz w:val="22"/>
                <w:szCs w:val="22"/>
              </w:rPr>
              <w:t xml:space="preserve">. It also set industry’s expectations and mitigated the risk to the NHS budget </w:t>
            </w:r>
            <w:proofErr w:type="gramStart"/>
            <w:r w:rsidR="002D6E12" w:rsidRPr="00514B21">
              <w:rPr>
                <w:rFonts w:asciiTheme="minorHAnsi" w:hAnsiTheme="minorHAnsi" w:cstheme="minorHAnsi"/>
                <w:sz w:val="22"/>
                <w:szCs w:val="22"/>
              </w:rPr>
              <w:t>in light of</w:t>
            </w:r>
            <w:proofErr w:type="gramEnd"/>
            <w:r w:rsidR="002D6E12" w:rsidRPr="00514B21">
              <w:rPr>
                <w:rFonts w:asciiTheme="minorHAnsi" w:hAnsiTheme="minorHAnsi" w:cstheme="minorHAnsi"/>
                <w:sz w:val="22"/>
                <w:szCs w:val="22"/>
              </w:rPr>
              <w:t xml:space="preserve"> high uncertainty in value estimates.</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[Industry</w:t>
            </w:r>
            <w:r w:rsidR="00A61964">
              <w:rPr>
                <w:rFonts w:asciiTheme="minorHAnsi" w:hAnsiTheme="minorHAnsi" w:cstheme="minorHAnsi"/>
                <w:i/>
                <w:iCs/>
                <w:sz w:val="22"/>
                <w:szCs w:val="22"/>
              </w:rPr>
              <w:t xml:space="preserve"> and </w:t>
            </w:r>
            <w:r w:rsidR="002D6E12" w:rsidRPr="00514B21">
              <w:rPr>
                <w:rFonts w:asciiTheme="minorHAnsi" w:hAnsiTheme="minorHAnsi" w:cstheme="minorHAnsi"/>
                <w:i/>
                <w:iCs/>
                <w:sz w:val="22"/>
                <w:szCs w:val="22"/>
              </w:rPr>
              <w:t>KOL</w:t>
            </w:r>
            <w:r w:rsidRPr="00514B21">
              <w:rPr>
                <w:rFonts w:asciiTheme="minorHAnsi" w:hAnsiTheme="minorHAnsi" w:cstheme="minorHAnsi"/>
                <w:i/>
                <w:iCs/>
                <w:sz w:val="22"/>
                <w:szCs w:val="22"/>
              </w:rPr>
              <w:t>]</w:t>
            </w:r>
          </w:p>
          <w:p w14:paraId="10DADFE7" w14:textId="202E97DA" w:rsidR="002242DD" w:rsidRDefault="002242DD" w:rsidP="002242DD">
            <w:pPr>
              <w:pStyle w:val="ListParagraph"/>
              <w:numPr>
                <w:ilvl w:val="0"/>
                <w:numId w:val="39"/>
              </w:numPr>
              <w:contextualSpacing w:val="0"/>
              <w:rPr>
                <w:rFonts w:asciiTheme="minorHAnsi" w:hAnsiTheme="minorHAnsi" w:cstheme="minorHAnsi"/>
                <w:sz w:val="22"/>
                <w:szCs w:val="22"/>
              </w:rPr>
            </w:pPr>
            <w:r>
              <w:rPr>
                <w:rFonts w:asciiTheme="minorHAnsi" w:hAnsiTheme="minorHAnsi" w:cstheme="minorHAnsi"/>
                <w:sz w:val="22"/>
                <w:szCs w:val="22"/>
              </w:rPr>
              <w:t xml:space="preserve">The cap accurately reflected England’s ‘fair share’ </w:t>
            </w:r>
            <w:r>
              <w:rPr>
                <w:rFonts w:asciiTheme="minorHAnsi" w:hAnsiTheme="minorHAnsi" w:cstheme="minorHAnsi"/>
                <w:i/>
                <w:iCs/>
                <w:sz w:val="22"/>
                <w:szCs w:val="22"/>
              </w:rPr>
              <w:t>[KOL]</w:t>
            </w:r>
          </w:p>
          <w:p w14:paraId="2D6ED888" w14:textId="0FD5D477" w:rsidR="002D2D76" w:rsidRPr="00514B21" w:rsidRDefault="00263A24" w:rsidP="002242DD">
            <w:pPr>
              <w:pStyle w:val="ListParagraph"/>
              <w:numPr>
                <w:ilvl w:val="0"/>
                <w:numId w:val="39"/>
              </w:numPr>
              <w:contextualSpacing w:val="0"/>
              <w:rPr>
                <w:rFonts w:asciiTheme="minorHAnsi" w:hAnsiTheme="minorHAnsi" w:cstheme="minorHAnsi"/>
                <w:sz w:val="22"/>
                <w:szCs w:val="22"/>
              </w:rPr>
            </w:pPr>
            <w:r w:rsidRPr="00514B21">
              <w:rPr>
                <w:rFonts w:asciiTheme="minorHAnsi" w:hAnsiTheme="minorHAnsi" w:cstheme="minorHAnsi"/>
                <w:sz w:val="22"/>
                <w:szCs w:val="22"/>
              </w:rPr>
              <w:t>Contract (separate from the cap) was well regarded</w:t>
            </w:r>
            <w:r w:rsidR="006E7665" w:rsidRPr="00514B21">
              <w:rPr>
                <w:rFonts w:asciiTheme="minorHAnsi" w:hAnsiTheme="minorHAnsi" w:cstheme="minorHAnsi"/>
                <w:sz w:val="22"/>
                <w:szCs w:val="22"/>
              </w:rPr>
              <w:t xml:space="preserve"> and provided an efficient means of </w:t>
            </w:r>
            <w:r w:rsidR="002D2D76" w:rsidRPr="00514B21">
              <w:rPr>
                <w:rFonts w:asciiTheme="minorHAnsi" w:hAnsiTheme="minorHAnsi" w:cstheme="minorHAnsi"/>
                <w:sz w:val="22"/>
                <w:szCs w:val="22"/>
              </w:rPr>
              <w:t>managing the whole evaluation and reimbursement process.</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[Industr</w:t>
            </w:r>
            <w:r w:rsidR="00A61964">
              <w:rPr>
                <w:rFonts w:asciiTheme="minorHAnsi" w:hAnsiTheme="minorHAnsi" w:cstheme="minorHAnsi"/>
                <w:i/>
                <w:iCs/>
                <w:sz w:val="22"/>
                <w:szCs w:val="22"/>
              </w:rPr>
              <w:t>y</w:t>
            </w:r>
            <w:r w:rsidRPr="00514B21">
              <w:rPr>
                <w:rFonts w:asciiTheme="minorHAnsi" w:hAnsiTheme="minorHAnsi" w:cstheme="minorHAnsi"/>
                <w:i/>
                <w:iCs/>
                <w:sz w:val="22"/>
                <w:szCs w:val="22"/>
              </w:rPr>
              <w:t>]</w:t>
            </w:r>
          </w:p>
        </w:tc>
        <w:tc>
          <w:tcPr>
            <w:tcW w:w="5139" w:type="dxa"/>
          </w:tcPr>
          <w:p w14:paraId="4025A700" w14:textId="27F1C982" w:rsidR="005C4450" w:rsidRPr="002242DD" w:rsidRDefault="008261D7" w:rsidP="008261D6">
            <w:pPr>
              <w:pStyle w:val="ListParagraph"/>
              <w:numPr>
                <w:ilvl w:val="0"/>
                <w:numId w:val="39"/>
              </w:numPr>
              <w:contextualSpacing w:val="0"/>
              <w:rPr>
                <w:rFonts w:asciiTheme="minorHAnsi" w:hAnsiTheme="minorHAnsi" w:cstheme="minorHAnsi"/>
                <w:sz w:val="22"/>
                <w:szCs w:val="22"/>
              </w:rPr>
            </w:pPr>
            <w:r w:rsidRPr="002242DD">
              <w:rPr>
                <w:rFonts w:asciiTheme="minorHAnsi" w:hAnsiTheme="minorHAnsi" w:cstheme="minorHAnsi"/>
                <w:sz w:val="22"/>
                <w:szCs w:val="22"/>
              </w:rPr>
              <w:t>The NICE evaluation of total value exceeded the £10m cap</w:t>
            </w:r>
            <w:r w:rsidR="00EC28FC">
              <w:rPr>
                <w:rFonts w:asciiTheme="minorHAnsi" w:hAnsiTheme="minorHAnsi" w:cstheme="minorHAnsi"/>
                <w:sz w:val="22"/>
                <w:szCs w:val="22"/>
              </w:rPr>
              <w:t xml:space="preserve"> – </w:t>
            </w:r>
            <w:r w:rsidR="00EC28FC" w:rsidRPr="00EC28FC">
              <w:rPr>
                <w:rFonts w:asciiTheme="minorHAnsi" w:hAnsiTheme="minorHAnsi" w:cstheme="minorHAnsi"/>
                <w:sz w:val="22"/>
                <w:szCs w:val="22"/>
              </w:rPr>
              <w:t xml:space="preserve">if QALYs are valued at £20,000 each </w:t>
            </w:r>
            <w:r w:rsidR="00EC28FC">
              <w:rPr>
                <w:rFonts w:asciiTheme="minorHAnsi" w:hAnsiTheme="minorHAnsi" w:cstheme="minorHAnsi"/>
                <w:sz w:val="22"/>
                <w:szCs w:val="22"/>
              </w:rPr>
              <w:t xml:space="preserve">– </w:t>
            </w:r>
            <w:r w:rsidR="00E375F7" w:rsidRPr="002242DD">
              <w:rPr>
                <w:rFonts w:asciiTheme="minorHAnsi" w:hAnsiTheme="minorHAnsi" w:cstheme="minorHAnsi"/>
                <w:sz w:val="22"/>
                <w:szCs w:val="22"/>
              </w:rPr>
              <w:t>suggesting that the cap should be increased</w:t>
            </w:r>
            <w:r w:rsidR="00D20CDF" w:rsidRPr="002242DD">
              <w:rPr>
                <w:rFonts w:asciiTheme="minorHAnsi" w:hAnsiTheme="minorHAnsi" w:cstheme="minorHAnsi"/>
                <w:sz w:val="22"/>
                <w:szCs w:val="22"/>
              </w:rPr>
              <w:t>.</w:t>
            </w:r>
            <w:r w:rsidR="00E375F7" w:rsidRPr="002242DD">
              <w:rPr>
                <w:rFonts w:asciiTheme="minorHAnsi" w:hAnsiTheme="minorHAnsi" w:cstheme="minorHAnsi"/>
                <w:sz w:val="22"/>
                <w:szCs w:val="22"/>
              </w:rPr>
              <w:t xml:space="preserve"> </w:t>
            </w:r>
            <w:r w:rsidRPr="002242DD">
              <w:rPr>
                <w:rFonts w:asciiTheme="minorHAnsi" w:hAnsiTheme="minorHAnsi" w:cstheme="minorHAnsi"/>
                <w:i/>
                <w:iCs/>
                <w:sz w:val="22"/>
                <w:szCs w:val="22"/>
              </w:rPr>
              <w:t>[Industry]</w:t>
            </w:r>
          </w:p>
          <w:p w14:paraId="2C733A51" w14:textId="057B647E" w:rsidR="003503BC" w:rsidRPr="00514B21" w:rsidRDefault="003503BC" w:rsidP="008261D6">
            <w:pPr>
              <w:pStyle w:val="ListParagraph"/>
              <w:numPr>
                <w:ilvl w:val="0"/>
                <w:numId w:val="39"/>
              </w:numPr>
              <w:contextualSpacing w:val="0"/>
              <w:rPr>
                <w:rFonts w:asciiTheme="minorHAnsi" w:hAnsiTheme="minorHAnsi" w:cstheme="minorHAnsi"/>
                <w:sz w:val="22"/>
                <w:szCs w:val="22"/>
              </w:rPr>
            </w:pPr>
            <w:r w:rsidRPr="002242DD">
              <w:rPr>
                <w:rFonts w:asciiTheme="minorHAnsi" w:hAnsiTheme="minorHAnsi" w:cstheme="minorHAnsi"/>
                <w:sz w:val="22"/>
                <w:szCs w:val="22"/>
              </w:rPr>
              <w:t>Not all antimicrobials deserve the</w:t>
            </w:r>
            <w:r w:rsidRPr="00514B21">
              <w:rPr>
                <w:rFonts w:asciiTheme="minorHAnsi" w:hAnsiTheme="minorHAnsi" w:cstheme="minorHAnsi"/>
                <w:sz w:val="22"/>
                <w:szCs w:val="22"/>
              </w:rPr>
              <w:t xml:space="preserve"> £10m cap, but very good antimicrobials should get more than £10m</w:t>
            </w:r>
            <w:r w:rsidR="00D20CDF">
              <w:rPr>
                <w:rFonts w:asciiTheme="minorHAnsi" w:hAnsiTheme="minorHAnsi" w:cstheme="minorHAnsi"/>
                <w:sz w:val="22"/>
                <w:szCs w:val="22"/>
              </w:rPr>
              <w:t>.</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[KOL</w:t>
            </w:r>
            <w:r w:rsidR="00A61964">
              <w:rPr>
                <w:rFonts w:asciiTheme="minorHAnsi" w:hAnsiTheme="minorHAnsi" w:cstheme="minorHAnsi"/>
                <w:i/>
                <w:iCs/>
                <w:sz w:val="22"/>
                <w:szCs w:val="22"/>
              </w:rPr>
              <w:t xml:space="preserve"> and</w:t>
            </w:r>
            <w:r w:rsidRPr="00514B21">
              <w:rPr>
                <w:rFonts w:asciiTheme="minorHAnsi" w:hAnsiTheme="minorHAnsi" w:cstheme="minorHAnsi"/>
                <w:i/>
                <w:iCs/>
                <w:sz w:val="22"/>
                <w:szCs w:val="22"/>
              </w:rPr>
              <w:t xml:space="preserve"> </w:t>
            </w:r>
            <w:r w:rsidR="005728C5">
              <w:rPr>
                <w:rFonts w:asciiTheme="minorHAnsi" w:hAnsiTheme="minorHAnsi" w:cstheme="minorHAnsi"/>
                <w:i/>
                <w:iCs/>
                <w:sz w:val="22"/>
                <w:szCs w:val="22"/>
              </w:rPr>
              <w:t>clinical expert</w:t>
            </w:r>
            <w:r w:rsidRPr="00514B21">
              <w:rPr>
                <w:rFonts w:asciiTheme="minorHAnsi" w:hAnsiTheme="minorHAnsi" w:cstheme="minorHAnsi"/>
                <w:i/>
                <w:iCs/>
                <w:sz w:val="22"/>
                <w:szCs w:val="22"/>
              </w:rPr>
              <w:t>]</w:t>
            </w:r>
          </w:p>
          <w:p w14:paraId="7DAE6E83" w14:textId="1ABF5438" w:rsidR="00E375F7" w:rsidRPr="00514B21" w:rsidRDefault="005C3DCA" w:rsidP="008261D6">
            <w:pPr>
              <w:pStyle w:val="ListParagraph"/>
              <w:numPr>
                <w:ilvl w:val="0"/>
                <w:numId w:val="39"/>
              </w:numPr>
              <w:contextualSpacing w:val="0"/>
              <w:rPr>
                <w:rFonts w:asciiTheme="minorHAnsi" w:hAnsiTheme="minorHAnsi" w:cstheme="minorHAnsi"/>
                <w:sz w:val="22"/>
                <w:szCs w:val="22"/>
              </w:rPr>
            </w:pPr>
            <w:r w:rsidRPr="00514B21">
              <w:rPr>
                <w:rFonts w:asciiTheme="minorHAnsi" w:hAnsiTheme="minorHAnsi" w:cstheme="minorHAnsi"/>
                <w:sz w:val="22"/>
                <w:szCs w:val="22"/>
              </w:rPr>
              <w:t>A more objective (</w:t>
            </w:r>
            <w:proofErr w:type="gramStart"/>
            <w:r w:rsidRPr="00514B21">
              <w:rPr>
                <w:rFonts w:asciiTheme="minorHAnsi" w:hAnsiTheme="minorHAnsi" w:cstheme="minorHAnsi"/>
                <w:sz w:val="22"/>
                <w:szCs w:val="22"/>
              </w:rPr>
              <w:t>e.g.</w:t>
            </w:r>
            <w:proofErr w:type="gramEnd"/>
            <w:r w:rsidRPr="00514B21">
              <w:rPr>
                <w:rFonts w:asciiTheme="minorHAnsi" w:hAnsiTheme="minorHAnsi" w:cstheme="minorHAnsi"/>
                <w:sz w:val="22"/>
                <w:szCs w:val="22"/>
              </w:rPr>
              <w:t xml:space="preserve"> non-industry) view </w:t>
            </w:r>
            <w:r w:rsidR="003D1110" w:rsidRPr="00514B21">
              <w:rPr>
                <w:rFonts w:asciiTheme="minorHAnsi" w:hAnsiTheme="minorHAnsi" w:cstheme="minorHAnsi"/>
                <w:sz w:val="22"/>
                <w:szCs w:val="22"/>
              </w:rPr>
              <w:t xml:space="preserve">from </w:t>
            </w:r>
            <w:r w:rsidRPr="00514B21">
              <w:rPr>
                <w:rFonts w:asciiTheme="minorHAnsi" w:hAnsiTheme="minorHAnsi" w:cstheme="minorHAnsi"/>
                <w:sz w:val="22"/>
                <w:szCs w:val="22"/>
              </w:rPr>
              <w:t>academia on appropriate level of the cap would be welcomed</w:t>
            </w:r>
            <w:r w:rsidR="007B0518" w:rsidRPr="00514B21">
              <w:rPr>
                <w:rFonts w:asciiTheme="minorHAnsi" w:hAnsiTheme="minorHAnsi" w:cstheme="minorHAnsi"/>
                <w:sz w:val="22"/>
                <w:szCs w:val="22"/>
              </w:rPr>
              <w:t xml:space="preserve">. </w:t>
            </w:r>
            <w:r w:rsidR="00E375F7" w:rsidRPr="00514B21">
              <w:rPr>
                <w:rFonts w:asciiTheme="minorHAnsi" w:hAnsiTheme="minorHAnsi" w:cstheme="minorHAnsi"/>
                <w:i/>
                <w:iCs/>
                <w:sz w:val="22"/>
                <w:szCs w:val="22"/>
              </w:rPr>
              <w:t>[Industry]</w:t>
            </w:r>
          </w:p>
          <w:p w14:paraId="5DCAF23D" w14:textId="53AD347C" w:rsidR="005C4450" w:rsidRPr="00514B21" w:rsidRDefault="00550FC8" w:rsidP="008261D6">
            <w:pPr>
              <w:pStyle w:val="ListParagraph"/>
              <w:numPr>
                <w:ilvl w:val="0"/>
                <w:numId w:val="39"/>
              </w:numPr>
              <w:contextualSpacing w:val="0"/>
              <w:rPr>
                <w:rFonts w:asciiTheme="minorHAnsi" w:hAnsiTheme="minorHAnsi" w:cstheme="minorHAnsi"/>
                <w:sz w:val="22"/>
                <w:szCs w:val="22"/>
              </w:rPr>
            </w:pPr>
            <w:r w:rsidRPr="00514B21">
              <w:rPr>
                <w:rFonts w:asciiTheme="minorHAnsi" w:hAnsiTheme="minorHAnsi" w:cstheme="minorHAnsi"/>
                <w:sz w:val="22"/>
                <w:szCs w:val="22"/>
              </w:rPr>
              <w:t>T</w:t>
            </w:r>
            <w:r w:rsidR="007B0518" w:rsidRPr="00514B21">
              <w:rPr>
                <w:rFonts w:asciiTheme="minorHAnsi" w:hAnsiTheme="minorHAnsi" w:cstheme="minorHAnsi"/>
                <w:sz w:val="22"/>
                <w:szCs w:val="22"/>
              </w:rPr>
              <w:t xml:space="preserve">he </w:t>
            </w:r>
            <w:r w:rsidRPr="00514B21">
              <w:rPr>
                <w:rFonts w:asciiTheme="minorHAnsi" w:hAnsiTheme="minorHAnsi" w:cstheme="minorHAnsi"/>
                <w:sz w:val="22"/>
                <w:szCs w:val="22"/>
              </w:rPr>
              <w:t>UK</w:t>
            </w:r>
            <w:r w:rsidR="00E375F7" w:rsidRPr="00514B21">
              <w:rPr>
                <w:rFonts w:asciiTheme="minorHAnsi" w:hAnsiTheme="minorHAnsi" w:cstheme="minorHAnsi"/>
                <w:sz w:val="22"/>
                <w:szCs w:val="22"/>
              </w:rPr>
              <w:t>’s</w:t>
            </w:r>
            <w:r w:rsidRPr="00514B21">
              <w:rPr>
                <w:rFonts w:asciiTheme="minorHAnsi" w:hAnsiTheme="minorHAnsi" w:cstheme="minorHAnsi"/>
                <w:sz w:val="22"/>
                <w:szCs w:val="22"/>
              </w:rPr>
              <w:t xml:space="preserve"> </w:t>
            </w:r>
            <w:r w:rsidR="00D028E9">
              <w:rPr>
                <w:rFonts w:asciiTheme="minorHAnsi" w:hAnsiTheme="minorHAnsi" w:cstheme="minorHAnsi"/>
                <w:sz w:val="22"/>
                <w:szCs w:val="22"/>
              </w:rPr>
              <w:t xml:space="preserve">contribution </w:t>
            </w:r>
            <w:r w:rsidR="002A068E">
              <w:rPr>
                <w:rFonts w:asciiTheme="minorHAnsi" w:hAnsiTheme="minorHAnsi" w:cstheme="minorHAnsi"/>
                <w:sz w:val="22"/>
                <w:szCs w:val="22"/>
              </w:rPr>
              <w:t>of a sufficient pull incentive</w:t>
            </w:r>
            <w:r w:rsidR="007B0518" w:rsidRPr="00514B21">
              <w:rPr>
                <w:rFonts w:asciiTheme="minorHAnsi" w:hAnsiTheme="minorHAnsi" w:cstheme="minorHAnsi"/>
                <w:sz w:val="22"/>
                <w:szCs w:val="22"/>
              </w:rPr>
              <w:t xml:space="preserve"> </w:t>
            </w:r>
            <w:r w:rsidR="00E375F7" w:rsidRPr="00514B21">
              <w:rPr>
                <w:rFonts w:asciiTheme="minorHAnsi" w:hAnsiTheme="minorHAnsi" w:cstheme="minorHAnsi"/>
                <w:sz w:val="22"/>
                <w:szCs w:val="22"/>
              </w:rPr>
              <w:t xml:space="preserve">would be higher than </w:t>
            </w:r>
            <w:r w:rsidR="00D028E9">
              <w:rPr>
                <w:rFonts w:asciiTheme="minorHAnsi" w:hAnsiTheme="minorHAnsi" w:cstheme="minorHAnsi"/>
                <w:sz w:val="22"/>
                <w:szCs w:val="22"/>
              </w:rPr>
              <w:t xml:space="preserve">our ‘fair share’ of </w:t>
            </w:r>
            <w:r w:rsidR="00E375F7" w:rsidRPr="00514B21">
              <w:rPr>
                <w:rFonts w:asciiTheme="minorHAnsi" w:hAnsiTheme="minorHAnsi" w:cstheme="minorHAnsi"/>
                <w:sz w:val="22"/>
                <w:szCs w:val="22"/>
              </w:rPr>
              <w:t xml:space="preserve">£10m </w:t>
            </w:r>
            <w:r w:rsidR="007B0518" w:rsidRPr="00514B21">
              <w:rPr>
                <w:rFonts w:asciiTheme="minorHAnsi" w:hAnsiTheme="minorHAnsi" w:cstheme="minorHAnsi"/>
                <w:sz w:val="22"/>
                <w:szCs w:val="22"/>
              </w:rPr>
              <w:t xml:space="preserve">if other countries do not </w:t>
            </w:r>
            <w:r w:rsidR="00D028E9">
              <w:rPr>
                <w:rFonts w:asciiTheme="minorHAnsi" w:hAnsiTheme="minorHAnsi" w:cstheme="minorHAnsi"/>
                <w:sz w:val="22"/>
                <w:szCs w:val="22"/>
              </w:rPr>
              <w:t>pay</w:t>
            </w:r>
            <w:r w:rsidR="002A068E">
              <w:rPr>
                <w:rFonts w:asciiTheme="minorHAnsi" w:hAnsiTheme="minorHAnsi" w:cstheme="minorHAnsi"/>
                <w:sz w:val="22"/>
                <w:szCs w:val="22"/>
              </w:rPr>
              <w:t xml:space="preserve"> their own ‘fair share’</w:t>
            </w:r>
            <w:r w:rsidRPr="00514B21">
              <w:rPr>
                <w:rFonts w:asciiTheme="minorHAnsi" w:hAnsiTheme="minorHAnsi" w:cstheme="minorHAnsi"/>
                <w:sz w:val="22"/>
                <w:szCs w:val="22"/>
              </w:rPr>
              <w:t>.</w:t>
            </w:r>
            <w:r w:rsidR="005C3DCA" w:rsidRPr="00514B21">
              <w:rPr>
                <w:rFonts w:asciiTheme="minorHAnsi" w:hAnsiTheme="minorHAnsi" w:cstheme="minorHAnsi"/>
                <w:sz w:val="22"/>
                <w:szCs w:val="22"/>
              </w:rPr>
              <w:t xml:space="preserve"> </w:t>
            </w:r>
            <w:r w:rsidR="005C3DCA" w:rsidRPr="00514B21">
              <w:rPr>
                <w:rFonts w:asciiTheme="minorHAnsi" w:hAnsiTheme="minorHAnsi" w:cstheme="minorHAnsi"/>
                <w:i/>
                <w:iCs/>
                <w:sz w:val="22"/>
                <w:szCs w:val="22"/>
              </w:rPr>
              <w:t>[Industry]</w:t>
            </w:r>
          </w:p>
          <w:p w14:paraId="782FF577" w14:textId="024FED4C" w:rsidR="009F5691" w:rsidRPr="00514B21" w:rsidRDefault="009F5691" w:rsidP="008261D6">
            <w:pPr>
              <w:pStyle w:val="ListParagraph"/>
              <w:numPr>
                <w:ilvl w:val="0"/>
                <w:numId w:val="39"/>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Variation in cap value based on how well product meets </w:t>
            </w:r>
            <w:r w:rsidR="001A7C9B">
              <w:rPr>
                <w:rFonts w:asciiTheme="minorHAnsi" w:hAnsiTheme="minorHAnsi" w:cstheme="minorHAnsi"/>
                <w:sz w:val="22"/>
                <w:szCs w:val="22"/>
              </w:rPr>
              <w:t xml:space="preserve">eligibility </w:t>
            </w:r>
            <w:r w:rsidRPr="00514B21">
              <w:rPr>
                <w:rFonts w:asciiTheme="minorHAnsi" w:hAnsiTheme="minorHAnsi" w:cstheme="minorHAnsi"/>
                <w:sz w:val="22"/>
                <w:szCs w:val="22"/>
              </w:rPr>
              <w:t>criteria would be appropriate</w:t>
            </w:r>
            <w:r w:rsidR="00263A24" w:rsidRPr="00514B21">
              <w:rPr>
                <w:rFonts w:asciiTheme="minorHAnsi" w:hAnsiTheme="minorHAnsi" w:cstheme="minorHAnsi"/>
                <w:sz w:val="22"/>
                <w:szCs w:val="22"/>
              </w:rPr>
              <w:t xml:space="preserve">. Could be beneficial </w:t>
            </w:r>
            <w:proofErr w:type="spellStart"/>
            <w:r w:rsidR="00263A24" w:rsidRPr="00514B21">
              <w:rPr>
                <w:rFonts w:asciiTheme="minorHAnsi" w:hAnsiTheme="minorHAnsi" w:cstheme="minorHAnsi"/>
                <w:sz w:val="22"/>
                <w:szCs w:val="22"/>
              </w:rPr>
              <w:t>to</w:t>
            </w:r>
            <w:proofErr w:type="spellEnd"/>
            <w:r w:rsidR="00622C36" w:rsidRPr="00514B21">
              <w:rPr>
                <w:rFonts w:asciiTheme="minorHAnsi" w:hAnsiTheme="minorHAnsi" w:cstheme="minorHAnsi"/>
                <w:sz w:val="22"/>
                <w:szCs w:val="22"/>
              </w:rPr>
              <w:t xml:space="preserve"> small to medium-sized antimicrobial </w:t>
            </w:r>
            <w:r w:rsidR="0075103A">
              <w:rPr>
                <w:rFonts w:asciiTheme="minorHAnsi" w:hAnsiTheme="minorHAnsi" w:cstheme="minorHAnsi"/>
                <w:sz w:val="22"/>
                <w:szCs w:val="22"/>
              </w:rPr>
              <w:t>companies</w:t>
            </w:r>
            <w:r w:rsidR="0075103A"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w:t>
            </w:r>
            <w:r w:rsidR="004A5407" w:rsidRPr="00514B21">
              <w:rPr>
                <w:rFonts w:asciiTheme="minorHAnsi" w:hAnsiTheme="minorHAnsi" w:cstheme="minorHAnsi"/>
                <w:i/>
                <w:iCs/>
                <w:sz w:val="22"/>
                <w:szCs w:val="22"/>
              </w:rPr>
              <w:t>KOL</w:t>
            </w:r>
            <w:r w:rsidR="00A61964">
              <w:rPr>
                <w:rFonts w:asciiTheme="minorHAnsi" w:hAnsiTheme="minorHAnsi" w:cstheme="minorHAnsi"/>
                <w:i/>
                <w:iCs/>
                <w:sz w:val="22"/>
                <w:szCs w:val="22"/>
              </w:rPr>
              <w:t xml:space="preserve"> and </w:t>
            </w:r>
            <w:r w:rsidRPr="00514B21">
              <w:rPr>
                <w:rFonts w:asciiTheme="minorHAnsi" w:hAnsiTheme="minorHAnsi" w:cstheme="minorHAnsi"/>
                <w:i/>
                <w:iCs/>
                <w:sz w:val="22"/>
                <w:szCs w:val="22"/>
              </w:rPr>
              <w:t>Industry]</w:t>
            </w:r>
          </w:p>
          <w:p w14:paraId="7333B1D0" w14:textId="1BA6FDF0" w:rsidR="007937E6" w:rsidRPr="00514B21" w:rsidRDefault="007937E6" w:rsidP="008261D6">
            <w:pPr>
              <w:pStyle w:val="ListParagraph"/>
              <w:numPr>
                <w:ilvl w:val="0"/>
                <w:numId w:val="39"/>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Level of payment could also reflect the quality of evidence to incentivise </w:t>
            </w:r>
            <w:r w:rsidR="00625779" w:rsidRPr="00514B21">
              <w:rPr>
                <w:rFonts w:asciiTheme="minorHAnsi" w:hAnsiTheme="minorHAnsi" w:cstheme="minorHAnsi"/>
                <w:sz w:val="22"/>
                <w:szCs w:val="22"/>
              </w:rPr>
              <w:t xml:space="preserve">improved </w:t>
            </w:r>
            <w:r w:rsidRPr="00514B21">
              <w:rPr>
                <w:rFonts w:asciiTheme="minorHAnsi" w:hAnsiTheme="minorHAnsi" w:cstheme="minorHAnsi"/>
                <w:sz w:val="22"/>
                <w:szCs w:val="22"/>
              </w:rPr>
              <w:t xml:space="preserve">research </w:t>
            </w:r>
            <w:r w:rsidR="00625779" w:rsidRPr="00514B21">
              <w:rPr>
                <w:rFonts w:asciiTheme="minorHAnsi" w:hAnsiTheme="minorHAnsi" w:cstheme="minorHAnsi"/>
                <w:sz w:val="22"/>
                <w:szCs w:val="22"/>
              </w:rPr>
              <w:t>methods</w:t>
            </w:r>
            <w:r w:rsidR="00D20CDF">
              <w:rPr>
                <w:rFonts w:asciiTheme="minorHAnsi" w:hAnsiTheme="minorHAnsi" w:cstheme="minorHAnsi"/>
                <w:sz w:val="22"/>
                <w:szCs w:val="22"/>
              </w:rPr>
              <w:t>.</w:t>
            </w:r>
            <w:r w:rsidR="00625779"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[Academia]</w:t>
            </w:r>
          </w:p>
          <w:p w14:paraId="24E24EFF" w14:textId="766BB8A2" w:rsidR="002D2D76" w:rsidRPr="00655E16" w:rsidRDefault="00286BDC" w:rsidP="008261D6">
            <w:pPr>
              <w:pStyle w:val="ListParagraph"/>
              <w:numPr>
                <w:ilvl w:val="0"/>
                <w:numId w:val="39"/>
              </w:numPr>
              <w:ind w:left="357" w:hanging="357"/>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More clarity on ‘exceptional volume’ situations would be welcome, </w:t>
            </w:r>
            <w:proofErr w:type="gramStart"/>
            <w:r w:rsidRPr="00514B21">
              <w:rPr>
                <w:rFonts w:asciiTheme="minorHAnsi" w:hAnsiTheme="minorHAnsi" w:cstheme="minorHAnsi"/>
                <w:sz w:val="22"/>
                <w:szCs w:val="22"/>
              </w:rPr>
              <w:t>e</w:t>
            </w:r>
            <w:r w:rsidR="003503BC" w:rsidRPr="00514B21">
              <w:rPr>
                <w:rFonts w:asciiTheme="minorHAnsi" w:hAnsiTheme="minorHAnsi" w:cstheme="minorHAnsi"/>
                <w:sz w:val="22"/>
                <w:szCs w:val="22"/>
              </w:rPr>
              <w:t>.</w:t>
            </w:r>
            <w:r w:rsidRPr="00514B21">
              <w:rPr>
                <w:rFonts w:asciiTheme="minorHAnsi" w:hAnsiTheme="minorHAnsi" w:cstheme="minorHAnsi"/>
                <w:sz w:val="22"/>
                <w:szCs w:val="22"/>
              </w:rPr>
              <w:t>g</w:t>
            </w:r>
            <w:r w:rsidR="003503BC" w:rsidRPr="00514B21">
              <w:rPr>
                <w:rFonts w:asciiTheme="minorHAnsi" w:hAnsiTheme="minorHAnsi" w:cstheme="minorHAnsi"/>
                <w:sz w:val="22"/>
                <w:szCs w:val="22"/>
              </w:rPr>
              <w:t>.</w:t>
            </w:r>
            <w:proofErr w:type="gramEnd"/>
            <w:r w:rsidRPr="00514B21">
              <w:rPr>
                <w:rFonts w:asciiTheme="minorHAnsi" w:hAnsiTheme="minorHAnsi" w:cstheme="minorHAnsi"/>
                <w:sz w:val="22"/>
                <w:szCs w:val="22"/>
              </w:rPr>
              <w:t xml:space="preserve"> temporary demand spikes that would have generated significant additional revenue for the company</w:t>
            </w:r>
            <w:r w:rsidR="003503BC" w:rsidRPr="00514B21">
              <w:rPr>
                <w:rFonts w:asciiTheme="minorHAnsi" w:hAnsiTheme="minorHAnsi" w:cstheme="minorHAnsi"/>
                <w:sz w:val="22"/>
                <w:szCs w:val="22"/>
              </w:rPr>
              <w:t xml:space="preserve"> outside of a subscription-based contract</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[Industry]</w:t>
            </w:r>
          </w:p>
          <w:p w14:paraId="5F7E07F1" w14:textId="4A69A401" w:rsidR="00655E16" w:rsidRPr="00E423DC" w:rsidRDefault="00655E16" w:rsidP="008261D6">
            <w:pPr>
              <w:pStyle w:val="ListParagraph"/>
              <w:numPr>
                <w:ilvl w:val="0"/>
                <w:numId w:val="39"/>
              </w:numPr>
              <w:contextualSpacing w:val="0"/>
              <w:rPr>
                <w:rFonts w:asciiTheme="minorHAnsi" w:hAnsiTheme="minorHAnsi" w:cstheme="minorHAnsi"/>
                <w:sz w:val="22"/>
                <w:szCs w:val="22"/>
              </w:rPr>
            </w:pPr>
            <w:r w:rsidRPr="00655E16">
              <w:rPr>
                <w:rFonts w:asciiTheme="minorHAnsi" w:hAnsiTheme="minorHAnsi" w:cstheme="minorHAnsi"/>
                <w:sz w:val="22"/>
                <w:szCs w:val="22"/>
              </w:rPr>
              <w:t>Remove the option for companies to propose a contract value below the cap</w:t>
            </w:r>
            <w:r w:rsidR="00D20CDF">
              <w:rPr>
                <w:rFonts w:asciiTheme="minorHAnsi" w:hAnsiTheme="minorHAnsi" w:cstheme="minorHAnsi"/>
                <w:sz w:val="22"/>
                <w:szCs w:val="22"/>
              </w:rPr>
              <w:t>.</w:t>
            </w:r>
            <w:r w:rsidRPr="00655E16">
              <w:rPr>
                <w:rFonts w:asciiTheme="minorHAnsi" w:hAnsiTheme="minorHAnsi" w:cstheme="minorHAnsi"/>
                <w:sz w:val="22"/>
                <w:szCs w:val="22"/>
              </w:rPr>
              <w:t xml:space="preserve"> </w:t>
            </w:r>
            <w:r w:rsidRPr="00655E16">
              <w:rPr>
                <w:rFonts w:asciiTheme="minorHAnsi" w:hAnsiTheme="minorHAnsi" w:cstheme="minorHAnsi"/>
                <w:i/>
                <w:iCs/>
                <w:sz w:val="22"/>
                <w:szCs w:val="22"/>
              </w:rPr>
              <w:t>[Industry]</w:t>
            </w:r>
          </w:p>
          <w:p w14:paraId="107597D3" w14:textId="23DC002D" w:rsidR="00E423DC" w:rsidRPr="00655E16" w:rsidRDefault="00E423DC" w:rsidP="008261D6">
            <w:pPr>
              <w:pStyle w:val="ListParagraph"/>
              <w:numPr>
                <w:ilvl w:val="0"/>
                <w:numId w:val="39"/>
              </w:numPr>
              <w:contextualSpacing w:val="0"/>
              <w:rPr>
                <w:rFonts w:asciiTheme="minorHAnsi" w:hAnsiTheme="minorHAnsi" w:cstheme="minorHAnsi"/>
                <w:sz w:val="22"/>
                <w:szCs w:val="22"/>
              </w:rPr>
            </w:pPr>
            <w:r>
              <w:rPr>
                <w:rFonts w:asciiTheme="minorHAnsi" w:hAnsiTheme="minorHAnsi" w:cstheme="minorHAnsi"/>
                <w:sz w:val="22"/>
                <w:szCs w:val="22"/>
              </w:rPr>
              <w:lastRenderedPageBreak/>
              <w:t xml:space="preserve">Consider publishing contract values, because if they remain confidential it might not work as a pull incentive. </w:t>
            </w:r>
            <w:r w:rsidRPr="00E423DC">
              <w:rPr>
                <w:rFonts w:asciiTheme="minorHAnsi" w:hAnsiTheme="minorHAnsi" w:cstheme="minorHAnsi"/>
                <w:i/>
                <w:iCs/>
                <w:sz w:val="22"/>
                <w:szCs w:val="22"/>
              </w:rPr>
              <w:t>[Industry]</w:t>
            </w:r>
          </w:p>
        </w:tc>
        <w:tc>
          <w:tcPr>
            <w:tcW w:w="2105" w:type="dxa"/>
          </w:tcPr>
          <w:p w14:paraId="6E435023" w14:textId="3714A65E" w:rsidR="005C4450" w:rsidRPr="00514B21" w:rsidRDefault="007B0518" w:rsidP="008261D6">
            <w:pPr>
              <w:rPr>
                <w:rFonts w:asciiTheme="minorHAnsi" w:hAnsiTheme="minorHAnsi" w:cstheme="minorHAnsi"/>
                <w:sz w:val="22"/>
                <w:szCs w:val="22"/>
              </w:rPr>
            </w:pPr>
            <w:r w:rsidRPr="00514B21">
              <w:rPr>
                <w:rFonts w:asciiTheme="minorHAnsi" w:hAnsiTheme="minorHAnsi" w:cstheme="minorHAnsi"/>
                <w:sz w:val="22"/>
                <w:szCs w:val="22"/>
              </w:rPr>
              <w:lastRenderedPageBreak/>
              <w:t>Reviewing and justifying the level of the cap would</w:t>
            </w:r>
            <w:r w:rsidR="00126F7F" w:rsidRPr="00514B21">
              <w:rPr>
                <w:rFonts w:asciiTheme="minorHAnsi" w:hAnsiTheme="minorHAnsi" w:cstheme="minorHAnsi"/>
                <w:sz w:val="22"/>
                <w:szCs w:val="22"/>
              </w:rPr>
              <w:t xml:space="preserve"> support the successful delivery of an appropriate pull incentive</w:t>
            </w:r>
            <w:r w:rsidR="003503BC" w:rsidRPr="00514B21">
              <w:rPr>
                <w:rFonts w:asciiTheme="minorHAnsi" w:hAnsiTheme="minorHAnsi" w:cstheme="minorHAnsi"/>
                <w:sz w:val="22"/>
                <w:szCs w:val="22"/>
              </w:rPr>
              <w:t>.</w:t>
            </w:r>
          </w:p>
          <w:p w14:paraId="116577A6" w14:textId="77777777" w:rsidR="00286BDC" w:rsidRPr="00514B21" w:rsidRDefault="00286BDC" w:rsidP="008261D6">
            <w:pPr>
              <w:rPr>
                <w:rFonts w:asciiTheme="minorHAnsi" w:hAnsiTheme="minorHAnsi" w:cstheme="minorHAnsi"/>
                <w:sz w:val="22"/>
                <w:szCs w:val="22"/>
              </w:rPr>
            </w:pPr>
          </w:p>
          <w:p w14:paraId="6C53166C" w14:textId="77777777" w:rsidR="007B0518" w:rsidRPr="00514B21" w:rsidRDefault="007B0518" w:rsidP="008261D6">
            <w:pPr>
              <w:rPr>
                <w:rFonts w:asciiTheme="minorHAnsi" w:hAnsiTheme="minorHAnsi" w:cstheme="minorHAnsi"/>
                <w:sz w:val="22"/>
                <w:szCs w:val="22"/>
              </w:rPr>
            </w:pPr>
          </w:p>
          <w:p w14:paraId="0A4E38E5" w14:textId="795FD3F3" w:rsidR="007B0518" w:rsidRPr="00514B21" w:rsidRDefault="007B0518" w:rsidP="008261D6">
            <w:pPr>
              <w:rPr>
                <w:rFonts w:asciiTheme="minorHAnsi" w:hAnsiTheme="minorHAnsi" w:cstheme="minorHAnsi"/>
                <w:sz w:val="22"/>
                <w:szCs w:val="22"/>
              </w:rPr>
            </w:pPr>
          </w:p>
        </w:tc>
        <w:tc>
          <w:tcPr>
            <w:tcW w:w="1828" w:type="dxa"/>
          </w:tcPr>
          <w:p w14:paraId="71BF3AE7" w14:textId="3F6293CC" w:rsidR="005C4450" w:rsidRPr="00514B21" w:rsidRDefault="005C4450" w:rsidP="008261D6">
            <w:pPr>
              <w:rPr>
                <w:rFonts w:asciiTheme="minorHAnsi" w:hAnsiTheme="minorHAnsi" w:cstheme="minorHAnsi"/>
                <w:sz w:val="22"/>
                <w:szCs w:val="22"/>
              </w:rPr>
            </w:pPr>
            <w:r w:rsidRPr="00514B21">
              <w:rPr>
                <w:rFonts w:asciiTheme="minorHAnsi" w:hAnsiTheme="minorHAnsi" w:cstheme="minorHAnsi"/>
                <w:sz w:val="22"/>
                <w:szCs w:val="22"/>
              </w:rPr>
              <w:t xml:space="preserve">The cap was important to allow us to move forward with the pilot. </w:t>
            </w:r>
            <w:r w:rsidR="009F5691" w:rsidRPr="00514B21">
              <w:rPr>
                <w:rFonts w:asciiTheme="minorHAnsi" w:hAnsiTheme="minorHAnsi" w:cstheme="minorHAnsi"/>
                <w:sz w:val="22"/>
                <w:szCs w:val="22"/>
              </w:rPr>
              <w:t xml:space="preserve">Flexibility over </w:t>
            </w:r>
            <w:r w:rsidR="00634CC6" w:rsidRPr="00514B21">
              <w:rPr>
                <w:rFonts w:asciiTheme="minorHAnsi" w:hAnsiTheme="minorHAnsi" w:cstheme="minorHAnsi"/>
                <w:sz w:val="22"/>
                <w:szCs w:val="22"/>
              </w:rPr>
              <w:t xml:space="preserve">the value of the </w:t>
            </w:r>
            <w:r w:rsidR="009F5691" w:rsidRPr="00514B21">
              <w:rPr>
                <w:rFonts w:asciiTheme="minorHAnsi" w:hAnsiTheme="minorHAnsi" w:cstheme="minorHAnsi"/>
                <w:sz w:val="22"/>
                <w:szCs w:val="22"/>
              </w:rPr>
              <w:t>cap should be considered.</w:t>
            </w:r>
          </w:p>
          <w:p w14:paraId="1F34ADEF" w14:textId="77777777" w:rsidR="008127C1" w:rsidRPr="00514B21" w:rsidRDefault="008127C1" w:rsidP="008261D6">
            <w:pPr>
              <w:rPr>
                <w:rFonts w:asciiTheme="minorHAnsi" w:hAnsiTheme="minorHAnsi" w:cstheme="minorHAnsi"/>
                <w:sz w:val="22"/>
                <w:szCs w:val="22"/>
              </w:rPr>
            </w:pPr>
          </w:p>
          <w:p w14:paraId="75E9685A" w14:textId="01762D1F" w:rsidR="008127C1" w:rsidRPr="00514B21" w:rsidRDefault="008127C1" w:rsidP="008261D6">
            <w:pPr>
              <w:rPr>
                <w:rFonts w:asciiTheme="minorHAnsi" w:hAnsiTheme="minorHAnsi" w:cstheme="minorHAnsi"/>
                <w:sz w:val="22"/>
                <w:szCs w:val="22"/>
              </w:rPr>
            </w:pPr>
          </w:p>
        </w:tc>
      </w:tr>
      <w:tr w:rsidR="005C4450" w:rsidRPr="00514B21" w14:paraId="388A2D65" w14:textId="77777777" w:rsidTr="008261D6">
        <w:trPr>
          <w:trHeight w:val="788"/>
        </w:trPr>
        <w:tc>
          <w:tcPr>
            <w:tcW w:w="1432" w:type="dxa"/>
          </w:tcPr>
          <w:p w14:paraId="3739BC9C" w14:textId="48E66448" w:rsidR="005C4450" w:rsidRPr="00514B21" w:rsidRDefault="005C4450" w:rsidP="008261D6">
            <w:pPr>
              <w:rPr>
                <w:rFonts w:asciiTheme="minorHAnsi" w:hAnsiTheme="minorHAnsi" w:cstheme="minorHAnsi"/>
                <w:sz w:val="22"/>
                <w:szCs w:val="22"/>
              </w:rPr>
            </w:pPr>
            <w:r w:rsidRPr="00514B21">
              <w:rPr>
                <w:rFonts w:asciiTheme="minorHAnsi" w:hAnsiTheme="minorHAnsi" w:cstheme="minorHAnsi"/>
                <w:sz w:val="22"/>
                <w:szCs w:val="22"/>
              </w:rPr>
              <w:t>Stewardship and surveillance requirements</w:t>
            </w:r>
            <w:r w:rsidR="00D060F2" w:rsidRPr="00514B21">
              <w:rPr>
                <w:rFonts w:asciiTheme="minorHAnsi" w:hAnsiTheme="minorHAnsi" w:cstheme="minorHAnsi"/>
                <w:sz w:val="22"/>
                <w:szCs w:val="22"/>
              </w:rPr>
              <w:t xml:space="preserve"> in the contract</w:t>
            </w:r>
          </w:p>
        </w:tc>
        <w:tc>
          <w:tcPr>
            <w:tcW w:w="2674" w:type="dxa"/>
          </w:tcPr>
          <w:p w14:paraId="70ABECF8" w14:textId="4C5DF8ED" w:rsidR="005C4450" w:rsidRPr="00514B21" w:rsidRDefault="005C4450" w:rsidP="008261D6">
            <w:pPr>
              <w:pStyle w:val="ListParagraph"/>
              <w:numPr>
                <w:ilvl w:val="0"/>
                <w:numId w:val="43"/>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Surveillance </w:t>
            </w:r>
            <w:r w:rsidR="003D1110" w:rsidRPr="00514B21">
              <w:rPr>
                <w:rFonts w:asciiTheme="minorHAnsi" w:hAnsiTheme="minorHAnsi" w:cstheme="minorHAnsi"/>
                <w:sz w:val="22"/>
                <w:szCs w:val="22"/>
              </w:rPr>
              <w:t xml:space="preserve">requirements are </w:t>
            </w:r>
            <w:r w:rsidR="00873592" w:rsidRPr="00514B21">
              <w:rPr>
                <w:rFonts w:asciiTheme="minorHAnsi" w:hAnsiTheme="minorHAnsi" w:cstheme="minorHAnsi"/>
                <w:sz w:val="22"/>
                <w:szCs w:val="22"/>
              </w:rPr>
              <w:t xml:space="preserve">important for generating data to estimate burden of resistant infections and value of future </w:t>
            </w:r>
            <w:r w:rsidR="003D1110" w:rsidRPr="00514B21">
              <w:rPr>
                <w:rFonts w:asciiTheme="minorHAnsi" w:hAnsiTheme="minorHAnsi" w:cstheme="minorHAnsi"/>
                <w:sz w:val="22"/>
                <w:szCs w:val="22"/>
              </w:rPr>
              <w:t>antimicrobials</w:t>
            </w:r>
            <w:r w:rsidR="00D20CDF">
              <w:rPr>
                <w:rFonts w:asciiTheme="minorHAnsi" w:hAnsiTheme="minorHAnsi" w:cstheme="minorHAnsi"/>
                <w:sz w:val="22"/>
                <w:szCs w:val="22"/>
              </w:rPr>
              <w:t>.</w:t>
            </w:r>
            <w:r w:rsidR="003D1110" w:rsidRPr="00514B21">
              <w:rPr>
                <w:rFonts w:asciiTheme="minorHAnsi" w:hAnsiTheme="minorHAnsi" w:cstheme="minorHAnsi"/>
                <w:sz w:val="22"/>
                <w:szCs w:val="22"/>
              </w:rPr>
              <w:t xml:space="preserve"> </w:t>
            </w:r>
            <w:r w:rsidR="00873592" w:rsidRPr="00514B21">
              <w:rPr>
                <w:rFonts w:asciiTheme="minorHAnsi" w:hAnsiTheme="minorHAnsi" w:cstheme="minorHAnsi"/>
                <w:i/>
                <w:iCs/>
                <w:sz w:val="22"/>
                <w:szCs w:val="22"/>
              </w:rPr>
              <w:t>[Industr</w:t>
            </w:r>
            <w:r w:rsidR="00A61964">
              <w:rPr>
                <w:rFonts w:asciiTheme="minorHAnsi" w:hAnsiTheme="minorHAnsi" w:cstheme="minorHAnsi"/>
                <w:i/>
                <w:iCs/>
                <w:sz w:val="22"/>
                <w:szCs w:val="22"/>
              </w:rPr>
              <w:t>y and</w:t>
            </w:r>
            <w:r w:rsidR="006018C2" w:rsidRPr="00514B21">
              <w:rPr>
                <w:rFonts w:asciiTheme="minorHAnsi" w:hAnsiTheme="minorHAnsi" w:cstheme="minorHAnsi"/>
                <w:i/>
                <w:iCs/>
                <w:sz w:val="22"/>
                <w:szCs w:val="22"/>
              </w:rPr>
              <w:t xml:space="preserve"> KOL</w:t>
            </w:r>
            <w:r w:rsidR="00873592" w:rsidRPr="00514B21">
              <w:rPr>
                <w:rFonts w:asciiTheme="minorHAnsi" w:hAnsiTheme="minorHAnsi" w:cstheme="minorHAnsi"/>
                <w:i/>
                <w:iCs/>
                <w:sz w:val="22"/>
                <w:szCs w:val="22"/>
              </w:rPr>
              <w:t>]</w:t>
            </w:r>
          </w:p>
          <w:p w14:paraId="4CB08549" w14:textId="4C238A9E" w:rsidR="00873592" w:rsidRPr="00514B21" w:rsidRDefault="008261D7" w:rsidP="008261D6">
            <w:pPr>
              <w:pStyle w:val="ListParagraph"/>
              <w:numPr>
                <w:ilvl w:val="0"/>
                <w:numId w:val="43"/>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Strong support for stewardship </w:t>
            </w:r>
            <w:r w:rsidR="006018C2" w:rsidRPr="00514B21">
              <w:rPr>
                <w:rFonts w:asciiTheme="minorHAnsi" w:hAnsiTheme="minorHAnsi" w:cstheme="minorHAnsi"/>
                <w:sz w:val="22"/>
                <w:szCs w:val="22"/>
              </w:rPr>
              <w:t>requirements</w:t>
            </w:r>
            <w:r w:rsidR="00D20CDF">
              <w:rPr>
                <w:rFonts w:asciiTheme="minorHAnsi" w:hAnsiTheme="minorHAnsi" w:cstheme="minorHAnsi"/>
                <w:sz w:val="22"/>
                <w:szCs w:val="22"/>
              </w:rPr>
              <w:t>.</w:t>
            </w:r>
            <w:r w:rsidR="006018C2" w:rsidRPr="00514B21">
              <w:rPr>
                <w:rFonts w:asciiTheme="minorHAnsi" w:hAnsiTheme="minorHAnsi" w:cstheme="minorHAnsi"/>
                <w:sz w:val="22"/>
                <w:szCs w:val="22"/>
              </w:rPr>
              <w:t xml:space="preserve"> </w:t>
            </w:r>
            <w:r w:rsidR="009F5691" w:rsidRPr="00514B21">
              <w:rPr>
                <w:rFonts w:asciiTheme="minorHAnsi" w:hAnsiTheme="minorHAnsi" w:cstheme="minorHAnsi"/>
                <w:i/>
                <w:iCs/>
                <w:sz w:val="22"/>
                <w:szCs w:val="22"/>
              </w:rPr>
              <w:t>[Industry]</w:t>
            </w:r>
          </w:p>
          <w:p w14:paraId="3D057A13" w14:textId="5DB88022" w:rsidR="002D2D76" w:rsidRPr="00514B21" w:rsidRDefault="00D060F2" w:rsidP="008261D6">
            <w:pPr>
              <w:pStyle w:val="ListParagraph"/>
              <w:numPr>
                <w:ilvl w:val="0"/>
                <w:numId w:val="43"/>
              </w:numPr>
              <w:contextualSpacing w:val="0"/>
              <w:rPr>
                <w:rFonts w:asciiTheme="minorHAnsi" w:hAnsiTheme="minorHAnsi" w:cstheme="minorHAnsi"/>
                <w:sz w:val="22"/>
                <w:szCs w:val="22"/>
              </w:rPr>
            </w:pPr>
            <w:r w:rsidRPr="00514B21">
              <w:rPr>
                <w:rFonts w:asciiTheme="minorHAnsi" w:hAnsiTheme="minorHAnsi" w:cstheme="minorHAnsi"/>
                <w:sz w:val="22"/>
                <w:szCs w:val="22"/>
              </w:rPr>
              <w:t>S</w:t>
            </w:r>
            <w:r w:rsidR="002D2D76" w:rsidRPr="00514B21">
              <w:rPr>
                <w:rFonts w:asciiTheme="minorHAnsi" w:hAnsiTheme="minorHAnsi" w:cstheme="minorHAnsi"/>
                <w:sz w:val="22"/>
                <w:szCs w:val="22"/>
              </w:rPr>
              <w:t xml:space="preserve">ales data indicate that usage </w:t>
            </w:r>
            <w:r w:rsidRPr="00514B21">
              <w:rPr>
                <w:rFonts w:asciiTheme="minorHAnsi" w:hAnsiTheme="minorHAnsi" w:cstheme="minorHAnsi"/>
                <w:sz w:val="22"/>
                <w:szCs w:val="22"/>
              </w:rPr>
              <w:t xml:space="preserve">has not dramatically changed since </w:t>
            </w:r>
            <w:r w:rsidR="002D2D76" w:rsidRPr="00514B21">
              <w:rPr>
                <w:rFonts w:asciiTheme="minorHAnsi" w:hAnsiTheme="minorHAnsi" w:cstheme="minorHAnsi"/>
                <w:sz w:val="22"/>
                <w:szCs w:val="22"/>
              </w:rPr>
              <w:t xml:space="preserve">introducing </w:t>
            </w:r>
            <w:r w:rsidRPr="00514B21">
              <w:rPr>
                <w:rFonts w:asciiTheme="minorHAnsi" w:hAnsiTheme="minorHAnsi" w:cstheme="minorHAnsi"/>
                <w:sz w:val="22"/>
                <w:szCs w:val="22"/>
              </w:rPr>
              <w:t xml:space="preserve">the new </w:t>
            </w:r>
            <w:r w:rsidR="002D2D76" w:rsidRPr="00514B21">
              <w:rPr>
                <w:rFonts w:asciiTheme="minorHAnsi" w:hAnsiTheme="minorHAnsi" w:cstheme="minorHAnsi"/>
                <w:sz w:val="22"/>
                <w:szCs w:val="22"/>
              </w:rPr>
              <w:t>invoice price</w:t>
            </w:r>
            <w:r w:rsidR="002D2D76" w:rsidRPr="00514B21">
              <w:rPr>
                <w:rFonts w:asciiTheme="minorHAnsi" w:hAnsiTheme="minorHAnsi" w:cstheme="minorHAnsi"/>
                <w:i/>
                <w:iCs/>
                <w:sz w:val="22"/>
                <w:szCs w:val="22"/>
              </w:rPr>
              <w:t>. [Industry]</w:t>
            </w:r>
          </w:p>
        </w:tc>
        <w:tc>
          <w:tcPr>
            <w:tcW w:w="5139" w:type="dxa"/>
          </w:tcPr>
          <w:p w14:paraId="7A9B252D" w14:textId="6B92B139" w:rsidR="005C4450" w:rsidRPr="00514B21" w:rsidRDefault="006018C2" w:rsidP="008261D6">
            <w:pPr>
              <w:pStyle w:val="ListParagraph"/>
              <w:numPr>
                <w:ilvl w:val="0"/>
                <w:numId w:val="42"/>
              </w:numPr>
              <w:contextualSpacing w:val="0"/>
              <w:rPr>
                <w:rFonts w:asciiTheme="minorHAnsi" w:hAnsiTheme="minorHAnsi" w:cstheme="minorHAnsi"/>
                <w:sz w:val="22"/>
                <w:szCs w:val="22"/>
              </w:rPr>
            </w:pPr>
            <w:r w:rsidRPr="00514B21">
              <w:rPr>
                <w:rFonts w:asciiTheme="minorHAnsi" w:hAnsiTheme="minorHAnsi" w:cstheme="minorHAnsi"/>
                <w:sz w:val="22"/>
                <w:szCs w:val="22"/>
              </w:rPr>
              <w:t>D</w:t>
            </w:r>
            <w:r w:rsidR="008127C1" w:rsidRPr="00514B21">
              <w:rPr>
                <w:rFonts w:asciiTheme="minorHAnsi" w:hAnsiTheme="minorHAnsi" w:cstheme="minorHAnsi"/>
                <w:sz w:val="22"/>
                <w:szCs w:val="22"/>
              </w:rPr>
              <w:t xml:space="preserve">ifficult to commit to </w:t>
            </w:r>
            <w:r w:rsidRPr="00514B21">
              <w:rPr>
                <w:rFonts w:asciiTheme="minorHAnsi" w:hAnsiTheme="minorHAnsi" w:cstheme="minorHAnsi"/>
                <w:sz w:val="22"/>
                <w:szCs w:val="22"/>
              </w:rPr>
              <w:t xml:space="preserve">the British Society for Antimicrobial Chemotherapy (BSAC)’s UK antimicrobial registry </w:t>
            </w:r>
            <w:r w:rsidR="008127C1" w:rsidRPr="00514B21">
              <w:rPr>
                <w:rFonts w:asciiTheme="minorHAnsi" w:hAnsiTheme="minorHAnsi" w:cstheme="minorHAnsi"/>
                <w:sz w:val="22"/>
                <w:szCs w:val="22"/>
              </w:rPr>
              <w:t xml:space="preserve">at the contractual phase because </w:t>
            </w:r>
            <w:r w:rsidRPr="00514B21">
              <w:rPr>
                <w:rFonts w:asciiTheme="minorHAnsi" w:hAnsiTheme="minorHAnsi" w:cstheme="minorHAnsi"/>
                <w:sz w:val="22"/>
                <w:szCs w:val="22"/>
              </w:rPr>
              <w:t xml:space="preserve">the registry’s requirements </w:t>
            </w:r>
            <w:r w:rsidR="008127C1" w:rsidRPr="00514B21">
              <w:rPr>
                <w:rFonts w:asciiTheme="minorHAnsi" w:hAnsiTheme="minorHAnsi" w:cstheme="minorHAnsi"/>
                <w:sz w:val="22"/>
                <w:szCs w:val="22"/>
              </w:rPr>
              <w:t>were yet to be finalised</w:t>
            </w:r>
            <w:r w:rsidR="00D20CDF">
              <w:rPr>
                <w:rFonts w:asciiTheme="minorHAnsi" w:hAnsiTheme="minorHAnsi" w:cstheme="minorHAnsi"/>
                <w:sz w:val="22"/>
                <w:szCs w:val="22"/>
              </w:rPr>
              <w:t>.</w:t>
            </w:r>
            <w:r w:rsidR="008127C1" w:rsidRPr="00514B21">
              <w:rPr>
                <w:rFonts w:asciiTheme="minorHAnsi" w:hAnsiTheme="minorHAnsi" w:cstheme="minorHAnsi"/>
                <w:sz w:val="22"/>
                <w:szCs w:val="22"/>
              </w:rPr>
              <w:t xml:space="preserve"> </w:t>
            </w:r>
            <w:r w:rsidR="008127C1" w:rsidRPr="00514B21">
              <w:rPr>
                <w:rFonts w:asciiTheme="minorHAnsi" w:hAnsiTheme="minorHAnsi" w:cstheme="minorHAnsi"/>
                <w:i/>
                <w:iCs/>
                <w:sz w:val="22"/>
                <w:szCs w:val="22"/>
              </w:rPr>
              <w:t>[Industry]</w:t>
            </w:r>
          </w:p>
          <w:p w14:paraId="37525647" w14:textId="41B72967" w:rsidR="008127C1" w:rsidRPr="00514B21" w:rsidRDefault="008127C1" w:rsidP="008261D6">
            <w:pPr>
              <w:pStyle w:val="ListParagraph"/>
              <w:numPr>
                <w:ilvl w:val="0"/>
                <w:numId w:val="42"/>
              </w:numPr>
              <w:contextualSpacing w:val="0"/>
              <w:rPr>
                <w:rFonts w:asciiTheme="minorHAnsi" w:hAnsiTheme="minorHAnsi" w:cstheme="minorHAnsi"/>
                <w:sz w:val="22"/>
                <w:szCs w:val="22"/>
              </w:rPr>
            </w:pPr>
            <w:r w:rsidRPr="00514B21">
              <w:rPr>
                <w:rFonts w:asciiTheme="minorHAnsi" w:hAnsiTheme="minorHAnsi" w:cstheme="minorHAnsi"/>
                <w:sz w:val="22"/>
                <w:szCs w:val="22"/>
              </w:rPr>
              <w:t>Us</w:t>
            </w:r>
            <w:r w:rsidR="00021839" w:rsidRPr="00514B21">
              <w:rPr>
                <w:rFonts w:asciiTheme="minorHAnsi" w:hAnsiTheme="minorHAnsi" w:cstheme="minorHAnsi"/>
                <w:sz w:val="22"/>
                <w:szCs w:val="22"/>
              </w:rPr>
              <w:t>ing</w:t>
            </w:r>
            <w:r w:rsidRPr="00514B21">
              <w:rPr>
                <w:rFonts w:asciiTheme="minorHAnsi" w:hAnsiTheme="minorHAnsi" w:cstheme="minorHAnsi"/>
                <w:sz w:val="22"/>
                <w:szCs w:val="22"/>
              </w:rPr>
              <w:t xml:space="preserve"> </w:t>
            </w:r>
            <w:proofErr w:type="spellStart"/>
            <w:r w:rsidRPr="00514B21">
              <w:rPr>
                <w:rFonts w:asciiTheme="minorHAnsi" w:hAnsiTheme="minorHAnsi" w:cstheme="minorHAnsi"/>
                <w:sz w:val="22"/>
                <w:szCs w:val="22"/>
              </w:rPr>
              <w:t>Blueteq</w:t>
            </w:r>
            <w:proofErr w:type="spellEnd"/>
            <w:r w:rsidRPr="00514B21">
              <w:rPr>
                <w:rFonts w:asciiTheme="minorHAnsi" w:hAnsiTheme="minorHAnsi" w:cstheme="minorHAnsi"/>
                <w:sz w:val="22"/>
                <w:szCs w:val="22"/>
              </w:rPr>
              <w:t xml:space="preserve"> forms to monitor usage will be difficult </w:t>
            </w:r>
            <w:r w:rsidR="00021839" w:rsidRPr="00514B21">
              <w:rPr>
                <w:rFonts w:asciiTheme="minorHAnsi" w:hAnsiTheme="minorHAnsi" w:cstheme="minorHAnsi"/>
                <w:sz w:val="22"/>
                <w:szCs w:val="22"/>
              </w:rPr>
              <w:t xml:space="preserve">because </w:t>
            </w:r>
            <w:r w:rsidRPr="00514B21">
              <w:rPr>
                <w:rFonts w:asciiTheme="minorHAnsi" w:hAnsiTheme="minorHAnsi" w:cstheme="minorHAnsi"/>
                <w:sz w:val="22"/>
                <w:szCs w:val="22"/>
              </w:rPr>
              <w:t>they are not mandatory</w:t>
            </w:r>
            <w:r w:rsidR="00D20CDF">
              <w:rPr>
                <w:rFonts w:asciiTheme="minorHAnsi" w:hAnsiTheme="minorHAnsi" w:cstheme="minorHAnsi"/>
                <w:sz w:val="22"/>
                <w:szCs w:val="22"/>
              </w:rPr>
              <w:t>.</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[Committee member</w:t>
            </w:r>
            <w:r w:rsidR="00A61964">
              <w:rPr>
                <w:rFonts w:asciiTheme="minorHAnsi" w:hAnsiTheme="minorHAnsi" w:cstheme="minorHAnsi"/>
                <w:i/>
                <w:iCs/>
                <w:sz w:val="22"/>
                <w:szCs w:val="22"/>
              </w:rPr>
              <w:t xml:space="preserve"> and</w:t>
            </w:r>
            <w:r w:rsidR="007B0518" w:rsidRPr="00514B21">
              <w:rPr>
                <w:rFonts w:asciiTheme="minorHAnsi" w:hAnsiTheme="minorHAnsi" w:cstheme="minorHAnsi"/>
                <w:i/>
                <w:iCs/>
                <w:sz w:val="22"/>
                <w:szCs w:val="22"/>
              </w:rPr>
              <w:t xml:space="preserve"> Industry</w:t>
            </w:r>
            <w:r w:rsidRPr="00514B21">
              <w:rPr>
                <w:rFonts w:asciiTheme="minorHAnsi" w:hAnsiTheme="minorHAnsi" w:cstheme="minorHAnsi"/>
                <w:i/>
                <w:iCs/>
                <w:sz w:val="22"/>
                <w:szCs w:val="22"/>
              </w:rPr>
              <w:t>]</w:t>
            </w:r>
          </w:p>
          <w:p w14:paraId="5C4ABAA5" w14:textId="74ED20FF" w:rsidR="00873592" w:rsidRPr="00514B21" w:rsidRDefault="00021839" w:rsidP="008261D6">
            <w:pPr>
              <w:pStyle w:val="ListParagraph"/>
              <w:numPr>
                <w:ilvl w:val="0"/>
                <w:numId w:val="42"/>
              </w:numPr>
              <w:contextualSpacing w:val="0"/>
              <w:rPr>
                <w:rFonts w:asciiTheme="minorHAnsi" w:hAnsiTheme="minorHAnsi" w:cstheme="minorHAnsi"/>
                <w:sz w:val="22"/>
                <w:szCs w:val="22"/>
              </w:rPr>
            </w:pPr>
            <w:r w:rsidRPr="00514B21">
              <w:rPr>
                <w:rFonts w:asciiTheme="minorHAnsi" w:hAnsiTheme="minorHAnsi" w:cstheme="minorHAnsi"/>
                <w:sz w:val="22"/>
                <w:szCs w:val="22"/>
              </w:rPr>
              <w:t>Committee should have a bigger role in s</w:t>
            </w:r>
            <w:r w:rsidR="00873592" w:rsidRPr="00514B21">
              <w:rPr>
                <w:rFonts w:asciiTheme="minorHAnsi" w:hAnsiTheme="minorHAnsi" w:cstheme="minorHAnsi"/>
                <w:sz w:val="22"/>
                <w:szCs w:val="22"/>
              </w:rPr>
              <w:t xml:space="preserve">etting </w:t>
            </w:r>
            <w:r w:rsidRPr="00514B21">
              <w:rPr>
                <w:rFonts w:asciiTheme="minorHAnsi" w:hAnsiTheme="minorHAnsi" w:cstheme="minorHAnsi"/>
                <w:sz w:val="22"/>
                <w:szCs w:val="22"/>
              </w:rPr>
              <w:t xml:space="preserve">the hospital </w:t>
            </w:r>
            <w:r w:rsidR="00873592" w:rsidRPr="00514B21">
              <w:rPr>
                <w:rFonts w:asciiTheme="minorHAnsi" w:hAnsiTheme="minorHAnsi" w:cstheme="minorHAnsi"/>
                <w:sz w:val="22"/>
                <w:szCs w:val="22"/>
              </w:rPr>
              <w:t>invoice price</w:t>
            </w:r>
            <w:r w:rsidRPr="00514B21">
              <w:rPr>
                <w:rFonts w:asciiTheme="minorHAnsi" w:hAnsiTheme="minorHAnsi" w:cstheme="minorHAnsi"/>
                <w:sz w:val="22"/>
                <w:szCs w:val="22"/>
              </w:rPr>
              <w:t xml:space="preserve">. Unintended stewardship consequences of current price </w:t>
            </w:r>
            <w:r w:rsidR="00873592" w:rsidRPr="00514B21">
              <w:rPr>
                <w:rFonts w:asciiTheme="minorHAnsi" w:hAnsiTheme="minorHAnsi" w:cstheme="minorHAnsi"/>
                <w:sz w:val="22"/>
                <w:szCs w:val="22"/>
              </w:rPr>
              <w:t>should be carefully monitored</w:t>
            </w:r>
            <w:r w:rsidR="00D20CDF">
              <w:rPr>
                <w:rFonts w:asciiTheme="minorHAnsi" w:hAnsiTheme="minorHAnsi" w:cstheme="minorHAnsi"/>
                <w:sz w:val="22"/>
                <w:szCs w:val="22"/>
              </w:rPr>
              <w:t>.</w:t>
            </w:r>
            <w:r w:rsidR="00873592" w:rsidRPr="00514B21">
              <w:rPr>
                <w:rFonts w:asciiTheme="minorHAnsi" w:hAnsiTheme="minorHAnsi" w:cstheme="minorHAnsi"/>
                <w:sz w:val="22"/>
                <w:szCs w:val="22"/>
              </w:rPr>
              <w:t xml:space="preserve"> </w:t>
            </w:r>
            <w:r w:rsidR="00873592" w:rsidRPr="00514B21">
              <w:rPr>
                <w:rFonts w:asciiTheme="minorHAnsi" w:hAnsiTheme="minorHAnsi" w:cstheme="minorHAnsi"/>
                <w:i/>
                <w:iCs/>
                <w:sz w:val="22"/>
                <w:szCs w:val="22"/>
              </w:rPr>
              <w:t>[Committee member</w:t>
            </w:r>
            <w:r w:rsidR="00A61964">
              <w:rPr>
                <w:rFonts w:asciiTheme="minorHAnsi" w:hAnsiTheme="minorHAnsi" w:cstheme="minorHAnsi"/>
                <w:i/>
                <w:iCs/>
                <w:sz w:val="22"/>
                <w:szCs w:val="22"/>
              </w:rPr>
              <w:t xml:space="preserve">, </w:t>
            </w:r>
            <w:proofErr w:type="gramStart"/>
            <w:r w:rsidR="00873592" w:rsidRPr="00514B21">
              <w:rPr>
                <w:rFonts w:asciiTheme="minorHAnsi" w:hAnsiTheme="minorHAnsi" w:cstheme="minorHAnsi"/>
                <w:i/>
                <w:iCs/>
                <w:sz w:val="22"/>
                <w:szCs w:val="22"/>
              </w:rPr>
              <w:t>KOL</w:t>
            </w:r>
            <w:proofErr w:type="gramEnd"/>
            <w:r w:rsidR="00A61964">
              <w:rPr>
                <w:rFonts w:asciiTheme="minorHAnsi" w:hAnsiTheme="minorHAnsi" w:cstheme="minorHAnsi"/>
                <w:i/>
                <w:iCs/>
                <w:sz w:val="22"/>
                <w:szCs w:val="22"/>
              </w:rPr>
              <w:t xml:space="preserve"> and</w:t>
            </w:r>
            <w:r w:rsidR="00873592" w:rsidRPr="00514B21">
              <w:rPr>
                <w:rFonts w:asciiTheme="minorHAnsi" w:hAnsiTheme="minorHAnsi" w:cstheme="minorHAnsi"/>
                <w:i/>
                <w:iCs/>
                <w:sz w:val="22"/>
                <w:szCs w:val="22"/>
              </w:rPr>
              <w:t xml:space="preserve"> Industry]</w:t>
            </w:r>
          </w:p>
          <w:p w14:paraId="0E70C223" w14:textId="5412D971" w:rsidR="0007097A" w:rsidRPr="00514B21" w:rsidRDefault="0007097A" w:rsidP="008261D6">
            <w:pPr>
              <w:pStyle w:val="ListParagraph"/>
              <w:numPr>
                <w:ilvl w:val="0"/>
                <w:numId w:val="42"/>
              </w:numPr>
              <w:contextualSpacing w:val="0"/>
              <w:rPr>
                <w:rFonts w:asciiTheme="minorHAnsi" w:hAnsiTheme="minorHAnsi" w:cstheme="minorHAnsi"/>
                <w:sz w:val="22"/>
                <w:szCs w:val="22"/>
              </w:rPr>
            </w:pPr>
            <w:r w:rsidRPr="00514B21">
              <w:rPr>
                <w:rFonts w:asciiTheme="minorHAnsi" w:hAnsiTheme="minorHAnsi" w:cstheme="minorHAnsi"/>
                <w:sz w:val="22"/>
                <w:szCs w:val="22"/>
              </w:rPr>
              <w:t>Learnings from pilot can be used to inform what type of surveillance studies would be most useful for modelling</w:t>
            </w:r>
            <w:r w:rsidR="00D20CDF">
              <w:rPr>
                <w:rFonts w:asciiTheme="minorHAnsi" w:hAnsiTheme="minorHAnsi" w:cstheme="minorHAnsi"/>
                <w:sz w:val="22"/>
                <w:szCs w:val="22"/>
              </w:rPr>
              <w:t>.</w:t>
            </w:r>
            <w:r w:rsidRPr="00514B21">
              <w:rPr>
                <w:rFonts w:asciiTheme="minorHAnsi" w:hAnsiTheme="minorHAnsi" w:cstheme="minorHAnsi"/>
                <w:i/>
                <w:iCs/>
                <w:sz w:val="22"/>
                <w:szCs w:val="22"/>
              </w:rPr>
              <w:t xml:space="preserve"> [Academia]</w:t>
            </w:r>
          </w:p>
          <w:p w14:paraId="1628F6BC" w14:textId="336D341D" w:rsidR="005705CA" w:rsidRPr="00514B21" w:rsidRDefault="005705CA" w:rsidP="008261D6">
            <w:pPr>
              <w:pStyle w:val="ListParagraph"/>
              <w:numPr>
                <w:ilvl w:val="0"/>
                <w:numId w:val="42"/>
              </w:numPr>
              <w:contextualSpacing w:val="0"/>
              <w:rPr>
                <w:rFonts w:asciiTheme="minorHAnsi" w:hAnsiTheme="minorHAnsi" w:cstheme="minorHAnsi"/>
                <w:sz w:val="22"/>
                <w:szCs w:val="22"/>
              </w:rPr>
            </w:pPr>
            <w:r w:rsidRPr="00514B21">
              <w:rPr>
                <w:rFonts w:asciiTheme="minorHAnsi" w:hAnsiTheme="minorHAnsi" w:cstheme="minorHAnsi"/>
                <w:sz w:val="22"/>
                <w:szCs w:val="22"/>
              </w:rPr>
              <w:t>We shouldn’t rely on price to enact good stewardship</w:t>
            </w:r>
            <w:r w:rsidR="00D20CDF">
              <w:rPr>
                <w:rFonts w:asciiTheme="minorHAnsi" w:hAnsiTheme="minorHAnsi" w:cstheme="minorHAnsi"/>
                <w:sz w:val="22"/>
                <w:szCs w:val="22"/>
              </w:rPr>
              <w:t>.</w:t>
            </w:r>
            <w:r w:rsidRPr="00514B21">
              <w:rPr>
                <w:rFonts w:asciiTheme="minorHAnsi" w:hAnsiTheme="minorHAnsi" w:cstheme="minorHAnsi"/>
                <w:sz w:val="22"/>
                <w:szCs w:val="22"/>
              </w:rPr>
              <w:t xml:space="preserve"> </w:t>
            </w:r>
            <w:r w:rsidR="00F875DD" w:rsidRPr="00514B21">
              <w:rPr>
                <w:rFonts w:asciiTheme="minorHAnsi" w:hAnsiTheme="minorHAnsi" w:cstheme="minorHAnsi"/>
                <w:i/>
                <w:iCs/>
                <w:sz w:val="22"/>
                <w:szCs w:val="22"/>
              </w:rPr>
              <w:t>[Academia]</w:t>
            </w:r>
          </w:p>
        </w:tc>
        <w:tc>
          <w:tcPr>
            <w:tcW w:w="2105" w:type="dxa"/>
          </w:tcPr>
          <w:p w14:paraId="34ACC018" w14:textId="7F9C3A8C" w:rsidR="009877A3" w:rsidRPr="00514B21" w:rsidRDefault="009877A3" w:rsidP="008261D6">
            <w:pPr>
              <w:rPr>
                <w:rFonts w:asciiTheme="minorHAnsi" w:hAnsiTheme="minorHAnsi" w:cstheme="minorHAnsi"/>
                <w:sz w:val="22"/>
                <w:szCs w:val="22"/>
              </w:rPr>
            </w:pPr>
            <w:r w:rsidRPr="00514B21">
              <w:rPr>
                <w:rFonts w:asciiTheme="minorHAnsi" w:hAnsiTheme="minorHAnsi" w:cstheme="minorHAnsi"/>
                <w:sz w:val="22"/>
                <w:szCs w:val="22"/>
              </w:rPr>
              <w:t xml:space="preserve">Good stewardship and surveillance </w:t>
            </w:r>
            <w:proofErr w:type="gramStart"/>
            <w:r w:rsidRPr="00514B21">
              <w:rPr>
                <w:rFonts w:asciiTheme="minorHAnsi" w:hAnsiTheme="minorHAnsi" w:cstheme="minorHAnsi"/>
                <w:sz w:val="22"/>
                <w:szCs w:val="22"/>
              </w:rPr>
              <w:t>mitigates</w:t>
            </w:r>
            <w:proofErr w:type="gramEnd"/>
            <w:r w:rsidRPr="00514B21">
              <w:rPr>
                <w:rFonts w:asciiTheme="minorHAnsi" w:hAnsiTheme="minorHAnsi" w:cstheme="minorHAnsi"/>
                <w:sz w:val="22"/>
                <w:szCs w:val="22"/>
              </w:rPr>
              <w:t xml:space="preserve"> against increased resistance to a new antimicrobial. </w:t>
            </w:r>
          </w:p>
          <w:p w14:paraId="3C8E36E1" w14:textId="107786F2" w:rsidR="005C4450" w:rsidRPr="00514B21" w:rsidRDefault="0089720F" w:rsidP="008261D6">
            <w:pPr>
              <w:rPr>
                <w:rFonts w:asciiTheme="minorHAnsi" w:hAnsiTheme="minorHAnsi" w:cstheme="minorHAnsi"/>
                <w:sz w:val="22"/>
                <w:szCs w:val="22"/>
              </w:rPr>
            </w:pPr>
            <w:r w:rsidRPr="00514B21">
              <w:rPr>
                <w:rFonts w:asciiTheme="minorHAnsi" w:hAnsiTheme="minorHAnsi" w:cstheme="minorHAnsi"/>
                <w:sz w:val="22"/>
                <w:szCs w:val="22"/>
              </w:rPr>
              <w:t xml:space="preserve">Surveillance can help inform future assessment of </w:t>
            </w:r>
            <w:r w:rsidR="00021839" w:rsidRPr="00514B21">
              <w:rPr>
                <w:rFonts w:asciiTheme="minorHAnsi" w:hAnsiTheme="minorHAnsi" w:cstheme="minorHAnsi"/>
                <w:sz w:val="22"/>
                <w:szCs w:val="22"/>
              </w:rPr>
              <w:t xml:space="preserve">antimicrobial </w:t>
            </w:r>
            <w:r w:rsidRPr="00514B21">
              <w:rPr>
                <w:rFonts w:asciiTheme="minorHAnsi" w:hAnsiTheme="minorHAnsi" w:cstheme="minorHAnsi"/>
                <w:sz w:val="22"/>
                <w:szCs w:val="22"/>
              </w:rPr>
              <w:t>value.</w:t>
            </w:r>
          </w:p>
        </w:tc>
        <w:tc>
          <w:tcPr>
            <w:tcW w:w="1828" w:type="dxa"/>
          </w:tcPr>
          <w:p w14:paraId="2F7740B8" w14:textId="3114829E" w:rsidR="005C4450" w:rsidRDefault="0089720F" w:rsidP="008261D6">
            <w:pPr>
              <w:rPr>
                <w:rFonts w:asciiTheme="minorHAnsi" w:hAnsiTheme="minorHAnsi" w:cstheme="minorHAnsi"/>
                <w:sz w:val="22"/>
                <w:szCs w:val="22"/>
              </w:rPr>
            </w:pPr>
            <w:r w:rsidRPr="00514B21">
              <w:rPr>
                <w:rFonts w:asciiTheme="minorHAnsi" w:hAnsiTheme="minorHAnsi" w:cstheme="minorHAnsi"/>
                <w:sz w:val="22"/>
                <w:szCs w:val="22"/>
              </w:rPr>
              <w:t xml:space="preserve">More committee time would have been helpful to </w:t>
            </w:r>
            <w:r w:rsidR="00D060F2" w:rsidRPr="00514B21">
              <w:rPr>
                <w:rFonts w:asciiTheme="minorHAnsi" w:hAnsiTheme="minorHAnsi" w:cstheme="minorHAnsi"/>
                <w:sz w:val="22"/>
                <w:szCs w:val="22"/>
              </w:rPr>
              <w:t xml:space="preserve">inform </w:t>
            </w:r>
            <w:r w:rsidRPr="00514B21">
              <w:rPr>
                <w:rFonts w:asciiTheme="minorHAnsi" w:hAnsiTheme="minorHAnsi" w:cstheme="minorHAnsi"/>
                <w:sz w:val="22"/>
                <w:szCs w:val="22"/>
              </w:rPr>
              <w:t>appropriate invoice price</w:t>
            </w:r>
            <w:r w:rsidR="00D060F2" w:rsidRPr="00514B21">
              <w:rPr>
                <w:rFonts w:asciiTheme="minorHAnsi" w:hAnsiTheme="minorHAnsi" w:cstheme="minorHAnsi"/>
                <w:sz w:val="22"/>
                <w:szCs w:val="22"/>
              </w:rPr>
              <w:t>s</w:t>
            </w:r>
            <w:r w:rsidRPr="00514B21">
              <w:rPr>
                <w:rFonts w:asciiTheme="minorHAnsi" w:hAnsiTheme="minorHAnsi" w:cstheme="minorHAnsi"/>
                <w:sz w:val="22"/>
                <w:szCs w:val="22"/>
              </w:rPr>
              <w:t xml:space="preserve">. </w:t>
            </w:r>
          </w:p>
          <w:p w14:paraId="71B6963F" w14:textId="77777777" w:rsidR="00F21A64" w:rsidRDefault="00F21A64" w:rsidP="008261D6">
            <w:pPr>
              <w:rPr>
                <w:rFonts w:asciiTheme="minorHAnsi" w:hAnsiTheme="minorHAnsi" w:cstheme="minorHAnsi"/>
                <w:sz w:val="22"/>
                <w:szCs w:val="22"/>
              </w:rPr>
            </w:pPr>
          </w:p>
          <w:p w14:paraId="36DC3280" w14:textId="3CB7B83E" w:rsidR="00F21A64" w:rsidRPr="00514B21" w:rsidRDefault="00F21A64" w:rsidP="008261D6">
            <w:pPr>
              <w:rPr>
                <w:rFonts w:asciiTheme="minorHAnsi" w:hAnsiTheme="minorHAnsi" w:cstheme="minorHAnsi"/>
                <w:sz w:val="22"/>
                <w:szCs w:val="22"/>
              </w:rPr>
            </w:pPr>
            <w:r w:rsidRPr="009F3708">
              <w:rPr>
                <w:rFonts w:asciiTheme="minorHAnsi" w:hAnsiTheme="minorHAnsi" w:cstheme="minorHAnsi"/>
                <w:sz w:val="22"/>
                <w:szCs w:val="22"/>
              </w:rPr>
              <w:t xml:space="preserve">The </w:t>
            </w:r>
            <w:proofErr w:type="spellStart"/>
            <w:r w:rsidRPr="009F3708">
              <w:rPr>
                <w:rFonts w:asciiTheme="minorHAnsi" w:hAnsiTheme="minorHAnsi" w:cstheme="minorHAnsi"/>
                <w:sz w:val="22"/>
                <w:szCs w:val="22"/>
              </w:rPr>
              <w:t>Blueteq</w:t>
            </w:r>
            <w:proofErr w:type="spellEnd"/>
            <w:r w:rsidRPr="009F3708">
              <w:rPr>
                <w:rFonts w:asciiTheme="minorHAnsi" w:hAnsiTheme="minorHAnsi" w:cstheme="minorHAnsi"/>
                <w:sz w:val="22"/>
                <w:szCs w:val="22"/>
              </w:rPr>
              <w:t xml:space="preserve"> form</w:t>
            </w:r>
            <w:r>
              <w:rPr>
                <w:rFonts w:asciiTheme="minorHAnsi" w:hAnsiTheme="minorHAnsi" w:cstheme="minorHAnsi"/>
                <w:sz w:val="22"/>
                <w:szCs w:val="22"/>
              </w:rPr>
              <w:t xml:space="preserve"> </w:t>
            </w:r>
            <w:r w:rsidRPr="009F3708">
              <w:rPr>
                <w:rFonts w:asciiTheme="minorHAnsi" w:hAnsiTheme="minorHAnsi" w:cstheme="minorHAnsi"/>
                <w:sz w:val="22"/>
                <w:szCs w:val="22"/>
              </w:rPr>
              <w:t>should be promoted and encouraged.</w:t>
            </w:r>
            <w:r>
              <w:rPr>
                <w:rFonts w:asciiTheme="minorHAnsi" w:hAnsiTheme="minorHAnsi" w:cstheme="minorHAnsi"/>
                <w:sz w:val="22"/>
                <w:szCs w:val="22"/>
              </w:rPr>
              <w:t xml:space="preserve"> </w:t>
            </w:r>
            <w:proofErr w:type="gramStart"/>
            <w:r>
              <w:rPr>
                <w:rFonts w:asciiTheme="minorHAnsi" w:hAnsiTheme="minorHAnsi" w:cstheme="minorHAnsi"/>
                <w:sz w:val="22"/>
                <w:szCs w:val="22"/>
              </w:rPr>
              <w:t>However</w:t>
            </w:r>
            <w:proofErr w:type="gramEnd"/>
            <w:r>
              <w:rPr>
                <w:rFonts w:asciiTheme="minorHAnsi" w:hAnsiTheme="minorHAnsi" w:cstheme="minorHAnsi"/>
                <w:sz w:val="22"/>
                <w:szCs w:val="22"/>
              </w:rPr>
              <w:t xml:space="preserve"> it might not be the best surveillance mechanism because it isn’t mandatory. Completion rates to be monitored by NHS England.</w:t>
            </w:r>
          </w:p>
        </w:tc>
      </w:tr>
    </w:tbl>
    <w:p w14:paraId="6344929E" w14:textId="77777777" w:rsidR="00607BCF" w:rsidRPr="00514B21" w:rsidRDefault="00607BCF" w:rsidP="00607BCF"/>
    <w:p w14:paraId="731DE2CC" w14:textId="77777777" w:rsidR="001F2932" w:rsidRDefault="001F2932">
      <w:pPr>
        <w:rPr>
          <w:rFonts w:asciiTheme="majorHAnsi" w:eastAsiaTheme="majorEastAsia" w:hAnsiTheme="majorHAnsi" w:cstheme="majorBidi"/>
          <w:color w:val="2F5496" w:themeColor="accent1" w:themeShade="BF"/>
          <w:sz w:val="26"/>
          <w:szCs w:val="26"/>
        </w:rPr>
      </w:pPr>
      <w:r>
        <w:br w:type="page"/>
      </w:r>
    </w:p>
    <w:p w14:paraId="62CED9C7" w14:textId="7AE3A789" w:rsidR="00607BCF" w:rsidRPr="00514B21" w:rsidRDefault="00D64986" w:rsidP="005263BE">
      <w:pPr>
        <w:pStyle w:val="Heading2"/>
      </w:pPr>
      <w:r>
        <w:lastRenderedPageBreak/>
        <w:t>Eligibility</w:t>
      </w:r>
      <w:r w:rsidRPr="00514B21" w:rsidDel="00D64986">
        <w:t xml:space="preserve"> </w:t>
      </w:r>
      <w:r w:rsidR="00607BCF" w:rsidRPr="00514B21">
        <w:t>and selection criteria</w:t>
      </w:r>
    </w:p>
    <w:tbl>
      <w:tblPr>
        <w:tblStyle w:val="TableGrid"/>
        <w:tblW w:w="13178" w:type="dxa"/>
        <w:tblLook w:val="04A0" w:firstRow="1" w:lastRow="0" w:firstColumn="1" w:lastColumn="0" w:noHBand="0" w:noVBand="1"/>
      </w:tblPr>
      <w:tblGrid>
        <w:gridCol w:w="1413"/>
        <w:gridCol w:w="2693"/>
        <w:gridCol w:w="5103"/>
        <w:gridCol w:w="2126"/>
        <w:gridCol w:w="1843"/>
      </w:tblGrid>
      <w:tr w:rsidR="00607BCF" w:rsidRPr="00514B21" w14:paraId="57E669A2" w14:textId="77777777" w:rsidTr="00A61964">
        <w:trPr>
          <w:trHeight w:val="393"/>
          <w:tblHeader/>
        </w:trPr>
        <w:tc>
          <w:tcPr>
            <w:tcW w:w="1413" w:type="dxa"/>
          </w:tcPr>
          <w:p w14:paraId="0369A7FD" w14:textId="77777777"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Theme</w:t>
            </w:r>
          </w:p>
        </w:tc>
        <w:tc>
          <w:tcPr>
            <w:tcW w:w="2693" w:type="dxa"/>
          </w:tcPr>
          <w:p w14:paraId="075E5055" w14:textId="77777777"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What went well?</w:t>
            </w:r>
          </w:p>
        </w:tc>
        <w:tc>
          <w:tcPr>
            <w:tcW w:w="5103" w:type="dxa"/>
          </w:tcPr>
          <w:p w14:paraId="483C81EE" w14:textId="77777777"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What needs improving?</w:t>
            </w:r>
          </w:p>
        </w:tc>
        <w:tc>
          <w:tcPr>
            <w:tcW w:w="2126" w:type="dxa"/>
          </w:tcPr>
          <w:p w14:paraId="54515204" w14:textId="2647021A"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What impact would the improvement</w:t>
            </w:r>
            <w:r w:rsidR="008261D6">
              <w:rPr>
                <w:rFonts w:asciiTheme="minorHAnsi" w:hAnsiTheme="minorHAnsi" w:cstheme="minorHAnsi"/>
                <w:b/>
                <w:bCs/>
                <w:sz w:val="22"/>
                <w:szCs w:val="22"/>
              </w:rPr>
              <w:t>s</w:t>
            </w:r>
            <w:r w:rsidRPr="00514B21">
              <w:rPr>
                <w:rFonts w:asciiTheme="minorHAnsi" w:hAnsiTheme="minorHAnsi" w:cstheme="minorHAnsi"/>
                <w:b/>
                <w:bCs/>
                <w:sz w:val="22"/>
                <w:szCs w:val="22"/>
              </w:rPr>
              <w:t xml:space="preserve"> have?</w:t>
            </w:r>
          </w:p>
        </w:tc>
        <w:tc>
          <w:tcPr>
            <w:tcW w:w="1843" w:type="dxa"/>
          </w:tcPr>
          <w:p w14:paraId="4EC43307" w14:textId="77777777"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Key lessons</w:t>
            </w:r>
          </w:p>
        </w:tc>
      </w:tr>
      <w:tr w:rsidR="00441AAF" w:rsidRPr="00514B21" w14:paraId="389CA2E0" w14:textId="77777777" w:rsidTr="008261D6">
        <w:trPr>
          <w:trHeight w:val="1162"/>
        </w:trPr>
        <w:tc>
          <w:tcPr>
            <w:tcW w:w="1413" w:type="dxa"/>
          </w:tcPr>
          <w:p w14:paraId="3D6F60BD" w14:textId="1C03DBFE" w:rsidR="00441AAF" w:rsidRPr="00514B21" w:rsidRDefault="00441AAF" w:rsidP="008261D6">
            <w:pPr>
              <w:rPr>
                <w:rFonts w:asciiTheme="minorHAnsi" w:hAnsiTheme="minorHAnsi" w:cstheme="minorHAnsi"/>
                <w:sz w:val="22"/>
                <w:szCs w:val="22"/>
              </w:rPr>
            </w:pPr>
            <w:r w:rsidRPr="00514B21">
              <w:rPr>
                <w:rFonts w:asciiTheme="minorHAnsi" w:hAnsiTheme="minorHAnsi" w:cstheme="minorHAnsi"/>
                <w:sz w:val="22"/>
                <w:szCs w:val="22"/>
              </w:rPr>
              <w:t>Selecting the ‘right’ products</w:t>
            </w:r>
          </w:p>
        </w:tc>
        <w:tc>
          <w:tcPr>
            <w:tcW w:w="2693" w:type="dxa"/>
          </w:tcPr>
          <w:p w14:paraId="09EBB108" w14:textId="65CC293E" w:rsidR="00884BD5" w:rsidRPr="009529B5" w:rsidRDefault="004F31B5" w:rsidP="008261D6">
            <w:pPr>
              <w:pStyle w:val="ListParagraph"/>
              <w:numPr>
                <w:ilvl w:val="0"/>
                <w:numId w:val="18"/>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By evaluating </w:t>
            </w:r>
            <w:r w:rsidR="006757A1">
              <w:rPr>
                <w:rFonts w:asciiTheme="minorHAnsi" w:hAnsiTheme="minorHAnsi" w:cstheme="minorHAnsi"/>
                <w:sz w:val="22"/>
                <w:szCs w:val="22"/>
              </w:rPr>
              <w:t>two</w:t>
            </w:r>
            <w:r w:rsidRPr="00514B21">
              <w:rPr>
                <w:rFonts w:asciiTheme="minorHAnsi" w:hAnsiTheme="minorHAnsi" w:cstheme="minorHAnsi"/>
                <w:sz w:val="22"/>
                <w:szCs w:val="22"/>
              </w:rPr>
              <w:t xml:space="preserve"> drugs for severe multi-drug resistant gram-negative infections, the pilot has incentivised R&amp;D in the right areas - those with high global unmet need. This focus on global priorities, rather than solely the UK’s unmet need, is needed to generate </w:t>
            </w:r>
            <w:r w:rsidR="007324C4">
              <w:rPr>
                <w:rFonts w:asciiTheme="minorHAnsi" w:hAnsiTheme="minorHAnsi" w:cstheme="minorHAnsi"/>
                <w:sz w:val="22"/>
                <w:szCs w:val="22"/>
              </w:rPr>
              <w:t xml:space="preserve">sufficient </w:t>
            </w:r>
            <w:r w:rsidRPr="00514B21">
              <w:rPr>
                <w:rFonts w:asciiTheme="minorHAnsi" w:hAnsiTheme="minorHAnsi" w:cstheme="minorHAnsi"/>
                <w:sz w:val="22"/>
                <w:szCs w:val="22"/>
              </w:rPr>
              <w:t xml:space="preserve">revenues for </w:t>
            </w:r>
            <w:r w:rsidR="007324C4">
              <w:rPr>
                <w:rFonts w:asciiTheme="minorHAnsi" w:hAnsiTheme="minorHAnsi" w:cstheme="minorHAnsi"/>
                <w:sz w:val="22"/>
                <w:szCs w:val="22"/>
              </w:rPr>
              <w:t xml:space="preserve">a successful </w:t>
            </w:r>
            <w:r w:rsidRPr="00514B21">
              <w:rPr>
                <w:rFonts w:asciiTheme="minorHAnsi" w:hAnsiTheme="minorHAnsi" w:cstheme="minorHAnsi"/>
                <w:sz w:val="22"/>
                <w:szCs w:val="22"/>
              </w:rPr>
              <w:t xml:space="preserve">pull incentive. </w:t>
            </w:r>
            <w:r w:rsidRPr="00514B21">
              <w:rPr>
                <w:rFonts w:asciiTheme="minorHAnsi" w:hAnsiTheme="minorHAnsi" w:cstheme="minorHAnsi"/>
                <w:i/>
                <w:iCs/>
                <w:sz w:val="22"/>
                <w:szCs w:val="22"/>
              </w:rPr>
              <w:t>[Committee member</w:t>
            </w:r>
            <w:r w:rsidR="00A61964">
              <w:rPr>
                <w:rFonts w:asciiTheme="minorHAnsi" w:hAnsiTheme="minorHAnsi" w:cstheme="minorHAnsi"/>
                <w:i/>
                <w:iCs/>
                <w:sz w:val="22"/>
                <w:szCs w:val="22"/>
              </w:rPr>
              <w:t xml:space="preserve">, </w:t>
            </w:r>
            <w:r w:rsidRPr="00514B21">
              <w:rPr>
                <w:rFonts w:asciiTheme="minorHAnsi" w:hAnsiTheme="minorHAnsi" w:cstheme="minorHAnsi"/>
                <w:i/>
                <w:iCs/>
                <w:sz w:val="22"/>
                <w:szCs w:val="22"/>
              </w:rPr>
              <w:t>KOL</w:t>
            </w:r>
            <w:r w:rsidR="00A61964">
              <w:rPr>
                <w:rFonts w:asciiTheme="minorHAnsi" w:hAnsiTheme="minorHAnsi" w:cstheme="minorHAnsi"/>
                <w:i/>
                <w:iCs/>
                <w:sz w:val="22"/>
                <w:szCs w:val="22"/>
              </w:rPr>
              <w:t xml:space="preserve">, </w:t>
            </w:r>
            <w:proofErr w:type="gramStart"/>
            <w:r w:rsidRPr="00514B21">
              <w:rPr>
                <w:rFonts w:asciiTheme="minorHAnsi" w:hAnsiTheme="minorHAnsi" w:cstheme="minorHAnsi"/>
                <w:i/>
                <w:iCs/>
                <w:sz w:val="22"/>
                <w:szCs w:val="22"/>
              </w:rPr>
              <w:t>Academia</w:t>
            </w:r>
            <w:proofErr w:type="gramEnd"/>
            <w:r w:rsidR="00A61964">
              <w:rPr>
                <w:rFonts w:asciiTheme="minorHAnsi" w:hAnsiTheme="minorHAnsi" w:cstheme="minorHAnsi"/>
                <w:i/>
                <w:iCs/>
                <w:sz w:val="22"/>
                <w:szCs w:val="22"/>
              </w:rPr>
              <w:t xml:space="preserve"> and </w:t>
            </w:r>
            <w:r w:rsidR="0092610F" w:rsidRPr="00514B21">
              <w:rPr>
                <w:rFonts w:asciiTheme="minorHAnsi" w:hAnsiTheme="minorHAnsi" w:cstheme="minorHAnsi"/>
                <w:i/>
                <w:iCs/>
                <w:sz w:val="22"/>
                <w:szCs w:val="22"/>
              </w:rPr>
              <w:t>Industry</w:t>
            </w:r>
            <w:r w:rsidRPr="00514B21">
              <w:rPr>
                <w:rFonts w:asciiTheme="minorHAnsi" w:hAnsiTheme="minorHAnsi" w:cstheme="minorHAnsi"/>
                <w:i/>
                <w:iCs/>
                <w:sz w:val="22"/>
                <w:szCs w:val="22"/>
              </w:rPr>
              <w:t xml:space="preserve">] </w:t>
            </w:r>
          </w:p>
          <w:p w14:paraId="50D74685" w14:textId="7BC6D2AB" w:rsidR="00884BD5" w:rsidRPr="00514B21" w:rsidRDefault="00884BD5" w:rsidP="00884BD5">
            <w:pPr>
              <w:pStyle w:val="ListParagraph"/>
              <w:numPr>
                <w:ilvl w:val="0"/>
                <w:numId w:val="18"/>
              </w:numPr>
              <w:spacing w:line="259" w:lineRule="auto"/>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Unmet needs for </w:t>
            </w:r>
            <w:r>
              <w:rPr>
                <w:rFonts w:asciiTheme="minorHAnsi" w:hAnsiTheme="minorHAnsi" w:cstheme="minorHAnsi"/>
                <w:sz w:val="22"/>
                <w:szCs w:val="22"/>
              </w:rPr>
              <w:t xml:space="preserve">the </w:t>
            </w:r>
            <w:r w:rsidRPr="00514B21">
              <w:rPr>
                <w:rFonts w:asciiTheme="minorHAnsi" w:hAnsiTheme="minorHAnsi" w:cstheme="minorHAnsi"/>
                <w:sz w:val="22"/>
                <w:szCs w:val="22"/>
              </w:rPr>
              <w:t xml:space="preserve">UK </w:t>
            </w:r>
            <w:r>
              <w:rPr>
                <w:rFonts w:asciiTheme="minorHAnsi" w:hAnsiTheme="minorHAnsi" w:cstheme="minorHAnsi"/>
                <w:sz w:val="22"/>
                <w:szCs w:val="22"/>
              </w:rPr>
              <w:t>were also well-</w:t>
            </w:r>
            <w:r w:rsidRPr="00514B21">
              <w:rPr>
                <w:rFonts w:asciiTheme="minorHAnsi" w:hAnsiTheme="minorHAnsi" w:cstheme="minorHAnsi"/>
                <w:sz w:val="22"/>
                <w:szCs w:val="22"/>
              </w:rPr>
              <w:t>reflected</w:t>
            </w:r>
            <w:r>
              <w:rPr>
                <w:rFonts w:asciiTheme="minorHAnsi" w:hAnsiTheme="minorHAnsi" w:cstheme="minorHAnsi"/>
                <w:sz w:val="22"/>
                <w:szCs w:val="22"/>
              </w:rPr>
              <w:t>.</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[Industry]</w:t>
            </w:r>
          </w:p>
          <w:p w14:paraId="0BFD7D46" w14:textId="4FFB5C06" w:rsidR="00B15290" w:rsidRPr="00514B21" w:rsidRDefault="000B0FFE" w:rsidP="008261D6">
            <w:pPr>
              <w:pStyle w:val="ListParagraph"/>
              <w:numPr>
                <w:ilvl w:val="0"/>
                <w:numId w:val="18"/>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Products addressing carbapenem-resistance is a critical clinical </w:t>
            </w:r>
            <w:proofErr w:type="gramStart"/>
            <w:r w:rsidRPr="00514B21">
              <w:rPr>
                <w:rFonts w:asciiTheme="minorHAnsi" w:hAnsiTheme="minorHAnsi" w:cstheme="minorHAnsi"/>
                <w:sz w:val="22"/>
                <w:szCs w:val="22"/>
              </w:rPr>
              <w:t>issue</w:t>
            </w:r>
            <w:proofErr w:type="gramEnd"/>
            <w:r w:rsidRPr="00514B21">
              <w:rPr>
                <w:rFonts w:asciiTheme="minorHAnsi" w:hAnsiTheme="minorHAnsi" w:cstheme="minorHAnsi"/>
                <w:sz w:val="22"/>
                <w:szCs w:val="22"/>
              </w:rPr>
              <w:t xml:space="preserve"> so </w:t>
            </w:r>
            <w:r w:rsidR="00F875DD" w:rsidRPr="00514B21">
              <w:rPr>
                <w:rFonts w:asciiTheme="minorHAnsi" w:hAnsiTheme="minorHAnsi" w:cstheme="minorHAnsi"/>
                <w:sz w:val="22"/>
                <w:szCs w:val="22"/>
              </w:rPr>
              <w:t xml:space="preserve">it was appropriate to focus on these </w:t>
            </w:r>
            <w:r w:rsidRPr="00514B21">
              <w:rPr>
                <w:rFonts w:asciiTheme="minorHAnsi" w:hAnsiTheme="minorHAnsi" w:cstheme="minorHAnsi"/>
                <w:sz w:val="22"/>
                <w:szCs w:val="22"/>
              </w:rPr>
              <w:t>in the selection criteria</w:t>
            </w:r>
            <w:r w:rsidR="00D20CDF">
              <w:rPr>
                <w:rFonts w:asciiTheme="minorHAnsi" w:hAnsiTheme="minorHAnsi" w:cstheme="minorHAnsi"/>
                <w:sz w:val="22"/>
                <w:szCs w:val="22"/>
              </w:rPr>
              <w:t>.</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[Committee member]</w:t>
            </w:r>
          </w:p>
          <w:p w14:paraId="42E25751" w14:textId="728BACAB" w:rsidR="00884BD5" w:rsidRDefault="000B0FFE" w:rsidP="008261D6">
            <w:pPr>
              <w:pStyle w:val="ListParagraph"/>
              <w:numPr>
                <w:ilvl w:val="0"/>
                <w:numId w:val="18"/>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Selection criteria were broadly </w:t>
            </w:r>
            <w:proofErr w:type="gramStart"/>
            <w:r w:rsidRPr="00514B21">
              <w:rPr>
                <w:rFonts w:asciiTheme="minorHAnsi" w:hAnsiTheme="minorHAnsi" w:cstheme="minorHAnsi"/>
                <w:sz w:val="22"/>
                <w:szCs w:val="22"/>
              </w:rPr>
              <w:t>appropriate</w:t>
            </w:r>
            <w:proofErr w:type="gramEnd"/>
            <w:r w:rsidRPr="00514B21">
              <w:rPr>
                <w:rFonts w:asciiTheme="minorHAnsi" w:hAnsiTheme="minorHAnsi" w:cstheme="minorHAnsi"/>
                <w:sz w:val="22"/>
                <w:szCs w:val="22"/>
              </w:rPr>
              <w:t xml:space="preserve"> </w:t>
            </w:r>
            <w:r w:rsidRPr="00514B21">
              <w:rPr>
                <w:rFonts w:asciiTheme="minorHAnsi" w:hAnsiTheme="minorHAnsi" w:cstheme="minorHAnsi"/>
                <w:sz w:val="22"/>
                <w:szCs w:val="22"/>
              </w:rPr>
              <w:lastRenderedPageBreak/>
              <w:t xml:space="preserve">and it was important to reflect non-clinical </w:t>
            </w:r>
            <w:r w:rsidR="007324C4">
              <w:rPr>
                <w:rFonts w:asciiTheme="minorHAnsi" w:hAnsiTheme="minorHAnsi" w:cstheme="minorHAnsi"/>
                <w:sz w:val="22"/>
                <w:szCs w:val="22"/>
              </w:rPr>
              <w:t xml:space="preserve">as well as clinical </w:t>
            </w:r>
            <w:r w:rsidRPr="00514B21">
              <w:rPr>
                <w:rFonts w:asciiTheme="minorHAnsi" w:hAnsiTheme="minorHAnsi" w:cstheme="minorHAnsi"/>
                <w:sz w:val="22"/>
                <w:szCs w:val="22"/>
              </w:rPr>
              <w:t>factors</w:t>
            </w:r>
            <w:r w:rsidR="00043898" w:rsidRPr="00514B21">
              <w:rPr>
                <w:rFonts w:asciiTheme="minorHAnsi" w:hAnsiTheme="minorHAnsi" w:cstheme="minorHAnsi"/>
                <w:sz w:val="22"/>
                <w:szCs w:val="22"/>
              </w:rPr>
              <w:t xml:space="preserve">. </w:t>
            </w:r>
            <w:r w:rsidR="00884BD5" w:rsidRPr="00514B21">
              <w:rPr>
                <w:rFonts w:asciiTheme="minorHAnsi" w:hAnsiTheme="minorHAnsi" w:cstheme="minorHAnsi"/>
                <w:i/>
                <w:iCs/>
                <w:sz w:val="22"/>
                <w:szCs w:val="22"/>
              </w:rPr>
              <w:t>[Committee member</w:t>
            </w:r>
            <w:r w:rsidR="007912BC">
              <w:rPr>
                <w:rFonts w:asciiTheme="minorHAnsi" w:hAnsiTheme="minorHAnsi" w:cstheme="minorHAnsi"/>
                <w:i/>
                <w:iCs/>
                <w:sz w:val="22"/>
                <w:szCs w:val="22"/>
              </w:rPr>
              <w:t xml:space="preserve"> and </w:t>
            </w:r>
            <w:r w:rsidR="00884BD5" w:rsidRPr="00514B21">
              <w:rPr>
                <w:rFonts w:asciiTheme="minorHAnsi" w:hAnsiTheme="minorHAnsi" w:cstheme="minorHAnsi"/>
                <w:i/>
                <w:iCs/>
                <w:sz w:val="22"/>
                <w:szCs w:val="22"/>
              </w:rPr>
              <w:t>Industr</w:t>
            </w:r>
            <w:r w:rsidR="007912BC">
              <w:rPr>
                <w:rFonts w:asciiTheme="minorHAnsi" w:hAnsiTheme="minorHAnsi" w:cstheme="minorHAnsi"/>
                <w:i/>
                <w:iCs/>
                <w:sz w:val="22"/>
                <w:szCs w:val="22"/>
              </w:rPr>
              <w:t>y</w:t>
            </w:r>
            <w:r w:rsidR="00884BD5" w:rsidRPr="00514B21">
              <w:rPr>
                <w:rFonts w:asciiTheme="minorHAnsi" w:hAnsiTheme="minorHAnsi" w:cstheme="minorHAnsi"/>
                <w:i/>
                <w:iCs/>
                <w:sz w:val="22"/>
                <w:szCs w:val="22"/>
              </w:rPr>
              <w:t>]</w:t>
            </w:r>
          </w:p>
          <w:p w14:paraId="7CBFC90E" w14:textId="420642C6" w:rsidR="00441AAF" w:rsidRPr="00514B21" w:rsidRDefault="007324C4" w:rsidP="008261D6">
            <w:pPr>
              <w:pStyle w:val="ListParagraph"/>
              <w:numPr>
                <w:ilvl w:val="0"/>
                <w:numId w:val="18"/>
              </w:numPr>
              <w:contextualSpacing w:val="0"/>
              <w:rPr>
                <w:rFonts w:asciiTheme="minorHAnsi" w:hAnsiTheme="minorHAnsi" w:cstheme="minorHAnsi"/>
                <w:sz w:val="22"/>
                <w:szCs w:val="22"/>
              </w:rPr>
            </w:pPr>
            <w:r>
              <w:rPr>
                <w:rFonts w:asciiTheme="minorHAnsi" w:hAnsiTheme="minorHAnsi" w:cstheme="minorHAnsi"/>
                <w:sz w:val="22"/>
                <w:szCs w:val="22"/>
              </w:rPr>
              <w:t>C</w:t>
            </w:r>
            <w:r w:rsidR="00043898" w:rsidRPr="00514B21">
              <w:rPr>
                <w:rFonts w:asciiTheme="minorHAnsi" w:hAnsiTheme="minorHAnsi" w:cstheme="minorHAnsi"/>
                <w:sz w:val="22"/>
                <w:szCs w:val="22"/>
              </w:rPr>
              <w:t>riteria</w:t>
            </w:r>
            <w:r w:rsidR="00D060F2" w:rsidRPr="00514B21">
              <w:rPr>
                <w:rFonts w:asciiTheme="minorHAnsi" w:hAnsiTheme="minorHAnsi" w:cstheme="minorHAnsi"/>
                <w:sz w:val="22"/>
                <w:szCs w:val="22"/>
              </w:rPr>
              <w:t xml:space="preserve"> </w:t>
            </w:r>
            <w:r>
              <w:rPr>
                <w:rFonts w:asciiTheme="minorHAnsi" w:hAnsiTheme="minorHAnsi" w:cstheme="minorHAnsi"/>
                <w:sz w:val="22"/>
                <w:szCs w:val="22"/>
              </w:rPr>
              <w:t xml:space="preserve">were appropriately weighted </w:t>
            </w:r>
            <w:r w:rsidR="00D060F2" w:rsidRPr="00514B21">
              <w:rPr>
                <w:rFonts w:asciiTheme="minorHAnsi" w:hAnsiTheme="minorHAnsi" w:cstheme="minorHAnsi"/>
                <w:sz w:val="22"/>
                <w:szCs w:val="22"/>
              </w:rPr>
              <w:t>(in favour of clinical criteria, mainly unmet need)</w:t>
            </w:r>
            <w:r w:rsidR="00D20CDF">
              <w:rPr>
                <w:rFonts w:asciiTheme="minorHAnsi" w:hAnsiTheme="minorHAnsi" w:cstheme="minorHAnsi"/>
                <w:sz w:val="22"/>
                <w:szCs w:val="22"/>
              </w:rPr>
              <w:t>.</w:t>
            </w:r>
            <w:r w:rsidR="00043898" w:rsidRPr="00514B21">
              <w:rPr>
                <w:rFonts w:asciiTheme="minorHAnsi" w:hAnsiTheme="minorHAnsi" w:cstheme="minorHAnsi"/>
                <w:sz w:val="22"/>
                <w:szCs w:val="22"/>
              </w:rPr>
              <w:t xml:space="preserve"> </w:t>
            </w:r>
            <w:r w:rsidR="000B0FFE" w:rsidRPr="00514B21">
              <w:rPr>
                <w:rFonts w:asciiTheme="minorHAnsi" w:hAnsiTheme="minorHAnsi" w:cstheme="minorHAnsi"/>
                <w:i/>
                <w:iCs/>
                <w:sz w:val="22"/>
                <w:szCs w:val="22"/>
              </w:rPr>
              <w:t>[</w:t>
            </w:r>
            <w:r w:rsidR="00043898" w:rsidRPr="00514B21">
              <w:rPr>
                <w:rFonts w:asciiTheme="minorHAnsi" w:hAnsiTheme="minorHAnsi" w:cstheme="minorHAnsi"/>
                <w:i/>
                <w:iCs/>
                <w:sz w:val="22"/>
                <w:szCs w:val="22"/>
              </w:rPr>
              <w:t>Committee member</w:t>
            </w:r>
            <w:r w:rsidR="007912BC">
              <w:rPr>
                <w:rFonts w:asciiTheme="minorHAnsi" w:hAnsiTheme="minorHAnsi" w:cstheme="minorHAnsi"/>
                <w:i/>
                <w:iCs/>
                <w:sz w:val="22"/>
                <w:szCs w:val="22"/>
              </w:rPr>
              <w:t xml:space="preserve"> and </w:t>
            </w:r>
            <w:r w:rsidR="000B0FFE" w:rsidRPr="00514B21">
              <w:rPr>
                <w:rFonts w:asciiTheme="minorHAnsi" w:hAnsiTheme="minorHAnsi" w:cstheme="minorHAnsi"/>
                <w:i/>
                <w:iCs/>
                <w:sz w:val="22"/>
                <w:szCs w:val="22"/>
              </w:rPr>
              <w:t>Industry]</w:t>
            </w:r>
          </w:p>
          <w:p w14:paraId="752E762E" w14:textId="28653032" w:rsidR="000B0FFE" w:rsidRPr="00514B21" w:rsidRDefault="000B0FFE" w:rsidP="008261D6">
            <w:pPr>
              <w:pStyle w:val="ListParagraph"/>
              <w:numPr>
                <w:ilvl w:val="0"/>
                <w:numId w:val="18"/>
              </w:numPr>
              <w:contextualSpacing w:val="0"/>
              <w:rPr>
                <w:rFonts w:asciiTheme="minorHAnsi" w:hAnsiTheme="minorHAnsi" w:cstheme="minorHAnsi"/>
                <w:sz w:val="22"/>
                <w:szCs w:val="22"/>
              </w:rPr>
            </w:pPr>
            <w:r w:rsidRPr="00514B21">
              <w:rPr>
                <w:rFonts w:asciiTheme="minorHAnsi" w:hAnsiTheme="minorHAnsi" w:cstheme="minorHAnsi"/>
                <w:sz w:val="22"/>
                <w:szCs w:val="22"/>
              </w:rPr>
              <w:t>Process for selecting criteria</w:t>
            </w:r>
            <w:r w:rsidR="00F875DD" w:rsidRPr="00514B21">
              <w:rPr>
                <w:rFonts w:asciiTheme="minorHAnsi" w:hAnsiTheme="minorHAnsi" w:cstheme="minorHAnsi"/>
                <w:sz w:val="22"/>
                <w:szCs w:val="22"/>
              </w:rPr>
              <w:t xml:space="preserve"> was</w:t>
            </w:r>
            <w:r w:rsidRPr="00514B21">
              <w:rPr>
                <w:rFonts w:asciiTheme="minorHAnsi" w:hAnsiTheme="minorHAnsi" w:cstheme="minorHAnsi"/>
                <w:sz w:val="22"/>
                <w:szCs w:val="22"/>
              </w:rPr>
              <w:t xml:space="preserve"> justified </w:t>
            </w:r>
            <w:r w:rsidR="00F875DD" w:rsidRPr="00514B21">
              <w:rPr>
                <w:rFonts w:asciiTheme="minorHAnsi" w:hAnsiTheme="minorHAnsi" w:cstheme="minorHAnsi"/>
                <w:sz w:val="22"/>
                <w:szCs w:val="22"/>
              </w:rPr>
              <w:t xml:space="preserve">but </w:t>
            </w:r>
            <w:r w:rsidRPr="00514B21">
              <w:rPr>
                <w:rFonts w:asciiTheme="minorHAnsi" w:hAnsiTheme="minorHAnsi" w:cstheme="minorHAnsi"/>
                <w:sz w:val="22"/>
                <w:szCs w:val="22"/>
              </w:rPr>
              <w:t>may change based on context of experts consulted</w:t>
            </w:r>
            <w:r w:rsidR="00D20CDF">
              <w:rPr>
                <w:rFonts w:asciiTheme="minorHAnsi" w:hAnsiTheme="minorHAnsi" w:cstheme="minorHAnsi"/>
                <w:sz w:val="22"/>
                <w:szCs w:val="22"/>
              </w:rPr>
              <w:t>.</w:t>
            </w:r>
            <w:r w:rsidRPr="00514B21">
              <w:rPr>
                <w:rFonts w:asciiTheme="minorHAnsi" w:hAnsiTheme="minorHAnsi" w:cstheme="minorHAnsi"/>
                <w:i/>
                <w:iCs/>
                <w:sz w:val="22"/>
                <w:szCs w:val="22"/>
              </w:rPr>
              <w:t xml:space="preserve"> [Committee member]</w:t>
            </w:r>
          </w:p>
          <w:p w14:paraId="74DF1A48" w14:textId="03D8E004" w:rsidR="00441AAF" w:rsidRPr="00514B21" w:rsidRDefault="00441AAF" w:rsidP="009529B5">
            <w:pPr>
              <w:pStyle w:val="ListParagraph"/>
              <w:ind w:left="360"/>
              <w:contextualSpacing w:val="0"/>
              <w:rPr>
                <w:rFonts w:cstheme="minorHAnsi"/>
              </w:rPr>
            </w:pPr>
          </w:p>
        </w:tc>
        <w:tc>
          <w:tcPr>
            <w:tcW w:w="5103" w:type="dxa"/>
          </w:tcPr>
          <w:p w14:paraId="448BB828" w14:textId="6E17AD01" w:rsidR="00441AAF" w:rsidRPr="00514B21" w:rsidRDefault="00A664AD" w:rsidP="008261D6">
            <w:pPr>
              <w:pStyle w:val="ListParagraph"/>
              <w:numPr>
                <w:ilvl w:val="0"/>
                <w:numId w:val="45"/>
              </w:numPr>
              <w:contextualSpacing w:val="0"/>
              <w:rPr>
                <w:rFonts w:asciiTheme="minorHAnsi" w:hAnsiTheme="minorHAnsi" w:cstheme="minorHAnsi"/>
                <w:sz w:val="22"/>
                <w:szCs w:val="22"/>
              </w:rPr>
            </w:pPr>
            <w:r w:rsidRPr="00514B21">
              <w:rPr>
                <w:rFonts w:asciiTheme="minorHAnsi" w:hAnsiTheme="minorHAnsi" w:cstheme="minorHAnsi"/>
                <w:sz w:val="22"/>
                <w:szCs w:val="22"/>
              </w:rPr>
              <w:lastRenderedPageBreak/>
              <w:t>International expertise should be sought</w:t>
            </w:r>
            <w:r w:rsidR="000B698D" w:rsidRPr="00514B21">
              <w:rPr>
                <w:rFonts w:asciiTheme="minorHAnsi" w:hAnsiTheme="minorHAnsi" w:cstheme="minorHAnsi"/>
                <w:sz w:val="22"/>
                <w:szCs w:val="22"/>
              </w:rPr>
              <w:t xml:space="preserve"> </w:t>
            </w:r>
            <w:r w:rsidR="004F31B5" w:rsidRPr="00514B21">
              <w:rPr>
                <w:rFonts w:asciiTheme="minorHAnsi" w:hAnsiTheme="minorHAnsi" w:cstheme="minorHAnsi"/>
                <w:sz w:val="22"/>
                <w:szCs w:val="22"/>
              </w:rPr>
              <w:t xml:space="preserve">when </w:t>
            </w:r>
            <w:r w:rsidR="00003D97" w:rsidRPr="00514B21">
              <w:rPr>
                <w:rFonts w:asciiTheme="minorHAnsi" w:hAnsiTheme="minorHAnsi" w:cstheme="minorHAnsi"/>
                <w:sz w:val="22"/>
                <w:szCs w:val="22"/>
              </w:rPr>
              <w:t>agreeing</w:t>
            </w:r>
            <w:r w:rsidR="004F31B5" w:rsidRPr="00514B21">
              <w:rPr>
                <w:rFonts w:asciiTheme="minorHAnsi" w:hAnsiTheme="minorHAnsi" w:cstheme="minorHAnsi"/>
                <w:sz w:val="22"/>
                <w:szCs w:val="22"/>
              </w:rPr>
              <w:t xml:space="preserve"> </w:t>
            </w:r>
            <w:r w:rsidR="00DD0679">
              <w:rPr>
                <w:rFonts w:asciiTheme="minorHAnsi" w:hAnsiTheme="minorHAnsi" w:cstheme="minorHAnsi"/>
                <w:sz w:val="22"/>
                <w:szCs w:val="22"/>
              </w:rPr>
              <w:t>future eligibility</w:t>
            </w:r>
            <w:r w:rsidR="00DD0679" w:rsidRPr="00514B21">
              <w:rPr>
                <w:rFonts w:asciiTheme="minorHAnsi" w:hAnsiTheme="minorHAnsi" w:cstheme="minorHAnsi"/>
                <w:sz w:val="22"/>
                <w:szCs w:val="22"/>
              </w:rPr>
              <w:t xml:space="preserve"> </w:t>
            </w:r>
            <w:r w:rsidR="004F31B5" w:rsidRPr="00514B21">
              <w:rPr>
                <w:rFonts w:asciiTheme="minorHAnsi" w:hAnsiTheme="minorHAnsi" w:cstheme="minorHAnsi"/>
                <w:sz w:val="22"/>
                <w:szCs w:val="22"/>
              </w:rPr>
              <w:t xml:space="preserve">criteria, </w:t>
            </w:r>
            <w:r w:rsidR="000B698D" w:rsidRPr="00514B21">
              <w:rPr>
                <w:rFonts w:asciiTheme="minorHAnsi" w:hAnsiTheme="minorHAnsi" w:cstheme="minorHAnsi"/>
                <w:sz w:val="22"/>
                <w:szCs w:val="22"/>
              </w:rPr>
              <w:t xml:space="preserve">to </w:t>
            </w:r>
            <w:r w:rsidR="004F31B5" w:rsidRPr="00514B21">
              <w:rPr>
                <w:rFonts w:asciiTheme="minorHAnsi" w:hAnsiTheme="minorHAnsi" w:cstheme="minorHAnsi"/>
                <w:sz w:val="22"/>
                <w:szCs w:val="22"/>
              </w:rPr>
              <w:t xml:space="preserve">ensure we continue to </w:t>
            </w:r>
            <w:r w:rsidR="000B698D" w:rsidRPr="00514B21">
              <w:rPr>
                <w:rFonts w:asciiTheme="minorHAnsi" w:hAnsiTheme="minorHAnsi" w:cstheme="minorHAnsi"/>
                <w:sz w:val="22"/>
                <w:szCs w:val="22"/>
              </w:rPr>
              <w:t>reflect global unmet need</w:t>
            </w:r>
            <w:r w:rsidR="004F31B5" w:rsidRPr="00514B21">
              <w:rPr>
                <w:rFonts w:asciiTheme="minorHAnsi" w:hAnsiTheme="minorHAnsi" w:cstheme="minorHAnsi"/>
                <w:sz w:val="22"/>
                <w:szCs w:val="22"/>
              </w:rPr>
              <w:t>s</w:t>
            </w:r>
            <w:r w:rsidR="000B698D" w:rsidRPr="00514B21">
              <w:rPr>
                <w:rFonts w:asciiTheme="minorHAnsi" w:hAnsiTheme="minorHAnsi" w:cstheme="minorHAnsi"/>
                <w:sz w:val="22"/>
                <w:szCs w:val="22"/>
              </w:rPr>
              <w:t xml:space="preserve">. </w:t>
            </w:r>
            <w:r w:rsidR="00897223" w:rsidRPr="00514B21">
              <w:rPr>
                <w:rFonts w:asciiTheme="minorHAnsi" w:hAnsiTheme="minorHAnsi" w:cstheme="minorHAnsi"/>
                <w:i/>
                <w:iCs/>
                <w:sz w:val="22"/>
                <w:szCs w:val="22"/>
              </w:rPr>
              <w:t>[KOL</w:t>
            </w:r>
            <w:r w:rsidR="00555F17" w:rsidRPr="00514B21">
              <w:rPr>
                <w:rFonts w:asciiTheme="minorHAnsi" w:hAnsiTheme="minorHAnsi" w:cstheme="minorHAnsi"/>
                <w:i/>
                <w:iCs/>
                <w:sz w:val="22"/>
                <w:szCs w:val="22"/>
              </w:rPr>
              <w:t xml:space="preserve"> </w:t>
            </w:r>
            <w:r w:rsidR="00A61964">
              <w:rPr>
                <w:rFonts w:asciiTheme="minorHAnsi" w:hAnsiTheme="minorHAnsi" w:cstheme="minorHAnsi"/>
                <w:i/>
                <w:iCs/>
                <w:sz w:val="22"/>
                <w:szCs w:val="22"/>
              </w:rPr>
              <w:t>and</w:t>
            </w:r>
            <w:r w:rsidR="007E0D50" w:rsidRPr="00514B21">
              <w:rPr>
                <w:rFonts w:asciiTheme="minorHAnsi" w:hAnsiTheme="minorHAnsi" w:cstheme="minorHAnsi"/>
                <w:i/>
                <w:iCs/>
                <w:sz w:val="22"/>
                <w:szCs w:val="22"/>
              </w:rPr>
              <w:t xml:space="preserve"> </w:t>
            </w:r>
            <w:r w:rsidR="005728C5">
              <w:rPr>
                <w:rFonts w:asciiTheme="minorHAnsi" w:hAnsiTheme="minorHAnsi" w:cstheme="minorHAnsi"/>
                <w:i/>
                <w:iCs/>
                <w:sz w:val="22"/>
                <w:szCs w:val="22"/>
              </w:rPr>
              <w:t>Clinical expert</w:t>
            </w:r>
            <w:r w:rsidR="00555F17" w:rsidRPr="00514B21">
              <w:rPr>
                <w:rFonts w:asciiTheme="minorHAnsi" w:hAnsiTheme="minorHAnsi" w:cstheme="minorHAnsi"/>
                <w:i/>
                <w:iCs/>
                <w:sz w:val="22"/>
                <w:szCs w:val="22"/>
              </w:rPr>
              <w:t>]</w:t>
            </w:r>
          </w:p>
          <w:p w14:paraId="40421142" w14:textId="113CF9F2" w:rsidR="00897223" w:rsidRPr="00514B21" w:rsidRDefault="00B21FB1" w:rsidP="008261D6">
            <w:pPr>
              <w:pStyle w:val="ListParagraph"/>
              <w:numPr>
                <w:ilvl w:val="0"/>
                <w:numId w:val="45"/>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Criteria will need </w:t>
            </w:r>
            <w:r w:rsidR="004F31B5" w:rsidRPr="00514B21">
              <w:rPr>
                <w:rFonts w:asciiTheme="minorHAnsi" w:hAnsiTheme="minorHAnsi" w:cstheme="minorHAnsi"/>
                <w:sz w:val="22"/>
                <w:szCs w:val="22"/>
              </w:rPr>
              <w:t>to be</w:t>
            </w:r>
            <w:r w:rsidRPr="00514B21">
              <w:rPr>
                <w:rFonts w:asciiTheme="minorHAnsi" w:hAnsiTheme="minorHAnsi" w:cstheme="minorHAnsi"/>
                <w:sz w:val="22"/>
                <w:szCs w:val="22"/>
              </w:rPr>
              <w:t xml:space="preserve"> updat</w:t>
            </w:r>
            <w:r w:rsidR="004F31B5" w:rsidRPr="00514B21">
              <w:rPr>
                <w:rFonts w:asciiTheme="minorHAnsi" w:hAnsiTheme="minorHAnsi" w:cstheme="minorHAnsi"/>
                <w:sz w:val="22"/>
                <w:szCs w:val="22"/>
              </w:rPr>
              <w:t>ed in the future</w:t>
            </w:r>
            <w:r w:rsidRPr="00514B21">
              <w:rPr>
                <w:rFonts w:asciiTheme="minorHAnsi" w:hAnsiTheme="minorHAnsi" w:cstheme="minorHAnsi"/>
                <w:sz w:val="22"/>
                <w:szCs w:val="22"/>
              </w:rPr>
              <w:t xml:space="preserve"> </w:t>
            </w:r>
            <w:r w:rsidR="004F31B5" w:rsidRPr="00514B21">
              <w:rPr>
                <w:rFonts w:asciiTheme="minorHAnsi" w:hAnsiTheme="minorHAnsi" w:cstheme="minorHAnsi"/>
                <w:sz w:val="22"/>
                <w:szCs w:val="22"/>
              </w:rPr>
              <w:t xml:space="preserve">as </w:t>
            </w:r>
            <w:r w:rsidRPr="00514B21">
              <w:rPr>
                <w:rFonts w:asciiTheme="minorHAnsi" w:hAnsiTheme="minorHAnsi" w:cstheme="minorHAnsi"/>
                <w:sz w:val="22"/>
                <w:szCs w:val="22"/>
              </w:rPr>
              <w:t>in global unmet need</w:t>
            </w:r>
            <w:r w:rsidR="004F31B5" w:rsidRPr="00514B21">
              <w:rPr>
                <w:rFonts w:asciiTheme="minorHAnsi" w:hAnsiTheme="minorHAnsi" w:cstheme="minorHAnsi"/>
                <w:sz w:val="22"/>
                <w:szCs w:val="22"/>
              </w:rPr>
              <w:t>s change</w:t>
            </w:r>
            <w:r w:rsidRPr="00514B21">
              <w:rPr>
                <w:rFonts w:asciiTheme="minorHAnsi" w:hAnsiTheme="minorHAnsi" w:cstheme="minorHAnsi"/>
                <w:sz w:val="22"/>
                <w:szCs w:val="22"/>
              </w:rPr>
              <w:t xml:space="preserve">. But being </w:t>
            </w:r>
            <w:r w:rsidR="000B698D" w:rsidRPr="00514B21">
              <w:rPr>
                <w:rFonts w:asciiTheme="minorHAnsi" w:hAnsiTheme="minorHAnsi" w:cstheme="minorHAnsi"/>
                <w:sz w:val="22"/>
                <w:szCs w:val="22"/>
              </w:rPr>
              <w:t>m</w:t>
            </w:r>
            <w:r w:rsidR="007E43E2" w:rsidRPr="00514B21">
              <w:rPr>
                <w:rFonts w:asciiTheme="minorHAnsi" w:hAnsiTheme="minorHAnsi" w:cstheme="minorHAnsi"/>
                <w:sz w:val="22"/>
                <w:szCs w:val="22"/>
              </w:rPr>
              <w:t xml:space="preserve">indful that </w:t>
            </w:r>
            <w:r w:rsidR="00CE1193" w:rsidRPr="00514B21">
              <w:rPr>
                <w:rFonts w:asciiTheme="minorHAnsi" w:hAnsiTheme="minorHAnsi" w:cstheme="minorHAnsi"/>
                <w:sz w:val="22"/>
                <w:szCs w:val="22"/>
              </w:rPr>
              <w:t xml:space="preserve">frequent </w:t>
            </w:r>
            <w:r w:rsidR="007E43E2" w:rsidRPr="00514B21">
              <w:rPr>
                <w:rFonts w:asciiTheme="minorHAnsi" w:hAnsiTheme="minorHAnsi" w:cstheme="minorHAnsi"/>
                <w:sz w:val="22"/>
                <w:szCs w:val="22"/>
              </w:rPr>
              <w:t xml:space="preserve">changes </w:t>
            </w:r>
            <w:r w:rsidR="004F31B5" w:rsidRPr="00514B21">
              <w:rPr>
                <w:rFonts w:asciiTheme="minorHAnsi" w:hAnsiTheme="minorHAnsi" w:cstheme="minorHAnsi"/>
                <w:sz w:val="22"/>
                <w:szCs w:val="22"/>
              </w:rPr>
              <w:t xml:space="preserve">to the selection criteria </w:t>
            </w:r>
            <w:r w:rsidR="007E43E2" w:rsidRPr="00514B21">
              <w:rPr>
                <w:rFonts w:asciiTheme="minorHAnsi" w:hAnsiTheme="minorHAnsi" w:cstheme="minorHAnsi"/>
                <w:sz w:val="22"/>
                <w:szCs w:val="22"/>
              </w:rPr>
              <w:t xml:space="preserve">would penalise </w:t>
            </w:r>
            <w:r w:rsidR="002C44BE">
              <w:rPr>
                <w:rFonts w:asciiTheme="minorHAnsi" w:hAnsiTheme="minorHAnsi" w:cstheme="minorHAnsi"/>
                <w:sz w:val="22"/>
                <w:szCs w:val="22"/>
              </w:rPr>
              <w:t xml:space="preserve">antimicrobials currently </w:t>
            </w:r>
            <w:r w:rsidR="00897223" w:rsidRPr="00514B21">
              <w:rPr>
                <w:rFonts w:asciiTheme="minorHAnsi" w:hAnsiTheme="minorHAnsi" w:cstheme="minorHAnsi"/>
                <w:sz w:val="22"/>
                <w:szCs w:val="22"/>
              </w:rPr>
              <w:t xml:space="preserve">in </w:t>
            </w:r>
            <w:r w:rsidR="007E43E2" w:rsidRPr="00514B21">
              <w:rPr>
                <w:rFonts w:asciiTheme="minorHAnsi" w:hAnsiTheme="minorHAnsi" w:cstheme="minorHAnsi"/>
                <w:sz w:val="22"/>
                <w:szCs w:val="22"/>
              </w:rPr>
              <w:t xml:space="preserve">clinical </w:t>
            </w:r>
            <w:r w:rsidR="00897223" w:rsidRPr="00514B21">
              <w:rPr>
                <w:rFonts w:asciiTheme="minorHAnsi" w:hAnsiTheme="minorHAnsi" w:cstheme="minorHAnsi"/>
                <w:sz w:val="22"/>
                <w:szCs w:val="22"/>
              </w:rPr>
              <w:t>develop</w:t>
            </w:r>
            <w:r w:rsidR="002C44BE">
              <w:rPr>
                <w:rFonts w:asciiTheme="minorHAnsi" w:hAnsiTheme="minorHAnsi" w:cstheme="minorHAnsi"/>
                <w:sz w:val="22"/>
                <w:szCs w:val="22"/>
              </w:rPr>
              <w:t>ment</w:t>
            </w:r>
            <w:r w:rsidR="00897223" w:rsidRPr="00514B21">
              <w:rPr>
                <w:rFonts w:asciiTheme="minorHAnsi" w:hAnsiTheme="minorHAnsi" w:cstheme="minorHAnsi"/>
                <w:sz w:val="22"/>
                <w:szCs w:val="22"/>
              </w:rPr>
              <w:t xml:space="preserve"> for a clinical need that </w:t>
            </w:r>
            <w:r w:rsidR="002C44BE">
              <w:rPr>
                <w:rFonts w:asciiTheme="minorHAnsi" w:hAnsiTheme="minorHAnsi" w:cstheme="minorHAnsi"/>
                <w:sz w:val="22"/>
                <w:szCs w:val="22"/>
              </w:rPr>
              <w:t xml:space="preserve">is subsequently </w:t>
            </w:r>
            <w:r w:rsidR="00897223" w:rsidRPr="00514B21">
              <w:rPr>
                <w:rFonts w:asciiTheme="minorHAnsi" w:hAnsiTheme="minorHAnsi" w:cstheme="minorHAnsi"/>
                <w:sz w:val="22"/>
                <w:szCs w:val="22"/>
              </w:rPr>
              <w:t>deprioritised.</w:t>
            </w:r>
            <w:r w:rsidR="00555F17" w:rsidRPr="00514B21">
              <w:rPr>
                <w:rFonts w:asciiTheme="minorHAnsi" w:hAnsiTheme="minorHAnsi" w:cstheme="minorHAnsi"/>
                <w:sz w:val="22"/>
                <w:szCs w:val="22"/>
              </w:rPr>
              <w:t xml:space="preserve"> </w:t>
            </w:r>
            <w:r w:rsidR="00555F17" w:rsidRPr="00514B21">
              <w:rPr>
                <w:rFonts w:asciiTheme="minorHAnsi" w:hAnsiTheme="minorHAnsi" w:cstheme="minorHAnsi"/>
                <w:i/>
                <w:iCs/>
                <w:sz w:val="22"/>
                <w:szCs w:val="22"/>
              </w:rPr>
              <w:t>[Industry</w:t>
            </w:r>
            <w:r w:rsidR="00A61964">
              <w:rPr>
                <w:rFonts w:asciiTheme="minorHAnsi" w:hAnsiTheme="minorHAnsi" w:cstheme="minorHAnsi"/>
                <w:i/>
                <w:iCs/>
                <w:sz w:val="22"/>
                <w:szCs w:val="22"/>
              </w:rPr>
              <w:t xml:space="preserve"> and </w:t>
            </w:r>
            <w:r w:rsidR="005728C5">
              <w:rPr>
                <w:rFonts w:asciiTheme="minorHAnsi" w:hAnsiTheme="minorHAnsi" w:cstheme="minorHAnsi"/>
                <w:i/>
                <w:iCs/>
                <w:sz w:val="22"/>
                <w:szCs w:val="22"/>
              </w:rPr>
              <w:t>Clinical expert</w:t>
            </w:r>
            <w:r w:rsidR="00555F17" w:rsidRPr="00514B21">
              <w:rPr>
                <w:rFonts w:asciiTheme="minorHAnsi" w:hAnsiTheme="minorHAnsi" w:cstheme="minorHAnsi"/>
                <w:i/>
                <w:iCs/>
                <w:sz w:val="22"/>
                <w:szCs w:val="22"/>
              </w:rPr>
              <w:t>]</w:t>
            </w:r>
          </w:p>
          <w:p w14:paraId="26EA0E5E" w14:textId="7D26671D" w:rsidR="002C44BE" w:rsidRPr="0015353B" w:rsidRDefault="00DD0679" w:rsidP="008261D6">
            <w:pPr>
              <w:pStyle w:val="ListParagraph"/>
              <w:numPr>
                <w:ilvl w:val="0"/>
                <w:numId w:val="45"/>
              </w:numPr>
              <w:ind w:left="357" w:hanging="357"/>
              <w:contextualSpacing w:val="0"/>
              <w:rPr>
                <w:rFonts w:asciiTheme="minorHAnsi" w:hAnsiTheme="minorHAnsi" w:cstheme="minorHAnsi"/>
                <w:sz w:val="22"/>
                <w:szCs w:val="22"/>
              </w:rPr>
            </w:pPr>
            <w:r>
              <w:rPr>
                <w:rFonts w:asciiTheme="minorHAnsi" w:hAnsiTheme="minorHAnsi" w:cstheme="minorHAnsi"/>
                <w:sz w:val="22"/>
                <w:szCs w:val="22"/>
              </w:rPr>
              <w:t>C</w:t>
            </w:r>
            <w:r w:rsidR="002C44BE" w:rsidRPr="00514B21">
              <w:rPr>
                <w:rFonts w:asciiTheme="minorHAnsi" w:hAnsiTheme="minorHAnsi" w:cstheme="minorHAnsi"/>
                <w:sz w:val="22"/>
                <w:szCs w:val="22"/>
              </w:rPr>
              <w:t xml:space="preserve">riteria should reward products that address challenges to the UK NHS (but weighted to prioritise global needs over UK needs), </w:t>
            </w:r>
            <w:r w:rsidR="007324C4">
              <w:rPr>
                <w:rFonts w:asciiTheme="minorHAnsi" w:hAnsiTheme="minorHAnsi" w:cstheme="minorHAnsi"/>
                <w:sz w:val="22"/>
                <w:szCs w:val="22"/>
              </w:rPr>
              <w:t xml:space="preserve">which </w:t>
            </w:r>
            <w:proofErr w:type="gramStart"/>
            <w:r w:rsidR="007324C4">
              <w:rPr>
                <w:rFonts w:asciiTheme="minorHAnsi" w:hAnsiTheme="minorHAnsi" w:cstheme="minorHAnsi"/>
                <w:sz w:val="22"/>
                <w:szCs w:val="22"/>
              </w:rPr>
              <w:t>includes:</w:t>
            </w:r>
            <w:proofErr w:type="gramEnd"/>
            <w:r w:rsidR="007324C4">
              <w:rPr>
                <w:rFonts w:asciiTheme="minorHAnsi" w:hAnsiTheme="minorHAnsi" w:cstheme="minorHAnsi"/>
                <w:sz w:val="22"/>
                <w:szCs w:val="22"/>
              </w:rPr>
              <w:t xml:space="preserve"> </w:t>
            </w:r>
            <w:r w:rsidR="002C44BE" w:rsidRPr="00514B21">
              <w:rPr>
                <w:rFonts w:asciiTheme="minorHAnsi" w:hAnsiTheme="minorHAnsi" w:cstheme="minorHAnsi"/>
                <w:sz w:val="22"/>
                <w:szCs w:val="22"/>
              </w:rPr>
              <w:t xml:space="preserve">shortening hospital length of stay, reduced dosing frequency, shorter duration of treatment, oral instead of IV, less drug interactions and adverse events. These are also relevant for low and middle income countries, especially dosing </w:t>
            </w:r>
            <w:proofErr w:type="gramStart"/>
            <w:r w:rsidR="002C44BE" w:rsidRPr="00514B21">
              <w:rPr>
                <w:rFonts w:asciiTheme="minorHAnsi" w:hAnsiTheme="minorHAnsi" w:cstheme="minorHAnsi"/>
                <w:sz w:val="22"/>
                <w:szCs w:val="22"/>
              </w:rPr>
              <w:t>frequency</w:t>
            </w:r>
            <w:proofErr w:type="gramEnd"/>
            <w:r w:rsidR="002C44BE" w:rsidRPr="00514B21">
              <w:rPr>
                <w:rFonts w:asciiTheme="minorHAnsi" w:hAnsiTheme="minorHAnsi" w:cstheme="minorHAnsi"/>
                <w:sz w:val="22"/>
                <w:szCs w:val="22"/>
              </w:rPr>
              <w:t xml:space="preserve"> and duration of treatment</w:t>
            </w:r>
            <w:r w:rsidR="00D20CDF">
              <w:rPr>
                <w:rFonts w:asciiTheme="minorHAnsi" w:hAnsiTheme="minorHAnsi" w:cstheme="minorHAnsi"/>
                <w:sz w:val="22"/>
                <w:szCs w:val="22"/>
              </w:rPr>
              <w:t>.</w:t>
            </w:r>
            <w:r w:rsidR="002C44BE" w:rsidRPr="00514B21">
              <w:rPr>
                <w:rFonts w:asciiTheme="minorHAnsi" w:hAnsiTheme="minorHAnsi" w:cstheme="minorHAnsi"/>
                <w:sz w:val="22"/>
                <w:szCs w:val="22"/>
              </w:rPr>
              <w:t xml:space="preserve"> </w:t>
            </w:r>
            <w:r w:rsidR="002C44BE" w:rsidRPr="00514B21">
              <w:rPr>
                <w:rFonts w:asciiTheme="minorHAnsi" w:hAnsiTheme="minorHAnsi" w:cstheme="minorHAnsi"/>
                <w:i/>
                <w:iCs/>
                <w:sz w:val="22"/>
                <w:szCs w:val="22"/>
              </w:rPr>
              <w:t>[</w:t>
            </w:r>
            <w:r w:rsidR="005728C5">
              <w:rPr>
                <w:rFonts w:asciiTheme="minorHAnsi" w:hAnsiTheme="minorHAnsi" w:cstheme="minorHAnsi"/>
                <w:i/>
                <w:iCs/>
                <w:sz w:val="22"/>
                <w:szCs w:val="22"/>
              </w:rPr>
              <w:t xml:space="preserve">Clinical expert, </w:t>
            </w:r>
            <w:proofErr w:type="gramStart"/>
            <w:r w:rsidR="002C44BE" w:rsidRPr="00514B21">
              <w:rPr>
                <w:rFonts w:asciiTheme="minorHAnsi" w:hAnsiTheme="minorHAnsi" w:cstheme="minorHAnsi"/>
                <w:i/>
                <w:iCs/>
                <w:sz w:val="22"/>
                <w:szCs w:val="22"/>
              </w:rPr>
              <w:t>academia</w:t>
            </w:r>
            <w:proofErr w:type="gramEnd"/>
            <w:r w:rsidR="00A61964">
              <w:rPr>
                <w:rFonts w:asciiTheme="minorHAnsi" w:hAnsiTheme="minorHAnsi" w:cstheme="minorHAnsi"/>
                <w:i/>
                <w:iCs/>
                <w:sz w:val="22"/>
                <w:szCs w:val="22"/>
              </w:rPr>
              <w:t xml:space="preserve"> and </w:t>
            </w:r>
            <w:r w:rsidR="002C44BE" w:rsidRPr="00514B21">
              <w:rPr>
                <w:rFonts w:asciiTheme="minorHAnsi" w:hAnsiTheme="minorHAnsi" w:cstheme="minorHAnsi"/>
                <w:i/>
                <w:iCs/>
                <w:sz w:val="22"/>
                <w:szCs w:val="22"/>
              </w:rPr>
              <w:t>committee member]</w:t>
            </w:r>
          </w:p>
          <w:p w14:paraId="77F568D8" w14:textId="3E231432" w:rsidR="0015353B" w:rsidRPr="00514B21" w:rsidRDefault="0015353B" w:rsidP="008261D6">
            <w:pPr>
              <w:pStyle w:val="ListParagraph"/>
              <w:numPr>
                <w:ilvl w:val="0"/>
                <w:numId w:val="45"/>
              </w:numPr>
              <w:ind w:left="357" w:hanging="357"/>
              <w:contextualSpacing w:val="0"/>
              <w:rPr>
                <w:rFonts w:asciiTheme="minorHAnsi" w:hAnsiTheme="minorHAnsi" w:cstheme="minorHAnsi"/>
                <w:sz w:val="22"/>
                <w:szCs w:val="22"/>
              </w:rPr>
            </w:pPr>
            <w:r>
              <w:rPr>
                <w:rFonts w:asciiTheme="minorHAnsi" w:hAnsiTheme="minorHAnsi" w:cstheme="minorHAnsi"/>
                <w:sz w:val="22"/>
                <w:szCs w:val="22"/>
              </w:rPr>
              <w:t xml:space="preserve">Eligibility for subscription-based contracts should be broadened to </w:t>
            </w:r>
            <w:proofErr w:type="gramStart"/>
            <w:r>
              <w:rPr>
                <w:rFonts w:asciiTheme="minorHAnsi" w:hAnsiTheme="minorHAnsi" w:cstheme="minorHAnsi"/>
                <w:sz w:val="22"/>
                <w:szCs w:val="22"/>
              </w:rPr>
              <w:t>include:</w:t>
            </w:r>
            <w:proofErr w:type="gramEnd"/>
            <w:r>
              <w:rPr>
                <w:rFonts w:asciiTheme="minorHAnsi" w:hAnsiTheme="minorHAnsi" w:cstheme="minorHAnsi"/>
                <w:sz w:val="22"/>
                <w:szCs w:val="22"/>
              </w:rPr>
              <w:t xml:space="preserve"> </w:t>
            </w:r>
            <w:r w:rsidR="00F35418">
              <w:rPr>
                <w:rFonts w:asciiTheme="minorHAnsi" w:hAnsiTheme="minorHAnsi" w:cstheme="minorHAnsi"/>
                <w:sz w:val="22"/>
                <w:szCs w:val="22"/>
              </w:rPr>
              <w:t xml:space="preserve">older antimicrobials already on the market, </w:t>
            </w:r>
            <w:r>
              <w:rPr>
                <w:rFonts w:asciiTheme="minorHAnsi" w:hAnsiTheme="minorHAnsi" w:cstheme="minorHAnsi"/>
                <w:sz w:val="22"/>
                <w:szCs w:val="22"/>
              </w:rPr>
              <w:t xml:space="preserve">antibiotics </w:t>
            </w:r>
            <w:r w:rsidRPr="00514B21">
              <w:rPr>
                <w:rFonts w:asciiTheme="minorHAnsi" w:hAnsiTheme="minorHAnsi" w:cstheme="minorHAnsi"/>
                <w:sz w:val="22"/>
                <w:szCs w:val="22"/>
              </w:rPr>
              <w:t xml:space="preserve">outside </w:t>
            </w:r>
            <w:r>
              <w:rPr>
                <w:rFonts w:asciiTheme="minorHAnsi" w:hAnsiTheme="minorHAnsi" w:cstheme="minorHAnsi"/>
                <w:sz w:val="22"/>
                <w:szCs w:val="22"/>
              </w:rPr>
              <w:t xml:space="preserve">the </w:t>
            </w:r>
            <w:r w:rsidRPr="00514B21">
              <w:rPr>
                <w:rFonts w:asciiTheme="minorHAnsi" w:hAnsiTheme="minorHAnsi" w:cstheme="minorHAnsi"/>
                <w:sz w:val="22"/>
                <w:szCs w:val="22"/>
              </w:rPr>
              <w:t>WHO priority pathogen list</w:t>
            </w:r>
            <w:r>
              <w:rPr>
                <w:rFonts w:asciiTheme="minorHAnsi" w:hAnsiTheme="minorHAnsi" w:cstheme="minorHAnsi"/>
                <w:sz w:val="22"/>
                <w:szCs w:val="22"/>
              </w:rPr>
              <w:t xml:space="preserve"> </w:t>
            </w:r>
            <w:r w:rsidRPr="00514B21">
              <w:rPr>
                <w:rFonts w:asciiTheme="minorHAnsi" w:hAnsiTheme="minorHAnsi" w:cstheme="minorHAnsi"/>
                <w:sz w:val="22"/>
                <w:szCs w:val="22"/>
              </w:rPr>
              <w:t>(e</w:t>
            </w:r>
            <w:r w:rsidR="00F35418">
              <w:rPr>
                <w:rFonts w:asciiTheme="minorHAnsi" w:hAnsiTheme="minorHAnsi" w:cstheme="minorHAnsi"/>
                <w:sz w:val="22"/>
                <w:szCs w:val="22"/>
              </w:rPr>
              <w:t>.</w:t>
            </w:r>
            <w:r w:rsidRPr="00514B21">
              <w:rPr>
                <w:rFonts w:asciiTheme="minorHAnsi" w:hAnsiTheme="minorHAnsi" w:cstheme="minorHAnsi"/>
                <w:sz w:val="22"/>
                <w:szCs w:val="22"/>
              </w:rPr>
              <w:t>g</w:t>
            </w:r>
            <w:r w:rsidR="00F35418">
              <w:rPr>
                <w:rFonts w:asciiTheme="minorHAnsi" w:hAnsiTheme="minorHAnsi" w:cstheme="minorHAnsi"/>
                <w:sz w:val="22"/>
                <w:szCs w:val="22"/>
              </w:rPr>
              <w:t>.</w:t>
            </w:r>
            <w:r w:rsidRPr="00514B21">
              <w:rPr>
                <w:rFonts w:asciiTheme="minorHAnsi" w:hAnsiTheme="minorHAnsi" w:cstheme="minorHAnsi"/>
                <w:sz w:val="22"/>
                <w:szCs w:val="22"/>
              </w:rPr>
              <w:t xml:space="preserve"> antibiotics for gram-positive infection</w:t>
            </w:r>
            <w:r>
              <w:rPr>
                <w:rFonts w:asciiTheme="minorHAnsi" w:hAnsiTheme="minorHAnsi" w:cstheme="minorHAnsi"/>
                <w:sz w:val="22"/>
                <w:szCs w:val="22"/>
              </w:rPr>
              <w:t xml:space="preserve">), </w:t>
            </w:r>
            <w:r w:rsidRPr="00514B21">
              <w:rPr>
                <w:rFonts w:asciiTheme="minorHAnsi" w:hAnsiTheme="minorHAnsi" w:cstheme="minorHAnsi"/>
                <w:sz w:val="22"/>
                <w:szCs w:val="22"/>
              </w:rPr>
              <w:t xml:space="preserve">other types of antimicrobials </w:t>
            </w:r>
            <w:r w:rsidR="00F35418">
              <w:rPr>
                <w:rFonts w:asciiTheme="minorHAnsi" w:hAnsiTheme="minorHAnsi" w:cstheme="minorHAnsi"/>
                <w:sz w:val="22"/>
                <w:szCs w:val="22"/>
              </w:rPr>
              <w:t>(</w:t>
            </w:r>
            <w:r>
              <w:rPr>
                <w:rFonts w:asciiTheme="minorHAnsi" w:hAnsiTheme="minorHAnsi" w:cstheme="minorHAnsi"/>
                <w:sz w:val="22"/>
                <w:szCs w:val="22"/>
              </w:rPr>
              <w:t>e</w:t>
            </w:r>
            <w:r w:rsidR="00D527A0">
              <w:rPr>
                <w:rFonts w:asciiTheme="minorHAnsi" w:hAnsiTheme="minorHAnsi" w:cstheme="minorHAnsi"/>
                <w:sz w:val="22"/>
                <w:szCs w:val="22"/>
              </w:rPr>
              <w:t>.</w:t>
            </w:r>
            <w:r>
              <w:rPr>
                <w:rFonts w:asciiTheme="minorHAnsi" w:hAnsiTheme="minorHAnsi" w:cstheme="minorHAnsi"/>
                <w:sz w:val="22"/>
                <w:szCs w:val="22"/>
              </w:rPr>
              <w:t>g</w:t>
            </w:r>
            <w:r w:rsidR="00D527A0">
              <w:rPr>
                <w:rFonts w:asciiTheme="minorHAnsi" w:hAnsiTheme="minorHAnsi" w:cstheme="minorHAnsi"/>
                <w:sz w:val="22"/>
                <w:szCs w:val="22"/>
              </w:rPr>
              <w:t>.</w:t>
            </w:r>
            <w:r w:rsidRPr="00514B21">
              <w:rPr>
                <w:rFonts w:asciiTheme="minorHAnsi" w:hAnsiTheme="minorHAnsi" w:cstheme="minorHAnsi"/>
                <w:sz w:val="22"/>
                <w:szCs w:val="22"/>
              </w:rPr>
              <w:t xml:space="preserve"> antifungals)</w:t>
            </w:r>
            <w:r>
              <w:rPr>
                <w:rFonts w:asciiTheme="minorHAnsi" w:hAnsiTheme="minorHAnsi" w:cstheme="minorHAnsi"/>
                <w:sz w:val="22"/>
                <w:szCs w:val="22"/>
              </w:rPr>
              <w:t xml:space="preserve">. The maximum contract value (cap) could vary for different categories of antimicrobial </w:t>
            </w:r>
            <w:proofErr w:type="gramStart"/>
            <w:r>
              <w:rPr>
                <w:rFonts w:asciiTheme="minorHAnsi" w:hAnsiTheme="minorHAnsi" w:cstheme="minorHAnsi"/>
                <w:sz w:val="22"/>
                <w:szCs w:val="22"/>
              </w:rPr>
              <w:t>e</w:t>
            </w:r>
            <w:r w:rsidR="001E7753">
              <w:rPr>
                <w:rFonts w:asciiTheme="minorHAnsi" w:hAnsiTheme="minorHAnsi" w:cstheme="minorHAnsi"/>
                <w:sz w:val="22"/>
                <w:szCs w:val="22"/>
              </w:rPr>
              <w:t>.</w:t>
            </w:r>
            <w:r>
              <w:rPr>
                <w:rFonts w:asciiTheme="minorHAnsi" w:hAnsiTheme="minorHAnsi" w:cstheme="minorHAnsi"/>
                <w:sz w:val="22"/>
                <w:szCs w:val="22"/>
              </w:rPr>
              <w:t>g</w:t>
            </w:r>
            <w:r w:rsidR="001E7753">
              <w:rPr>
                <w:rFonts w:asciiTheme="minorHAnsi" w:hAnsiTheme="minorHAnsi" w:cstheme="minorHAnsi"/>
                <w:sz w:val="22"/>
                <w:szCs w:val="22"/>
              </w:rPr>
              <w:t>.</w:t>
            </w:r>
            <w:proofErr w:type="gramEnd"/>
            <w:r>
              <w:rPr>
                <w:rFonts w:asciiTheme="minorHAnsi" w:hAnsiTheme="minorHAnsi" w:cstheme="minorHAnsi"/>
                <w:sz w:val="22"/>
                <w:szCs w:val="22"/>
              </w:rPr>
              <w:t xml:space="preserve"> a 2-tier system </w:t>
            </w:r>
            <w:r>
              <w:rPr>
                <w:rFonts w:asciiTheme="minorHAnsi" w:hAnsiTheme="minorHAnsi" w:cstheme="minorHAnsi"/>
                <w:sz w:val="22"/>
                <w:szCs w:val="22"/>
              </w:rPr>
              <w:lastRenderedPageBreak/>
              <w:t>with a higher cap for new-to-market antibiotics that target priority pathogens, and a lower cap for antimicrobials that address a lesser unmet need</w:t>
            </w:r>
            <w:r w:rsidR="00D20CDF">
              <w:rPr>
                <w:rFonts w:asciiTheme="minorHAnsi" w:hAnsiTheme="minorHAnsi" w:cstheme="minorHAnsi"/>
                <w:sz w:val="22"/>
                <w:szCs w:val="22"/>
              </w:rPr>
              <w:t>.</w:t>
            </w:r>
            <w:r>
              <w:rPr>
                <w:rFonts w:asciiTheme="minorHAnsi" w:hAnsiTheme="minorHAnsi" w:cstheme="minorHAnsi"/>
                <w:sz w:val="22"/>
                <w:szCs w:val="22"/>
              </w:rPr>
              <w:t xml:space="preserve"> </w:t>
            </w:r>
            <w:r w:rsidRPr="00514B21">
              <w:rPr>
                <w:rFonts w:asciiTheme="minorHAnsi" w:hAnsiTheme="minorHAnsi" w:cstheme="minorHAnsi"/>
                <w:i/>
                <w:iCs/>
                <w:sz w:val="22"/>
                <w:szCs w:val="22"/>
              </w:rPr>
              <w:t>[</w:t>
            </w:r>
            <w:r w:rsidRPr="00A62914">
              <w:rPr>
                <w:rFonts w:asciiTheme="minorHAnsi" w:hAnsiTheme="minorHAnsi" w:cstheme="minorHAnsi"/>
                <w:i/>
                <w:iCs/>
                <w:sz w:val="22"/>
                <w:szCs w:val="22"/>
              </w:rPr>
              <w:t>Industry, KOL</w:t>
            </w:r>
            <w:r w:rsidR="007912BC">
              <w:rPr>
                <w:rFonts w:asciiTheme="minorHAnsi" w:hAnsiTheme="minorHAnsi" w:cstheme="minorHAnsi"/>
                <w:i/>
                <w:iCs/>
                <w:sz w:val="22"/>
                <w:szCs w:val="22"/>
              </w:rPr>
              <w:t xml:space="preserve">, </w:t>
            </w:r>
            <w:r w:rsidR="005728C5">
              <w:rPr>
                <w:rFonts w:asciiTheme="minorHAnsi" w:hAnsiTheme="minorHAnsi" w:cstheme="minorHAnsi"/>
                <w:i/>
                <w:iCs/>
                <w:sz w:val="22"/>
                <w:szCs w:val="22"/>
              </w:rPr>
              <w:t xml:space="preserve">Clinical </w:t>
            </w:r>
            <w:proofErr w:type="gramStart"/>
            <w:r w:rsidR="005728C5">
              <w:rPr>
                <w:rFonts w:asciiTheme="minorHAnsi" w:hAnsiTheme="minorHAnsi" w:cstheme="minorHAnsi"/>
                <w:i/>
                <w:iCs/>
                <w:sz w:val="22"/>
                <w:szCs w:val="22"/>
              </w:rPr>
              <w:t>expert</w:t>
            </w:r>
            <w:proofErr w:type="gramEnd"/>
            <w:r w:rsidR="007912BC">
              <w:rPr>
                <w:rFonts w:asciiTheme="minorHAnsi" w:hAnsiTheme="minorHAnsi" w:cstheme="minorHAnsi"/>
                <w:i/>
                <w:iCs/>
                <w:sz w:val="22"/>
                <w:szCs w:val="22"/>
              </w:rPr>
              <w:t xml:space="preserve"> and </w:t>
            </w:r>
            <w:r w:rsidRPr="00514B21">
              <w:rPr>
                <w:rFonts w:asciiTheme="minorHAnsi" w:hAnsiTheme="minorHAnsi" w:cstheme="minorHAnsi"/>
                <w:i/>
                <w:iCs/>
                <w:sz w:val="22"/>
                <w:szCs w:val="22"/>
              </w:rPr>
              <w:t>Academia]</w:t>
            </w:r>
          </w:p>
          <w:p w14:paraId="4DAC9F6E" w14:textId="1F2B8F28" w:rsidR="0015353B" w:rsidRPr="00AC0FB6" w:rsidRDefault="0015353B" w:rsidP="008261D6">
            <w:pPr>
              <w:pStyle w:val="ListParagraph"/>
              <w:numPr>
                <w:ilvl w:val="0"/>
                <w:numId w:val="45"/>
              </w:numPr>
              <w:contextualSpacing w:val="0"/>
              <w:rPr>
                <w:rFonts w:asciiTheme="minorHAnsi" w:hAnsiTheme="minorHAnsi" w:cstheme="minorHAnsi"/>
                <w:sz w:val="22"/>
                <w:szCs w:val="22"/>
              </w:rPr>
            </w:pPr>
            <w:r w:rsidRPr="00AC0FB6">
              <w:rPr>
                <w:rFonts w:asciiTheme="minorHAnsi" w:hAnsiTheme="minorHAnsi" w:cstheme="minorHAnsi"/>
                <w:sz w:val="22"/>
                <w:szCs w:val="22"/>
              </w:rPr>
              <w:t xml:space="preserve">Eligibility could </w:t>
            </w:r>
            <w:r>
              <w:rPr>
                <w:rFonts w:asciiTheme="minorHAnsi" w:hAnsiTheme="minorHAnsi" w:cstheme="minorHAnsi"/>
                <w:sz w:val="22"/>
                <w:szCs w:val="22"/>
              </w:rPr>
              <w:t>reward products licensed in</w:t>
            </w:r>
            <w:r w:rsidRPr="00AC0FB6">
              <w:rPr>
                <w:rFonts w:asciiTheme="minorHAnsi" w:hAnsiTheme="minorHAnsi" w:cstheme="minorHAnsi"/>
                <w:sz w:val="22"/>
                <w:szCs w:val="22"/>
              </w:rPr>
              <w:t xml:space="preserve"> children</w:t>
            </w:r>
            <w:r>
              <w:rPr>
                <w:rFonts w:asciiTheme="minorHAnsi" w:hAnsiTheme="minorHAnsi" w:cstheme="minorHAnsi"/>
                <w:sz w:val="22"/>
                <w:szCs w:val="22"/>
              </w:rPr>
              <w:t xml:space="preserve">, to </w:t>
            </w:r>
            <w:r w:rsidRPr="00AC0FB6">
              <w:rPr>
                <w:rFonts w:asciiTheme="minorHAnsi" w:hAnsiTheme="minorHAnsi" w:cstheme="minorHAnsi"/>
                <w:sz w:val="22"/>
                <w:szCs w:val="22"/>
              </w:rPr>
              <w:t>incentivise early data collection</w:t>
            </w:r>
            <w:r w:rsidR="00D20CDF">
              <w:rPr>
                <w:rFonts w:asciiTheme="minorHAnsi" w:hAnsiTheme="minorHAnsi" w:cstheme="minorHAnsi"/>
                <w:sz w:val="22"/>
                <w:szCs w:val="22"/>
              </w:rPr>
              <w:t>.</w:t>
            </w:r>
            <w:r w:rsidRPr="00AC0FB6">
              <w:rPr>
                <w:rFonts w:asciiTheme="minorHAnsi" w:hAnsiTheme="minorHAnsi" w:cstheme="minorHAnsi"/>
                <w:i/>
                <w:iCs/>
                <w:sz w:val="22"/>
                <w:szCs w:val="22"/>
              </w:rPr>
              <w:t xml:space="preserve"> [Academia</w:t>
            </w:r>
            <w:r w:rsidR="007912BC">
              <w:rPr>
                <w:rFonts w:asciiTheme="minorHAnsi" w:hAnsiTheme="minorHAnsi" w:cstheme="minorHAnsi"/>
                <w:i/>
                <w:iCs/>
                <w:sz w:val="22"/>
                <w:szCs w:val="22"/>
              </w:rPr>
              <w:t xml:space="preserve"> and </w:t>
            </w:r>
            <w:r w:rsidRPr="00AC0FB6">
              <w:rPr>
                <w:rFonts w:asciiTheme="minorHAnsi" w:hAnsiTheme="minorHAnsi" w:cstheme="minorHAnsi"/>
                <w:i/>
                <w:iCs/>
                <w:sz w:val="22"/>
                <w:szCs w:val="22"/>
              </w:rPr>
              <w:t>Clinical expert]</w:t>
            </w:r>
          </w:p>
          <w:p w14:paraId="31608AB2" w14:textId="2089B302" w:rsidR="00676D72" w:rsidRPr="007912BC" w:rsidRDefault="007324C4" w:rsidP="008261D6">
            <w:pPr>
              <w:pStyle w:val="ListParagraph"/>
              <w:numPr>
                <w:ilvl w:val="0"/>
                <w:numId w:val="45"/>
              </w:numPr>
              <w:ind w:left="357" w:hanging="357"/>
              <w:contextualSpacing w:val="0"/>
              <w:rPr>
                <w:rFonts w:asciiTheme="minorHAnsi" w:hAnsiTheme="minorHAnsi" w:cstheme="minorHAnsi"/>
                <w:i/>
                <w:iCs/>
                <w:sz w:val="22"/>
                <w:szCs w:val="22"/>
              </w:rPr>
            </w:pPr>
            <w:r>
              <w:rPr>
                <w:rFonts w:asciiTheme="minorHAnsi" w:hAnsiTheme="minorHAnsi" w:cstheme="minorHAnsi"/>
                <w:sz w:val="22"/>
                <w:szCs w:val="22"/>
              </w:rPr>
              <w:t>W</w:t>
            </w:r>
            <w:r w:rsidR="00676D72" w:rsidRPr="00514B21">
              <w:rPr>
                <w:rFonts w:asciiTheme="minorHAnsi" w:hAnsiTheme="minorHAnsi" w:cstheme="minorHAnsi"/>
                <w:sz w:val="22"/>
                <w:szCs w:val="22"/>
              </w:rPr>
              <w:t>eight</w:t>
            </w:r>
            <w:r>
              <w:rPr>
                <w:rFonts w:asciiTheme="minorHAnsi" w:hAnsiTheme="minorHAnsi" w:cstheme="minorHAnsi"/>
                <w:sz w:val="22"/>
                <w:szCs w:val="22"/>
              </w:rPr>
              <w:t xml:space="preserve">ing should be changed </w:t>
            </w:r>
            <w:r w:rsidR="00676D72" w:rsidRPr="00514B21">
              <w:rPr>
                <w:rFonts w:asciiTheme="minorHAnsi" w:hAnsiTheme="minorHAnsi" w:cstheme="minorHAnsi"/>
                <w:sz w:val="22"/>
                <w:szCs w:val="22"/>
              </w:rPr>
              <w:t>to reward novel mechanism of action and innovation</w:t>
            </w:r>
            <w:r w:rsidR="00D20CDF">
              <w:rPr>
                <w:rFonts w:asciiTheme="minorHAnsi" w:hAnsiTheme="minorHAnsi" w:cstheme="minorHAnsi"/>
                <w:sz w:val="22"/>
                <w:szCs w:val="22"/>
              </w:rPr>
              <w:t>.</w:t>
            </w:r>
            <w:r w:rsidR="00676D72" w:rsidRPr="00514B21">
              <w:rPr>
                <w:rFonts w:asciiTheme="minorHAnsi" w:hAnsiTheme="minorHAnsi" w:cstheme="minorHAnsi"/>
                <w:sz w:val="22"/>
                <w:szCs w:val="22"/>
              </w:rPr>
              <w:t xml:space="preserve"> </w:t>
            </w:r>
            <w:r w:rsidR="00676D72" w:rsidRPr="007912BC">
              <w:rPr>
                <w:rFonts w:asciiTheme="minorHAnsi" w:hAnsiTheme="minorHAnsi" w:cstheme="minorHAnsi"/>
                <w:i/>
                <w:iCs/>
                <w:sz w:val="22"/>
                <w:szCs w:val="22"/>
              </w:rPr>
              <w:t>[KOL]</w:t>
            </w:r>
          </w:p>
          <w:p w14:paraId="2D53CD82" w14:textId="166A570A" w:rsidR="00972DED" w:rsidRPr="00AC0FB6" w:rsidRDefault="00B93B29" w:rsidP="008261D6">
            <w:pPr>
              <w:pStyle w:val="ListParagraph"/>
              <w:numPr>
                <w:ilvl w:val="0"/>
                <w:numId w:val="45"/>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Novelty of the chemical entity is </w:t>
            </w:r>
            <w:r w:rsidR="007C7FC0" w:rsidRPr="00514B21">
              <w:rPr>
                <w:rFonts w:asciiTheme="minorHAnsi" w:hAnsiTheme="minorHAnsi" w:cstheme="minorHAnsi"/>
                <w:sz w:val="22"/>
                <w:szCs w:val="22"/>
              </w:rPr>
              <w:t xml:space="preserve">a </w:t>
            </w:r>
            <w:r w:rsidRPr="00514B21">
              <w:rPr>
                <w:rFonts w:asciiTheme="minorHAnsi" w:hAnsiTheme="minorHAnsi" w:cstheme="minorHAnsi"/>
                <w:sz w:val="22"/>
                <w:szCs w:val="22"/>
              </w:rPr>
              <w:t>highly aspirational criteri</w:t>
            </w:r>
            <w:r w:rsidR="007C7FC0" w:rsidRPr="00514B21">
              <w:rPr>
                <w:rFonts w:asciiTheme="minorHAnsi" w:hAnsiTheme="minorHAnsi" w:cstheme="minorHAnsi"/>
                <w:sz w:val="22"/>
                <w:szCs w:val="22"/>
              </w:rPr>
              <w:t>on</w:t>
            </w:r>
            <w:r w:rsidR="009B6C4B" w:rsidRPr="00514B21">
              <w:rPr>
                <w:rFonts w:asciiTheme="minorHAnsi" w:hAnsiTheme="minorHAnsi" w:cstheme="minorHAnsi"/>
                <w:sz w:val="22"/>
                <w:szCs w:val="22"/>
              </w:rPr>
              <w:t xml:space="preserve"> that is difficult to meet</w:t>
            </w:r>
            <w:r w:rsidRPr="00514B21">
              <w:rPr>
                <w:rFonts w:asciiTheme="minorHAnsi" w:hAnsiTheme="minorHAnsi" w:cstheme="minorHAnsi"/>
                <w:sz w:val="22"/>
                <w:szCs w:val="22"/>
              </w:rPr>
              <w:t xml:space="preserve">. </w:t>
            </w:r>
            <w:r w:rsidR="002D0A1E" w:rsidRPr="00514B21">
              <w:rPr>
                <w:rFonts w:asciiTheme="minorHAnsi" w:hAnsiTheme="minorHAnsi" w:cstheme="minorHAnsi"/>
                <w:sz w:val="22"/>
                <w:szCs w:val="22"/>
              </w:rPr>
              <w:t>Assessment of n</w:t>
            </w:r>
            <w:r w:rsidRPr="00514B21">
              <w:rPr>
                <w:rFonts w:asciiTheme="minorHAnsi" w:hAnsiTheme="minorHAnsi" w:cstheme="minorHAnsi"/>
                <w:sz w:val="22"/>
                <w:szCs w:val="22"/>
              </w:rPr>
              <w:t xml:space="preserve">ovelty </w:t>
            </w:r>
            <w:r w:rsidR="002D0A1E" w:rsidRPr="00514B21">
              <w:rPr>
                <w:rFonts w:asciiTheme="minorHAnsi" w:hAnsiTheme="minorHAnsi" w:cstheme="minorHAnsi"/>
                <w:sz w:val="22"/>
                <w:szCs w:val="22"/>
              </w:rPr>
              <w:t xml:space="preserve">should include </w:t>
            </w:r>
            <w:r w:rsidRPr="00514B21">
              <w:rPr>
                <w:rFonts w:asciiTheme="minorHAnsi" w:hAnsiTheme="minorHAnsi" w:cstheme="minorHAnsi"/>
                <w:sz w:val="22"/>
                <w:szCs w:val="22"/>
              </w:rPr>
              <w:t xml:space="preserve">other aspects </w:t>
            </w:r>
            <w:proofErr w:type="gramStart"/>
            <w:r w:rsidR="007E0D50" w:rsidRPr="00514B21">
              <w:rPr>
                <w:rFonts w:asciiTheme="minorHAnsi" w:hAnsiTheme="minorHAnsi" w:cstheme="minorHAnsi"/>
                <w:sz w:val="22"/>
                <w:szCs w:val="22"/>
              </w:rPr>
              <w:t>e</w:t>
            </w:r>
            <w:r w:rsidR="001E7753">
              <w:rPr>
                <w:rFonts w:asciiTheme="minorHAnsi" w:hAnsiTheme="minorHAnsi" w:cstheme="minorHAnsi"/>
                <w:sz w:val="22"/>
                <w:szCs w:val="22"/>
              </w:rPr>
              <w:t>.</w:t>
            </w:r>
            <w:r w:rsidR="007E0D50" w:rsidRPr="00514B21">
              <w:rPr>
                <w:rFonts w:asciiTheme="minorHAnsi" w:hAnsiTheme="minorHAnsi" w:cstheme="minorHAnsi"/>
                <w:sz w:val="22"/>
                <w:szCs w:val="22"/>
              </w:rPr>
              <w:t>g</w:t>
            </w:r>
            <w:r w:rsidR="001E7753">
              <w:rPr>
                <w:rFonts w:asciiTheme="minorHAnsi" w:hAnsiTheme="minorHAnsi" w:cstheme="minorHAnsi"/>
                <w:sz w:val="22"/>
                <w:szCs w:val="22"/>
              </w:rPr>
              <w:t>.</w:t>
            </w:r>
            <w:proofErr w:type="gramEnd"/>
            <w:r w:rsidR="007E0D50" w:rsidRPr="00514B21">
              <w:rPr>
                <w:rFonts w:asciiTheme="minorHAnsi" w:hAnsiTheme="minorHAnsi" w:cstheme="minorHAnsi"/>
                <w:sz w:val="22"/>
                <w:szCs w:val="22"/>
              </w:rPr>
              <w:t xml:space="preserve"> </w:t>
            </w:r>
            <w:r w:rsidR="002D0A1E" w:rsidRPr="00514B21">
              <w:rPr>
                <w:rFonts w:asciiTheme="minorHAnsi" w:hAnsiTheme="minorHAnsi" w:cstheme="minorHAnsi"/>
                <w:sz w:val="22"/>
                <w:szCs w:val="22"/>
              </w:rPr>
              <w:t xml:space="preserve">mode of </w:t>
            </w:r>
            <w:r w:rsidR="007E0D50" w:rsidRPr="00514B21">
              <w:rPr>
                <w:rFonts w:asciiTheme="minorHAnsi" w:hAnsiTheme="minorHAnsi" w:cstheme="minorHAnsi"/>
                <w:sz w:val="22"/>
                <w:szCs w:val="22"/>
              </w:rPr>
              <w:t>deliver</w:t>
            </w:r>
            <w:r w:rsidR="002D0A1E" w:rsidRPr="00514B21">
              <w:rPr>
                <w:rFonts w:asciiTheme="minorHAnsi" w:hAnsiTheme="minorHAnsi" w:cstheme="minorHAnsi"/>
                <w:sz w:val="22"/>
                <w:szCs w:val="22"/>
              </w:rPr>
              <w:t>y -</w:t>
            </w:r>
            <w:r w:rsidR="007E0D50" w:rsidRPr="00514B21">
              <w:rPr>
                <w:rFonts w:asciiTheme="minorHAnsi" w:hAnsiTheme="minorHAnsi" w:cstheme="minorHAnsi"/>
                <w:sz w:val="22"/>
                <w:szCs w:val="22"/>
              </w:rPr>
              <w:t xml:space="preserve"> </w:t>
            </w:r>
            <w:r w:rsidR="002D0A1E" w:rsidRPr="00514B21">
              <w:rPr>
                <w:rFonts w:asciiTheme="minorHAnsi" w:hAnsiTheme="minorHAnsi" w:cstheme="minorHAnsi"/>
                <w:sz w:val="22"/>
                <w:szCs w:val="22"/>
              </w:rPr>
              <w:t>o</w:t>
            </w:r>
            <w:r w:rsidR="007E0D50" w:rsidRPr="00514B21">
              <w:rPr>
                <w:rFonts w:asciiTheme="minorHAnsi" w:hAnsiTheme="minorHAnsi" w:cstheme="minorHAnsi"/>
                <w:sz w:val="22"/>
                <w:szCs w:val="22"/>
              </w:rPr>
              <w:t>ral/nasal delivery could reduce hospital pressure and be more sustainable</w:t>
            </w:r>
            <w:r w:rsidR="0007097A" w:rsidRPr="00514B21">
              <w:rPr>
                <w:rFonts w:asciiTheme="minorHAnsi" w:hAnsiTheme="minorHAnsi" w:cstheme="minorHAnsi"/>
                <w:sz w:val="22"/>
                <w:szCs w:val="22"/>
              </w:rPr>
              <w:t xml:space="preserve">. However, stewardship challenges increase with </w:t>
            </w:r>
            <w:r w:rsidR="00881351" w:rsidRPr="00514B21">
              <w:rPr>
                <w:rFonts w:asciiTheme="minorHAnsi" w:hAnsiTheme="minorHAnsi" w:cstheme="minorHAnsi"/>
                <w:sz w:val="22"/>
                <w:szCs w:val="22"/>
              </w:rPr>
              <w:t xml:space="preserve">increased </w:t>
            </w:r>
            <w:r w:rsidR="0007097A" w:rsidRPr="00514B21">
              <w:rPr>
                <w:rFonts w:asciiTheme="minorHAnsi" w:hAnsiTheme="minorHAnsi" w:cstheme="minorHAnsi"/>
                <w:sz w:val="22"/>
                <w:szCs w:val="22"/>
              </w:rPr>
              <w:t>ease of use</w:t>
            </w:r>
            <w:r w:rsidR="00D20CDF">
              <w:rPr>
                <w:rFonts w:asciiTheme="minorHAnsi" w:hAnsiTheme="minorHAnsi" w:cstheme="minorHAnsi"/>
                <w:sz w:val="22"/>
                <w:szCs w:val="22"/>
              </w:rPr>
              <w:t>.</w:t>
            </w:r>
            <w:r w:rsidR="0007097A" w:rsidRPr="00514B21">
              <w:rPr>
                <w:rFonts w:asciiTheme="minorHAnsi" w:hAnsiTheme="minorHAnsi" w:cstheme="minorHAnsi"/>
                <w:sz w:val="22"/>
                <w:szCs w:val="22"/>
              </w:rPr>
              <w:t xml:space="preserve"> </w:t>
            </w:r>
            <w:r w:rsidR="007E0D50" w:rsidRPr="00514B21">
              <w:rPr>
                <w:rFonts w:asciiTheme="minorHAnsi" w:hAnsiTheme="minorHAnsi" w:cstheme="minorHAnsi"/>
                <w:i/>
                <w:iCs/>
                <w:sz w:val="22"/>
                <w:szCs w:val="22"/>
              </w:rPr>
              <w:t xml:space="preserve">[Industry, </w:t>
            </w:r>
            <w:r w:rsidR="005728C5">
              <w:rPr>
                <w:rFonts w:asciiTheme="minorHAnsi" w:hAnsiTheme="minorHAnsi" w:cstheme="minorHAnsi"/>
                <w:i/>
                <w:iCs/>
                <w:sz w:val="22"/>
                <w:szCs w:val="22"/>
              </w:rPr>
              <w:t xml:space="preserve">Clinical </w:t>
            </w:r>
            <w:proofErr w:type="gramStart"/>
            <w:r w:rsidR="005728C5">
              <w:rPr>
                <w:rFonts w:asciiTheme="minorHAnsi" w:hAnsiTheme="minorHAnsi" w:cstheme="minorHAnsi"/>
                <w:i/>
                <w:iCs/>
                <w:sz w:val="22"/>
                <w:szCs w:val="22"/>
              </w:rPr>
              <w:t>expert</w:t>
            </w:r>
            <w:proofErr w:type="gramEnd"/>
            <w:r w:rsidR="007912BC">
              <w:rPr>
                <w:rFonts w:asciiTheme="minorHAnsi" w:hAnsiTheme="minorHAnsi" w:cstheme="minorHAnsi"/>
                <w:i/>
                <w:iCs/>
                <w:sz w:val="22"/>
                <w:szCs w:val="22"/>
              </w:rPr>
              <w:t xml:space="preserve"> and </w:t>
            </w:r>
            <w:r w:rsidR="007E0D50" w:rsidRPr="00514B21">
              <w:rPr>
                <w:rFonts w:asciiTheme="minorHAnsi" w:hAnsiTheme="minorHAnsi" w:cstheme="minorHAnsi"/>
                <w:i/>
                <w:iCs/>
                <w:sz w:val="22"/>
                <w:szCs w:val="22"/>
              </w:rPr>
              <w:t>Committee member]</w:t>
            </w:r>
          </w:p>
          <w:p w14:paraId="03B58A69" w14:textId="35464F62" w:rsidR="00AC0FB6" w:rsidRPr="00514B21" w:rsidRDefault="00AC0FB6" w:rsidP="008261D6">
            <w:pPr>
              <w:pStyle w:val="ListParagraph"/>
              <w:numPr>
                <w:ilvl w:val="0"/>
                <w:numId w:val="45"/>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Need better quality evidence to determine whether products meet selection criteria. For example, PK/PD data </w:t>
            </w:r>
            <w:r>
              <w:rPr>
                <w:rFonts w:asciiTheme="minorHAnsi" w:hAnsiTheme="minorHAnsi" w:cstheme="minorHAnsi"/>
                <w:sz w:val="22"/>
                <w:szCs w:val="22"/>
              </w:rPr>
              <w:t xml:space="preserve">on tissue penetration </w:t>
            </w:r>
            <w:r w:rsidRPr="00514B21">
              <w:rPr>
                <w:rFonts w:asciiTheme="minorHAnsi" w:hAnsiTheme="minorHAnsi" w:cstheme="minorHAnsi"/>
                <w:sz w:val="22"/>
                <w:szCs w:val="22"/>
              </w:rPr>
              <w:t>is crucial to determine whether antimicrobials reach site of infection</w:t>
            </w:r>
            <w:r w:rsidR="00D20CDF">
              <w:rPr>
                <w:rFonts w:asciiTheme="minorHAnsi" w:hAnsiTheme="minorHAnsi" w:cstheme="minorHAnsi"/>
                <w:sz w:val="22"/>
                <w:szCs w:val="22"/>
              </w:rPr>
              <w:t>.</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[Committee member</w:t>
            </w:r>
            <w:r w:rsidR="007912BC">
              <w:rPr>
                <w:rFonts w:asciiTheme="minorHAnsi" w:hAnsiTheme="minorHAnsi" w:cstheme="minorHAnsi"/>
                <w:i/>
                <w:iCs/>
                <w:sz w:val="22"/>
                <w:szCs w:val="22"/>
              </w:rPr>
              <w:t xml:space="preserve"> and</w:t>
            </w:r>
            <w:r w:rsidRPr="00514B21">
              <w:rPr>
                <w:rFonts w:asciiTheme="minorHAnsi" w:hAnsiTheme="minorHAnsi" w:cstheme="minorHAnsi"/>
                <w:i/>
                <w:iCs/>
                <w:sz w:val="22"/>
                <w:szCs w:val="22"/>
              </w:rPr>
              <w:t xml:space="preserve"> Industry]</w:t>
            </w:r>
          </w:p>
          <w:p w14:paraId="707A0D25" w14:textId="114030A0" w:rsidR="002C44BE" w:rsidRPr="00514B21" w:rsidRDefault="002C44BE" w:rsidP="008261D6">
            <w:pPr>
              <w:pStyle w:val="ListParagraph"/>
              <w:numPr>
                <w:ilvl w:val="0"/>
                <w:numId w:val="45"/>
              </w:numPr>
              <w:ind w:left="357" w:hanging="357"/>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Pre-requisite for selection should be </w:t>
            </w:r>
            <w:r w:rsidR="001E7753">
              <w:rPr>
                <w:rFonts w:asciiTheme="minorHAnsi" w:hAnsiTheme="minorHAnsi" w:cstheme="minorHAnsi"/>
                <w:sz w:val="22"/>
                <w:szCs w:val="22"/>
              </w:rPr>
              <w:t xml:space="preserve">a </w:t>
            </w:r>
            <w:r w:rsidRPr="00514B21">
              <w:rPr>
                <w:rFonts w:asciiTheme="minorHAnsi" w:hAnsiTheme="minorHAnsi" w:cstheme="minorHAnsi"/>
                <w:sz w:val="22"/>
                <w:szCs w:val="22"/>
              </w:rPr>
              <w:t xml:space="preserve">sales force </w:t>
            </w:r>
            <w:r w:rsidR="001E7753">
              <w:rPr>
                <w:rFonts w:asciiTheme="minorHAnsi" w:hAnsiTheme="minorHAnsi" w:cstheme="minorHAnsi"/>
                <w:sz w:val="22"/>
                <w:szCs w:val="22"/>
              </w:rPr>
              <w:t xml:space="preserve">which already has its </w:t>
            </w:r>
            <w:r w:rsidRPr="00514B21">
              <w:rPr>
                <w:rFonts w:asciiTheme="minorHAnsi" w:hAnsiTheme="minorHAnsi" w:cstheme="minorHAnsi"/>
                <w:sz w:val="22"/>
                <w:szCs w:val="22"/>
              </w:rPr>
              <w:t xml:space="preserve">renumeration </w:t>
            </w:r>
            <w:r w:rsidR="001E7753">
              <w:rPr>
                <w:rFonts w:asciiTheme="minorHAnsi" w:hAnsiTheme="minorHAnsi" w:cstheme="minorHAnsi"/>
                <w:sz w:val="22"/>
                <w:szCs w:val="22"/>
              </w:rPr>
              <w:t xml:space="preserve">delinked </w:t>
            </w:r>
            <w:r w:rsidRPr="00514B21">
              <w:rPr>
                <w:rFonts w:asciiTheme="minorHAnsi" w:hAnsiTheme="minorHAnsi" w:cstheme="minorHAnsi"/>
                <w:sz w:val="22"/>
                <w:szCs w:val="22"/>
              </w:rPr>
              <w:t xml:space="preserve">from product sales (rather than asking companies to commit to </w:t>
            </w:r>
            <w:r w:rsidR="001E7753">
              <w:rPr>
                <w:rFonts w:asciiTheme="minorHAnsi" w:hAnsiTheme="minorHAnsi" w:cstheme="minorHAnsi"/>
                <w:sz w:val="22"/>
                <w:szCs w:val="22"/>
              </w:rPr>
              <w:t xml:space="preserve">this </w:t>
            </w:r>
            <w:r w:rsidRPr="00514B21">
              <w:rPr>
                <w:rFonts w:asciiTheme="minorHAnsi" w:hAnsiTheme="minorHAnsi" w:cstheme="minorHAnsi"/>
                <w:sz w:val="22"/>
                <w:szCs w:val="22"/>
              </w:rPr>
              <w:t xml:space="preserve">in the future, as in the pilot selection criteria). This would reward good stewardship and discourage overprescribing. </w:t>
            </w:r>
            <w:r w:rsidRPr="00514B21">
              <w:rPr>
                <w:rFonts w:asciiTheme="minorHAnsi" w:hAnsiTheme="minorHAnsi" w:cstheme="minorHAnsi"/>
                <w:i/>
                <w:iCs/>
                <w:sz w:val="22"/>
                <w:szCs w:val="22"/>
              </w:rPr>
              <w:t>[Committee member]</w:t>
            </w:r>
          </w:p>
          <w:p w14:paraId="2E004461" w14:textId="29139D20" w:rsidR="0066489F" w:rsidRPr="0015353B" w:rsidRDefault="00655E16" w:rsidP="008261D6">
            <w:pPr>
              <w:pStyle w:val="ListParagraph"/>
              <w:numPr>
                <w:ilvl w:val="0"/>
                <w:numId w:val="45"/>
              </w:numPr>
              <w:contextualSpacing w:val="0"/>
              <w:rPr>
                <w:rFonts w:asciiTheme="minorHAnsi" w:hAnsiTheme="minorHAnsi" w:cstheme="minorHAnsi"/>
                <w:sz w:val="22"/>
                <w:szCs w:val="22"/>
              </w:rPr>
            </w:pPr>
            <w:r>
              <w:rPr>
                <w:rFonts w:asciiTheme="minorHAnsi" w:hAnsiTheme="minorHAnsi" w:cstheme="minorHAnsi"/>
                <w:sz w:val="22"/>
                <w:szCs w:val="22"/>
              </w:rPr>
              <w:lastRenderedPageBreak/>
              <w:t>Unnecessary to include selection c</w:t>
            </w:r>
            <w:r w:rsidRPr="00655E16">
              <w:rPr>
                <w:rFonts w:asciiTheme="minorHAnsi" w:hAnsiTheme="minorHAnsi" w:cstheme="minorHAnsi"/>
                <w:sz w:val="22"/>
                <w:szCs w:val="22"/>
              </w:rPr>
              <w:t xml:space="preserve">riteria </w:t>
            </w:r>
            <w:r>
              <w:rPr>
                <w:rFonts w:asciiTheme="minorHAnsi" w:hAnsiTheme="minorHAnsi" w:cstheme="minorHAnsi"/>
                <w:sz w:val="22"/>
                <w:szCs w:val="22"/>
              </w:rPr>
              <w:t xml:space="preserve">that are also part of the contract’s key performance indicators, </w:t>
            </w:r>
            <w:r w:rsidRPr="00655E16">
              <w:rPr>
                <w:rFonts w:asciiTheme="minorHAnsi" w:hAnsiTheme="minorHAnsi" w:cstheme="minorHAnsi"/>
                <w:sz w:val="22"/>
                <w:szCs w:val="22"/>
              </w:rPr>
              <w:t>such as assurances over the supply chain</w:t>
            </w:r>
            <w:r>
              <w:rPr>
                <w:rFonts w:asciiTheme="minorHAnsi" w:hAnsiTheme="minorHAnsi" w:cstheme="minorHAnsi"/>
                <w:sz w:val="22"/>
                <w:szCs w:val="22"/>
              </w:rPr>
              <w:t>. Although note that</w:t>
            </w:r>
            <w:r w:rsidRPr="00655E16">
              <w:rPr>
                <w:rFonts w:asciiTheme="minorHAnsi" w:hAnsiTheme="minorHAnsi" w:cstheme="minorHAnsi"/>
                <w:sz w:val="22"/>
                <w:szCs w:val="22"/>
              </w:rPr>
              <w:t xml:space="preserve"> </w:t>
            </w:r>
            <w:r>
              <w:rPr>
                <w:rFonts w:asciiTheme="minorHAnsi" w:hAnsiTheme="minorHAnsi" w:cstheme="minorHAnsi"/>
                <w:sz w:val="22"/>
                <w:szCs w:val="22"/>
              </w:rPr>
              <w:t>s</w:t>
            </w:r>
            <w:r w:rsidR="00622C36" w:rsidRPr="00655E16">
              <w:rPr>
                <w:rFonts w:asciiTheme="minorHAnsi" w:hAnsiTheme="minorHAnsi" w:cstheme="minorHAnsi"/>
                <w:sz w:val="22"/>
                <w:szCs w:val="22"/>
              </w:rPr>
              <w:t xml:space="preserve">mall to medium-sized antimicrobial </w:t>
            </w:r>
            <w:r w:rsidR="0075103A">
              <w:rPr>
                <w:rFonts w:asciiTheme="minorHAnsi" w:hAnsiTheme="minorHAnsi" w:cstheme="minorHAnsi"/>
                <w:sz w:val="22"/>
                <w:szCs w:val="22"/>
              </w:rPr>
              <w:t>companies</w:t>
            </w:r>
            <w:r w:rsidR="0075103A" w:rsidRPr="00655E16" w:rsidDel="00622C36">
              <w:rPr>
                <w:rFonts w:asciiTheme="minorHAnsi" w:hAnsiTheme="minorHAnsi" w:cstheme="minorHAnsi"/>
                <w:sz w:val="22"/>
                <w:szCs w:val="22"/>
              </w:rPr>
              <w:t xml:space="preserve"> </w:t>
            </w:r>
            <w:r w:rsidR="00216C0D" w:rsidRPr="00655E16">
              <w:rPr>
                <w:rFonts w:asciiTheme="minorHAnsi" w:hAnsiTheme="minorHAnsi" w:cstheme="minorHAnsi"/>
                <w:sz w:val="22"/>
                <w:szCs w:val="22"/>
              </w:rPr>
              <w:t xml:space="preserve">will have less capability to meet to criteria such as </w:t>
            </w:r>
            <w:r w:rsidR="002133D3">
              <w:rPr>
                <w:rFonts w:asciiTheme="minorHAnsi" w:hAnsiTheme="minorHAnsi" w:cstheme="minorHAnsi"/>
                <w:sz w:val="22"/>
                <w:szCs w:val="22"/>
              </w:rPr>
              <w:t>these</w:t>
            </w:r>
            <w:r w:rsidR="00D20CDF">
              <w:rPr>
                <w:rFonts w:asciiTheme="minorHAnsi" w:hAnsiTheme="minorHAnsi" w:cstheme="minorHAnsi"/>
                <w:sz w:val="22"/>
                <w:szCs w:val="22"/>
              </w:rPr>
              <w:t>.</w:t>
            </w:r>
            <w:r w:rsidR="00622C36" w:rsidRPr="00655E16">
              <w:rPr>
                <w:rFonts w:asciiTheme="minorHAnsi" w:hAnsiTheme="minorHAnsi" w:cstheme="minorHAnsi"/>
                <w:sz w:val="22"/>
                <w:szCs w:val="22"/>
              </w:rPr>
              <w:t xml:space="preserve"> </w:t>
            </w:r>
            <w:r w:rsidR="00216C0D" w:rsidRPr="00655E16">
              <w:rPr>
                <w:rFonts w:asciiTheme="minorHAnsi" w:hAnsiTheme="minorHAnsi" w:cstheme="minorHAnsi"/>
                <w:i/>
                <w:iCs/>
                <w:sz w:val="22"/>
                <w:szCs w:val="22"/>
              </w:rPr>
              <w:t>[Industry]</w:t>
            </w:r>
          </w:p>
        </w:tc>
        <w:tc>
          <w:tcPr>
            <w:tcW w:w="2126" w:type="dxa"/>
          </w:tcPr>
          <w:p w14:paraId="794F005B" w14:textId="5D5D1DC0" w:rsidR="0050621A" w:rsidRPr="00514B21" w:rsidRDefault="00E44FA2" w:rsidP="008261D6">
            <w:pPr>
              <w:rPr>
                <w:rFonts w:asciiTheme="minorHAnsi" w:hAnsiTheme="minorHAnsi" w:cstheme="minorHAnsi"/>
                <w:sz w:val="22"/>
                <w:szCs w:val="22"/>
              </w:rPr>
            </w:pPr>
            <w:r w:rsidRPr="00514B21">
              <w:rPr>
                <w:rFonts w:asciiTheme="minorHAnsi" w:hAnsiTheme="minorHAnsi" w:cstheme="minorHAnsi"/>
                <w:sz w:val="22"/>
                <w:szCs w:val="22"/>
              </w:rPr>
              <w:lastRenderedPageBreak/>
              <w:t xml:space="preserve">Focus on global needs, rather than solely those of the UK, is needed to generate </w:t>
            </w:r>
            <w:r w:rsidR="002C44BE">
              <w:rPr>
                <w:rFonts w:asciiTheme="minorHAnsi" w:hAnsiTheme="minorHAnsi" w:cstheme="minorHAnsi"/>
                <w:sz w:val="22"/>
                <w:szCs w:val="22"/>
              </w:rPr>
              <w:t xml:space="preserve">sufficient </w:t>
            </w:r>
            <w:r w:rsidRPr="00514B21">
              <w:rPr>
                <w:rFonts w:asciiTheme="minorHAnsi" w:hAnsiTheme="minorHAnsi" w:cstheme="minorHAnsi"/>
                <w:sz w:val="22"/>
                <w:szCs w:val="22"/>
              </w:rPr>
              <w:t xml:space="preserve">revenues </w:t>
            </w:r>
            <w:r w:rsidR="007324C4">
              <w:rPr>
                <w:rFonts w:asciiTheme="minorHAnsi" w:hAnsiTheme="minorHAnsi" w:cstheme="minorHAnsi"/>
                <w:sz w:val="22"/>
                <w:szCs w:val="22"/>
              </w:rPr>
              <w:t xml:space="preserve">for a successful </w:t>
            </w:r>
            <w:r w:rsidRPr="00514B21">
              <w:rPr>
                <w:rFonts w:asciiTheme="minorHAnsi" w:hAnsiTheme="minorHAnsi" w:cstheme="minorHAnsi"/>
                <w:sz w:val="22"/>
                <w:szCs w:val="22"/>
              </w:rPr>
              <w:t xml:space="preserve">pull incentive. </w:t>
            </w:r>
          </w:p>
          <w:p w14:paraId="7AC08A4A" w14:textId="77777777" w:rsidR="0050621A" w:rsidRPr="00514B21" w:rsidRDefault="0050621A" w:rsidP="008261D6">
            <w:pPr>
              <w:rPr>
                <w:rFonts w:asciiTheme="minorHAnsi" w:hAnsiTheme="minorHAnsi" w:cstheme="minorHAnsi"/>
                <w:sz w:val="22"/>
                <w:szCs w:val="22"/>
              </w:rPr>
            </w:pPr>
          </w:p>
          <w:p w14:paraId="40A07282" w14:textId="4A482E6B" w:rsidR="00E9532F" w:rsidRPr="00514B21" w:rsidRDefault="00B93B29" w:rsidP="008261D6">
            <w:pPr>
              <w:rPr>
                <w:rFonts w:cstheme="minorHAnsi"/>
              </w:rPr>
            </w:pPr>
            <w:r w:rsidRPr="00514B21">
              <w:rPr>
                <w:rFonts w:asciiTheme="minorHAnsi" w:hAnsiTheme="minorHAnsi" w:cstheme="minorHAnsi"/>
                <w:sz w:val="22"/>
                <w:szCs w:val="22"/>
              </w:rPr>
              <w:t xml:space="preserve">Selecting products with different modes of administration </w:t>
            </w:r>
            <w:r w:rsidR="0050621A" w:rsidRPr="00514B21">
              <w:rPr>
                <w:rFonts w:asciiTheme="minorHAnsi" w:hAnsiTheme="minorHAnsi" w:cstheme="minorHAnsi"/>
                <w:sz w:val="22"/>
                <w:szCs w:val="22"/>
              </w:rPr>
              <w:t>could provide substantial benefits to health system and reduce in-hospital transmission of resistant pathogens.</w:t>
            </w:r>
            <w:r w:rsidR="00CA206F" w:rsidRPr="00514B21">
              <w:rPr>
                <w:rFonts w:cstheme="minorHAnsi"/>
              </w:rPr>
              <w:t xml:space="preserve"> </w:t>
            </w:r>
          </w:p>
          <w:p w14:paraId="040E0FA7" w14:textId="77777777" w:rsidR="00216C0D" w:rsidRPr="00514B21" w:rsidRDefault="00216C0D" w:rsidP="008261D6">
            <w:pPr>
              <w:rPr>
                <w:rFonts w:cstheme="minorHAnsi"/>
              </w:rPr>
            </w:pPr>
          </w:p>
          <w:p w14:paraId="5B4BF968" w14:textId="3F18A134" w:rsidR="00216C0D" w:rsidRPr="00514B21" w:rsidRDefault="000B10B5" w:rsidP="008261D6">
            <w:pPr>
              <w:rPr>
                <w:rFonts w:cstheme="minorHAnsi"/>
              </w:rPr>
            </w:pPr>
            <w:r w:rsidRPr="000B10B5">
              <w:rPr>
                <w:rFonts w:asciiTheme="minorHAnsi" w:hAnsiTheme="minorHAnsi" w:cstheme="minorHAnsi"/>
                <w:sz w:val="22"/>
                <w:szCs w:val="22"/>
              </w:rPr>
              <w:t>Broadening the entry criteria (</w:t>
            </w:r>
            <w:proofErr w:type="gramStart"/>
            <w:r w:rsidRPr="000B10B5">
              <w:rPr>
                <w:rFonts w:asciiTheme="minorHAnsi" w:hAnsiTheme="minorHAnsi" w:cstheme="minorHAnsi"/>
                <w:sz w:val="22"/>
                <w:szCs w:val="22"/>
              </w:rPr>
              <w:t>e</w:t>
            </w:r>
            <w:r w:rsidR="00F35418">
              <w:rPr>
                <w:rFonts w:asciiTheme="minorHAnsi" w:hAnsiTheme="minorHAnsi" w:cstheme="minorHAnsi"/>
                <w:sz w:val="22"/>
                <w:szCs w:val="22"/>
              </w:rPr>
              <w:t>.</w:t>
            </w:r>
            <w:r w:rsidRPr="000B10B5">
              <w:rPr>
                <w:rFonts w:asciiTheme="minorHAnsi" w:hAnsiTheme="minorHAnsi" w:cstheme="minorHAnsi"/>
                <w:sz w:val="22"/>
                <w:szCs w:val="22"/>
              </w:rPr>
              <w:t>g</w:t>
            </w:r>
            <w:r w:rsidR="00F35418">
              <w:rPr>
                <w:rFonts w:asciiTheme="minorHAnsi" w:hAnsiTheme="minorHAnsi" w:cstheme="minorHAnsi"/>
                <w:sz w:val="22"/>
                <w:szCs w:val="22"/>
              </w:rPr>
              <w:t>.</w:t>
            </w:r>
            <w:proofErr w:type="gramEnd"/>
            <w:r w:rsidRPr="000B10B5">
              <w:rPr>
                <w:rFonts w:asciiTheme="minorHAnsi" w:hAnsiTheme="minorHAnsi" w:cstheme="minorHAnsi"/>
                <w:sz w:val="22"/>
                <w:szCs w:val="22"/>
              </w:rPr>
              <w:t xml:space="preserve"> to include antibiotics for gram positive bacteria and antifungals) would allow more companies to qualify for the process and incentivise </w:t>
            </w:r>
            <w:r w:rsidRPr="000B10B5">
              <w:rPr>
                <w:rFonts w:asciiTheme="minorHAnsi" w:hAnsiTheme="minorHAnsi" w:cstheme="minorHAnsi"/>
                <w:sz w:val="22"/>
                <w:szCs w:val="22"/>
              </w:rPr>
              <w:lastRenderedPageBreak/>
              <w:t>antimicrobial innovation.</w:t>
            </w:r>
          </w:p>
        </w:tc>
        <w:tc>
          <w:tcPr>
            <w:tcW w:w="1843" w:type="dxa"/>
          </w:tcPr>
          <w:p w14:paraId="0CABDF27" w14:textId="688D87DD" w:rsidR="00441AAF" w:rsidRPr="00514B21" w:rsidRDefault="0050621A" w:rsidP="008261D6">
            <w:pPr>
              <w:rPr>
                <w:rFonts w:asciiTheme="minorHAnsi" w:hAnsiTheme="minorHAnsi" w:cstheme="minorHAnsi"/>
                <w:sz w:val="22"/>
                <w:szCs w:val="22"/>
              </w:rPr>
            </w:pPr>
            <w:r w:rsidRPr="00514B21">
              <w:rPr>
                <w:rFonts w:asciiTheme="minorHAnsi" w:hAnsiTheme="minorHAnsi" w:cstheme="minorHAnsi"/>
                <w:sz w:val="22"/>
                <w:szCs w:val="22"/>
              </w:rPr>
              <w:lastRenderedPageBreak/>
              <w:t xml:space="preserve">Criteria </w:t>
            </w:r>
            <w:r w:rsidR="00CE1193" w:rsidRPr="00514B21">
              <w:rPr>
                <w:rFonts w:asciiTheme="minorHAnsi" w:hAnsiTheme="minorHAnsi" w:cstheme="minorHAnsi"/>
                <w:sz w:val="22"/>
                <w:szCs w:val="22"/>
              </w:rPr>
              <w:t xml:space="preserve">for the routine evaluation framework should </w:t>
            </w:r>
            <w:r w:rsidRPr="00514B21">
              <w:rPr>
                <w:rFonts w:asciiTheme="minorHAnsi" w:hAnsiTheme="minorHAnsi" w:cstheme="minorHAnsi"/>
                <w:sz w:val="22"/>
                <w:szCs w:val="22"/>
              </w:rPr>
              <w:t xml:space="preserve">be </w:t>
            </w:r>
            <w:r w:rsidR="00CE1193" w:rsidRPr="00514B21">
              <w:rPr>
                <w:rFonts w:asciiTheme="minorHAnsi" w:hAnsiTheme="minorHAnsi" w:cstheme="minorHAnsi"/>
                <w:sz w:val="22"/>
                <w:szCs w:val="22"/>
              </w:rPr>
              <w:t xml:space="preserve">updated </w:t>
            </w:r>
            <w:r w:rsidRPr="00514B21">
              <w:rPr>
                <w:rFonts w:asciiTheme="minorHAnsi" w:hAnsiTheme="minorHAnsi" w:cstheme="minorHAnsi"/>
                <w:sz w:val="22"/>
                <w:szCs w:val="22"/>
              </w:rPr>
              <w:t>to reflect other important elements of value</w:t>
            </w:r>
            <w:r w:rsidR="001E7753">
              <w:rPr>
                <w:rFonts w:asciiTheme="minorHAnsi" w:hAnsiTheme="minorHAnsi" w:cstheme="minorHAnsi"/>
                <w:sz w:val="22"/>
                <w:szCs w:val="22"/>
              </w:rPr>
              <w:t>, prioritising global unmet needs over local ones (without ignoring benefits to the UK NHS)</w:t>
            </w:r>
            <w:r w:rsidR="00CE1193" w:rsidRPr="00514B21">
              <w:rPr>
                <w:rFonts w:asciiTheme="minorHAnsi" w:hAnsiTheme="minorHAnsi" w:cstheme="minorHAnsi"/>
                <w:sz w:val="22"/>
                <w:szCs w:val="22"/>
              </w:rPr>
              <w:t xml:space="preserve">. </w:t>
            </w:r>
            <w:r w:rsidR="00E44FA2" w:rsidRPr="00514B21">
              <w:rPr>
                <w:rFonts w:asciiTheme="minorHAnsi" w:hAnsiTheme="minorHAnsi" w:cstheme="minorHAnsi"/>
                <w:sz w:val="22"/>
                <w:szCs w:val="22"/>
              </w:rPr>
              <w:t xml:space="preserve">Criteria will need periodically updating </w:t>
            </w:r>
            <w:r w:rsidR="00CE1193" w:rsidRPr="00514B21">
              <w:rPr>
                <w:rFonts w:asciiTheme="minorHAnsi" w:hAnsiTheme="minorHAnsi" w:cstheme="minorHAnsi"/>
                <w:sz w:val="22"/>
                <w:szCs w:val="22"/>
              </w:rPr>
              <w:t>to reflect changes in global unmet needs. But with careful consideration of the impact on antimicrobials in development.</w:t>
            </w:r>
          </w:p>
        </w:tc>
      </w:tr>
    </w:tbl>
    <w:p w14:paraId="5710E170" w14:textId="77777777" w:rsidR="00555F17" w:rsidRPr="00514B21" w:rsidRDefault="00555F17" w:rsidP="00555F17"/>
    <w:p w14:paraId="0FBB4846" w14:textId="77777777" w:rsidR="00555F17" w:rsidRPr="00514B21" w:rsidRDefault="00555F17" w:rsidP="00555F17"/>
    <w:p w14:paraId="6FA02203" w14:textId="77777777" w:rsidR="001F2932" w:rsidRDefault="001F2932">
      <w:pPr>
        <w:rPr>
          <w:rFonts w:asciiTheme="majorHAnsi" w:eastAsiaTheme="majorEastAsia" w:hAnsiTheme="majorHAnsi" w:cstheme="majorBidi"/>
          <w:color w:val="2F5496" w:themeColor="accent1" w:themeShade="BF"/>
          <w:sz w:val="26"/>
          <w:szCs w:val="26"/>
        </w:rPr>
      </w:pPr>
      <w:r>
        <w:br w:type="page"/>
      </w:r>
    </w:p>
    <w:p w14:paraId="6FC61004" w14:textId="581D1AF6" w:rsidR="00B40473" w:rsidRPr="00514B21" w:rsidRDefault="00B40473" w:rsidP="00607BCF">
      <w:pPr>
        <w:pStyle w:val="Heading2"/>
      </w:pPr>
      <w:r w:rsidRPr="00514B21">
        <w:lastRenderedPageBreak/>
        <w:t>NICE evaluation</w:t>
      </w:r>
    </w:p>
    <w:tbl>
      <w:tblPr>
        <w:tblStyle w:val="TableGrid"/>
        <w:tblW w:w="13178" w:type="dxa"/>
        <w:tblLook w:val="04A0" w:firstRow="1" w:lastRow="0" w:firstColumn="1" w:lastColumn="0" w:noHBand="0" w:noVBand="1"/>
      </w:tblPr>
      <w:tblGrid>
        <w:gridCol w:w="1482"/>
        <w:gridCol w:w="2624"/>
        <w:gridCol w:w="5103"/>
        <w:gridCol w:w="2062"/>
        <w:gridCol w:w="1907"/>
      </w:tblGrid>
      <w:tr w:rsidR="00B414A4" w:rsidRPr="00514B21" w14:paraId="0E1B2922" w14:textId="77777777" w:rsidTr="008261D6">
        <w:trPr>
          <w:trHeight w:val="393"/>
          <w:tblHeader/>
        </w:trPr>
        <w:tc>
          <w:tcPr>
            <w:tcW w:w="1482" w:type="dxa"/>
          </w:tcPr>
          <w:p w14:paraId="2FF2A398" w14:textId="77777777"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Theme</w:t>
            </w:r>
          </w:p>
        </w:tc>
        <w:tc>
          <w:tcPr>
            <w:tcW w:w="2624" w:type="dxa"/>
          </w:tcPr>
          <w:p w14:paraId="0A7ACDF2" w14:textId="77777777"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What went well?</w:t>
            </w:r>
          </w:p>
        </w:tc>
        <w:tc>
          <w:tcPr>
            <w:tcW w:w="5103" w:type="dxa"/>
          </w:tcPr>
          <w:p w14:paraId="243B7A95" w14:textId="77777777"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What needs improving?</w:t>
            </w:r>
          </w:p>
        </w:tc>
        <w:tc>
          <w:tcPr>
            <w:tcW w:w="2062" w:type="dxa"/>
          </w:tcPr>
          <w:p w14:paraId="18DA6C6A" w14:textId="1C0687A4"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What impact would the improvement</w:t>
            </w:r>
            <w:r w:rsidR="008261D6">
              <w:rPr>
                <w:rFonts w:asciiTheme="minorHAnsi" w:hAnsiTheme="minorHAnsi" w:cstheme="minorHAnsi"/>
                <w:b/>
                <w:bCs/>
                <w:sz w:val="22"/>
                <w:szCs w:val="22"/>
              </w:rPr>
              <w:t>s</w:t>
            </w:r>
            <w:r w:rsidRPr="00514B21">
              <w:rPr>
                <w:rFonts w:asciiTheme="minorHAnsi" w:hAnsiTheme="minorHAnsi" w:cstheme="minorHAnsi"/>
                <w:b/>
                <w:bCs/>
                <w:sz w:val="22"/>
                <w:szCs w:val="22"/>
              </w:rPr>
              <w:t xml:space="preserve"> have?</w:t>
            </w:r>
          </w:p>
        </w:tc>
        <w:tc>
          <w:tcPr>
            <w:tcW w:w="1907" w:type="dxa"/>
          </w:tcPr>
          <w:p w14:paraId="0E7DE086" w14:textId="77777777" w:rsidR="00607BCF" w:rsidRPr="00514B21" w:rsidRDefault="00607BCF" w:rsidP="008261D6">
            <w:pPr>
              <w:rPr>
                <w:rFonts w:asciiTheme="minorHAnsi" w:hAnsiTheme="minorHAnsi" w:cstheme="minorHAnsi"/>
                <w:b/>
                <w:bCs/>
                <w:sz w:val="22"/>
                <w:szCs w:val="22"/>
              </w:rPr>
            </w:pPr>
            <w:r w:rsidRPr="00514B21">
              <w:rPr>
                <w:rFonts w:asciiTheme="minorHAnsi" w:hAnsiTheme="minorHAnsi" w:cstheme="minorHAnsi"/>
                <w:b/>
                <w:bCs/>
                <w:sz w:val="22"/>
                <w:szCs w:val="22"/>
              </w:rPr>
              <w:t>Key lessons</w:t>
            </w:r>
          </w:p>
        </w:tc>
      </w:tr>
      <w:tr w:rsidR="00B414A4" w:rsidRPr="00514B21" w14:paraId="19F0362A" w14:textId="77777777" w:rsidTr="008261D6">
        <w:trPr>
          <w:trHeight w:val="699"/>
        </w:trPr>
        <w:tc>
          <w:tcPr>
            <w:tcW w:w="1482" w:type="dxa"/>
          </w:tcPr>
          <w:p w14:paraId="4305B686" w14:textId="6D33653A" w:rsidR="00607BCF" w:rsidRPr="00514B21" w:rsidRDefault="00ED3C9F" w:rsidP="008261D6">
            <w:pPr>
              <w:rPr>
                <w:rFonts w:asciiTheme="minorHAnsi" w:hAnsiTheme="minorHAnsi" w:cstheme="minorHAnsi"/>
                <w:sz w:val="22"/>
                <w:szCs w:val="22"/>
              </w:rPr>
            </w:pPr>
            <w:r w:rsidRPr="00514B21">
              <w:rPr>
                <w:rFonts w:asciiTheme="minorHAnsi" w:hAnsiTheme="minorHAnsi" w:cstheme="minorHAnsi"/>
                <w:sz w:val="22"/>
                <w:szCs w:val="22"/>
              </w:rPr>
              <w:t>Achieving policy objectives - c</w:t>
            </w:r>
            <w:r w:rsidR="00607BCF" w:rsidRPr="00514B21">
              <w:rPr>
                <w:rFonts w:asciiTheme="minorHAnsi" w:hAnsiTheme="minorHAnsi" w:cstheme="minorHAnsi"/>
                <w:sz w:val="22"/>
                <w:szCs w:val="22"/>
              </w:rPr>
              <w:t>reating a pull incentive</w:t>
            </w:r>
          </w:p>
        </w:tc>
        <w:tc>
          <w:tcPr>
            <w:tcW w:w="2624" w:type="dxa"/>
          </w:tcPr>
          <w:p w14:paraId="36F06E0F" w14:textId="656B1C37" w:rsidR="00607BCF" w:rsidRPr="00514B21" w:rsidRDefault="009D5066" w:rsidP="008261D6">
            <w:pPr>
              <w:pStyle w:val="ListParagraph"/>
              <w:numPr>
                <w:ilvl w:val="0"/>
                <w:numId w:val="18"/>
              </w:numPr>
              <w:contextualSpacing w:val="0"/>
              <w:rPr>
                <w:rFonts w:asciiTheme="minorHAnsi" w:hAnsiTheme="minorHAnsi" w:cstheme="minorHAnsi"/>
                <w:sz w:val="22"/>
                <w:szCs w:val="22"/>
              </w:rPr>
            </w:pPr>
            <w:r w:rsidRPr="00514B21">
              <w:rPr>
                <w:rFonts w:asciiTheme="minorHAnsi" w:hAnsiTheme="minorHAnsi" w:cstheme="minorHAnsi"/>
                <w:sz w:val="22"/>
                <w:szCs w:val="22"/>
              </w:rPr>
              <w:t>The successful commercial negotiations ha</w:t>
            </w:r>
            <w:r w:rsidR="00444774" w:rsidRPr="00514B21">
              <w:rPr>
                <w:rFonts w:asciiTheme="minorHAnsi" w:hAnsiTheme="minorHAnsi" w:cstheme="minorHAnsi"/>
                <w:sz w:val="22"/>
                <w:szCs w:val="22"/>
              </w:rPr>
              <w:t>ve</w:t>
            </w:r>
            <w:r w:rsidRPr="00514B21">
              <w:rPr>
                <w:rFonts w:asciiTheme="minorHAnsi" w:hAnsiTheme="minorHAnsi" w:cstheme="minorHAnsi"/>
                <w:sz w:val="22"/>
                <w:szCs w:val="22"/>
              </w:rPr>
              <w:t xml:space="preserve"> put the project forward as an international example of how </w:t>
            </w:r>
            <w:r w:rsidR="007F1AFA" w:rsidRPr="00514B21">
              <w:rPr>
                <w:rFonts w:asciiTheme="minorHAnsi" w:hAnsiTheme="minorHAnsi" w:cstheme="minorHAnsi"/>
                <w:sz w:val="22"/>
                <w:szCs w:val="22"/>
              </w:rPr>
              <w:t xml:space="preserve">to address market failures of </w:t>
            </w:r>
            <w:r w:rsidR="00AD6CA6" w:rsidRPr="00514B21">
              <w:rPr>
                <w:rFonts w:asciiTheme="minorHAnsi" w:hAnsiTheme="minorHAnsi" w:cstheme="minorHAnsi"/>
                <w:sz w:val="22"/>
                <w:szCs w:val="22"/>
              </w:rPr>
              <w:t>antimicrobials</w:t>
            </w:r>
            <w:r w:rsidR="00D20CDF">
              <w:rPr>
                <w:rFonts w:asciiTheme="minorHAnsi" w:hAnsiTheme="minorHAnsi" w:cstheme="minorHAnsi"/>
                <w:sz w:val="22"/>
                <w:szCs w:val="22"/>
              </w:rPr>
              <w:t>.</w:t>
            </w:r>
            <w:r w:rsidR="00AD6CA6" w:rsidRPr="00514B21">
              <w:rPr>
                <w:rFonts w:asciiTheme="minorHAnsi" w:hAnsiTheme="minorHAnsi" w:cstheme="minorHAnsi"/>
                <w:sz w:val="22"/>
                <w:szCs w:val="22"/>
              </w:rPr>
              <w:t xml:space="preserve"> </w:t>
            </w:r>
            <w:r w:rsidR="007F1AFA" w:rsidRPr="00514B21">
              <w:rPr>
                <w:rFonts w:asciiTheme="minorHAnsi" w:hAnsiTheme="minorHAnsi" w:cstheme="minorHAnsi"/>
                <w:i/>
                <w:iCs/>
                <w:sz w:val="22"/>
                <w:szCs w:val="22"/>
              </w:rPr>
              <w:t>[Committee member</w:t>
            </w:r>
            <w:r w:rsidR="007912BC">
              <w:rPr>
                <w:rFonts w:asciiTheme="minorHAnsi" w:hAnsiTheme="minorHAnsi" w:cstheme="minorHAnsi"/>
                <w:i/>
                <w:iCs/>
                <w:sz w:val="22"/>
                <w:szCs w:val="22"/>
              </w:rPr>
              <w:t>,</w:t>
            </w:r>
            <w:r w:rsidR="007F1AFA" w:rsidRPr="00514B21">
              <w:rPr>
                <w:rFonts w:asciiTheme="minorHAnsi" w:hAnsiTheme="minorHAnsi" w:cstheme="minorHAnsi"/>
                <w:i/>
                <w:iCs/>
                <w:sz w:val="22"/>
                <w:szCs w:val="22"/>
              </w:rPr>
              <w:t xml:space="preserve"> </w:t>
            </w:r>
            <w:r w:rsidR="00003C33">
              <w:rPr>
                <w:rFonts w:asciiTheme="minorHAnsi" w:hAnsiTheme="minorHAnsi" w:cstheme="minorHAnsi"/>
                <w:i/>
                <w:iCs/>
                <w:sz w:val="22"/>
                <w:szCs w:val="22"/>
              </w:rPr>
              <w:t>Clinical expert</w:t>
            </w:r>
            <w:r w:rsidR="007912BC">
              <w:rPr>
                <w:rFonts w:asciiTheme="minorHAnsi" w:hAnsiTheme="minorHAnsi" w:cstheme="minorHAnsi"/>
                <w:i/>
                <w:iCs/>
                <w:sz w:val="22"/>
                <w:szCs w:val="22"/>
              </w:rPr>
              <w:t xml:space="preserve">, </w:t>
            </w:r>
            <w:proofErr w:type="gramStart"/>
            <w:r w:rsidR="007F1AFA" w:rsidRPr="00514B21">
              <w:rPr>
                <w:rFonts w:asciiTheme="minorHAnsi" w:hAnsiTheme="minorHAnsi" w:cstheme="minorHAnsi"/>
                <w:i/>
                <w:iCs/>
                <w:sz w:val="22"/>
                <w:szCs w:val="22"/>
              </w:rPr>
              <w:t>KOL</w:t>
            </w:r>
            <w:proofErr w:type="gramEnd"/>
            <w:r w:rsidR="007912BC">
              <w:rPr>
                <w:rFonts w:asciiTheme="minorHAnsi" w:hAnsiTheme="minorHAnsi" w:cstheme="minorHAnsi"/>
                <w:i/>
                <w:iCs/>
                <w:sz w:val="22"/>
                <w:szCs w:val="22"/>
              </w:rPr>
              <w:t xml:space="preserve"> and </w:t>
            </w:r>
            <w:r w:rsidR="00F53BC9" w:rsidRPr="00514B21">
              <w:rPr>
                <w:rFonts w:asciiTheme="minorHAnsi" w:hAnsiTheme="minorHAnsi" w:cstheme="minorHAnsi"/>
                <w:i/>
                <w:iCs/>
                <w:sz w:val="22"/>
                <w:szCs w:val="22"/>
              </w:rPr>
              <w:t>Academia]</w:t>
            </w:r>
          </w:p>
          <w:p w14:paraId="58A4DD92" w14:textId="59F1B474" w:rsidR="007F1AFA" w:rsidRPr="00514B21" w:rsidRDefault="001E7753" w:rsidP="008261D6">
            <w:pPr>
              <w:pStyle w:val="ListParagraph"/>
              <w:numPr>
                <w:ilvl w:val="0"/>
                <w:numId w:val="18"/>
              </w:numPr>
              <w:contextualSpacing w:val="0"/>
              <w:rPr>
                <w:rFonts w:asciiTheme="minorHAnsi" w:hAnsiTheme="minorHAnsi" w:cstheme="minorHAnsi"/>
                <w:sz w:val="22"/>
                <w:szCs w:val="22"/>
              </w:rPr>
            </w:pPr>
            <w:r>
              <w:rPr>
                <w:rFonts w:asciiTheme="minorHAnsi" w:hAnsiTheme="minorHAnsi" w:cstheme="minorHAnsi"/>
                <w:sz w:val="22"/>
                <w:szCs w:val="22"/>
              </w:rPr>
              <w:t>K</w:t>
            </w:r>
            <w:r w:rsidR="00F53BC9" w:rsidRPr="00514B21">
              <w:rPr>
                <w:rFonts w:asciiTheme="minorHAnsi" w:hAnsiTheme="minorHAnsi" w:cstheme="minorHAnsi"/>
                <w:sz w:val="22"/>
                <w:szCs w:val="22"/>
              </w:rPr>
              <w:t>nowledge</w:t>
            </w:r>
            <w:r>
              <w:rPr>
                <w:rFonts w:asciiTheme="minorHAnsi" w:hAnsiTheme="minorHAnsi" w:cstheme="minorHAnsi"/>
                <w:sz w:val="22"/>
                <w:szCs w:val="22"/>
              </w:rPr>
              <w:t>-</w:t>
            </w:r>
            <w:r w:rsidR="00F53BC9" w:rsidRPr="00514B21">
              <w:rPr>
                <w:rFonts w:asciiTheme="minorHAnsi" w:hAnsiTheme="minorHAnsi" w:cstheme="minorHAnsi"/>
                <w:sz w:val="22"/>
                <w:szCs w:val="22"/>
              </w:rPr>
              <w:t xml:space="preserve">sharing initiatives with </w:t>
            </w:r>
            <w:r w:rsidR="00505057" w:rsidRPr="00514B21">
              <w:rPr>
                <w:rFonts w:asciiTheme="minorHAnsi" w:hAnsiTheme="minorHAnsi" w:cstheme="minorHAnsi"/>
                <w:sz w:val="22"/>
                <w:szCs w:val="22"/>
              </w:rPr>
              <w:t xml:space="preserve">the </w:t>
            </w:r>
            <w:r w:rsidR="00F53BC9" w:rsidRPr="00514B21">
              <w:rPr>
                <w:rFonts w:asciiTheme="minorHAnsi" w:hAnsiTheme="minorHAnsi" w:cstheme="minorHAnsi"/>
                <w:sz w:val="22"/>
                <w:szCs w:val="22"/>
              </w:rPr>
              <w:t xml:space="preserve">UK </w:t>
            </w:r>
            <w:r w:rsidR="00505057" w:rsidRPr="00514B21">
              <w:rPr>
                <w:rFonts w:asciiTheme="minorHAnsi" w:hAnsiTheme="minorHAnsi" w:cstheme="minorHAnsi"/>
                <w:sz w:val="22"/>
                <w:szCs w:val="22"/>
              </w:rPr>
              <w:t>devolved governments</w:t>
            </w:r>
            <w:r w:rsidR="00F53BC9" w:rsidRPr="00514B21">
              <w:rPr>
                <w:rFonts w:asciiTheme="minorHAnsi" w:hAnsiTheme="minorHAnsi" w:cstheme="minorHAnsi"/>
                <w:sz w:val="22"/>
                <w:szCs w:val="22"/>
              </w:rPr>
              <w:t xml:space="preserve">, US and </w:t>
            </w:r>
            <w:r w:rsidR="00505057" w:rsidRPr="00514B21">
              <w:rPr>
                <w:rFonts w:asciiTheme="minorHAnsi" w:hAnsiTheme="minorHAnsi" w:cstheme="minorHAnsi"/>
                <w:sz w:val="22"/>
                <w:szCs w:val="22"/>
              </w:rPr>
              <w:t>other countries have begun and will continue</w:t>
            </w:r>
            <w:r w:rsidR="00D20CDF">
              <w:rPr>
                <w:rFonts w:asciiTheme="minorHAnsi" w:hAnsiTheme="minorHAnsi" w:cstheme="minorHAnsi"/>
                <w:sz w:val="22"/>
                <w:szCs w:val="22"/>
              </w:rPr>
              <w:t>.</w:t>
            </w:r>
            <w:r w:rsidR="00491FEF" w:rsidRPr="00514B21">
              <w:rPr>
                <w:rFonts w:asciiTheme="minorHAnsi" w:hAnsiTheme="minorHAnsi" w:cstheme="minorHAnsi"/>
                <w:sz w:val="22"/>
                <w:szCs w:val="22"/>
              </w:rPr>
              <w:t xml:space="preserve"> </w:t>
            </w:r>
            <w:r w:rsidR="00F53BC9" w:rsidRPr="00514B21">
              <w:rPr>
                <w:rFonts w:asciiTheme="minorHAnsi" w:hAnsiTheme="minorHAnsi" w:cstheme="minorHAnsi"/>
                <w:i/>
                <w:iCs/>
                <w:sz w:val="22"/>
                <w:szCs w:val="22"/>
              </w:rPr>
              <w:t xml:space="preserve">[Industry, </w:t>
            </w:r>
            <w:proofErr w:type="gramStart"/>
            <w:r w:rsidR="00F53BC9" w:rsidRPr="00514B21">
              <w:rPr>
                <w:rFonts w:asciiTheme="minorHAnsi" w:hAnsiTheme="minorHAnsi" w:cstheme="minorHAnsi"/>
                <w:i/>
                <w:iCs/>
                <w:sz w:val="22"/>
                <w:szCs w:val="22"/>
              </w:rPr>
              <w:t>Academia</w:t>
            </w:r>
            <w:proofErr w:type="gramEnd"/>
            <w:r w:rsidR="007912BC">
              <w:rPr>
                <w:rFonts w:asciiTheme="minorHAnsi" w:hAnsiTheme="minorHAnsi" w:cstheme="minorHAnsi"/>
                <w:i/>
                <w:iCs/>
                <w:sz w:val="22"/>
                <w:szCs w:val="22"/>
              </w:rPr>
              <w:t xml:space="preserve"> and </w:t>
            </w:r>
            <w:r w:rsidR="00003C33">
              <w:rPr>
                <w:rFonts w:asciiTheme="minorHAnsi" w:hAnsiTheme="minorHAnsi" w:cstheme="minorHAnsi"/>
                <w:i/>
                <w:iCs/>
                <w:sz w:val="22"/>
                <w:szCs w:val="22"/>
              </w:rPr>
              <w:t>Clinical expert</w:t>
            </w:r>
            <w:r w:rsidR="00F53BC9" w:rsidRPr="00514B21">
              <w:rPr>
                <w:rFonts w:asciiTheme="minorHAnsi" w:hAnsiTheme="minorHAnsi" w:cstheme="minorHAnsi"/>
                <w:i/>
                <w:iCs/>
                <w:sz w:val="22"/>
                <w:szCs w:val="22"/>
              </w:rPr>
              <w:t>]</w:t>
            </w:r>
          </w:p>
          <w:p w14:paraId="3B327C28" w14:textId="60C25322" w:rsidR="00160E34" w:rsidRPr="00514B21" w:rsidRDefault="00160E34" w:rsidP="008261D6">
            <w:pPr>
              <w:pStyle w:val="ListParagraph"/>
              <w:numPr>
                <w:ilvl w:val="0"/>
                <w:numId w:val="18"/>
              </w:numPr>
              <w:contextualSpacing w:val="0"/>
              <w:rPr>
                <w:rFonts w:asciiTheme="minorHAnsi" w:hAnsiTheme="minorHAnsi" w:cstheme="minorHAnsi"/>
                <w:sz w:val="22"/>
                <w:szCs w:val="22"/>
              </w:rPr>
            </w:pPr>
            <w:r w:rsidRPr="00514B21">
              <w:rPr>
                <w:rFonts w:asciiTheme="minorHAnsi" w:hAnsiTheme="minorHAnsi" w:cstheme="minorHAnsi"/>
                <w:sz w:val="22"/>
                <w:szCs w:val="22"/>
              </w:rPr>
              <w:t>Empirical evidence suggests that creating these kinds of incentives will stimulate innovation</w:t>
            </w:r>
            <w:r w:rsidR="00D20CDF">
              <w:rPr>
                <w:rFonts w:asciiTheme="minorHAnsi" w:hAnsiTheme="minorHAnsi" w:cstheme="minorHAnsi"/>
                <w:sz w:val="22"/>
                <w:szCs w:val="22"/>
              </w:rPr>
              <w:t>.</w:t>
            </w:r>
            <w:r w:rsidRPr="00514B21">
              <w:rPr>
                <w:rFonts w:asciiTheme="minorHAnsi" w:hAnsiTheme="minorHAnsi" w:cstheme="minorHAnsi"/>
                <w:i/>
                <w:iCs/>
                <w:sz w:val="22"/>
                <w:szCs w:val="22"/>
              </w:rPr>
              <w:t xml:space="preserve"> [</w:t>
            </w:r>
            <w:r w:rsidR="00324D69">
              <w:rPr>
                <w:rFonts w:asciiTheme="minorHAnsi" w:hAnsiTheme="minorHAnsi" w:cstheme="minorHAnsi"/>
                <w:i/>
                <w:iCs/>
                <w:sz w:val="22"/>
                <w:szCs w:val="22"/>
              </w:rPr>
              <w:t>KOL</w:t>
            </w:r>
            <w:r w:rsidRPr="00514B21">
              <w:rPr>
                <w:rFonts w:asciiTheme="minorHAnsi" w:hAnsiTheme="minorHAnsi" w:cstheme="minorHAnsi"/>
                <w:i/>
                <w:iCs/>
                <w:sz w:val="22"/>
                <w:szCs w:val="22"/>
              </w:rPr>
              <w:t>]</w:t>
            </w:r>
          </w:p>
          <w:p w14:paraId="4D37FCDC" w14:textId="792B29C7" w:rsidR="0066489F" w:rsidRPr="00514B21" w:rsidRDefault="0066489F" w:rsidP="008261D6">
            <w:pPr>
              <w:pStyle w:val="ListParagraph"/>
              <w:numPr>
                <w:ilvl w:val="0"/>
                <w:numId w:val="18"/>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The process was very transparent, with clear </w:t>
            </w:r>
            <w:r w:rsidRPr="00514B21">
              <w:rPr>
                <w:rFonts w:asciiTheme="minorHAnsi" w:hAnsiTheme="minorHAnsi" w:cstheme="minorHAnsi"/>
                <w:sz w:val="22"/>
                <w:szCs w:val="22"/>
              </w:rPr>
              <w:lastRenderedPageBreak/>
              <w:t>assessment criteria</w:t>
            </w:r>
            <w:r w:rsidR="00D20CDF">
              <w:rPr>
                <w:rFonts w:asciiTheme="minorHAnsi" w:hAnsiTheme="minorHAnsi" w:cstheme="minorHAnsi"/>
                <w:sz w:val="22"/>
                <w:szCs w:val="22"/>
              </w:rPr>
              <w:t>.</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w:t>
            </w:r>
            <w:r w:rsidR="00470D8A" w:rsidRPr="00514B21">
              <w:rPr>
                <w:rFonts w:asciiTheme="minorHAnsi" w:hAnsiTheme="minorHAnsi" w:cstheme="minorHAnsi"/>
                <w:i/>
                <w:iCs/>
                <w:sz w:val="22"/>
                <w:szCs w:val="22"/>
              </w:rPr>
              <w:t>A</w:t>
            </w:r>
            <w:r w:rsidRPr="00514B21">
              <w:rPr>
                <w:rFonts w:asciiTheme="minorHAnsi" w:hAnsiTheme="minorHAnsi" w:cstheme="minorHAnsi"/>
                <w:i/>
                <w:iCs/>
                <w:sz w:val="22"/>
                <w:szCs w:val="22"/>
              </w:rPr>
              <w:t>cademia]</w:t>
            </w:r>
          </w:p>
        </w:tc>
        <w:tc>
          <w:tcPr>
            <w:tcW w:w="5103" w:type="dxa"/>
          </w:tcPr>
          <w:p w14:paraId="751055C7" w14:textId="2E56D6CD" w:rsidR="00A418CD" w:rsidRPr="00514B21" w:rsidRDefault="00160E34" w:rsidP="008261D6">
            <w:pPr>
              <w:pStyle w:val="ListParagraph"/>
              <w:numPr>
                <w:ilvl w:val="0"/>
                <w:numId w:val="46"/>
              </w:numPr>
              <w:contextualSpacing w:val="0"/>
              <w:rPr>
                <w:rFonts w:asciiTheme="minorHAnsi" w:hAnsiTheme="minorHAnsi" w:cstheme="minorHAnsi"/>
                <w:sz w:val="22"/>
                <w:szCs w:val="22"/>
              </w:rPr>
            </w:pPr>
            <w:r w:rsidRPr="00514B21">
              <w:rPr>
                <w:rFonts w:asciiTheme="minorHAnsi" w:hAnsiTheme="minorHAnsi" w:cstheme="minorHAnsi"/>
                <w:sz w:val="22"/>
                <w:szCs w:val="22"/>
              </w:rPr>
              <w:lastRenderedPageBreak/>
              <w:t>Whether the specific pull incentive from this project is sufficient will depend on industry response</w:t>
            </w:r>
            <w:r w:rsidR="00A418CD" w:rsidRPr="00514B21">
              <w:rPr>
                <w:rFonts w:asciiTheme="minorHAnsi" w:hAnsiTheme="minorHAnsi" w:cstheme="minorHAnsi"/>
                <w:sz w:val="22"/>
                <w:szCs w:val="22"/>
              </w:rPr>
              <w:t xml:space="preserve"> (</w:t>
            </w:r>
            <w:r w:rsidR="001E7753">
              <w:rPr>
                <w:rFonts w:asciiTheme="minorHAnsi" w:hAnsiTheme="minorHAnsi" w:cstheme="minorHAnsi"/>
                <w:sz w:val="22"/>
                <w:szCs w:val="22"/>
              </w:rPr>
              <w:t xml:space="preserve">with respect to </w:t>
            </w:r>
            <w:r w:rsidR="00A418CD" w:rsidRPr="00514B21">
              <w:rPr>
                <w:rFonts w:asciiTheme="minorHAnsi" w:hAnsiTheme="minorHAnsi" w:cstheme="minorHAnsi"/>
                <w:sz w:val="22"/>
                <w:szCs w:val="22"/>
              </w:rPr>
              <w:t xml:space="preserve">investment </w:t>
            </w:r>
            <w:r w:rsidR="00AD6CA6" w:rsidRPr="00514B21">
              <w:rPr>
                <w:rFonts w:asciiTheme="minorHAnsi" w:hAnsiTheme="minorHAnsi" w:cstheme="minorHAnsi"/>
                <w:sz w:val="22"/>
                <w:szCs w:val="22"/>
              </w:rPr>
              <w:t xml:space="preserve">in antimicrobials </w:t>
            </w:r>
            <w:r w:rsidR="00A418CD" w:rsidRPr="00514B21">
              <w:rPr>
                <w:rFonts w:asciiTheme="minorHAnsi" w:hAnsiTheme="minorHAnsi" w:cstheme="minorHAnsi"/>
                <w:sz w:val="22"/>
                <w:szCs w:val="22"/>
              </w:rPr>
              <w:t>and product launches</w:t>
            </w:r>
            <w:r w:rsidR="00AD6CA6" w:rsidRPr="00514B21">
              <w:rPr>
                <w:rFonts w:asciiTheme="minorHAnsi" w:hAnsiTheme="minorHAnsi" w:cstheme="minorHAnsi"/>
                <w:sz w:val="22"/>
                <w:szCs w:val="22"/>
              </w:rPr>
              <w:t xml:space="preserve"> in the UK</w:t>
            </w:r>
            <w:r w:rsidR="00A418CD" w:rsidRPr="00514B21">
              <w:rPr>
                <w:rFonts w:asciiTheme="minorHAnsi" w:hAnsiTheme="minorHAnsi" w:cstheme="minorHAnsi"/>
                <w:sz w:val="22"/>
                <w:szCs w:val="22"/>
              </w:rPr>
              <w:t>)</w:t>
            </w:r>
            <w:r w:rsidRPr="00514B21">
              <w:rPr>
                <w:rFonts w:asciiTheme="minorHAnsi" w:hAnsiTheme="minorHAnsi" w:cstheme="minorHAnsi"/>
                <w:sz w:val="22"/>
                <w:szCs w:val="22"/>
              </w:rPr>
              <w:t xml:space="preserve">. </w:t>
            </w:r>
            <w:r w:rsidR="00AD6CA6" w:rsidRPr="00514B21">
              <w:rPr>
                <w:rFonts w:asciiTheme="minorHAnsi" w:hAnsiTheme="minorHAnsi" w:cstheme="minorHAnsi"/>
                <w:sz w:val="22"/>
                <w:szCs w:val="22"/>
              </w:rPr>
              <w:t>I</w:t>
            </w:r>
            <w:r w:rsidRPr="00514B21">
              <w:rPr>
                <w:rFonts w:asciiTheme="minorHAnsi" w:hAnsiTheme="minorHAnsi" w:cstheme="minorHAnsi"/>
                <w:sz w:val="22"/>
                <w:szCs w:val="22"/>
              </w:rPr>
              <w:t>ndustry</w:t>
            </w:r>
            <w:r w:rsidR="00A418CD" w:rsidRPr="00514B21">
              <w:rPr>
                <w:rFonts w:asciiTheme="minorHAnsi" w:hAnsiTheme="minorHAnsi" w:cstheme="minorHAnsi"/>
                <w:sz w:val="22"/>
                <w:szCs w:val="22"/>
              </w:rPr>
              <w:t xml:space="preserve"> </w:t>
            </w:r>
            <w:r w:rsidR="00AD6CA6" w:rsidRPr="00514B21">
              <w:rPr>
                <w:rFonts w:asciiTheme="minorHAnsi" w:hAnsiTheme="minorHAnsi" w:cstheme="minorHAnsi"/>
                <w:sz w:val="22"/>
                <w:szCs w:val="22"/>
              </w:rPr>
              <w:t xml:space="preserve">could </w:t>
            </w:r>
            <w:r w:rsidR="00A418CD" w:rsidRPr="00514B21">
              <w:rPr>
                <w:rFonts w:asciiTheme="minorHAnsi" w:hAnsiTheme="minorHAnsi" w:cstheme="minorHAnsi"/>
                <w:sz w:val="22"/>
                <w:szCs w:val="22"/>
              </w:rPr>
              <w:t>be surveyed about this</w:t>
            </w:r>
            <w:r w:rsidR="00FD2986">
              <w:rPr>
                <w:rFonts w:asciiTheme="minorHAnsi" w:hAnsiTheme="minorHAnsi" w:cstheme="minorHAnsi"/>
                <w:sz w:val="22"/>
                <w:szCs w:val="22"/>
              </w:rPr>
              <w:t>.</w:t>
            </w:r>
            <w:r w:rsidRPr="00514B21">
              <w:rPr>
                <w:rFonts w:asciiTheme="minorHAnsi" w:hAnsiTheme="minorHAnsi" w:cstheme="minorHAnsi"/>
                <w:sz w:val="22"/>
                <w:szCs w:val="22"/>
              </w:rPr>
              <w:t xml:space="preserve"> </w:t>
            </w:r>
            <w:r w:rsidR="00AD6CA6" w:rsidRPr="00514B21">
              <w:rPr>
                <w:rFonts w:asciiTheme="minorHAnsi" w:hAnsiTheme="minorHAnsi" w:cstheme="minorHAnsi"/>
                <w:i/>
                <w:iCs/>
                <w:sz w:val="22"/>
                <w:szCs w:val="22"/>
                <w:u w:val="single"/>
              </w:rPr>
              <w:t>[</w:t>
            </w:r>
            <w:r w:rsidR="00AD6CA6" w:rsidRPr="00514B21">
              <w:rPr>
                <w:rFonts w:asciiTheme="minorHAnsi" w:hAnsiTheme="minorHAnsi" w:cstheme="minorHAnsi"/>
                <w:i/>
                <w:iCs/>
                <w:sz w:val="22"/>
                <w:szCs w:val="22"/>
              </w:rPr>
              <w:t xml:space="preserve">Industry, </w:t>
            </w:r>
            <w:proofErr w:type="gramStart"/>
            <w:r w:rsidR="00AD6CA6" w:rsidRPr="00514B21">
              <w:rPr>
                <w:rFonts w:asciiTheme="minorHAnsi" w:hAnsiTheme="minorHAnsi" w:cstheme="minorHAnsi"/>
                <w:i/>
                <w:iCs/>
                <w:sz w:val="22"/>
                <w:szCs w:val="22"/>
              </w:rPr>
              <w:t>KOL</w:t>
            </w:r>
            <w:proofErr w:type="gramEnd"/>
            <w:r w:rsidR="00AD6CA6" w:rsidRPr="00514B21">
              <w:rPr>
                <w:rFonts w:asciiTheme="minorHAnsi" w:hAnsiTheme="minorHAnsi" w:cstheme="minorHAnsi"/>
                <w:i/>
                <w:iCs/>
                <w:sz w:val="22"/>
                <w:szCs w:val="22"/>
              </w:rPr>
              <w:t xml:space="preserve"> </w:t>
            </w:r>
            <w:r w:rsidR="007912BC">
              <w:rPr>
                <w:rFonts w:asciiTheme="minorHAnsi" w:hAnsiTheme="minorHAnsi" w:cstheme="minorHAnsi"/>
                <w:i/>
                <w:iCs/>
                <w:sz w:val="22"/>
                <w:szCs w:val="22"/>
              </w:rPr>
              <w:t xml:space="preserve">and </w:t>
            </w:r>
            <w:r w:rsidR="00AD6CA6" w:rsidRPr="00514B21">
              <w:rPr>
                <w:rFonts w:asciiTheme="minorHAnsi" w:hAnsiTheme="minorHAnsi" w:cstheme="minorHAnsi"/>
                <w:i/>
                <w:iCs/>
                <w:sz w:val="22"/>
                <w:szCs w:val="22"/>
              </w:rPr>
              <w:t>Committee member]</w:t>
            </w:r>
          </w:p>
          <w:p w14:paraId="03136389" w14:textId="2F8A4CC7" w:rsidR="00753902" w:rsidRPr="00514B21" w:rsidRDefault="0064429D" w:rsidP="008261D6">
            <w:pPr>
              <w:pStyle w:val="ListParagraph"/>
              <w:numPr>
                <w:ilvl w:val="0"/>
                <w:numId w:val="46"/>
              </w:numPr>
              <w:contextualSpacing w:val="0"/>
              <w:rPr>
                <w:rFonts w:asciiTheme="minorHAnsi" w:hAnsiTheme="minorHAnsi" w:cstheme="minorHAnsi"/>
                <w:sz w:val="22"/>
                <w:szCs w:val="22"/>
              </w:rPr>
            </w:pPr>
            <w:r w:rsidRPr="00514B21">
              <w:rPr>
                <w:rFonts w:asciiTheme="minorHAnsi" w:hAnsiTheme="minorHAnsi" w:cstheme="minorHAnsi"/>
                <w:sz w:val="22"/>
                <w:szCs w:val="22"/>
              </w:rPr>
              <w:t>The two products evaluated in the pilot are likely the ‘lowest hanging fruit’</w:t>
            </w:r>
            <w:r w:rsidR="001E7753">
              <w:rPr>
                <w:rFonts w:asciiTheme="minorHAnsi" w:hAnsiTheme="minorHAnsi" w:cstheme="minorHAnsi"/>
                <w:sz w:val="22"/>
                <w:szCs w:val="22"/>
              </w:rPr>
              <w:t>,</w:t>
            </w:r>
            <w:r w:rsidRPr="00514B21">
              <w:rPr>
                <w:rFonts w:asciiTheme="minorHAnsi" w:hAnsiTheme="minorHAnsi" w:cstheme="minorHAnsi"/>
                <w:sz w:val="22"/>
                <w:szCs w:val="22"/>
              </w:rPr>
              <w:t xml:space="preserve"> so future contract values may be lower and </w:t>
            </w:r>
            <w:r w:rsidR="001E7753">
              <w:rPr>
                <w:rFonts w:asciiTheme="minorHAnsi" w:hAnsiTheme="minorHAnsi" w:cstheme="minorHAnsi"/>
                <w:sz w:val="22"/>
                <w:szCs w:val="22"/>
              </w:rPr>
              <w:t xml:space="preserve">not reflect a sufficient </w:t>
            </w:r>
            <w:r w:rsidRPr="00514B21">
              <w:rPr>
                <w:rFonts w:asciiTheme="minorHAnsi" w:hAnsiTheme="minorHAnsi" w:cstheme="minorHAnsi"/>
                <w:sz w:val="22"/>
                <w:szCs w:val="22"/>
              </w:rPr>
              <w:t>pull incentive</w:t>
            </w:r>
            <w:r w:rsidR="00D20CDF">
              <w:rPr>
                <w:rFonts w:asciiTheme="minorHAnsi" w:hAnsiTheme="minorHAnsi" w:cstheme="minorHAnsi"/>
                <w:sz w:val="22"/>
                <w:szCs w:val="22"/>
              </w:rPr>
              <w:t>.</w:t>
            </w:r>
            <w:r w:rsidR="00524344" w:rsidRPr="00514B21">
              <w:rPr>
                <w:rFonts w:asciiTheme="minorHAnsi" w:hAnsiTheme="minorHAnsi" w:cstheme="minorHAnsi"/>
                <w:sz w:val="22"/>
                <w:szCs w:val="22"/>
              </w:rPr>
              <w:t xml:space="preserve"> </w:t>
            </w:r>
            <w:r w:rsidR="00160E34" w:rsidRPr="00514B21">
              <w:rPr>
                <w:rFonts w:asciiTheme="minorHAnsi" w:hAnsiTheme="minorHAnsi" w:cstheme="minorHAnsi"/>
                <w:i/>
                <w:iCs/>
                <w:sz w:val="22"/>
                <w:szCs w:val="22"/>
                <w:u w:val="single"/>
              </w:rPr>
              <w:t>[</w:t>
            </w:r>
            <w:r w:rsidR="00160E34" w:rsidRPr="00514B21">
              <w:rPr>
                <w:rFonts w:asciiTheme="minorHAnsi" w:hAnsiTheme="minorHAnsi" w:cstheme="minorHAnsi"/>
                <w:i/>
                <w:iCs/>
                <w:sz w:val="22"/>
                <w:szCs w:val="22"/>
              </w:rPr>
              <w:t xml:space="preserve">Industry, </w:t>
            </w:r>
            <w:proofErr w:type="gramStart"/>
            <w:r w:rsidR="00A25C89" w:rsidRPr="00514B21">
              <w:rPr>
                <w:rFonts w:asciiTheme="minorHAnsi" w:hAnsiTheme="minorHAnsi" w:cstheme="minorHAnsi"/>
                <w:i/>
                <w:iCs/>
                <w:sz w:val="22"/>
                <w:szCs w:val="22"/>
              </w:rPr>
              <w:t>KOL</w:t>
            </w:r>
            <w:proofErr w:type="gramEnd"/>
            <w:r w:rsidR="00A25C89" w:rsidRPr="00514B21">
              <w:rPr>
                <w:rFonts w:asciiTheme="minorHAnsi" w:hAnsiTheme="minorHAnsi" w:cstheme="minorHAnsi"/>
                <w:i/>
                <w:iCs/>
                <w:sz w:val="22"/>
                <w:szCs w:val="22"/>
              </w:rPr>
              <w:t xml:space="preserve"> </w:t>
            </w:r>
            <w:r w:rsidR="007912BC">
              <w:rPr>
                <w:rFonts w:asciiTheme="minorHAnsi" w:hAnsiTheme="minorHAnsi" w:cstheme="minorHAnsi"/>
                <w:i/>
                <w:iCs/>
                <w:sz w:val="22"/>
                <w:szCs w:val="22"/>
              </w:rPr>
              <w:t xml:space="preserve">and </w:t>
            </w:r>
            <w:r w:rsidR="005901F4" w:rsidRPr="00514B21">
              <w:rPr>
                <w:rFonts w:asciiTheme="minorHAnsi" w:hAnsiTheme="minorHAnsi" w:cstheme="minorHAnsi"/>
                <w:i/>
                <w:iCs/>
                <w:sz w:val="22"/>
                <w:szCs w:val="22"/>
              </w:rPr>
              <w:t>Committee member</w:t>
            </w:r>
            <w:r w:rsidR="00A25C89" w:rsidRPr="00514B21">
              <w:rPr>
                <w:rFonts w:asciiTheme="minorHAnsi" w:hAnsiTheme="minorHAnsi" w:cstheme="minorHAnsi"/>
                <w:i/>
                <w:iCs/>
                <w:sz w:val="22"/>
                <w:szCs w:val="22"/>
              </w:rPr>
              <w:t>]</w:t>
            </w:r>
          </w:p>
          <w:p w14:paraId="0F5FF43B" w14:textId="2F016A59" w:rsidR="00A25C89" w:rsidRPr="00514B21" w:rsidRDefault="00A25C89" w:rsidP="008261D6">
            <w:pPr>
              <w:pStyle w:val="ListParagraph"/>
              <w:numPr>
                <w:ilvl w:val="0"/>
                <w:numId w:val="46"/>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Complexity of the evaluation could be a barrier to other countries replicating process. A more </w:t>
            </w:r>
            <w:r w:rsidR="00F87328" w:rsidRPr="00514B21">
              <w:rPr>
                <w:rFonts w:asciiTheme="minorHAnsi" w:hAnsiTheme="minorHAnsi" w:cstheme="minorHAnsi"/>
                <w:sz w:val="22"/>
                <w:szCs w:val="22"/>
              </w:rPr>
              <w:t xml:space="preserve">qualitative </w:t>
            </w:r>
            <w:r w:rsidR="00445227">
              <w:rPr>
                <w:rFonts w:asciiTheme="minorHAnsi" w:hAnsiTheme="minorHAnsi" w:cstheme="minorHAnsi"/>
                <w:sz w:val="22"/>
                <w:szCs w:val="22"/>
              </w:rPr>
              <w:t>framework</w:t>
            </w:r>
            <w:r w:rsidR="00F87328" w:rsidRPr="00514B21">
              <w:rPr>
                <w:rFonts w:asciiTheme="minorHAnsi" w:hAnsiTheme="minorHAnsi" w:cstheme="minorHAnsi"/>
                <w:sz w:val="22"/>
                <w:szCs w:val="22"/>
              </w:rPr>
              <w:t>,</w:t>
            </w:r>
            <w:r w:rsidRPr="00514B21">
              <w:rPr>
                <w:rFonts w:asciiTheme="minorHAnsi" w:hAnsiTheme="minorHAnsi" w:cstheme="minorHAnsi"/>
                <w:sz w:val="22"/>
                <w:szCs w:val="22"/>
              </w:rPr>
              <w:t xml:space="preserve"> </w:t>
            </w:r>
            <w:proofErr w:type="gramStart"/>
            <w:r w:rsidR="004F38AB" w:rsidRPr="00514B21">
              <w:rPr>
                <w:rFonts w:asciiTheme="minorHAnsi" w:hAnsiTheme="minorHAnsi" w:cstheme="minorHAnsi"/>
                <w:sz w:val="22"/>
                <w:szCs w:val="22"/>
              </w:rPr>
              <w:t>similar to</w:t>
            </w:r>
            <w:proofErr w:type="gramEnd"/>
            <w:r w:rsidR="004F38AB" w:rsidRPr="00514B21">
              <w:rPr>
                <w:rFonts w:asciiTheme="minorHAnsi" w:hAnsiTheme="minorHAnsi" w:cstheme="minorHAnsi"/>
                <w:sz w:val="22"/>
                <w:szCs w:val="22"/>
              </w:rPr>
              <w:t xml:space="preserve"> the </w:t>
            </w:r>
            <w:r w:rsidR="00F87328" w:rsidRPr="00514B21">
              <w:rPr>
                <w:rFonts w:asciiTheme="minorHAnsi" w:hAnsiTheme="minorHAnsi" w:cstheme="minorHAnsi"/>
                <w:sz w:val="22"/>
                <w:szCs w:val="22"/>
              </w:rPr>
              <w:t xml:space="preserve">points-based scoring system used for </w:t>
            </w:r>
            <w:r w:rsidR="004F38AB" w:rsidRPr="00514B21">
              <w:rPr>
                <w:rFonts w:asciiTheme="minorHAnsi" w:hAnsiTheme="minorHAnsi" w:cstheme="minorHAnsi"/>
                <w:sz w:val="22"/>
                <w:szCs w:val="22"/>
              </w:rPr>
              <w:t>selecti</w:t>
            </w:r>
            <w:r w:rsidR="00F87328" w:rsidRPr="00514B21">
              <w:rPr>
                <w:rFonts w:asciiTheme="minorHAnsi" w:hAnsiTheme="minorHAnsi" w:cstheme="minorHAnsi"/>
                <w:sz w:val="22"/>
                <w:szCs w:val="22"/>
              </w:rPr>
              <w:t>ng the products for the pilot</w:t>
            </w:r>
            <w:r w:rsidR="000A1CD9">
              <w:rPr>
                <w:rFonts w:asciiTheme="minorHAnsi" w:hAnsiTheme="minorHAnsi" w:cstheme="minorHAnsi"/>
                <w:sz w:val="22"/>
                <w:szCs w:val="22"/>
              </w:rPr>
              <w:t>,</w:t>
            </w:r>
            <w:r w:rsidR="00F87328" w:rsidRPr="00514B21">
              <w:rPr>
                <w:rFonts w:asciiTheme="minorHAnsi" w:hAnsiTheme="minorHAnsi" w:cstheme="minorHAnsi"/>
                <w:sz w:val="22"/>
                <w:szCs w:val="22"/>
              </w:rPr>
              <w:t xml:space="preserve"> </w:t>
            </w:r>
            <w:r w:rsidR="004F38AB" w:rsidRPr="00514B21">
              <w:rPr>
                <w:rFonts w:asciiTheme="minorHAnsi" w:hAnsiTheme="minorHAnsi" w:cstheme="minorHAnsi"/>
                <w:sz w:val="22"/>
                <w:szCs w:val="22"/>
              </w:rPr>
              <w:t>could be more appropriate</w:t>
            </w:r>
            <w:r w:rsidRPr="00514B21">
              <w:rPr>
                <w:rFonts w:asciiTheme="minorHAnsi" w:hAnsiTheme="minorHAnsi" w:cstheme="minorHAnsi"/>
                <w:sz w:val="22"/>
                <w:szCs w:val="22"/>
              </w:rPr>
              <w:t xml:space="preserve"> </w:t>
            </w:r>
            <w:r w:rsidR="00F87328" w:rsidRPr="00514B21">
              <w:rPr>
                <w:rFonts w:asciiTheme="minorHAnsi" w:hAnsiTheme="minorHAnsi" w:cstheme="minorHAnsi"/>
                <w:sz w:val="22"/>
                <w:szCs w:val="22"/>
              </w:rPr>
              <w:t>and transferable to other countries</w:t>
            </w:r>
            <w:r w:rsidR="00D20CDF">
              <w:rPr>
                <w:rFonts w:asciiTheme="minorHAnsi" w:hAnsiTheme="minorHAnsi" w:cstheme="minorHAnsi"/>
                <w:sz w:val="22"/>
                <w:szCs w:val="22"/>
              </w:rPr>
              <w:t>.</w:t>
            </w:r>
            <w:r w:rsidR="00F87328"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 xml:space="preserve">[Industry </w:t>
            </w:r>
            <w:r w:rsidR="007912BC">
              <w:rPr>
                <w:rFonts w:asciiTheme="minorHAnsi" w:hAnsiTheme="minorHAnsi" w:cstheme="minorHAnsi"/>
                <w:i/>
                <w:iCs/>
                <w:sz w:val="22"/>
                <w:szCs w:val="22"/>
              </w:rPr>
              <w:t xml:space="preserve">and </w:t>
            </w:r>
            <w:r w:rsidR="004F38AB" w:rsidRPr="00514B21">
              <w:rPr>
                <w:rFonts w:asciiTheme="minorHAnsi" w:hAnsiTheme="minorHAnsi" w:cstheme="minorHAnsi"/>
                <w:i/>
                <w:iCs/>
                <w:sz w:val="22"/>
                <w:szCs w:val="22"/>
              </w:rPr>
              <w:t>KOL</w:t>
            </w:r>
            <w:r w:rsidRPr="00514B21">
              <w:rPr>
                <w:rFonts w:asciiTheme="minorHAnsi" w:hAnsiTheme="minorHAnsi" w:cstheme="minorHAnsi"/>
                <w:i/>
                <w:iCs/>
                <w:sz w:val="22"/>
                <w:szCs w:val="22"/>
              </w:rPr>
              <w:t>]</w:t>
            </w:r>
          </w:p>
          <w:p w14:paraId="075319D2" w14:textId="41FE0858" w:rsidR="00C4302A" w:rsidRPr="00514B21" w:rsidRDefault="00C4302A" w:rsidP="008261D6">
            <w:pPr>
              <w:pStyle w:val="ListParagraph"/>
              <w:numPr>
                <w:ilvl w:val="0"/>
                <w:numId w:val="46"/>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Low levels of resistance in European countries </w:t>
            </w:r>
            <w:r w:rsidR="000A1CD9">
              <w:rPr>
                <w:rFonts w:asciiTheme="minorHAnsi" w:hAnsiTheme="minorHAnsi" w:cstheme="minorHAnsi"/>
                <w:sz w:val="22"/>
                <w:szCs w:val="22"/>
              </w:rPr>
              <w:t>might</w:t>
            </w:r>
            <w:r w:rsidR="000A1CD9" w:rsidRPr="00514B21">
              <w:rPr>
                <w:rFonts w:asciiTheme="minorHAnsi" w:hAnsiTheme="minorHAnsi" w:cstheme="minorHAnsi"/>
                <w:sz w:val="22"/>
                <w:szCs w:val="22"/>
              </w:rPr>
              <w:t xml:space="preserve"> </w:t>
            </w:r>
            <w:r w:rsidR="00AD6CA6" w:rsidRPr="00514B21">
              <w:rPr>
                <w:rFonts w:asciiTheme="minorHAnsi" w:hAnsiTheme="minorHAnsi" w:cstheme="minorHAnsi"/>
                <w:sz w:val="22"/>
                <w:szCs w:val="22"/>
              </w:rPr>
              <w:t xml:space="preserve">deter them from </w:t>
            </w:r>
            <w:r w:rsidRPr="00514B21">
              <w:rPr>
                <w:rFonts w:asciiTheme="minorHAnsi" w:hAnsiTheme="minorHAnsi" w:cstheme="minorHAnsi"/>
                <w:sz w:val="22"/>
                <w:szCs w:val="22"/>
              </w:rPr>
              <w:t>providing ‘fair share’ of pull incentive</w:t>
            </w:r>
            <w:r w:rsidR="004A3709" w:rsidRPr="00514B21">
              <w:rPr>
                <w:rFonts w:asciiTheme="minorHAnsi" w:hAnsiTheme="minorHAnsi" w:cstheme="minorHAnsi"/>
                <w:sz w:val="22"/>
                <w:szCs w:val="22"/>
              </w:rPr>
              <w:t xml:space="preserve">. Communication of global unmet needs </w:t>
            </w:r>
            <w:r w:rsidR="000A1CD9">
              <w:rPr>
                <w:rFonts w:asciiTheme="minorHAnsi" w:hAnsiTheme="minorHAnsi" w:cstheme="minorHAnsi"/>
                <w:sz w:val="22"/>
                <w:szCs w:val="22"/>
              </w:rPr>
              <w:t xml:space="preserve">is </w:t>
            </w:r>
            <w:r w:rsidR="004A3709" w:rsidRPr="00514B21">
              <w:rPr>
                <w:rFonts w:asciiTheme="minorHAnsi" w:hAnsiTheme="minorHAnsi" w:cstheme="minorHAnsi"/>
                <w:sz w:val="22"/>
                <w:szCs w:val="22"/>
              </w:rPr>
              <w:t xml:space="preserve">crucial for objectives to be met. </w:t>
            </w:r>
            <w:r w:rsidR="004A3709" w:rsidRPr="00514B21">
              <w:rPr>
                <w:rFonts w:asciiTheme="minorHAnsi" w:hAnsiTheme="minorHAnsi" w:cstheme="minorHAnsi"/>
                <w:i/>
                <w:iCs/>
                <w:sz w:val="22"/>
                <w:szCs w:val="22"/>
              </w:rPr>
              <w:t>[</w:t>
            </w:r>
            <w:r w:rsidR="00455EB1">
              <w:rPr>
                <w:rFonts w:asciiTheme="minorHAnsi" w:hAnsiTheme="minorHAnsi" w:cstheme="minorHAnsi"/>
                <w:i/>
                <w:iCs/>
                <w:sz w:val="22"/>
                <w:szCs w:val="22"/>
              </w:rPr>
              <w:t>KOL</w:t>
            </w:r>
            <w:r w:rsidR="004A3709" w:rsidRPr="00514B21">
              <w:rPr>
                <w:rFonts w:asciiTheme="minorHAnsi" w:hAnsiTheme="minorHAnsi" w:cstheme="minorHAnsi"/>
                <w:i/>
                <w:iCs/>
                <w:sz w:val="22"/>
                <w:szCs w:val="22"/>
              </w:rPr>
              <w:t>]</w:t>
            </w:r>
          </w:p>
          <w:p w14:paraId="57069FDE" w14:textId="77777777" w:rsidR="00600C40" w:rsidRPr="003F3629" w:rsidRDefault="000A1CD9" w:rsidP="008261D6">
            <w:pPr>
              <w:pStyle w:val="ListParagraph"/>
              <w:numPr>
                <w:ilvl w:val="0"/>
                <w:numId w:val="46"/>
              </w:numPr>
              <w:contextualSpacing w:val="0"/>
              <w:rPr>
                <w:rFonts w:asciiTheme="minorHAnsi" w:hAnsiTheme="minorHAnsi" w:cstheme="minorHAnsi"/>
                <w:sz w:val="22"/>
                <w:szCs w:val="22"/>
              </w:rPr>
            </w:pPr>
            <w:r>
              <w:rPr>
                <w:rFonts w:asciiTheme="minorHAnsi" w:hAnsiTheme="minorHAnsi" w:cstheme="minorHAnsi"/>
                <w:sz w:val="22"/>
                <w:szCs w:val="22"/>
              </w:rPr>
              <w:t xml:space="preserve">A </w:t>
            </w:r>
            <w:r w:rsidR="00786DE2" w:rsidRPr="00514B21">
              <w:rPr>
                <w:rFonts w:asciiTheme="minorHAnsi" w:hAnsiTheme="minorHAnsi" w:cstheme="minorHAnsi"/>
                <w:sz w:val="22"/>
                <w:szCs w:val="22"/>
              </w:rPr>
              <w:t xml:space="preserve">new model for evaluating and reimbursing </w:t>
            </w:r>
            <w:r>
              <w:rPr>
                <w:rFonts w:asciiTheme="minorHAnsi" w:hAnsiTheme="minorHAnsi" w:cstheme="minorHAnsi"/>
                <w:sz w:val="22"/>
                <w:szCs w:val="22"/>
              </w:rPr>
              <w:t xml:space="preserve">microbial </w:t>
            </w:r>
            <w:r w:rsidR="00786DE2" w:rsidRPr="00514B21">
              <w:rPr>
                <w:rFonts w:asciiTheme="minorHAnsi" w:hAnsiTheme="minorHAnsi" w:cstheme="minorHAnsi"/>
                <w:sz w:val="22"/>
                <w:szCs w:val="22"/>
              </w:rPr>
              <w:t>d</w:t>
            </w:r>
            <w:r w:rsidR="00600C40" w:rsidRPr="00514B21">
              <w:rPr>
                <w:rFonts w:asciiTheme="minorHAnsi" w:hAnsiTheme="minorHAnsi" w:cstheme="minorHAnsi"/>
                <w:sz w:val="22"/>
                <w:szCs w:val="22"/>
              </w:rPr>
              <w:t xml:space="preserve">iagnostics </w:t>
            </w:r>
            <w:r>
              <w:rPr>
                <w:rFonts w:asciiTheme="minorHAnsi" w:hAnsiTheme="minorHAnsi" w:cstheme="minorHAnsi"/>
                <w:sz w:val="22"/>
                <w:szCs w:val="22"/>
              </w:rPr>
              <w:t>is needed</w:t>
            </w:r>
            <w:r w:rsidR="002E1A92" w:rsidRPr="00514B21">
              <w:rPr>
                <w:rFonts w:asciiTheme="minorHAnsi" w:hAnsiTheme="minorHAnsi" w:cstheme="minorHAnsi"/>
                <w:sz w:val="22"/>
                <w:szCs w:val="22"/>
              </w:rPr>
              <w:t xml:space="preserve">. </w:t>
            </w:r>
            <w:r w:rsidR="00F87328" w:rsidRPr="00514B21">
              <w:rPr>
                <w:rFonts w:asciiTheme="minorHAnsi" w:hAnsiTheme="minorHAnsi" w:cstheme="minorHAnsi"/>
                <w:sz w:val="22"/>
                <w:szCs w:val="22"/>
              </w:rPr>
              <w:t>Also need better evidence for</w:t>
            </w:r>
            <w:r w:rsidR="00600C40" w:rsidRPr="00514B21">
              <w:rPr>
                <w:rFonts w:asciiTheme="minorHAnsi" w:hAnsiTheme="minorHAnsi" w:cstheme="minorHAnsi"/>
                <w:sz w:val="22"/>
                <w:szCs w:val="22"/>
              </w:rPr>
              <w:t xml:space="preserve"> diagnostics </w:t>
            </w:r>
            <w:r w:rsidR="00F87328" w:rsidRPr="00514B21">
              <w:rPr>
                <w:rFonts w:asciiTheme="minorHAnsi" w:hAnsiTheme="minorHAnsi" w:cstheme="minorHAnsi"/>
                <w:sz w:val="22"/>
                <w:szCs w:val="22"/>
              </w:rPr>
              <w:t xml:space="preserve">– </w:t>
            </w:r>
            <w:r w:rsidR="00600C40" w:rsidRPr="00514B21">
              <w:rPr>
                <w:rFonts w:asciiTheme="minorHAnsi" w:hAnsiTheme="minorHAnsi" w:cstheme="minorHAnsi"/>
                <w:sz w:val="22"/>
                <w:szCs w:val="22"/>
              </w:rPr>
              <w:t xml:space="preserve">studies </w:t>
            </w:r>
            <w:r w:rsidR="00F87328" w:rsidRPr="00514B21">
              <w:rPr>
                <w:rFonts w:asciiTheme="minorHAnsi" w:hAnsiTheme="minorHAnsi" w:cstheme="minorHAnsi"/>
                <w:sz w:val="22"/>
                <w:szCs w:val="22"/>
              </w:rPr>
              <w:t>don’t usually show benefits for mortality or clinical outcomes because of study design</w:t>
            </w:r>
            <w:r w:rsidR="00FD2986">
              <w:rPr>
                <w:rFonts w:asciiTheme="minorHAnsi" w:hAnsiTheme="minorHAnsi" w:cstheme="minorHAnsi"/>
                <w:sz w:val="22"/>
                <w:szCs w:val="22"/>
              </w:rPr>
              <w:t>.</w:t>
            </w:r>
            <w:r w:rsidR="00F87328" w:rsidRPr="00514B21">
              <w:rPr>
                <w:rFonts w:asciiTheme="minorHAnsi" w:hAnsiTheme="minorHAnsi" w:cstheme="minorHAnsi"/>
                <w:sz w:val="22"/>
                <w:szCs w:val="22"/>
              </w:rPr>
              <w:t xml:space="preserve"> </w:t>
            </w:r>
            <w:r w:rsidR="00600C40" w:rsidRPr="00514B21">
              <w:rPr>
                <w:rFonts w:asciiTheme="minorHAnsi" w:hAnsiTheme="minorHAnsi" w:cstheme="minorHAnsi"/>
                <w:i/>
                <w:iCs/>
                <w:sz w:val="22"/>
                <w:szCs w:val="22"/>
              </w:rPr>
              <w:t xml:space="preserve">[Academia, </w:t>
            </w:r>
            <w:r w:rsidR="00003C33">
              <w:rPr>
                <w:rFonts w:asciiTheme="minorHAnsi" w:hAnsiTheme="minorHAnsi" w:cstheme="minorHAnsi"/>
                <w:i/>
                <w:iCs/>
                <w:sz w:val="22"/>
                <w:szCs w:val="22"/>
              </w:rPr>
              <w:t xml:space="preserve">Clinical expert, </w:t>
            </w:r>
            <w:proofErr w:type="gramStart"/>
            <w:r w:rsidR="00786DE2" w:rsidRPr="00514B21">
              <w:rPr>
                <w:rFonts w:asciiTheme="minorHAnsi" w:hAnsiTheme="minorHAnsi" w:cstheme="minorHAnsi"/>
                <w:i/>
                <w:iCs/>
                <w:sz w:val="22"/>
                <w:szCs w:val="22"/>
              </w:rPr>
              <w:t>KOL</w:t>
            </w:r>
            <w:proofErr w:type="gramEnd"/>
            <w:r w:rsidR="00786DE2" w:rsidRPr="00514B21">
              <w:rPr>
                <w:rFonts w:asciiTheme="minorHAnsi" w:hAnsiTheme="minorHAnsi" w:cstheme="minorHAnsi"/>
                <w:i/>
                <w:iCs/>
                <w:sz w:val="22"/>
                <w:szCs w:val="22"/>
              </w:rPr>
              <w:t xml:space="preserve"> </w:t>
            </w:r>
            <w:r w:rsidR="007912BC">
              <w:rPr>
                <w:rFonts w:asciiTheme="minorHAnsi" w:hAnsiTheme="minorHAnsi" w:cstheme="minorHAnsi"/>
                <w:i/>
                <w:iCs/>
                <w:sz w:val="22"/>
                <w:szCs w:val="22"/>
              </w:rPr>
              <w:t>and</w:t>
            </w:r>
            <w:r w:rsidR="00786DE2" w:rsidRPr="00514B21">
              <w:rPr>
                <w:rFonts w:asciiTheme="minorHAnsi" w:hAnsiTheme="minorHAnsi" w:cstheme="minorHAnsi"/>
                <w:i/>
                <w:iCs/>
                <w:sz w:val="22"/>
                <w:szCs w:val="22"/>
              </w:rPr>
              <w:t xml:space="preserve"> </w:t>
            </w:r>
            <w:r w:rsidR="00600C40" w:rsidRPr="00514B21">
              <w:rPr>
                <w:rFonts w:asciiTheme="minorHAnsi" w:hAnsiTheme="minorHAnsi" w:cstheme="minorHAnsi"/>
                <w:i/>
                <w:iCs/>
                <w:sz w:val="22"/>
                <w:szCs w:val="22"/>
              </w:rPr>
              <w:t>Committee member]</w:t>
            </w:r>
          </w:p>
          <w:p w14:paraId="77EC5704" w14:textId="2766615C" w:rsidR="00425F93" w:rsidRPr="00514B21" w:rsidRDefault="00425F93" w:rsidP="008261D6">
            <w:pPr>
              <w:pStyle w:val="ListParagraph"/>
              <w:numPr>
                <w:ilvl w:val="0"/>
                <w:numId w:val="46"/>
              </w:numPr>
              <w:contextualSpacing w:val="0"/>
              <w:rPr>
                <w:rFonts w:asciiTheme="minorHAnsi" w:hAnsiTheme="minorHAnsi" w:cstheme="minorHAnsi"/>
                <w:sz w:val="22"/>
                <w:szCs w:val="22"/>
              </w:rPr>
            </w:pPr>
            <w:r>
              <w:rPr>
                <w:rFonts w:asciiTheme="minorHAnsi" w:hAnsiTheme="minorHAnsi" w:cstheme="minorHAnsi"/>
                <w:sz w:val="22"/>
                <w:szCs w:val="22"/>
              </w:rPr>
              <w:t xml:space="preserve">Subscription-based </w:t>
            </w:r>
            <w:r w:rsidRPr="00425F93">
              <w:rPr>
                <w:rFonts w:asciiTheme="minorHAnsi" w:hAnsiTheme="minorHAnsi" w:cstheme="minorHAnsi"/>
                <w:sz w:val="22"/>
                <w:szCs w:val="22"/>
              </w:rPr>
              <w:t xml:space="preserve">antimicrobial contracts should be excluded from the voluntary scheme for </w:t>
            </w:r>
            <w:r w:rsidRPr="00425F93">
              <w:rPr>
                <w:rFonts w:asciiTheme="minorHAnsi" w:hAnsiTheme="minorHAnsi" w:cstheme="minorHAnsi"/>
                <w:sz w:val="22"/>
                <w:szCs w:val="22"/>
              </w:rPr>
              <w:lastRenderedPageBreak/>
              <w:t>branded medicines pricing and access (VPAS)</w:t>
            </w:r>
            <w:r>
              <w:rPr>
                <w:rFonts w:asciiTheme="minorHAnsi" w:hAnsiTheme="minorHAnsi" w:cstheme="minorHAnsi"/>
                <w:sz w:val="22"/>
                <w:szCs w:val="22"/>
              </w:rPr>
              <w:t xml:space="preserve">. </w:t>
            </w:r>
            <w:r>
              <w:rPr>
                <w:rFonts w:asciiTheme="minorHAnsi" w:hAnsiTheme="minorHAnsi" w:cstheme="minorHAnsi"/>
                <w:i/>
                <w:iCs/>
                <w:sz w:val="22"/>
                <w:szCs w:val="22"/>
              </w:rPr>
              <w:t xml:space="preserve">[Industry] </w:t>
            </w:r>
          </w:p>
        </w:tc>
        <w:tc>
          <w:tcPr>
            <w:tcW w:w="2062" w:type="dxa"/>
          </w:tcPr>
          <w:p w14:paraId="4EAA75DE" w14:textId="6D3333A4" w:rsidR="00736339" w:rsidRPr="00514B21" w:rsidRDefault="00181354" w:rsidP="008261D6">
            <w:pPr>
              <w:rPr>
                <w:rFonts w:asciiTheme="minorHAnsi" w:hAnsiTheme="minorHAnsi" w:cstheme="minorHAnsi"/>
                <w:sz w:val="22"/>
                <w:szCs w:val="22"/>
              </w:rPr>
            </w:pPr>
            <w:r w:rsidRPr="00514B21">
              <w:rPr>
                <w:rFonts w:asciiTheme="minorHAnsi" w:hAnsiTheme="minorHAnsi" w:cstheme="minorHAnsi"/>
                <w:sz w:val="22"/>
                <w:szCs w:val="22"/>
              </w:rPr>
              <w:lastRenderedPageBreak/>
              <w:t xml:space="preserve">Support </w:t>
            </w:r>
            <w:r w:rsidR="007D669E" w:rsidRPr="00514B21">
              <w:rPr>
                <w:rFonts w:asciiTheme="minorHAnsi" w:hAnsiTheme="minorHAnsi" w:cstheme="minorHAnsi"/>
                <w:sz w:val="22"/>
                <w:szCs w:val="22"/>
              </w:rPr>
              <w:t xml:space="preserve">the </w:t>
            </w:r>
            <w:r w:rsidRPr="00514B21">
              <w:rPr>
                <w:rFonts w:asciiTheme="minorHAnsi" w:hAnsiTheme="minorHAnsi" w:cstheme="minorHAnsi"/>
                <w:sz w:val="22"/>
                <w:szCs w:val="22"/>
              </w:rPr>
              <w:t xml:space="preserve">delivery of an appropriate </w:t>
            </w:r>
            <w:r w:rsidR="007D669E" w:rsidRPr="00514B21">
              <w:rPr>
                <w:rFonts w:asciiTheme="minorHAnsi" w:hAnsiTheme="minorHAnsi" w:cstheme="minorHAnsi"/>
                <w:sz w:val="22"/>
                <w:szCs w:val="22"/>
              </w:rPr>
              <w:t xml:space="preserve">pull incentive </w:t>
            </w:r>
            <w:r w:rsidR="00F87328" w:rsidRPr="00514B21">
              <w:rPr>
                <w:rFonts w:asciiTheme="minorHAnsi" w:hAnsiTheme="minorHAnsi" w:cstheme="minorHAnsi"/>
                <w:sz w:val="22"/>
                <w:szCs w:val="22"/>
              </w:rPr>
              <w:t xml:space="preserve">and </w:t>
            </w:r>
            <w:r w:rsidR="007D669E" w:rsidRPr="00514B21">
              <w:rPr>
                <w:rFonts w:asciiTheme="minorHAnsi" w:hAnsiTheme="minorHAnsi" w:cstheme="minorHAnsi"/>
                <w:sz w:val="22"/>
                <w:szCs w:val="22"/>
              </w:rPr>
              <w:t>encourage innovation</w:t>
            </w:r>
            <w:r w:rsidR="00F87328" w:rsidRPr="00514B21">
              <w:rPr>
                <w:rFonts w:asciiTheme="minorHAnsi" w:hAnsiTheme="minorHAnsi" w:cstheme="minorHAnsi"/>
                <w:sz w:val="22"/>
                <w:szCs w:val="22"/>
              </w:rPr>
              <w:t xml:space="preserve"> globally</w:t>
            </w:r>
            <w:r w:rsidR="00AD6CA6" w:rsidRPr="00514B21">
              <w:rPr>
                <w:rFonts w:asciiTheme="minorHAnsi" w:hAnsiTheme="minorHAnsi" w:cstheme="minorHAnsi"/>
                <w:sz w:val="22"/>
                <w:szCs w:val="22"/>
              </w:rPr>
              <w:t>.</w:t>
            </w:r>
          </w:p>
          <w:p w14:paraId="3AAAEEA9" w14:textId="77777777" w:rsidR="007D669E" w:rsidRPr="00514B21" w:rsidRDefault="007D669E" w:rsidP="008261D6">
            <w:pPr>
              <w:rPr>
                <w:rFonts w:asciiTheme="minorHAnsi" w:hAnsiTheme="minorHAnsi" w:cstheme="minorHAnsi"/>
                <w:sz w:val="22"/>
                <w:szCs w:val="22"/>
              </w:rPr>
            </w:pPr>
          </w:p>
          <w:p w14:paraId="40D31F27" w14:textId="21E4E356" w:rsidR="007D669E" w:rsidRPr="00514B21" w:rsidRDefault="007D669E" w:rsidP="008261D6">
            <w:pPr>
              <w:rPr>
                <w:rFonts w:asciiTheme="minorHAnsi" w:hAnsiTheme="minorHAnsi" w:cstheme="minorHAnsi"/>
                <w:sz w:val="22"/>
                <w:szCs w:val="22"/>
              </w:rPr>
            </w:pPr>
          </w:p>
        </w:tc>
        <w:tc>
          <w:tcPr>
            <w:tcW w:w="1907" w:type="dxa"/>
          </w:tcPr>
          <w:p w14:paraId="7E5EE7D1" w14:textId="089DADD5" w:rsidR="00607BCF" w:rsidRPr="00514B21" w:rsidRDefault="00AF606F" w:rsidP="008261D6">
            <w:pPr>
              <w:rPr>
                <w:rFonts w:asciiTheme="minorHAnsi" w:hAnsiTheme="minorHAnsi" w:cstheme="minorHAnsi"/>
                <w:sz w:val="22"/>
                <w:szCs w:val="22"/>
              </w:rPr>
            </w:pPr>
            <w:r w:rsidRPr="00514B21">
              <w:rPr>
                <w:rFonts w:asciiTheme="minorHAnsi" w:hAnsiTheme="minorHAnsi" w:cstheme="minorHAnsi"/>
                <w:sz w:val="22"/>
                <w:szCs w:val="22"/>
              </w:rPr>
              <w:t xml:space="preserve">The pilot has global significance in the fight against </w:t>
            </w:r>
            <w:r w:rsidR="00840051">
              <w:rPr>
                <w:rFonts w:asciiTheme="minorHAnsi" w:hAnsiTheme="minorHAnsi" w:cstheme="minorHAnsi"/>
                <w:sz w:val="22"/>
                <w:szCs w:val="22"/>
              </w:rPr>
              <w:t>antimicrobial resistance</w:t>
            </w:r>
            <w:r w:rsidR="008B5338" w:rsidRPr="00514B21">
              <w:rPr>
                <w:rFonts w:asciiTheme="minorHAnsi" w:hAnsiTheme="minorHAnsi" w:cstheme="minorHAnsi"/>
                <w:sz w:val="22"/>
                <w:szCs w:val="22"/>
              </w:rPr>
              <w:t>.</w:t>
            </w:r>
            <w:r w:rsidRPr="00514B21">
              <w:rPr>
                <w:rFonts w:asciiTheme="minorHAnsi" w:hAnsiTheme="minorHAnsi" w:cstheme="minorHAnsi"/>
                <w:sz w:val="22"/>
                <w:szCs w:val="22"/>
              </w:rPr>
              <w:t xml:space="preserve"> </w:t>
            </w:r>
            <w:r w:rsidR="00F2668F">
              <w:rPr>
                <w:rFonts w:asciiTheme="minorHAnsi" w:hAnsiTheme="minorHAnsi" w:cstheme="minorHAnsi"/>
                <w:sz w:val="22"/>
                <w:szCs w:val="22"/>
              </w:rPr>
              <w:t>Evaluating its s</w:t>
            </w:r>
            <w:r w:rsidR="002E1A92" w:rsidRPr="00514B21">
              <w:rPr>
                <w:rFonts w:asciiTheme="minorHAnsi" w:hAnsiTheme="minorHAnsi" w:cstheme="minorHAnsi"/>
                <w:sz w:val="22"/>
                <w:szCs w:val="22"/>
              </w:rPr>
              <w:t xml:space="preserve">uccess will </w:t>
            </w:r>
            <w:r w:rsidR="002C4262" w:rsidRPr="00514B21">
              <w:rPr>
                <w:rFonts w:asciiTheme="minorHAnsi" w:hAnsiTheme="minorHAnsi" w:cstheme="minorHAnsi"/>
                <w:sz w:val="22"/>
                <w:szCs w:val="22"/>
              </w:rPr>
              <w:t xml:space="preserve">take time because it is </w:t>
            </w:r>
            <w:r w:rsidR="002E1A92" w:rsidRPr="00514B21">
              <w:rPr>
                <w:rFonts w:asciiTheme="minorHAnsi" w:hAnsiTheme="minorHAnsi" w:cstheme="minorHAnsi"/>
                <w:sz w:val="22"/>
                <w:szCs w:val="22"/>
              </w:rPr>
              <w:t>depend</w:t>
            </w:r>
            <w:r w:rsidR="00840051">
              <w:rPr>
                <w:rFonts w:asciiTheme="minorHAnsi" w:hAnsiTheme="minorHAnsi" w:cstheme="minorHAnsi"/>
                <w:sz w:val="22"/>
                <w:szCs w:val="22"/>
              </w:rPr>
              <w:t>ent</w:t>
            </w:r>
            <w:r w:rsidR="002E1A92" w:rsidRPr="00514B21">
              <w:rPr>
                <w:rFonts w:asciiTheme="minorHAnsi" w:hAnsiTheme="minorHAnsi" w:cstheme="minorHAnsi"/>
                <w:sz w:val="22"/>
                <w:szCs w:val="22"/>
              </w:rPr>
              <w:t xml:space="preserve"> on international co-operation </w:t>
            </w:r>
            <w:r w:rsidR="008B5338" w:rsidRPr="00514B21">
              <w:rPr>
                <w:rFonts w:asciiTheme="minorHAnsi" w:hAnsiTheme="minorHAnsi" w:cstheme="minorHAnsi"/>
                <w:sz w:val="22"/>
                <w:szCs w:val="22"/>
              </w:rPr>
              <w:t xml:space="preserve">to </w:t>
            </w:r>
            <w:r w:rsidR="002C4262" w:rsidRPr="00514B21">
              <w:rPr>
                <w:rFonts w:asciiTheme="minorHAnsi" w:hAnsiTheme="minorHAnsi" w:cstheme="minorHAnsi"/>
                <w:sz w:val="22"/>
                <w:szCs w:val="22"/>
              </w:rPr>
              <w:t xml:space="preserve">jointly </w:t>
            </w:r>
            <w:r w:rsidR="008B5338" w:rsidRPr="00514B21">
              <w:rPr>
                <w:rFonts w:asciiTheme="minorHAnsi" w:hAnsiTheme="minorHAnsi" w:cstheme="minorHAnsi"/>
                <w:sz w:val="22"/>
                <w:szCs w:val="22"/>
              </w:rPr>
              <w:t xml:space="preserve">provide a </w:t>
            </w:r>
            <w:r w:rsidR="002C4262" w:rsidRPr="00514B21">
              <w:rPr>
                <w:rFonts w:asciiTheme="minorHAnsi" w:hAnsiTheme="minorHAnsi" w:cstheme="minorHAnsi"/>
                <w:sz w:val="22"/>
                <w:szCs w:val="22"/>
              </w:rPr>
              <w:t>large</w:t>
            </w:r>
            <w:r w:rsidR="002E1A92" w:rsidRPr="00514B21">
              <w:rPr>
                <w:rFonts w:asciiTheme="minorHAnsi" w:hAnsiTheme="minorHAnsi" w:cstheme="minorHAnsi"/>
                <w:sz w:val="22"/>
                <w:szCs w:val="22"/>
              </w:rPr>
              <w:t xml:space="preserve"> </w:t>
            </w:r>
            <w:r w:rsidR="002C4262" w:rsidRPr="00514B21">
              <w:rPr>
                <w:rFonts w:asciiTheme="minorHAnsi" w:hAnsiTheme="minorHAnsi" w:cstheme="minorHAnsi"/>
                <w:sz w:val="22"/>
                <w:szCs w:val="22"/>
              </w:rPr>
              <w:t xml:space="preserve">enough </w:t>
            </w:r>
            <w:r w:rsidR="002E1A92" w:rsidRPr="00514B21">
              <w:rPr>
                <w:rFonts w:asciiTheme="minorHAnsi" w:hAnsiTheme="minorHAnsi" w:cstheme="minorHAnsi"/>
                <w:sz w:val="22"/>
                <w:szCs w:val="22"/>
              </w:rPr>
              <w:t>incentive</w:t>
            </w:r>
            <w:r w:rsidR="002C4262" w:rsidRPr="00514B21">
              <w:rPr>
                <w:rFonts w:asciiTheme="minorHAnsi" w:hAnsiTheme="minorHAnsi" w:cstheme="minorHAnsi"/>
                <w:sz w:val="22"/>
                <w:szCs w:val="22"/>
              </w:rPr>
              <w:t xml:space="preserve"> for industry to</w:t>
            </w:r>
            <w:r w:rsidR="00840051">
              <w:rPr>
                <w:rFonts w:asciiTheme="minorHAnsi" w:hAnsiTheme="minorHAnsi" w:cstheme="minorHAnsi"/>
                <w:sz w:val="22"/>
                <w:szCs w:val="22"/>
              </w:rPr>
              <w:t xml:space="preserve"> increase</w:t>
            </w:r>
            <w:r w:rsidR="002C4262" w:rsidRPr="00514B21">
              <w:rPr>
                <w:rFonts w:asciiTheme="minorHAnsi" w:hAnsiTheme="minorHAnsi" w:cstheme="minorHAnsi"/>
                <w:sz w:val="22"/>
                <w:szCs w:val="22"/>
              </w:rPr>
              <w:t xml:space="preserve"> invest</w:t>
            </w:r>
            <w:r w:rsidR="00840051">
              <w:rPr>
                <w:rFonts w:asciiTheme="minorHAnsi" w:hAnsiTheme="minorHAnsi" w:cstheme="minorHAnsi"/>
                <w:sz w:val="22"/>
                <w:szCs w:val="22"/>
              </w:rPr>
              <w:t>ment</w:t>
            </w:r>
            <w:r w:rsidR="002C4262" w:rsidRPr="00514B21">
              <w:rPr>
                <w:rFonts w:asciiTheme="minorHAnsi" w:hAnsiTheme="minorHAnsi" w:cstheme="minorHAnsi"/>
                <w:sz w:val="22"/>
                <w:szCs w:val="22"/>
              </w:rPr>
              <w:t xml:space="preserve"> in antimicrobial R&amp;D. </w:t>
            </w:r>
          </w:p>
        </w:tc>
      </w:tr>
      <w:tr w:rsidR="002E1A92" w:rsidRPr="00514B21" w14:paraId="5B3B4EBD" w14:textId="77777777" w:rsidTr="008261D6">
        <w:trPr>
          <w:trHeight w:val="767"/>
        </w:trPr>
        <w:tc>
          <w:tcPr>
            <w:tcW w:w="1482" w:type="dxa"/>
          </w:tcPr>
          <w:p w14:paraId="0D489216" w14:textId="77777777" w:rsidR="002E1A92" w:rsidRPr="00514B21" w:rsidRDefault="002E1A92" w:rsidP="008261D6">
            <w:pPr>
              <w:rPr>
                <w:rFonts w:asciiTheme="minorHAnsi" w:hAnsiTheme="minorHAnsi" w:cstheme="minorHAnsi"/>
                <w:sz w:val="22"/>
                <w:szCs w:val="22"/>
              </w:rPr>
            </w:pPr>
            <w:r w:rsidRPr="00514B21">
              <w:rPr>
                <w:rFonts w:asciiTheme="minorHAnsi" w:hAnsiTheme="minorHAnsi" w:cstheme="minorHAnsi"/>
                <w:sz w:val="22"/>
                <w:szCs w:val="22"/>
              </w:rPr>
              <w:t>Estimating the value of the antimicrobials to the NHS and recognising the additional benefits not normally considered by NICE (‘STEDI’ values)</w:t>
            </w:r>
          </w:p>
          <w:p w14:paraId="03D0117D" w14:textId="77777777" w:rsidR="002E1A92" w:rsidRPr="00514B21" w:rsidRDefault="002E1A92" w:rsidP="008261D6">
            <w:pPr>
              <w:rPr>
                <w:rFonts w:asciiTheme="minorHAnsi" w:hAnsiTheme="minorHAnsi" w:cstheme="minorHAnsi"/>
                <w:sz w:val="22"/>
                <w:szCs w:val="22"/>
              </w:rPr>
            </w:pPr>
          </w:p>
        </w:tc>
        <w:tc>
          <w:tcPr>
            <w:tcW w:w="2624" w:type="dxa"/>
          </w:tcPr>
          <w:p w14:paraId="3851D242" w14:textId="6FD93226" w:rsidR="00F45E2F" w:rsidRPr="00514B21" w:rsidRDefault="00F45E2F" w:rsidP="008261D6">
            <w:pPr>
              <w:pStyle w:val="ListParagraph"/>
              <w:numPr>
                <w:ilvl w:val="0"/>
                <w:numId w:val="18"/>
              </w:numPr>
              <w:contextualSpacing w:val="0"/>
              <w:rPr>
                <w:rFonts w:asciiTheme="minorHAnsi" w:hAnsiTheme="minorHAnsi" w:cstheme="minorHAnsi"/>
                <w:sz w:val="22"/>
                <w:szCs w:val="22"/>
              </w:rPr>
            </w:pPr>
            <w:r w:rsidRPr="00514B21">
              <w:rPr>
                <w:rFonts w:asciiTheme="minorHAnsi" w:hAnsiTheme="minorHAnsi" w:cstheme="minorHAnsi"/>
                <w:sz w:val="22"/>
                <w:szCs w:val="22"/>
              </w:rPr>
              <w:t>EEPRU did an impressive job in modelling a very complex problem with substantial gaps in data</w:t>
            </w:r>
            <w:r w:rsidR="00B53502" w:rsidRPr="00514B21">
              <w:rPr>
                <w:rFonts w:asciiTheme="minorHAnsi" w:hAnsiTheme="minorHAnsi" w:cstheme="minorHAnsi"/>
                <w:sz w:val="22"/>
                <w:szCs w:val="22"/>
              </w:rPr>
              <w:t xml:space="preserve">. </w:t>
            </w:r>
            <w:r w:rsidR="0052122C" w:rsidRPr="00514B21">
              <w:rPr>
                <w:rFonts w:asciiTheme="minorHAnsi" w:hAnsiTheme="minorHAnsi" w:cstheme="minorHAnsi"/>
                <w:sz w:val="22"/>
                <w:szCs w:val="22"/>
              </w:rPr>
              <w:t xml:space="preserve">Although some benefits could not be captured by the model, it </w:t>
            </w:r>
            <w:r w:rsidR="00B53502" w:rsidRPr="00514B21">
              <w:rPr>
                <w:rFonts w:asciiTheme="minorHAnsi" w:hAnsiTheme="minorHAnsi" w:cstheme="minorHAnsi"/>
                <w:sz w:val="22"/>
                <w:szCs w:val="22"/>
              </w:rPr>
              <w:t>was ultimately useful</w:t>
            </w:r>
            <w:r w:rsidR="004A3709" w:rsidRPr="00514B21">
              <w:rPr>
                <w:rFonts w:asciiTheme="minorHAnsi" w:hAnsiTheme="minorHAnsi" w:cstheme="minorHAnsi"/>
                <w:sz w:val="22"/>
                <w:szCs w:val="22"/>
              </w:rPr>
              <w:t xml:space="preserve"> and set the committee on the right path</w:t>
            </w:r>
            <w:r w:rsidR="0052122C" w:rsidRPr="00514B21">
              <w:rPr>
                <w:rFonts w:asciiTheme="minorHAnsi" w:hAnsiTheme="minorHAnsi" w:cstheme="minorHAnsi"/>
                <w:sz w:val="22"/>
                <w:szCs w:val="22"/>
              </w:rPr>
              <w:t>.</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[Industry,</w:t>
            </w:r>
            <w:r w:rsidR="00B53502" w:rsidRPr="00514B21">
              <w:rPr>
                <w:rFonts w:asciiTheme="minorHAnsi" w:hAnsiTheme="minorHAnsi" w:cstheme="minorHAnsi"/>
                <w:i/>
                <w:iCs/>
                <w:sz w:val="22"/>
                <w:szCs w:val="22"/>
              </w:rPr>
              <w:t xml:space="preserve"> </w:t>
            </w:r>
            <w:proofErr w:type="gramStart"/>
            <w:r w:rsidR="00B53502" w:rsidRPr="00514B21">
              <w:rPr>
                <w:rFonts w:asciiTheme="minorHAnsi" w:hAnsiTheme="minorHAnsi" w:cstheme="minorHAnsi"/>
                <w:i/>
                <w:iCs/>
                <w:sz w:val="22"/>
                <w:szCs w:val="22"/>
              </w:rPr>
              <w:t>KOL</w:t>
            </w:r>
            <w:proofErr w:type="gramEnd"/>
            <w:r w:rsidR="007912BC">
              <w:rPr>
                <w:rFonts w:asciiTheme="minorHAnsi" w:hAnsiTheme="minorHAnsi" w:cstheme="minorHAnsi"/>
                <w:i/>
                <w:iCs/>
                <w:sz w:val="22"/>
                <w:szCs w:val="22"/>
              </w:rPr>
              <w:t xml:space="preserve"> and </w:t>
            </w:r>
            <w:r w:rsidR="004A3709" w:rsidRPr="00514B21">
              <w:rPr>
                <w:rFonts w:asciiTheme="minorHAnsi" w:hAnsiTheme="minorHAnsi" w:cstheme="minorHAnsi"/>
                <w:i/>
                <w:iCs/>
                <w:sz w:val="22"/>
                <w:szCs w:val="22"/>
              </w:rPr>
              <w:t>Committee member</w:t>
            </w:r>
            <w:r w:rsidRPr="00514B21">
              <w:rPr>
                <w:rFonts w:asciiTheme="minorHAnsi" w:hAnsiTheme="minorHAnsi" w:cstheme="minorHAnsi"/>
                <w:i/>
                <w:iCs/>
                <w:sz w:val="22"/>
                <w:szCs w:val="22"/>
              </w:rPr>
              <w:t>]</w:t>
            </w:r>
          </w:p>
          <w:p w14:paraId="4AAA2D5B" w14:textId="77581A7E" w:rsidR="002E1A92" w:rsidRPr="00514B21" w:rsidRDefault="0088164E" w:rsidP="008261D6">
            <w:pPr>
              <w:pStyle w:val="ListParagraph"/>
              <w:numPr>
                <w:ilvl w:val="0"/>
                <w:numId w:val="18"/>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The committee’s recognition of </w:t>
            </w:r>
            <w:r w:rsidR="00711BDE" w:rsidRPr="00514B21">
              <w:rPr>
                <w:rFonts w:asciiTheme="minorHAnsi" w:hAnsiTheme="minorHAnsi" w:cstheme="minorHAnsi"/>
                <w:sz w:val="22"/>
                <w:szCs w:val="22"/>
              </w:rPr>
              <w:t xml:space="preserve">missing patient groups </w:t>
            </w:r>
            <w:r w:rsidRPr="00514B21">
              <w:rPr>
                <w:rFonts w:asciiTheme="minorHAnsi" w:hAnsiTheme="minorHAnsi" w:cstheme="minorHAnsi"/>
                <w:sz w:val="22"/>
                <w:szCs w:val="22"/>
              </w:rPr>
              <w:t xml:space="preserve">and </w:t>
            </w:r>
            <w:r w:rsidR="00711BDE" w:rsidRPr="00514B21">
              <w:rPr>
                <w:rFonts w:asciiTheme="minorHAnsi" w:hAnsiTheme="minorHAnsi" w:cstheme="minorHAnsi"/>
                <w:sz w:val="22"/>
                <w:szCs w:val="22"/>
              </w:rPr>
              <w:t xml:space="preserve">uncaptured </w:t>
            </w:r>
            <w:r w:rsidRPr="00514B21">
              <w:rPr>
                <w:rFonts w:asciiTheme="minorHAnsi" w:hAnsiTheme="minorHAnsi" w:cstheme="minorHAnsi"/>
                <w:sz w:val="22"/>
                <w:szCs w:val="22"/>
              </w:rPr>
              <w:t>value was welcome given the limitations of the modelling. Reaching a value estimate was challenging but a success</w:t>
            </w:r>
            <w:r w:rsidR="00FD2986">
              <w:rPr>
                <w:rFonts w:asciiTheme="minorHAnsi" w:hAnsiTheme="minorHAnsi" w:cstheme="minorHAnsi"/>
                <w:sz w:val="22"/>
                <w:szCs w:val="22"/>
              </w:rPr>
              <w:t>.</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[Committee member</w:t>
            </w:r>
            <w:r w:rsidR="007912BC">
              <w:rPr>
                <w:rFonts w:asciiTheme="minorHAnsi" w:hAnsiTheme="minorHAnsi" w:cstheme="minorHAnsi"/>
                <w:i/>
                <w:iCs/>
                <w:sz w:val="22"/>
                <w:szCs w:val="22"/>
              </w:rPr>
              <w:t xml:space="preserve"> and I</w:t>
            </w:r>
            <w:r w:rsidRPr="00514B21">
              <w:rPr>
                <w:rFonts w:asciiTheme="minorHAnsi" w:hAnsiTheme="minorHAnsi" w:cstheme="minorHAnsi"/>
                <w:i/>
                <w:iCs/>
                <w:sz w:val="22"/>
                <w:szCs w:val="22"/>
              </w:rPr>
              <w:t>ndustry]</w:t>
            </w:r>
          </w:p>
          <w:p w14:paraId="16981690" w14:textId="381289B7" w:rsidR="00711BDE" w:rsidRPr="00514B21" w:rsidRDefault="00711BDE" w:rsidP="008261D6">
            <w:pPr>
              <w:pStyle w:val="ListParagraph"/>
              <w:numPr>
                <w:ilvl w:val="0"/>
                <w:numId w:val="18"/>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Appropriate </w:t>
            </w:r>
            <w:r w:rsidR="00746B83" w:rsidRPr="00514B21">
              <w:rPr>
                <w:rFonts w:asciiTheme="minorHAnsi" w:hAnsiTheme="minorHAnsi" w:cstheme="minorHAnsi"/>
                <w:sz w:val="22"/>
                <w:szCs w:val="22"/>
              </w:rPr>
              <w:t xml:space="preserve">for </w:t>
            </w:r>
            <w:r w:rsidRPr="00514B21">
              <w:rPr>
                <w:rFonts w:asciiTheme="minorHAnsi" w:hAnsiTheme="minorHAnsi" w:cstheme="minorHAnsi"/>
                <w:sz w:val="22"/>
                <w:szCs w:val="22"/>
              </w:rPr>
              <w:t xml:space="preserve">committee </w:t>
            </w:r>
            <w:r w:rsidR="00746B83" w:rsidRPr="00514B21">
              <w:rPr>
                <w:rFonts w:asciiTheme="minorHAnsi" w:hAnsiTheme="minorHAnsi" w:cstheme="minorHAnsi"/>
                <w:sz w:val="22"/>
                <w:szCs w:val="22"/>
              </w:rPr>
              <w:t xml:space="preserve">to </w:t>
            </w:r>
            <w:r w:rsidR="00586698">
              <w:rPr>
                <w:rFonts w:asciiTheme="minorHAnsi" w:hAnsiTheme="minorHAnsi" w:cstheme="minorHAnsi"/>
                <w:sz w:val="22"/>
                <w:szCs w:val="22"/>
              </w:rPr>
              <w:t xml:space="preserve">attempt to </w:t>
            </w:r>
            <w:r w:rsidRPr="00514B21">
              <w:rPr>
                <w:rFonts w:asciiTheme="minorHAnsi" w:hAnsiTheme="minorHAnsi" w:cstheme="minorHAnsi"/>
                <w:sz w:val="22"/>
                <w:szCs w:val="22"/>
              </w:rPr>
              <w:t xml:space="preserve">estimate the size of the uncaptured </w:t>
            </w:r>
            <w:r w:rsidRPr="00514B21">
              <w:rPr>
                <w:rFonts w:asciiTheme="minorHAnsi" w:hAnsiTheme="minorHAnsi" w:cstheme="minorHAnsi"/>
                <w:sz w:val="22"/>
                <w:szCs w:val="22"/>
              </w:rPr>
              <w:lastRenderedPageBreak/>
              <w:t xml:space="preserve">benefits </w:t>
            </w:r>
            <w:r w:rsidR="00746B83" w:rsidRPr="00514B21">
              <w:rPr>
                <w:rFonts w:asciiTheme="minorHAnsi" w:hAnsiTheme="minorHAnsi" w:cstheme="minorHAnsi"/>
                <w:sz w:val="22"/>
                <w:szCs w:val="22"/>
              </w:rPr>
              <w:t>despite the uncertainty</w:t>
            </w:r>
            <w:r w:rsidRPr="00514B21">
              <w:rPr>
                <w:rFonts w:asciiTheme="minorHAnsi" w:hAnsiTheme="minorHAnsi" w:cstheme="minorHAnsi"/>
                <w:sz w:val="22"/>
                <w:szCs w:val="22"/>
              </w:rPr>
              <w:t>,</w:t>
            </w:r>
            <w:r w:rsidR="00746B83" w:rsidRPr="00514B21">
              <w:rPr>
                <w:rFonts w:asciiTheme="minorHAnsi" w:hAnsiTheme="minorHAnsi" w:cstheme="minorHAnsi"/>
                <w:sz w:val="22"/>
                <w:szCs w:val="22"/>
              </w:rPr>
              <w:t xml:space="preserve"> </w:t>
            </w:r>
            <w:r w:rsidR="003951BB" w:rsidRPr="00514B21">
              <w:rPr>
                <w:rFonts w:asciiTheme="minorHAnsi" w:hAnsiTheme="minorHAnsi" w:cstheme="minorHAnsi"/>
                <w:sz w:val="22"/>
                <w:szCs w:val="22"/>
              </w:rPr>
              <w:t xml:space="preserve">because </w:t>
            </w:r>
            <w:r w:rsidR="00586698">
              <w:rPr>
                <w:rFonts w:asciiTheme="minorHAnsi" w:hAnsiTheme="minorHAnsi" w:cstheme="minorHAnsi"/>
                <w:sz w:val="22"/>
                <w:szCs w:val="22"/>
              </w:rPr>
              <w:t xml:space="preserve">of the importance of this project – and innovative approaches in other countries – in </w:t>
            </w:r>
            <w:r w:rsidR="003951BB" w:rsidRPr="00514B21">
              <w:rPr>
                <w:rFonts w:asciiTheme="minorHAnsi" w:hAnsiTheme="minorHAnsi" w:cstheme="minorHAnsi"/>
                <w:sz w:val="22"/>
                <w:szCs w:val="22"/>
              </w:rPr>
              <w:t>tackl</w:t>
            </w:r>
            <w:r w:rsidR="00586698">
              <w:rPr>
                <w:rFonts w:asciiTheme="minorHAnsi" w:hAnsiTheme="minorHAnsi" w:cstheme="minorHAnsi"/>
                <w:sz w:val="22"/>
                <w:szCs w:val="22"/>
              </w:rPr>
              <w:t>ing</w:t>
            </w:r>
            <w:r w:rsidR="00746B83" w:rsidRPr="00514B21">
              <w:rPr>
                <w:rFonts w:asciiTheme="minorHAnsi" w:hAnsiTheme="minorHAnsi" w:cstheme="minorHAnsi"/>
                <w:sz w:val="22"/>
                <w:szCs w:val="22"/>
              </w:rPr>
              <w:t xml:space="preserve"> </w:t>
            </w:r>
            <w:r w:rsidR="003951BB" w:rsidRPr="00514B21">
              <w:rPr>
                <w:rFonts w:asciiTheme="minorHAnsi" w:hAnsiTheme="minorHAnsi" w:cstheme="minorHAnsi"/>
                <w:sz w:val="22"/>
                <w:szCs w:val="22"/>
              </w:rPr>
              <w:t xml:space="preserve">antimicrobial </w:t>
            </w:r>
            <w:r w:rsidR="00746B83" w:rsidRPr="00514B21">
              <w:rPr>
                <w:rFonts w:asciiTheme="minorHAnsi" w:hAnsiTheme="minorHAnsi" w:cstheme="minorHAnsi"/>
                <w:sz w:val="22"/>
                <w:szCs w:val="22"/>
              </w:rPr>
              <w:t>resistance</w:t>
            </w:r>
            <w:r w:rsidR="0052122C" w:rsidRPr="00514B21">
              <w:rPr>
                <w:rFonts w:asciiTheme="minorHAnsi" w:hAnsiTheme="minorHAnsi" w:cstheme="minorHAnsi"/>
                <w:sz w:val="22"/>
                <w:szCs w:val="22"/>
              </w:rPr>
              <w:t>.</w:t>
            </w:r>
            <w:r w:rsidR="00746B83" w:rsidRPr="00514B21">
              <w:rPr>
                <w:rFonts w:asciiTheme="minorHAnsi" w:hAnsiTheme="minorHAnsi" w:cstheme="minorHAnsi"/>
                <w:sz w:val="22"/>
                <w:szCs w:val="22"/>
              </w:rPr>
              <w:t xml:space="preserve"> </w:t>
            </w:r>
            <w:r w:rsidR="0052122C" w:rsidRPr="00514B21">
              <w:rPr>
                <w:rFonts w:asciiTheme="minorHAnsi" w:hAnsiTheme="minorHAnsi" w:cstheme="minorHAnsi"/>
                <w:sz w:val="22"/>
                <w:szCs w:val="22"/>
              </w:rPr>
              <w:t xml:space="preserve">Should not let the perfect be the enemy of the good. </w:t>
            </w:r>
            <w:r w:rsidR="00746B83" w:rsidRPr="00514B21">
              <w:rPr>
                <w:rFonts w:asciiTheme="minorHAnsi" w:hAnsiTheme="minorHAnsi" w:cstheme="minorHAnsi"/>
                <w:i/>
                <w:iCs/>
                <w:sz w:val="22"/>
                <w:szCs w:val="22"/>
              </w:rPr>
              <w:t>[KOL]</w:t>
            </w:r>
            <w:r w:rsidRPr="00514B21">
              <w:rPr>
                <w:rFonts w:asciiTheme="minorHAnsi" w:hAnsiTheme="minorHAnsi" w:cstheme="minorHAnsi"/>
                <w:sz w:val="22"/>
                <w:szCs w:val="22"/>
              </w:rPr>
              <w:t xml:space="preserve"> </w:t>
            </w:r>
          </w:p>
          <w:p w14:paraId="4A625312" w14:textId="08273E98" w:rsidR="00711BDE" w:rsidRPr="00514B21" w:rsidRDefault="00711BDE" w:rsidP="008261D6">
            <w:pPr>
              <w:pStyle w:val="ListParagraph"/>
              <w:numPr>
                <w:ilvl w:val="0"/>
                <w:numId w:val="18"/>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Helpful to have </w:t>
            </w:r>
            <w:r w:rsidR="00586698">
              <w:rPr>
                <w:rFonts w:asciiTheme="minorHAnsi" w:hAnsiTheme="minorHAnsi" w:cstheme="minorHAnsi"/>
                <w:sz w:val="22"/>
                <w:szCs w:val="22"/>
              </w:rPr>
              <w:t>intensive care unit</w:t>
            </w:r>
            <w:r w:rsidR="00586698" w:rsidRPr="00514B21">
              <w:rPr>
                <w:rFonts w:asciiTheme="minorHAnsi" w:hAnsiTheme="minorHAnsi" w:cstheme="minorHAnsi"/>
                <w:sz w:val="22"/>
                <w:szCs w:val="22"/>
              </w:rPr>
              <w:t xml:space="preserve"> </w:t>
            </w:r>
            <w:r w:rsidRPr="00514B21">
              <w:rPr>
                <w:rFonts w:asciiTheme="minorHAnsi" w:hAnsiTheme="minorHAnsi" w:cstheme="minorHAnsi"/>
                <w:sz w:val="22"/>
                <w:szCs w:val="22"/>
              </w:rPr>
              <w:t>clinicians and other experts on hand during committee discussions</w:t>
            </w:r>
            <w:r w:rsidR="004A3709" w:rsidRPr="00514B21">
              <w:rPr>
                <w:rFonts w:asciiTheme="minorHAnsi" w:hAnsiTheme="minorHAnsi" w:cstheme="minorHAnsi"/>
                <w:sz w:val="22"/>
                <w:szCs w:val="22"/>
              </w:rPr>
              <w:t xml:space="preserve">. Notable that all clinicians </w:t>
            </w:r>
            <w:r w:rsidR="00560E23" w:rsidRPr="00514B21">
              <w:rPr>
                <w:rFonts w:asciiTheme="minorHAnsi" w:hAnsiTheme="minorHAnsi" w:cstheme="minorHAnsi"/>
                <w:sz w:val="22"/>
                <w:szCs w:val="22"/>
              </w:rPr>
              <w:t xml:space="preserve">agreed on </w:t>
            </w:r>
            <w:r w:rsidR="004A3709" w:rsidRPr="00514B21">
              <w:rPr>
                <w:rFonts w:asciiTheme="minorHAnsi" w:hAnsiTheme="minorHAnsi" w:cstheme="minorHAnsi"/>
                <w:sz w:val="22"/>
                <w:szCs w:val="22"/>
              </w:rPr>
              <w:t xml:space="preserve">the value of the </w:t>
            </w:r>
            <w:r w:rsidR="00560E23" w:rsidRPr="00514B21">
              <w:rPr>
                <w:rFonts w:asciiTheme="minorHAnsi" w:hAnsiTheme="minorHAnsi" w:cstheme="minorHAnsi"/>
                <w:sz w:val="22"/>
                <w:szCs w:val="22"/>
              </w:rPr>
              <w:t>products</w:t>
            </w:r>
            <w:r w:rsidR="00FD2986">
              <w:rPr>
                <w:rFonts w:asciiTheme="minorHAnsi" w:hAnsiTheme="minorHAnsi" w:cstheme="minorHAnsi"/>
                <w:sz w:val="22"/>
                <w:szCs w:val="22"/>
              </w:rPr>
              <w:t>.</w:t>
            </w:r>
            <w:r w:rsidR="00560E23"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[Committee member]</w:t>
            </w:r>
          </w:p>
          <w:p w14:paraId="603BAA45" w14:textId="3919C0CA" w:rsidR="00B53502" w:rsidRPr="00514B21" w:rsidRDefault="00B53502" w:rsidP="008261D6">
            <w:pPr>
              <w:pStyle w:val="ListParagraph"/>
              <w:ind w:left="360"/>
              <w:contextualSpacing w:val="0"/>
              <w:rPr>
                <w:rFonts w:asciiTheme="minorHAnsi" w:hAnsiTheme="minorHAnsi" w:cstheme="minorHAnsi"/>
                <w:sz w:val="22"/>
                <w:szCs w:val="22"/>
              </w:rPr>
            </w:pPr>
          </w:p>
        </w:tc>
        <w:tc>
          <w:tcPr>
            <w:tcW w:w="5103" w:type="dxa"/>
          </w:tcPr>
          <w:p w14:paraId="6285A144" w14:textId="4C4A1F3E" w:rsidR="00F370F4" w:rsidRPr="00514B21" w:rsidRDefault="002405E4" w:rsidP="008261D6">
            <w:pPr>
              <w:pStyle w:val="ListParagraph"/>
              <w:numPr>
                <w:ilvl w:val="0"/>
                <w:numId w:val="30"/>
              </w:numPr>
              <w:contextualSpacing w:val="0"/>
              <w:rPr>
                <w:rFonts w:asciiTheme="minorHAnsi" w:hAnsiTheme="minorHAnsi" w:cstheme="minorHAnsi"/>
                <w:sz w:val="22"/>
                <w:szCs w:val="22"/>
              </w:rPr>
            </w:pPr>
            <w:r w:rsidRPr="00514B21">
              <w:rPr>
                <w:rFonts w:asciiTheme="minorHAnsi" w:hAnsiTheme="minorHAnsi" w:cstheme="minorHAnsi"/>
                <w:sz w:val="22"/>
                <w:szCs w:val="22"/>
              </w:rPr>
              <w:lastRenderedPageBreak/>
              <w:t xml:space="preserve">HTA-style process might not be appropriate </w:t>
            </w:r>
            <w:r w:rsidR="00586698">
              <w:rPr>
                <w:rFonts w:asciiTheme="minorHAnsi" w:hAnsiTheme="minorHAnsi" w:cstheme="minorHAnsi"/>
                <w:sz w:val="22"/>
                <w:szCs w:val="22"/>
              </w:rPr>
              <w:t xml:space="preserve">for antimicrobials </w:t>
            </w:r>
            <w:r w:rsidRPr="00514B21">
              <w:rPr>
                <w:rFonts w:asciiTheme="minorHAnsi" w:hAnsiTheme="minorHAnsi" w:cstheme="minorHAnsi"/>
                <w:sz w:val="22"/>
                <w:szCs w:val="22"/>
              </w:rPr>
              <w:t xml:space="preserve">because the </w:t>
            </w:r>
            <w:r w:rsidR="002F62DF" w:rsidRPr="00514B21">
              <w:rPr>
                <w:rFonts w:asciiTheme="minorHAnsi" w:hAnsiTheme="minorHAnsi" w:cstheme="minorHAnsi"/>
                <w:sz w:val="22"/>
                <w:szCs w:val="22"/>
              </w:rPr>
              <w:t xml:space="preserve">evidence </w:t>
            </w:r>
            <w:r w:rsidRPr="00514B21">
              <w:rPr>
                <w:rFonts w:asciiTheme="minorHAnsi" w:hAnsiTheme="minorHAnsi" w:cstheme="minorHAnsi"/>
                <w:sz w:val="22"/>
                <w:szCs w:val="22"/>
              </w:rPr>
              <w:t xml:space="preserve">base is unlike traditional effectiveness evidence </w:t>
            </w:r>
            <w:r w:rsidR="002F62DF" w:rsidRPr="00514B21">
              <w:rPr>
                <w:rFonts w:asciiTheme="minorHAnsi" w:hAnsiTheme="minorHAnsi" w:cstheme="minorHAnsi"/>
                <w:sz w:val="22"/>
                <w:szCs w:val="22"/>
              </w:rPr>
              <w:t xml:space="preserve">for other interventions </w:t>
            </w:r>
            <w:r w:rsidRPr="00514B21">
              <w:rPr>
                <w:rFonts w:asciiTheme="minorHAnsi" w:hAnsiTheme="minorHAnsi" w:cstheme="minorHAnsi"/>
                <w:sz w:val="22"/>
                <w:szCs w:val="22"/>
              </w:rPr>
              <w:t>(</w:t>
            </w:r>
            <w:proofErr w:type="gramStart"/>
            <w:r w:rsidRPr="00514B21">
              <w:rPr>
                <w:rFonts w:asciiTheme="minorHAnsi" w:hAnsiTheme="minorHAnsi" w:cstheme="minorHAnsi"/>
                <w:sz w:val="22"/>
                <w:szCs w:val="22"/>
              </w:rPr>
              <w:t>e.g.</w:t>
            </w:r>
            <w:proofErr w:type="gramEnd"/>
            <w:r w:rsidRPr="00514B21">
              <w:rPr>
                <w:rFonts w:asciiTheme="minorHAnsi" w:hAnsiTheme="minorHAnsi" w:cstheme="minorHAnsi"/>
                <w:sz w:val="22"/>
                <w:szCs w:val="22"/>
              </w:rPr>
              <w:t xml:space="preserve"> clinical trials are all non-inferiority and treatment is likely to be pathogen-directed)</w:t>
            </w:r>
            <w:r w:rsidR="005D7355" w:rsidRPr="00514B21">
              <w:rPr>
                <w:rFonts w:asciiTheme="minorHAnsi" w:hAnsiTheme="minorHAnsi" w:cstheme="minorHAnsi"/>
                <w:sz w:val="22"/>
                <w:szCs w:val="22"/>
              </w:rPr>
              <w:t xml:space="preserve">, and there were several other sources of uncertainty </w:t>
            </w:r>
            <w:r w:rsidR="002F39C7">
              <w:rPr>
                <w:rFonts w:asciiTheme="minorHAnsi" w:hAnsiTheme="minorHAnsi" w:cstheme="minorHAnsi"/>
                <w:sz w:val="22"/>
                <w:szCs w:val="22"/>
              </w:rPr>
              <w:t xml:space="preserve">and uncaptured value </w:t>
            </w:r>
            <w:r w:rsidR="005D7355" w:rsidRPr="00514B21">
              <w:rPr>
                <w:rFonts w:asciiTheme="minorHAnsi" w:hAnsiTheme="minorHAnsi" w:cstheme="minorHAnsi"/>
                <w:sz w:val="22"/>
                <w:szCs w:val="22"/>
              </w:rPr>
              <w:t>in the economic model</w:t>
            </w:r>
            <w:r w:rsidRPr="00514B21">
              <w:rPr>
                <w:rFonts w:asciiTheme="minorHAnsi" w:hAnsiTheme="minorHAnsi" w:cstheme="minorHAnsi"/>
                <w:sz w:val="22"/>
                <w:szCs w:val="22"/>
              </w:rPr>
              <w:t xml:space="preserve">. </w:t>
            </w:r>
            <w:r w:rsidR="002F62DF" w:rsidRPr="00514B21">
              <w:rPr>
                <w:rFonts w:asciiTheme="minorHAnsi" w:hAnsiTheme="minorHAnsi" w:cstheme="minorHAnsi"/>
                <w:sz w:val="22"/>
                <w:szCs w:val="22"/>
              </w:rPr>
              <w:t xml:space="preserve">Instead of </w:t>
            </w:r>
            <w:r w:rsidRPr="00514B21">
              <w:rPr>
                <w:rFonts w:asciiTheme="minorHAnsi" w:hAnsiTheme="minorHAnsi" w:cstheme="minorHAnsi"/>
                <w:sz w:val="22"/>
                <w:szCs w:val="22"/>
              </w:rPr>
              <w:t xml:space="preserve">using health economic modelling and </w:t>
            </w:r>
            <w:r w:rsidR="00D23E66" w:rsidRPr="00514B21">
              <w:rPr>
                <w:rFonts w:asciiTheme="minorHAnsi" w:hAnsiTheme="minorHAnsi" w:cstheme="minorHAnsi"/>
                <w:sz w:val="22"/>
                <w:szCs w:val="22"/>
              </w:rPr>
              <w:t>QALY</w:t>
            </w:r>
            <w:r w:rsidRPr="00514B21">
              <w:rPr>
                <w:rFonts w:asciiTheme="minorHAnsi" w:hAnsiTheme="minorHAnsi" w:cstheme="minorHAnsi"/>
                <w:sz w:val="22"/>
                <w:szCs w:val="22"/>
              </w:rPr>
              <w:t xml:space="preserve"> estimates</w:t>
            </w:r>
            <w:r w:rsidR="00181354" w:rsidRPr="00514B21">
              <w:rPr>
                <w:rFonts w:asciiTheme="minorHAnsi" w:hAnsiTheme="minorHAnsi" w:cstheme="minorHAnsi"/>
                <w:sz w:val="22"/>
                <w:szCs w:val="22"/>
              </w:rPr>
              <w:t>,</w:t>
            </w:r>
            <w:r w:rsidR="00586698">
              <w:rPr>
                <w:rFonts w:asciiTheme="minorHAnsi" w:hAnsiTheme="minorHAnsi" w:cstheme="minorHAnsi"/>
                <w:sz w:val="22"/>
                <w:szCs w:val="22"/>
              </w:rPr>
              <w:t xml:space="preserve"> </w:t>
            </w:r>
            <w:r w:rsidRPr="00514B21">
              <w:rPr>
                <w:rFonts w:asciiTheme="minorHAnsi" w:hAnsiTheme="minorHAnsi" w:cstheme="minorHAnsi"/>
                <w:sz w:val="22"/>
                <w:szCs w:val="22"/>
              </w:rPr>
              <w:t>t</w:t>
            </w:r>
            <w:r w:rsidR="00D23E66" w:rsidRPr="00514B21">
              <w:rPr>
                <w:rFonts w:asciiTheme="minorHAnsi" w:hAnsiTheme="minorHAnsi" w:cstheme="minorHAnsi"/>
                <w:sz w:val="22"/>
                <w:szCs w:val="22"/>
              </w:rPr>
              <w:t>he contract value</w:t>
            </w:r>
            <w:r w:rsidRPr="00514B21">
              <w:rPr>
                <w:rFonts w:asciiTheme="minorHAnsi" w:hAnsiTheme="minorHAnsi" w:cstheme="minorHAnsi"/>
                <w:sz w:val="22"/>
                <w:szCs w:val="22"/>
              </w:rPr>
              <w:t xml:space="preserve"> could </w:t>
            </w:r>
            <w:r w:rsidR="00D23E66" w:rsidRPr="00514B21">
              <w:rPr>
                <w:rFonts w:asciiTheme="minorHAnsi" w:hAnsiTheme="minorHAnsi" w:cstheme="minorHAnsi"/>
                <w:sz w:val="22"/>
                <w:szCs w:val="22"/>
              </w:rPr>
              <w:t xml:space="preserve">instead be determined </w:t>
            </w:r>
            <w:r w:rsidRPr="00514B21">
              <w:rPr>
                <w:rFonts w:asciiTheme="minorHAnsi" w:hAnsiTheme="minorHAnsi" w:cstheme="minorHAnsi"/>
                <w:sz w:val="22"/>
                <w:szCs w:val="22"/>
              </w:rPr>
              <w:t xml:space="preserve">using a scoring system based on the eligibility and </w:t>
            </w:r>
            <w:r w:rsidR="00D23E66" w:rsidRPr="00514B21">
              <w:rPr>
                <w:rFonts w:asciiTheme="minorHAnsi" w:hAnsiTheme="minorHAnsi" w:cstheme="minorHAnsi"/>
                <w:sz w:val="22"/>
                <w:szCs w:val="22"/>
              </w:rPr>
              <w:t>selection criteria</w:t>
            </w:r>
            <w:r w:rsidRPr="00514B21">
              <w:rPr>
                <w:rFonts w:asciiTheme="minorHAnsi" w:hAnsiTheme="minorHAnsi" w:cstheme="minorHAnsi"/>
                <w:sz w:val="22"/>
                <w:szCs w:val="22"/>
              </w:rPr>
              <w:t xml:space="preserve"> used </w:t>
            </w:r>
            <w:r w:rsidR="005D7355" w:rsidRPr="00514B21">
              <w:rPr>
                <w:rFonts w:asciiTheme="minorHAnsi" w:hAnsiTheme="minorHAnsi" w:cstheme="minorHAnsi"/>
                <w:sz w:val="22"/>
                <w:szCs w:val="22"/>
              </w:rPr>
              <w:t xml:space="preserve">to select the two products </w:t>
            </w:r>
            <w:r w:rsidRPr="00514B21">
              <w:rPr>
                <w:rFonts w:asciiTheme="minorHAnsi" w:hAnsiTheme="minorHAnsi" w:cstheme="minorHAnsi"/>
                <w:sz w:val="22"/>
                <w:szCs w:val="22"/>
              </w:rPr>
              <w:t>for the pilot</w:t>
            </w:r>
            <w:r w:rsidR="004A4B4A" w:rsidRPr="00514B21">
              <w:rPr>
                <w:rFonts w:asciiTheme="minorHAnsi" w:hAnsiTheme="minorHAnsi" w:cstheme="minorHAnsi"/>
                <w:sz w:val="22"/>
                <w:szCs w:val="22"/>
              </w:rPr>
              <w:t xml:space="preserve">. </w:t>
            </w:r>
            <w:r w:rsidR="004A4B4A" w:rsidRPr="00514B21">
              <w:rPr>
                <w:rFonts w:asciiTheme="minorHAnsi" w:hAnsiTheme="minorHAnsi" w:cstheme="minorHAnsi"/>
                <w:i/>
                <w:iCs/>
                <w:sz w:val="22"/>
                <w:szCs w:val="22"/>
              </w:rPr>
              <w:t xml:space="preserve">[Industry </w:t>
            </w:r>
            <w:r w:rsidR="007912BC">
              <w:rPr>
                <w:rFonts w:asciiTheme="minorHAnsi" w:hAnsiTheme="minorHAnsi" w:cstheme="minorHAnsi"/>
                <w:i/>
                <w:iCs/>
                <w:sz w:val="22"/>
                <w:szCs w:val="22"/>
              </w:rPr>
              <w:t>and</w:t>
            </w:r>
            <w:r w:rsidR="005D7355" w:rsidRPr="00514B21">
              <w:rPr>
                <w:rFonts w:asciiTheme="minorHAnsi" w:hAnsiTheme="minorHAnsi" w:cstheme="minorHAnsi"/>
                <w:i/>
                <w:iCs/>
                <w:sz w:val="22"/>
                <w:szCs w:val="22"/>
              </w:rPr>
              <w:t xml:space="preserve"> KOL</w:t>
            </w:r>
            <w:r w:rsidR="004A4B4A" w:rsidRPr="00514B21">
              <w:rPr>
                <w:rFonts w:asciiTheme="minorHAnsi" w:hAnsiTheme="minorHAnsi" w:cstheme="minorHAnsi"/>
                <w:i/>
                <w:iCs/>
                <w:sz w:val="22"/>
                <w:szCs w:val="22"/>
              </w:rPr>
              <w:t>]</w:t>
            </w:r>
          </w:p>
          <w:p w14:paraId="281A6C92" w14:textId="0A80CF93" w:rsidR="00FC1F9D" w:rsidRPr="00514B21" w:rsidRDefault="00FC1F9D" w:rsidP="00FC1F9D">
            <w:pPr>
              <w:pStyle w:val="ListParagraph"/>
              <w:numPr>
                <w:ilvl w:val="0"/>
                <w:numId w:val="30"/>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EEPRU </w:t>
            </w:r>
            <w:r>
              <w:rPr>
                <w:rFonts w:asciiTheme="minorHAnsi" w:hAnsiTheme="minorHAnsi" w:cstheme="minorHAnsi"/>
                <w:sz w:val="22"/>
                <w:szCs w:val="22"/>
              </w:rPr>
              <w:t>was unable to</w:t>
            </w:r>
            <w:r w:rsidRPr="00514B21">
              <w:rPr>
                <w:rFonts w:asciiTheme="minorHAnsi" w:hAnsiTheme="minorHAnsi" w:cstheme="minorHAnsi"/>
                <w:sz w:val="22"/>
                <w:szCs w:val="22"/>
              </w:rPr>
              <w:t xml:space="preserve"> fully model the STEDI values. It’s particularly important to capture enablement and insurance value</w:t>
            </w:r>
            <w:r>
              <w:rPr>
                <w:rFonts w:asciiTheme="minorHAnsi" w:hAnsiTheme="minorHAnsi" w:cstheme="minorHAnsi"/>
                <w:sz w:val="22"/>
                <w:szCs w:val="22"/>
              </w:rPr>
              <w:t>.</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[KOL, Committee member</w:t>
            </w:r>
            <w:r w:rsidR="007912BC">
              <w:rPr>
                <w:rFonts w:asciiTheme="minorHAnsi" w:hAnsiTheme="minorHAnsi" w:cstheme="minorHAnsi"/>
                <w:i/>
                <w:iCs/>
                <w:sz w:val="22"/>
                <w:szCs w:val="22"/>
              </w:rPr>
              <w:t>,</w:t>
            </w:r>
            <w:r w:rsidRPr="00514B21">
              <w:rPr>
                <w:rFonts w:asciiTheme="minorHAnsi" w:hAnsiTheme="minorHAnsi" w:cstheme="minorHAnsi"/>
                <w:i/>
                <w:iCs/>
                <w:sz w:val="22"/>
                <w:szCs w:val="22"/>
              </w:rPr>
              <w:t xml:space="preserve"> Patient expert</w:t>
            </w:r>
            <w:r w:rsidR="007912BC">
              <w:rPr>
                <w:rFonts w:asciiTheme="minorHAnsi" w:hAnsiTheme="minorHAnsi" w:cstheme="minorHAnsi"/>
                <w:i/>
                <w:iCs/>
                <w:sz w:val="22"/>
                <w:szCs w:val="22"/>
              </w:rPr>
              <w:t xml:space="preserve"> and</w:t>
            </w:r>
            <w:r w:rsidRPr="00514B21">
              <w:rPr>
                <w:rFonts w:asciiTheme="minorHAnsi" w:hAnsiTheme="minorHAnsi" w:cstheme="minorHAnsi"/>
                <w:i/>
                <w:iCs/>
                <w:sz w:val="22"/>
                <w:szCs w:val="22"/>
              </w:rPr>
              <w:t xml:space="preserve"> Industry]</w:t>
            </w:r>
          </w:p>
          <w:p w14:paraId="37A936D9" w14:textId="44140DC1" w:rsidR="002F39C7" w:rsidRPr="00514B21" w:rsidRDefault="002F39C7" w:rsidP="002F39C7">
            <w:pPr>
              <w:pStyle w:val="ListParagraph"/>
              <w:numPr>
                <w:ilvl w:val="0"/>
                <w:numId w:val="30"/>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EEPRU’s </w:t>
            </w:r>
            <w:r w:rsidR="00FC1F9D">
              <w:rPr>
                <w:rFonts w:asciiTheme="minorHAnsi" w:hAnsiTheme="minorHAnsi" w:cstheme="minorHAnsi"/>
                <w:sz w:val="22"/>
                <w:szCs w:val="22"/>
              </w:rPr>
              <w:t>p</w:t>
            </w:r>
            <w:r>
              <w:rPr>
                <w:rFonts w:asciiTheme="minorHAnsi" w:hAnsiTheme="minorHAnsi" w:cstheme="minorHAnsi"/>
                <w:sz w:val="22"/>
                <w:szCs w:val="22"/>
              </w:rPr>
              <w:t>opulation-level QALY estimates</w:t>
            </w:r>
            <w:r w:rsidRPr="00514B21">
              <w:rPr>
                <w:rFonts w:asciiTheme="minorHAnsi" w:hAnsiTheme="minorHAnsi" w:cstheme="minorHAnsi"/>
                <w:sz w:val="22"/>
                <w:szCs w:val="22"/>
              </w:rPr>
              <w:t xml:space="preserve"> </w:t>
            </w:r>
            <w:r w:rsidR="00FC1F9D">
              <w:rPr>
                <w:rFonts w:asciiTheme="minorHAnsi" w:hAnsiTheme="minorHAnsi" w:cstheme="minorHAnsi"/>
                <w:sz w:val="22"/>
                <w:szCs w:val="22"/>
              </w:rPr>
              <w:t>were</w:t>
            </w:r>
            <w:r>
              <w:rPr>
                <w:rFonts w:asciiTheme="minorHAnsi" w:hAnsiTheme="minorHAnsi" w:cstheme="minorHAnsi"/>
                <w:sz w:val="22"/>
                <w:szCs w:val="22"/>
              </w:rPr>
              <w:t xml:space="preserve"> </w:t>
            </w:r>
            <w:r w:rsidRPr="00514B21">
              <w:rPr>
                <w:rFonts w:asciiTheme="minorHAnsi" w:hAnsiTheme="minorHAnsi" w:cstheme="minorHAnsi"/>
                <w:sz w:val="22"/>
                <w:szCs w:val="22"/>
              </w:rPr>
              <w:t>sensitive to population size, where value increased with increased usage, which contradicts theory of insurance value and undermines good stewardship</w:t>
            </w:r>
            <w:r>
              <w:rPr>
                <w:rFonts w:asciiTheme="minorHAnsi" w:hAnsiTheme="minorHAnsi" w:cstheme="minorHAnsi"/>
                <w:sz w:val="22"/>
                <w:szCs w:val="22"/>
              </w:rPr>
              <w:t xml:space="preserve">; another reason that traditional </w:t>
            </w:r>
            <w:r w:rsidRPr="00514B21">
              <w:rPr>
                <w:rFonts w:asciiTheme="minorHAnsi" w:hAnsiTheme="minorHAnsi" w:cstheme="minorHAnsi"/>
                <w:sz w:val="22"/>
                <w:szCs w:val="22"/>
              </w:rPr>
              <w:t xml:space="preserve">HTA-style process might not be appropriate </w:t>
            </w:r>
            <w:r>
              <w:rPr>
                <w:rFonts w:asciiTheme="minorHAnsi" w:hAnsiTheme="minorHAnsi" w:cstheme="minorHAnsi"/>
                <w:sz w:val="22"/>
                <w:szCs w:val="22"/>
              </w:rPr>
              <w:t>for antimicrobials.</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[Committee member]</w:t>
            </w:r>
          </w:p>
          <w:p w14:paraId="76395873" w14:textId="6A0403E3" w:rsidR="00D53781" w:rsidRPr="00514B21" w:rsidRDefault="00D53781" w:rsidP="00D53781">
            <w:pPr>
              <w:pStyle w:val="ListParagraph"/>
              <w:numPr>
                <w:ilvl w:val="0"/>
                <w:numId w:val="30"/>
              </w:numPr>
              <w:contextualSpacing w:val="0"/>
              <w:rPr>
                <w:rFonts w:asciiTheme="minorHAnsi" w:hAnsiTheme="minorHAnsi" w:cstheme="minorHAnsi"/>
                <w:sz w:val="22"/>
                <w:szCs w:val="22"/>
              </w:rPr>
            </w:pPr>
            <w:r w:rsidRPr="00514B21">
              <w:rPr>
                <w:rFonts w:asciiTheme="minorHAnsi" w:hAnsiTheme="minorHAnsi" w:cstheme="minorHAnsi"/>
                <w:sz w:val="22"/>
                <w:szCs w:val="22"/>
              </w:rPr>
              <w:t>Forecasting trends in resistance will likely remain difficult even as more and better data become available. Population size can be more accurately measured using improved surveillance data</w:t>
            </w:r>
            <w:r>
              <w:rPr>
                <w:rFonts w:asciiTheme="minorHAnsi" w:hAnsiTheme="minorHAnsi" w:cstheme="minorHAnsi"/>
                <w:sz w:val="22"/>
                <w:szCs w:val="22"/>
              </w:rPr>
              <w:t>.</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[Industry]</w:t>
            </w:r>
          </w:p>
          <w:p w14:paraId="398C6F50" w14:textId="44A5F855" w:rsidR="001C1C5C" w:rsidRPr="00586698" w:rsidRDefault="00F51B4D" w:rsidP="008261D6">
            <w:pPr>
              <w:pStyle w:val="ListParagraph"/>
              <w:numPr>
                <w:ilvl w:val="0"/>
                <w:numId w:val="30"/>
              </w:numPr>
              <w:contextualSpacing w:val="0"/>
              <w:rPr>
                <w:rFonts w:asciiTheme="minorHAnsi" w:hAnsiTheme="minorHAnsi" w:cstheme="minorHAnsi"/>
                <w:sz w:val="22"/>
                <w:szCs w:val="22"/>
              </w:rPr>
            </w:pPr>
            <w:r w:rsidRPr="00514B21">
              <w:rPr>
                <w:rFonts w:asciiTheme="minorHAnsi" w:hAnsiTheme="minorHAnsi" w:cstheme="minorHAnsi"/>
                <w:sz w:val="22"/>
                <w:szCs w:val="22"/>
              </w:rPr>
              <w:lastRenderedPageBreak/>
              <w:t xml:space="preserve">A wider range of </w:t>
            </w:r>
            <w:r w:rsidR="001C1C5C" w:rsidRPr="00514B21">
              <w:rPr>
                <w:rFonts w:asciiTheme="minorHAnsi" w:hAnsiTheme="minorHAnsi" w:cstheme="minorHAnsi"/>
                <w:sz w:val="22"/>
                <w:szCs w:val="22"/>
              </w:rPr>
              <w:t xml:space="preserve">adverse events </w:t>
            </w:r>
            <w:r w:rsidRPr="00514B21">
              <w:rPr>
                <w:rFonts w:asciiTheme="minorHAnsi" w:hAnsiTheme="minorHAnsi" w:cstheme="minorHAnsi"/>
                <w:sz w:val="22"/>
                <w:szCs w:val="22"/>
              </w:rPr>
              <w:t xml:space="preserve">(in addition to acute kidney injury) should be </w:t>
            </w:r>
            <w:r w:rsidR="001C1C5C" w:rsidRPr="00514B21">
              <w:rPr>
                <w:rFonts w:asciiTheme="minorHAnsi" w:hAnsiTheme="minorHAnsi" w:cstheme="minorHAnsi"/>
                <w:sz w:val="22"/>
                <w:szCs w:val="22"/>
              </w:rPr>
              <w:t>accounted for (</w:t>
            </w:r>
            <w:proofErr w:type="gramStart"/>
            <w:r w:rsidR="001C1C5C" w:rsidRPr="00514B21">
              <w:rPr>
                <w:rFonts w:asciiTheme="minorHAnsi" w:hAnsiTheme="minorHAnsi" w:cstheme="minorHAnsi"/>
                <w:sz w:val="22"/>
                <w:szCs w:val="22"/>
              </w:rPr>
              <w:t>e</w:t>
            </w:r>
            <w:r w:rsidR="00586698">
              <w:rPr>
                <w:rFonts w:asciiTheme="minorHAnsi" w:hAnsiTheme="minorHAnsi" w:cstheme="minorHAnsi"/>
                <w:sz w:val="22"/>
                <w:szCs w:val="22"/>
              </w:rPr>
              <w:t>.</w:t>
            </w:r>
            <w:r w:rsidR="001C1C5C" w:rsidRPr="00514B21">
              <w:rPr>
                <w:rFonts w:asciiTheme="minorHAnsi" w:hAnsiTheme="minorHAnsi" w:cstheme="minorHAnsi"/>
                <w:sz w:val="22"/>
                <w:szCs w:val="22"/>
              </w:rPr>
              <w:t>g</w:t>
            </w:r>
            <w:r w:rsidR="00586698">
              <w:rPr>
                <w:rFonts w:asciiTheme="minorHAnsi" w:hAnsiTheme="minorHAnsi" w:cstheme="minorHAnsi"/>
                <w:sz w:val="22"/>
                <w:szCs w:val="22"/>
              </w:rPr>
              <w:t>.</w:t>
            </w:r>
            <w:proofErr w:type="gramEnd"/>
            <w:r w:rsidR="001C1C5C" w:rsidRPr="00514B21">
              <w:rPr>
                <w:rFonts w:asciiTheme="minorHAnsi" w:hAnsiTheme="minorHAnsi" w:cstheme="minorHAnsi"/>
                <w:sz w:val="22"/>
                <w:szCs w:val="22"/>
              </w:rPr>
              <w:t xml:space="preserve"> ototoxicity) </w:t>
            </w:r>
            <w:r w:rsidR="001C1C5C" w:rsidRPr="00514B21">
              <w:rPr>
                <w:rFonts w:asciiTheme="minorHAnsi" w:hAnsiTheme="minorHAnsi" w:cstheme="minorHAnsi"/>
                <w:i/>
                <w:iCs/>
                <w:sz w:val="22"/>
                <w:szCs w:val="22"/>
              </w:rPr>
              <w:t>[Committee member]</w:t>
            </w:r>
          </w:p>
          <w:p w14:paraId="2F3D0E2C" w14:textId="182E6725" w:rsidR="00586698" w:rsidRPr="00514B21" w:rsidRDefault="00586698" w:rsidP="00586698">
            <w:pPr>
              <w:pStyle w:val="ListParagraph"/>
              <w:numPr>
                <w:ilvl w:val="0"/>
                <w:numId w:val="30"/>
              </w:numPr>
              <w:contextualSpacing w:val="0"/>
              <w:rPr>
                <w:rFonts w:asciiTheme="minorHAnsi" w:hAnsiTheme="minorHAnsi" w:cstheme="minorHAnsi"/>
                <w:sz w:val="22"/>
                <w:szCs w:val="22"/>
              </w:rPr>
            </w:pPr>
            <w:r>
              <w:rPr>
                <w:rFonts w:asciiTheme="minorHAnsi" w:hAnsiTheme="minorHAnsi" w:cstheme="minorHAnsi"/>
                <w:sz w:val="22"/>
                <w:szCs w:val="22"/>
              </w:rPr>
              <w:t xml:space="preserve">Future approach must mitigate the </w:t>
            </w:r>
            <w:r w:rsidRPr="00514B21">
              <w:rPr>
                <w:rFonts w:asciiTheme="minorHAnsi" w:hAnsiTheme="minorHAnsi" w:cstheme="minorHAnsi"/>
                <w:sz w:val="22"/>
                <w:szCs w:val="22"/>
              </w:rPr>
              <w:t xml:space="preserve">risk of double counting safety and other aspects of value when estimating STEDI values. </w:t>
            </w:r>
            <w:r w:rsidRPr="00514B21">
              <w:rPr>
                <w:rFonts w:asciiTheme="minorHAnsi" w:hAnsiTheme="minorHAnsi" w:cstheme="minorHAnsi"/>
                <w:i/>
                <w:iCs/>
                <w:sz w:val="22"/>
                <w:szCs w:val="22"/>
              </w:rPr>
              <w:t>[Committee member]</w:t>
            </w:r>
          </w:p>
          <w:p w14:paraId="7BC54031" w14:textId="641998D8" w:rsidR="008727EA" w:rsidRPr="00514B21" w:rsidRDefault="00BF051F" w:rsidP="008261D6">
            <w:pPr>
              <w:pStyle w:val="ListParagraph"/>
              <w:numPr>
                <w:ilvl w:val="0"/>
                <w:numId w:val="30"/>
              </w:numPr>
              <w:contextualSpacing w:val="0"/>
              <w:rPr>
                <w:rFonts w:asciiTheme="minorHAnsi" w:hAnsiTheme="minorHAnsi" w:cstheme="minorHAnsi"/>
                <w:sz w:val="22"/>
                <w:szCs w:val="22"/>
              </w:rPr>
            </w:pPr>
            <w:r>
              <w:rPr>
                <w:rFonts w:asciiTheme="minorHAnsi" w:hAnsiTheme="minorHAnsi" w:cstheme="minorHAnsi"/>
                <w:sz w:val="22"/>
                <w:szCs w:val="22"/>
              </w:rPr>
              <w:t>Estimating the value of the o</w:t>
            </w:r>
            <w:r w:rsidR="008727EA" w:rsidRPr="00514B21">
              <w:rPr>
                <w:rFonts w:asciiTheme="minorHAnsi" w:hAnsiTheme="minorHAnsi" w:cstheme="minorHAnsi"/>
                <w:sz w:val="22"/>
                <w:szCs w:val="22"/>
              </w:rPr>
              <w:t xml:space="preserve">ptimal stewardship </w:t>
            </w:r>
            <w:r>
              <w:rPr>
                <w:rFonts w:asciiTheme="minorHAnsi" w:hAnsiTheme="minorHAnsi" w:cstheme="minorHAnsi"/>
                <w:sz w:val="22"/>
                <w:szCs w:val="22"/>
              </w:rPr>
              <w:t xml:space="preserve">scenario </w:t>
            </w:r>
            <w:r w:rsidR="008727EA" w:rsidRPr="00514B21">
              <w:rPr>
                <w:rFonts w:asciiTheme="minorHAnsi" w:hAnsiTheme="minorHAnsi" w:cstheme="minorHAnsi"/>
                <w:sz w:val="22"/>
                <w:szCs w:val="22"/>
              </w:rPr>
              <w:t xml:space="preserve">requires most accurate estimate of who </w:t>
            </w:r>
            <w:r w:rsidR="008727EA" w:rsidRPr="00514B21">
              <w:rPr>
                <w:rFonts w:asciiTheme="minorHAnsi" w:hAnsiTheme="minorHAnsi" w:cstheme="minorHAnsi"/>
                <w:i/>
                <w:iCs/>
                <w:sz w:val="22"/>
                <w:szCs w:val="22"/>
              </w:rPr>
              <w:t>should</w:t>
            </w:r>
            <w:r w:rsidR="008727EA" w:rsidRPr="00514B21">
              <w:rPr>
                <w:rFonts w:asciiTheme="minorHAnsi" w:hAnsiTheme="minorHAnsi" w:cstheme="minorHAnsi"/>
                <w:sz w:val="22"/>
                <w:szCs w:val="22"/>
              </w:rPr>
              <w:t xml:space="preserve"> be receiving drug in practice</w:t>
            </w:r>
            <w:r w:rsidR="00B57058" w:rsidRPr="00514B21">
              <w:rPr>
                <w:rFonts w:asciiTheme="minorHAnsi" w:hAnsiTheme="minorHAnsi" w:cstheme="minorHAnsi"/>
                <w:sz w:val="22"/>
                <w:szCs w:val="22"/>
              </w:rPr>
              <w:t xml:space="preserve">, but there </w:t>
            </w:r>
            <w:r>
              <w:rPr>
                <w:rFonts w:asciiTheme="minorHAnsi" w:hAnsiTheme="minorHAnsi" w:cstheme="minorHAnsi"/>
                <w:sz w:val="22"/>
                <w:szCs w:val="22"/>
              </w:rPr>
              <w:t>are</w:t>
            </w:r>
            <w:r w:rsidRPr="00514B21">
              <w:rPr>
                <w:rFonts w:asciiTheme="minorHAnsi" w:hAnsiTheme="minorHAnsi" w:cstheme="minorHAnsi"/>
                <w:sz w:val="22"/>
                <w:szCs w:val="22"/>
              </w:rPr>
              <w:t xml:space="preserve"> </w:t>
            </w:r>
            <w:r w:rsidR="00B57058" w:rsidRPr="00514B21">
              <w:rPr>
                <w:rFonts w:asciiTheme="minorHAnsi" w:hAnsiTheme="minorHAnsi" w:cstheme="minorHAnsi"/>
                <w:sz w:val="22"/>
                <w:szCs w:val="22"/>
              </w:rPr>
              <w:t>no data on this</w:t>
            </w:r>
            <w:r w:rsidR="00FD2986">
              <w:rPr>
                <w:rFonts w:asciiTheme="minorHAnsi" w:hAnsiTheme="minorHAnsi" w:cstheme="minorHAnsi"/>
                <w:sz w:val="22"/>
                <w:szCs w:val="22"/>
              </w:rPr>
              <w:t>.</w:t>
            </w:r>
            <w:r w:rsidR="00B57058" w:rsidRPr="00514B21">
              <w:rPr>
                <w:rFonts w:asciiTheme="minorHAnsi" w:hAnsiTheme="minorHAnsi" w:cstheme="minorHAnsi"/>
                <w:sz w:val="22"/>
                <w:szCs w:val="22"/>
              </w:rPr>
              <w:t xml:space="preserve"> </w:t>
            </w:r>
            <w:r w:rsidR="008727EA" w:rsidRPr="00514B21">
              <w:rPr>
                <w:rFonts w:asciiTheme="minorHAnsi" w:hAnsiTheme="minorHAnsi" w:cstheme="minorHAnsi"/>
                <w:i/>
                <w:iCs/>
                <w:sz w:val="22"/>
                <w:szCs w:val="22"/>
              </w:rPr>
              <w:t>[Academia]</w:t>
            </w:r>
          </w:p>
          <w:p w14:paraId="6C000C4E" w14:textId="320B1C23" w:rsidR="008C71E2" w:rsidRPr="00514B21" w:rsidRDefault="0048204F" w:rsidP="008261D6">
            <w:pPr>
              <w:pStyle w:val="ListParagraph"/>
              <w:numPr>
                <w:ilvl w:val="0"/>
                <w:numId w:val="30"/>
              </w:numPr>
              <w:contextualSpacing w:val="0"/>
              <w:rPr>
                <w:rFonts w:asciiTheme="minorHAnsi" w:hAnsiTheme="minorHAnsi" w:cstheme="minorHAnsi"/>
                <w:sz w:val="22"/>
                <w:szCs w:val="22"/>
              </w:rPr>
            </w:pPr>
            <w:r>
              <w:rPr>
                <w:rFonts w:asciiTheme="minorHAnsi" w:hAnsiTheme="minorHAnsi" w:cstheme="minorHAnsi"/>
                <w:sz w:val="22"/>
                <w:szCs w:val="22"/>
              </w:rPr>
              <w:t xml:space="preserve">Paying a minimum of </w:t>
            </w:r>
            <w:r w:rsidR="008C71E2" w:rsidRPr="00514B21">
              <w:rPr>
                <w:rFonts w:asciiTheme="minorHAnsi" w:hAnsiTheme="minorHAnsi" w:cstheme="minorHAnsi"/>
                <w:sz w:val="22"/>
                <w:szCs w:val="22"/>
              </w:rPr>
              <w:t>60%</w:t>
            </w:r>
            <w:r w:rsidR="008727EA" w:rsidRPr="00514B21">
              <w:rPr>
                <w:rFonts w:asciiTheme="minorHAnsi" w:hAnsiTheme="minorHAnsi" w:cstheme="minorHAnsi"/>
                <w:sz w:val="22"/>
                <w:szCs w:val="22"/>
              </w:rPr>
              <w:t xml:space="preserve"> of overall</w:t>
            </w:r>
            <w:r w:rsidR="008C71E2" w:rsidRPr="00514B21">
              <w:rPr>
                <w:rFonts w:asciiTheme="minorHAnsi" w:hAnsiTheme="minorHAnsi" w:cstheme="minorHAnsi"/>
                <w:sz w:val="22"/>
                <w:szCs w:val="22"/>
              </w:rPr>
              <w:t xml:space="preserve"> value </w:t>
            </w:r>
            <w:r w:rsidR="008727EA" w:rsidRPr="00514B21">
              <w:rPr>
                <w:rFonts w:asciiTheme="minorHAnsi" w:hAnsiTheme="minorHAnsi" w:cstheme="minorHAnsi"/>
                <w:sz w:val="22"/>
                <w:szCs w:val="22"/>
              </w:rPr>
              <w:t>to</w:t>
            </w:r>
            <w:r w:rsidR="008C71E2" w:rsidRPr="00514B21">
              <w:rPr>
                <w:rFonts w:asciiTheme="minorHAnsi" w:hAnsiTheme="minorHAnsi" w:cstheme="minorHAnsi"/>
                <w:sz w:val="22"/>
                <w:szCs w:val="22"/>
              </w:rPr>
              <w:t xml:space="preserve"> </w:t>
            </w:r>
            <w:r w:rsidR="0075103A">
              <w:rPr>
                <w:rFonts w:asciiTheme="minorHAnsi" w:hAnsiTheme="minorHAnsi" w:cstheme="minorHAnsi"/>
                <w:sz w:val="22"/>
                <w:szCs w:val="22"/>
              </w:rPr>
              <w:t>company</w:t>
            </w:r>
            <w:r w:rsidR="0075103A" w:rsidRPr="00514B21">
              <w:rPr>
                <w:rFonts w:asciiTheme="minorHAnsi" w:hAnsiTheme="minorHAnsi" w:cstheme="minorHAnsi"/>
                <w:sz w:val="22"/>
                <w:szCs w:val="22"/>
              </w:rPr>
              <w:t xml:space="preserve"> </w:t>
            </w:r>
            <w:r>
              <w:rPr>
                <w:rFonts w:asciiTheme="minorHAnsi" w:hAnsiTheme="minorHAnsi" w:cstheme="minorHAnsi"/>
                <w:sz w:val="22"/>
                <w:szCs w:val="22"/>
              </w:rPr>
              <w:t>during</w:t>
            </w:r>
            <w:r w:rsidRPr="00514B21">
              <w:rPr>
                <w:rFonts w:asciiTheme="minorHAnsi" w:hAnsiTheme="minorHAnsi" w:cstheme="minorHAnsi"/>
                <w:sz w:val="22"/>
                <w:szCs w:val="22"/>
              </w:rPr>
              <w:t xml:space="preserve"> </w:t>
            </w:r>
            <w:r w:rsidR="008727EA" w:rsidRPr="00514B21">
              <w:rPr>
                <w:rFonts w:asciiTheme="minorHAnsi" w:hAnsiTheme="minorHAnsi" w:cstheme="minorHAnsi"/>
                <w:sz w:val="22"/>
                <w:szCs w:val="22"/>
              </w:rPr>
              <w:t>contract</w:t>
            </w:r>
            <w:r w:rsidR="008C71E2" w:rsidRPr="00514B21">
              <w:rPr>
                <w:rFonts w:asciiTheme="minorHAnsi" w:hAnsiTheme="minorHAnsi" w:cstheme="minorHAnsi"/>
                <w:sz w:val="22"/>
                <w:szCs w:val="22"/>
              </w:rPr>
              <w:t xml:space="preserve"> is </w:t>
            </w:r>
            <w:r>
              <w:rPr>
                <w:rFonts w:asciiTheme="minorHAnsi" w:hAnsiTheme="minorHAnsi" w:cstheme="minorHAnsi"/>
                <w:sz w:val="22"/>
                <w:szCs w:val="22"/>
              </w:rPr>
              <w:t>an underestimate</w:t>
            </w:r>
            <w:r w:rsidR="008C71E2" w:rsidRPr="00514B21">
              <w:rPr>
                <w:rFonts w:asciiTheme="minorHAnsi" w:hAnsiTheme="minorHAnsi" w:cstheme="minorHAnsi"/>
                <w:sz w:val="22"/>
                <w:szCs w:val="22"/>
              </w:rPr>
              <w:t>. It is more likely 70-80%</w:t>
            </w:r>
            <w:r>
              <w:rPr>
                <w:rFonts w:asciiTheme="minorHAnsi" w:hAnsiTheme="minorHAnsi" w:cstheme="minorHAnsi"/>
                <w:sz w:val="22"/>
                <w:szCs w:val="22"/>
              </w:rPr>
              <w:t xml:space="preserve"> for non-antimicrobial products</w:t>
            </w:r>
            <w:r w:rsidR="00FD2986">
              <w:rPr>
                <w:rFonts w:asciiTheme="minorHAnsi" w:hAnsiTheme="minorHAnsi" w:cstheme="minorHAnsi"/>
                <w:sz w:val="22"/>
                <w:szCs w:val="22"/>
              </w:rPr>
              <w:t>.</w:t>
            </w:r>
            <w:r w:rsidR="008C71E2" w:rsidRPr="00514B21">
              <w:rPr>
                <w:rFonts w:asciiTheme="minorHAnsi" w:hAnsiTheme="minorHAnsi" w:cstheme="minorHAnsi"/>
                <w:i/>
                <w:iCs/>
                <w:sz w:val="22"/>
                <w:szCs w:val="22"/>
              </w:rPr>
              <w:t xml:space="preserve"> [Industry</w:t>
            </w:r>
            <w:r w:rsidR="008727EA" w:rsidRPr="00514B21">
              <w:rPr>
                <w:rFonts w:asciiTheme="minorHAnsi" w:hAnsiTheme="minorHAnsi" w:cstheme="minorHAnsi"/>
                <w:i/>
                <w:iCs/>
                <w:sz w:val="22"/>
                <w:szCs w:val="22"/>
              </w:rPr>
              <w:t>]</w:t>
            </w:r>
          </w:p>
        </w:tc>
        <w:tc>
          <w:tcPr>
            <w:tcW w:w="2062" w:type="dxa"/>
          </w:tcPr>
          <w:p w14:paraId="5F38C528" w14:textId="00DF9E9A" w:rsidR="004C1E34" w:rsidRDefault="00445227" w:rsidP="004C1E34">
            <w:pPr>
              <w:rPr>
                <w:rFonts w:asciiTheme="minorHAnsi" w:hAnsiTheme="minorHAnsi" w:cstheme="minorHAnsi"/>
                <w:sz w:val="22"/>
                <w:szCs w:val="22"/>
              </w:rPr>
            </w:pPr>
            <w:r>
              <w:rPr>
                <w:rFonts w:asciiTheme="minorHAnsi" w:hAnsiTheme="minorHAnsi" w:cstheme="minorHAnsi"/>
                <w:sz w:val="22"/>
                <w:szCs w:val="22"/>
              </w:rPr>
              <w:lastRenderedPageBreak/>
              <w:t xml:space="preserve">Using </w:t>
            </w:r>
            <w:r w:rsidR="004A4B4A" w:rsidRPr="00514B21">
              <w:rPr>
                <w:rFonts w:asciiTheme="minorHAnsi" w:hAnsiTheme="minorHAnsi" w:cstheme="minorHAnsi"/>
                <w:sz w:val="22"/>
                <w:szCs w:val="22"/>
              </w:rPr>
              <w:t xml:space="preserve">qualitative </w:t>
            </w:r>
            <w:r>
              <w:rPr>
                <w:rFonts w:asciiTheme="minorHAnsi" w:hAnsiTheme="minorHAnsi" w:cstheme="minorHAnsi"/>
                <w:sz w:val="22"/>
                <w:szCs w:val="22"/>
              </w:rPr>
              <w:t xml:space="preserve">criteria and a points-based scoring system </w:t>
            </w:r>
            <w:r w:rsidR="00D53781">
              <w:rPr>
                <w:rFonts w:asciiTheme="minorHAnsi" w:hAnsiTheme="minorHAnsi" w:cstheme="minorHAnsi"/>
                <w:sz w:val="22"/>
                <w:szCs w:val="22"/>
              </w:rPr>
              <w:t xml:space="preserve">might be more appropriate </w:t>
            </w:r>
            <w:r>
              <w:rPr>
                <w:rFonts w:asciiTheme="minorHAnsi" w:hAnsiTheme="minorHAnsi" w:cstheme="minorHAnsi"/>
                <w:sz w:val="22"/>
                <w:szCs w:val="22"/>
              </w:rPr>
              <w:t>than QALY estimation</w:t>
            </w:r>
            <w:r w:rsidR="00F4720B">
              <w:rPr>
                <w:rFonts w:asciiTheme="minorHAnsi" w:hAnsiTheme="minorHAnsi" w:cstheme="minorHAnsi"/>
                <w:sz w:val="22"/>
                <w:szCs w:val="22"/>
              </w:rPr>
              <w:t xml:space="preserve"> </w:t>
            </w:r>
            <w:r w:rsidR="004B3300">
              <w:rPr>
                <w:rFonts w:asciiTheme="minorHAnsi" w:hAnsiTheme="minorHAnsi" w:cstheme="minorHAnsi"/>
                <w:sz w:val="22"/>
                <w:szCs w:val="22"/>
              </w:rPr>
              <w:t xml:space="preserve">and </w:t>
            </w:r>
            <w:r w:rsidR="004A4B4A" w:rsidRPr="00514B21">
              <w:rPr>
                <w:rFonts w:asciiTheme="minorHAnsi" w:hAnsiTheme="minorHAnsi" w:cstheme="minorHAnsi"/>
                <w:sz w:val="22"/>
                <w:szCs w:val="22"/>
              </w:rPr>
              <w:t xml:space="preserve">would be significantly less </w:t>
            </w:r>
            <w:r w:rsidR="00D53781">
              <w:rPr>
                <w:rFonts w:asciiTheme="minorHAnsi" w:hAnsiTheme="minorHAnsi" w:cstheme="minorHAnsi"/>
                <w:sz w:val="22"/>
                <w:szCs w:val="22"/>
              </w:rPr>
              <w:t>resource</w:t>
            </w:r>
            <w:r w:rsidR="00B6400F">
              <w:rPr>
                <w:rFonts w:asciiTheme="minorHAnsi" w:hAnsiTheme="minorHAnsi" w:cstheme="minorHAnsi"/>
                <w:sz w:val="22"/>
                <w:szCs w:val="22"/>
              </w:rPr>
              <w:t xml:space="preserve"> </w:t>
            </w:r>
            <w:r w:rsidR="00D53781">
              <w:rPr>
                <w:rFonts w:asciiTheme="minorHAnsi" w:hAnsiTheme="minorHAnsi" w:cstheme="minorHAnsi"/>
                <w:sz w:val="22"/>
                <w:szCs w:val="22"/>
              </w:rPr>
              <w:t>intens</w:t>
            </w:r>
            <w:r w:rsidR="004B3300">
              <w:rPr>
                <w:rFonts w:asciiTheme="minorHAnsi" w:hAnsiTheme="minorHAnsi" w:cstheme="minorHAnsi"/>
                <w:sz w:val="22"/>
                <w:szCs w:val="22"/>
              </w:rPr>
              <w:t>ive</w:t>
            </w:r>
            <w:r w:rsidR="004A4B4A" w:rsidRPr="00514B21">
              <w:rPr>
                <w:rFonts w:asciiTheme="minorHAnsi" w:hAnsiTheme="minorHAnsi" w:cstheme="minorHAnsi"/>
                <w:sz w:val="22"/>
                <w:szCs w:val="22"/>
              </w:rPr>
              <w:t>.</w:t>
            </w:r>
            <w:r w:rsidR="004C1E34">
              <w:rPr>
                <w:rFonts w:asciiTheme="minorHAnsi" w:hAnsiTheme="minorHAnsi" w:cstheme="minorHAnsi"/>
                <w:sz w:val="22"/>
                <w:szCs w:val="22"/>
              </w:rPr>
              <w:t xml:space="preserve"> </w:t>
            </w:r>
          </w:p>
          <w:p w14:paraId="37693ED4" w14:textId="77777777" w:rsidR="004C1E34" w:rsidRDefault="004C1E34" w:rsidP="004C1E34">
            <w:pPr>
              <w:rPr>
                <w:rFonts w:asciiTheme="minorHAnsi" w:hAnsiTheme="minorHAnsi" w:cstheme="minorHAnsi"/>
                <w:sz w:val="22"/>
                <w:szCs w:val="22"/>
              </w:rPr>
            </w:pPr>
          </w:p>
          <w:p w14:paraId="58E4F41C" w14:textId="1FF93B6B" w:rsidR="00D53781" w:rsidRPr="00D53781" w:rsidRDefault="004C1E34" w:rsidP="004C1E34">
            <w:pPr>
              <w:rPr>
                <w:rFonts w:asciiTheme="minorHAnsi" w:hAnsiTheme="minorHAnsi" w:cstheme="minorHAnsi"/>
                <w:sz w:val="22"/>
                <w:szCs w:val="22"/>
              </w:rPr>
            </w:pPr>
            <w:r w:rsidRPr="009F3708">
              <w:rPr>
                <w:rFonts w:asciiTheme="minorHAnsi" w:hAnsiTheme="minorHAnsi" w:cstheme="minorHAnsi"/>
                <w:sz w:val="22"/>
                <w:szCs w:val="22"/>
              </w:rPr>
              <w:t>A replicable approach that can be routinely applied to eligible antimicrobials</w:t>
            </w:r>
            <w:r>
              <w:rPr>
                <w:rFonts w:asciiTheme="minorHAnsi" w:hAnsiTheme="minorHAnsi" w:cstheme="minorHAnsi"/>
                <w:sz w:val="22"/>
                <w:szCs w:val="22"/>
              </w:rPr>
              <w:t xml:space="preserve"> will </w:t>
            </w:r>
            <w:r w:rsidRPr="009F3708">
              <w:rPr>
                <w:rFonts w:asciiTheme="minorHAnsi" w:hAnsiTheme="minorHAnsi" w:cstheme="minorHAnsi"/>
                <w:sz w:val="22"/>
                <w:szCs w:val="22"/>
              </w:rPr>
              <w:t>ensur</w:t>
            </w:r>
            <w:r>
              <w:rPr>
                <w:rFonts w:asciiTheme="minorHAnsi" w:hAnsiTheme="minorHAnsi" w:cstheme="minorHAnsi"/>
                <w:sz w:val="22"/>
                <w:szCs w:val="22"/>
              </w:rPr>
              <w:t>e</w:t>
            </w:r>
            <w:r w:rsidRPr="009F3708">
              <w:rPr>
                <w:rFonts w:asciiTheme="minorHAnsi" w:hAnsiTheme="minorHAnsi" w:cstheme="minorHAnsi"/>
                <w:sz w:val="22"/>
                <w:szCs w:val="22"/>
              </w:rPr>
              <w:t xml:space="preserve"> consistency, fairness and transparency in committee’s decision-making and the final contract values. </w:t>
            </w:r>
          </w:p>
        </w:tc>
        <w:tc>
          <w:tcPr>
            <w:tcW w:w="1907" w:type="dxa"/>
          </w:tcPr>
          <w:p w14:paraId="6275C60A" w14:textId="0AA263AC" w:rsidR="002E1A92" w:rsidRPr="00514B21" w:rsidRDefault="00EB201A" w:rsidP="007C6BA3">
            <w:pPr>
              <w:rPr>
                <w:rFonts w:asciiTheme="minorHAnsi" w:hAnsiTheme="minorHAnsi" w:cstheme="minorHAnsi"/>
                <w:sz w:val="22"/>
                <w:szCs w:val="22"/>
              </w:rPr>
            </w:pPr>
            <w:r w:rsidRPr="00EB201A">
              <w:rPr>
                <w:rFonts w:asciiTheme="minorHAnsi" w:hAnsiTheme="minorHAnsi" w:cstheme="minorHAnsi"/>
                <w:sz w:val="22"/>
                <w:szCs w:val="22"/>
              </w:rPr>
              <w:t xml:space="preserve">Despite uncertainty in the precise estimate of value, the QALY gains are sufficient to justify paying England’s ‘fair share’ towards antimicrobial R&amp;D. </w:t>
            </w:r>
            <w:r w:rsidR="00C366A3">
              <w:rPr>
                <w:rFonts w:asciiTheme="minorHAnsi" w:hAnsiTheme="minorHAnsi" w:cstheme="minorHAnsi"/>
                <w:sz w:val="22"/>
                <w:szCs w:val="22"/>
              </w:rPr>
              <w:t>But t</w:t>
            </w:r>
            <w:r w:rsidR="00F445B6" w:rsidRPr="00514B21">
              <w:rPr>
                <w:rFonts w:asciiTheme="minorHAnsi" w:hAnsiTheme="minorHAnsi" w:cstheme="minorHAnsi"/>
                <w:sz w:val="22"/>
                <w:szCs w:val="22"/>
              </w:rPr>
              <w:t xml:space="preserve">he </w:t>
            </w:r>
            <w:r w:rsidR="00DC17BF" w:rsidRPr="00514B21">
              <w:rPr>
                <w:rFonts w:asciiTheme="minorHAnsi" w:hAnsiTheme="minorHAnsi" w:cstheme="minorHAnsi"/>
                <w:sz w:val="22"/>
                <w:szCs w:val="22"/>
              </w:rPr>
              <w:t xml:space="preserve">QALY </w:t>
            </w:r>
            <w:r w:rsidR="00F445B6" w:rsidRPr="00514B21">
              <w:rPr>
                <w:rFonts w:asciiTheme="minorHAnsi" w:hAnsiTheme="minorHAnsi" w:cstheme="minorHAnsi"/>
                <w:sz w:val="22"/>
                <w:szCs w:val="22"/>
              </w:rPr>
              <w:t xml:space="preserve">estimates </w:t>
            </w:r>
            <w:r w:rsidR="007C6BA3">
              <w:rPr>
                <w:rFonts w:asciiTheme="minorHAnsi" w:hAnsiTheme="minorHAnsi" w:cstheme="minorHAnsi"/>
                <w:sz w:val="22"/>
                <w:szCs w:val="22"/>
              </w:rPr>
              <w:t xml:space="preserve">relied </w:t>
            </w:r>
            <w:r w:rsidR="00F445B6" w:rsidRPr="00514B21">
              <w:rPr>
                <w:rFonts w:asciiTheme="minorHAnsi" w:hAnsiTheme="minorHAnsi" w:cstheme="minorHAnsi"/>
                <w:sz w:val="22"/>
                <w:szCs w:val="22"/>
              </w:rPr>
              <w:t>on committee judgement</w:t>
            </w:r>
            <w:r w:rsidR="00A3546A" w:rsidRPr="00514B21">
              <w:rPr>
                <w:rFonts w:asciiTheme="minorHAnsi" w:hAnsiTheme="minorHAnsi" w:cstheme="minorHAnsi"/>
                <w:sz w:val="22"/>
                <w:szCs w:val="22"/>
              </w:rPr>
              <w:t xml:space="preserve">. </w:t>
            </w:r>
            <w:r w:rsidR="007C6BA3">
              <w:rPr>
                <w:rFonts w:asciiTheme="minorHAnsi" w:hAnsiTheme="minorHAnsi" w:cstheme="minorHAnsi"/>
                <w:sz w:val="22"/>
                <w:szCs w:val="22"/>
              </w:rPr>
              <w:t xml:space="preserve">More applied </w:t>
            </w:r>
            <w:r w:rsidR="007C6BA3" w:rsidRPr="00514B21">
              <w:rPr>
                <w:rFonts w:asciiTheme="minorHAnsi" w:hAnsiTheme="minorHAnsi" w:cstheme="minorHAnsi"/>
                <w:sz w:val="22"/>
                <w:szCs w:val="22"/>
              </w:rPr>
              <w:t xml:space="preserve">and methodological </w:t>
            </w:r>
            <w:r w:rsidR="004C1E34">
              <w:rPr>
                <w:rFonts w:asciiTheme="minorHAnsi" w:hAnsiTheme="minorHAnsi" w:cstheme="minorHAnsi"/>
                <w:sz w:val="22"/>
                <w:szCs w:val="22"/>
              </w:rPr>
              <w:t>research</w:t>
            </w:r>
            <w:r w:rsidR="007C6BA3" w:rsidRPr="00514B21">
              <w:rPr>
                <w:rFonts w:asciiTheme="minorHAnsi" w:hAnsiTheme="minorHAnsi" w:cstheme="minorHAnsi"/>
                <w:sz w:val="22"/>
                <w:szCs w:val="22"/>
              </w:rPr>
              <w:t xml:space="preserve"> and improved antimicrobial surveillance</w:t>
            </w:r>
            <w:r w:rsidR="007C6BA3">
              <w:rPr>
                <w:rFonts w:asciiTheme="minorHAnsi" w:hAnsiTheme="minorHAnsi" w:cstheme="minorHAnsi"/>
                <w:sz w:val="22"/>
                <w:szCs w:val="22"/>
              </w:rPr>
              <w:t xml:space="preserve"> – </w:t>
            </w:r>
            <w:r w:rsidR="007C6BA3" w:rsidRPr="00514B21">
              <w:rPr>
                <w:rFonts w:asciiTheme="minorHAnsi" w:hAnsiTheme="minorHAnsi" w:cstheme="minorHAnsi"/>
                <w:sz w:val="22"/>
                <w:szCs w:val="22"/>
              </w:rPr>
              <w:t>as described in NICE’s research recommendations</w:t>
            </w:r>
            <w:r w:rsidR="007C6BA3">
              <w:rPr>
                <w:rFonts w:asciiTheme="minorHAnsi" w:hAnsiTheme="minorHAnsi" w:cstheme="minorHAnsi"/>
                <w:sz w:val="22"/>
                <w:szCs w:val="22"/>
              </w:rPr>
              <w:t xml:space="preserve"> – is required before we can</w:t>
            </w:r>
            <w:r w:rsidR="004C1E34">
              <w:rPr>
                <w:rFonts w:asciiTheme="minorHAnsi" w:hAnsiTheme="minorHAnsi" w:cstheme="minorHAnsi"/>
                <w:sz w:val="22"/>
                <w:szCs w:val="22"/>
              </w:rPr>
              <w:t xml:space="preserve"> robustly and fairly replicate the process of </w:t>
            </w:r>
            <w:r w:rsidR="007C6BA3">
              <w:rPr>
                <w:rFonts w:asciiTheme="minorHAnsi" w:hAnsiTheme="minorHAnsi" w:cstheme="minorHAnsi"/>
                <w:sz w:val="22"/>
                <w:szCs w:val="22"/>
              </w:rPr>
              <w:t>us</w:t>
            </w:r>
            <w:r w:rsidR="004C1E34">
              <w:rPr>
                <w:rFonts w:asciiTheme="minorHAnsi" w:hAnsiTheme="minorHAnsi" w:cstheme="minorHAnsi"/>
                <w:sz w:val="22"/>
                <w:szCs w:val="22"/>
              </w:rPr>
              <w:t>ing</w:t>
            </w:r>
            <w:r w:rsidR="007C6BA3">
              <w:rPr>
                <w:rFonts w:asciiTheme="minorHAnsi" w:hAnsiTheme="minorHAnsi" w:cstheme="minorHAnsi"/>
                <w:sz w:val="22"/>
                <w:szCs w:val="22"/>
              </w:rPr>
              <w:t xml:space="preserve"> formal economic analysis to </w:t>
            </w:r>
            <w:r w:rsidR="007C6BA3">
              <w:rPr>
                <w:rFonts w:asciiTheme="minorHAnsi" w:hAnsiTheme="minorHAnsi" w:cstheme="minorHAnsi"/>
                <w:sz w:val="22"/>
                <w:szCs w:val="22"/>
              </w:rPr>
              <w:lastRenderedPageBreak/>
              <w:t>q</w:t>
            </w:r>
            <w:r w:rsidR="0018274A" w:rsidRPr="00514B21">
              <w:rPr>
                <w:rFonts w:asciiTheme="minorHAnsi" w:hAnsiTheme="minorHAnsi" w:cstheme="minorHAnsi"/>
                <w:sz w:val="22"/>
                <w:szCs w:val="22"/>
              </w:rPr>
              <w:t xml:space="preserve">uantitatively </w:t>
            </w:r>
            <w:r w:rsidR="007C6BA3">
              <w:rPr>
                <w:rFonts w:asciiTheme="minorHAnsi" w:hAnsiTheme="minorHAnsi" w:cstheme="minorHAnsi"/>
                <w:sz w:val="22"/>
                <w:szCs w:val="22"/>
              </w:rPr>
              <w:t>estimate</w:t>
            </w:r>
            <w:r w:rsidR="0018274A" w:rsidRPr="00514B21">
              <w:rPr>
                <w:rFonts w:asciiTheme="minorHAnsi" w:hAnsiTheme="minorHAnsi" w:cstheme="minorHAnsi"/>
                <w:sz w:val="22"/>
                <w:szCs w:val="22"/>
              </w:rPr>
              <w:t xml:space="preserve"> QALY</w:t>
            </w:r>
            <w:r w:rsidR="007C6BA3">
              <w:rPr>
                <w:rFonts w:asciiTheme="minorHAnsi" w:hAnsiTheme="minorHAnsi" w:cstheme="minorHAnsi"/>
                <w:sz w:val="22"/>
                <w:szCs w:val="22"/>
              </w:rPr>
              <w:t xml:space="preserve">s. </w:t>
            </w:r>
            <w:proofErr w:type="gramStart"/>
            <w:r w:rsidR="007C6BA3">
              <w:rPr>
                <w:rFonts w:asciiTheme="minorHAnsi" w:hAnsiTheme="minorHAnsi" w:cstheme="minorHAnsi"/>
                <w:sz w:val="22"/>
                <w:szCs w:val="22"/>
              </w:rPr>
              <w:t>So</w:t>
            </w:r>
            <w:proofErr w:type="gramEnd"/>
            <w:r w:rsidR="007C6BA3">
              <w:rPr>
                <w:rFonts w:asciiTheme="minorHAnsi" w:hAnsiTheme="minorHAnsi" w:cstheme="minorHAnsi"/>
                <w:sz w:val="22"/>
                <w:szCs w:val="22"/>
              </w:rPr>
              <w:t xml:space="preserve"> an HTA-style process might not be appropriate for antimicrobials</w:t>
            </w:r>
            <w:r w:rsidR="0077656B" w:rsidRPr="00514B21">
              <w:rPr>
                <w:rFonts w:asciiTheme="minorHAnsi" w:hAnsiTheme="minorHAnsi" w:cstheme="minorHAnsi"/>
                <w:sz w:val="22"/>
                <w:szCs w:val="22"/>
              </w:rPr>
              <w:t>.</w:t>
            </w:r>
          </w:p>
        </w:tc>
      </w:tr>
      <w:tr w:rsidR="00B414A4" w:rsidRPr="00514B21" w14:paraId="12AA04E7" w14:textId="77777777" w:rsidTr="008261D6">
        <w:trPr>
          <w:trHeight w:val="767"/>
        </w:trPr>
        <w:tc>
          <w:tcPr>
            <w:tcW w:w="1482" w:type="dxa"/>
          </w:tcPr>
          <w:p w14:paraId="1C0CD212" w14:textId="4CFF3748" w:rsidR="00ED3C9F" w:rsidRPr="00514B21" w:rsidRDefault="00ED3C9F" w:rsidP="008261D6">
            <w:pPr>
              <w:rPr>
                <w:rFonts w:asciiTheme="minorHAnsi" w:hAnsiTheme="minorHAnsi" w:cstheme="minorHAnsi"/>
                <w:sz w:val="22"/>
                <w:szCs w:val="22"/>
              </w:rPr>
            </w:pPr>
            <w:r w:rsidRPr="00514B21">
              <w:rPr>
                <w:rFonts w:asciiTheme="minorHAnsi" w:hAnsiTheme="minorHAnsi" w:cstheme="minorHAnsi"/>
                <w:sz w:val="22"/>
                <w:szCs w:val="22"/>
              </w:rPr>
              <w:lastRenderedPageBreak/>
              <w:t>Providing stewardship guidance</w:t>
            </w:r>
          </w:p>
        </w:tc>
        <w:tc>
          <w:tcPr>
            <w:tcW w:w="2624" w:type="dxa"/>
          </w:tcPr>
          <w:p w14:paraId="32E3C9CB" w14:textId="32D819B8" w:rsidR="00ED3C9F" w:rsidRPr="00514B21" w:rsidRDefault="007E257D" w:rsidP="008261D6">
            <w:pPr>
              <w:pStyle w:val="ListParagraph"/>
              <w:numPr>
                <w:ilvl w:val="0"/>
                <w:numId w:val="18"/>
              </w:numPr>
              <w:contextualSpacing w:val="0"/>
              <w:rPr>
                <w:rFonts w:asciiTheme="minorHAnsi" w:hAnsiTheme="minorHAnsi" w:cstheme="minorHAnsi"/>
                <w:sz w:val="22"/>
                <w:szCs w:val="22"/>
              </w:rPr>
            </w:pPr>
            <w:r w:rsidRPr="00514B21">
              <w:rPr>
                <w:rFonts w:asciiTheme="minorHAnsi" w:hAnsiTheme="minorHAnsi" w:cstheme="minorHAnsi"/>
                <w:sz w:val="22"/>
                <w:szCs w:val="22"/>
              </w:rPr>
              <w:t>Guidance on stewardship was appropriate and welcome</w:t>
            </w:r>
            <w:r w:rsidR="00FD2986">
              <w:rPr>
                <w:rFonts w:asciiTheme="minorHAnsi" w:hAnsiTheme="minorHAnsi" w:cstheme="minorHAnsi"/>
                <w:sz w:val="22"/>
                <w:szCs w:val="22"/>
              </w:rPr>
              <w:t>.</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w:t>
            </w:r>
            <w:r w:rsidR="00003C33">
              <w:rPr>
                <w:rFonts w:asciiTheme="minorHAnsi" w:hAnsiTheme="minorHAnsi" w:cstheme="minorHAnsi"/>
                <w:i/>
                <w:iCs/>
                <w:sz w:val="22"/>
                <w:szCs w:val="22"/>
              </w:rPr>
              <w:t>Clinical expert</w:t>
            </w:r>
            <w:r w:rsidR="007912BC">
              <w:rPr>
                <w:rFonts w:asciiTheme="minorHAnsi" w:hAnsiTheme="minorHAnsi" w:cstheme="minorHAnsi"/>
                <w:i/>
                <w:iCs/>
                <w:sz w:val="22"/>
                <w:szCs w:val="22"/>
              </w:rPr>
              <w:t xml:space="preserve"> and </w:t>
            </w:r>
            <w:r w:rsidRPr="00514B21">
              <w:rPr>
                <w:rFonts w:asciiTheme="minorHAnsi" w:hAnsiTheme="minorHAnsi" w:cstheme="minorHAnsi"/>
                <w:i/>
                <w:iCs/>
                <w:sz w:val="22"/>
                <w:szCs w:val="22"/>
              </w:rPr>
              <w:t>Industry]</w:t>
            </w:r>
          </w:p>
        </w:tc>
        <w:tc>
          <w:tcPr>
            <w:tcW w:w="5103" w:type="dxa"/>
          </w:tcPr>
          <w:p w14:paraId="41AB2AF8" w14:textId="12AC0E88" w:rsidR="00C350B4" w:rsidRPr="00514B21" w:rsidRDefault="00C350B4" w:rsidP="008261D6">
            <w:pPr>
              <w:pStyle w:val="ListParagraph"/>
              <w:numPr>
                <w:ilvl w:val="0"/>
                <w:numId w:val="30"/>
              </w:numPr>
              <w:contextualSpacing w:val="0"/>
              <w:rPr>
                <w:rFonts w:asciiTheme="minorHAnsi" w:hAnsiTheme="minorHAnsi" w:cstheme="minorHAnsi"/>
                <w:sz w:val="22"/>
                <w:szCs w:val="22"/>
              </w:rPr>
            </w:pPr>
            <w:r w:rsidRPr="00514B21">
              <w:rPr>
                <w:rFonts w:asciiTheme="minorHAnsi" w:hAnsiTheme="minorHAnsi" w:cstheme="minorHAnsi"/>
                <w:sz w:val="22"/>
                <w:szCs w:val="22"/>
              </w:rPr>
              <w:t>Important that stewardship principles are passed on as other countries take up similar schemes</w:t>
            </w:r>
            <w:r w:rsidR="00FD2986">
              <w:rPr>
                <w:rFonts w:asciiTheme="minorHAnsi" w:hAnsiTheme="minorHAnsi" w:cstheme="minorHAnsi"/>
                <w:sz w:val="22"/>
                <w:szCs w:val="22"/>
              </w:rPr>
              <w:t>.</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[Industry]</w:t>
            </w:r>
          </w:p>
          <w:p w14:paraId="67C12EA2" w14:textId="3F78C912" w:rsidR="00B32821" w:rsidRPr="00514B21" w:rsidRDefault="00B32821" w:rsidP="008261D6">
            <w:pPr>
              <w:pStyle w:val="ListParagraph"/>
              <w:numPr>
                <w:ilvl w:val="0"/>
                <w:numId w:val="30"/>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De-escalation strategies of switching away from ‘last resort’ </w:t>
            </w:r>
            <w:r w:rsidR="00D20CDF" w:rsidRPr="00514B21">
              <w:rPr>
                <w:rFonts w:asciiTheme="minorHAnsi" w:hAnsiTheme="minorHAnsi" w:cstheme="minorHAnsi"/>
                <w:sz w:val="22"/>
                <w:szCs w:val="22"/>
              </w:rPr>
              <w:t xml:space="preserve">antimicrobials </w:t>
            </w:r>
            <w:r w:rsidRPr="00514B21">
              <w:rPr>
                <w:rFonts w:asciiTheme="minorHAnsi" w:hAnsiTheme="minorHAnsi" w:cstheme="minorHAnsi"/>
                <w:sz w:val="22"/>
                <w:szCs w:val="22"/>
              </w:rPr>
              <w:t xml:space="preserve">when lab results are available are also important. These may not be appropriate for these </w:t>
            </w:r>
            <w:proofErr w:type="gramStart"/>
            <w:r w:rsidRPr="00514B21">
              <w:rPr>
                <w:rFonts w:asciiTheme="minorHAnsi" w:hAnsiTheme="minorHAnsi" w:cstheme="minorHAnsi"/>
                <w:sz w:val="22"/>
                <w:szCs w:val="22"/>
              </w:rPr>
              <w:t>particular pieces</w:t>
            </w:r>
            <w:proofErr w:type="gramEnd"/>
            <w:r w:rsidRPr="00514B21">
              <w:rPr>
                <w:rFonts w:asciiTheme="minorHAnsi" w:hAnsiTheme="minorHAnsi" w:cstheme="minorHAnsi"/>
                <w:sz w:val="22"/>
                <w:szCs w:val="22"/>
              </w:rPr>
              <w:t xml:space="preserve"> of guidance</w:t>
            </w:r>
            <w:r w:rsidR="00FD2986">
              <w:rPr>
                <w:rFonts w:asciiTheme="minorHAnsi" w:hAnsiTheme="minorHAnsi" w:cstheme="minorHAnsi"/>
                <w:sz w:val="22"/>
                <w:szCs w:val="22"/>
              </w:rPr>
              <w:t>.</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[Academia</w:t>
            </w:r>
            <w:r w:rsidR="007912BC">
              <w:rPr>
                <w:rFonts w:asciiTheme="minorHAnsi" w:hAnsiTheme="minorHAnsi" w:cstheme="minorHAnsi"/>
                <w:i/>
                <w:iCs/>
                <w:sz w:val="22"/>
                <w:szCs w:val="22"/>
              </w:rPr>
              <w:t xml:space="preserve"> and </w:t>
            </w:r>
            <w:r w:rsidR="00003C33">
              <w:rPr>
                <w:rFonts w:asciiTheme="minorHAnsi" w:hAnsiTheme="minorHAnsi" w:cstheme="minorHAnsi"/>
                <w:i/>
                <w:iCs/>
                <w:sz w:val="22"/>
                <w:szCs w:val="22"/>
              </w:rPr>
              <w:t>Clinical expert</w:t>
            </w:r>
            <w:r w:rsidRPr="00514B21">
              <w:rPr>
                <w:rFonts w:asciiTheme="minorHAnsi" w:hAnsiTheme="minorHAnsi" w:cstheme="minorHAnsi"/>
                <w:i/>
                <w:iCs/>
                <w:sz w:val="22"/>
                <w:szCs w:val="22"/>
              </w:rPr>
              <w:t>]</w:t>
            </w:r>
          </w:p>
        </w:tc>
        <w:tc>
          <w:tcPr>
            <w:tcW w:w="2062" w:type="dxa"/>
          </w:tcPr>
          <w:p w14:paraId="77FDC162" w14:textId="29DCEEA3" w:rsidR="00ED3C9F" w:rsidRPr="00514B21" w:rsidRDefault="00CB32F1" w:rsidP="008261D6">
            <w:pPr>
              <w:rPr>
                <w:rFonts w:asciiTheme="minorHAnsi" w:hAnsiTheme="minorHAnsi" w:cstheme="minorHAnsi"/>
                <w:sz w:val="22"/>
                <w:szCs w:val="22"/>
              </w:rPr>
            </w:pPr>
            <w:r w:rsidRPr="00514B21">
              <w:rPr>
                <w:rFonts w:asciiTheme="minorHAnsi" w:hAnsiTheme="minorHAnsi" w:cstheme="minorHAnsi"/>
                <w:sz w:val="22"/>
                <w:szCs w:val="22"/>
              </w:rPr>
              <w:t>Ensuring</w:t>
            </w:r>
            <w:r w:rsidR="00E803C1" w:rsidRPr="00514B21">
              <w:rPr>
                <w:rFonts w:asciiTheme="minorHAnsi" w:hAnsiTheme="minorHAnsi" w:cstheme="minorHAnsi"/>
                <w:sz w:val="22"/>
                <w:szCs w:val="22"/>
              </w:rPr>
              <w:t xml:space="preserve"> </w:t>
            </w:r>
            <w:r w:rsidRPr="00514B21">
              <w:rPr>
                <w:rFonts w:asciiTheme="minorHAnsi" w:hAnsiTheme="minorHAnsi" w:cstheme="minorHAnsi"/>
                <w:sz w:val="22"/>
                <w:szCs w:val="22"/>
              </w:rPr>
              <w:t xml:space="preserve">the value of the antimicrobials </w:t>
            </w:r>
            <w:r w:rsidR="00925230" w:rsidRPr="00514B21">
              <w:rPr>
                <w:rFonts w:asciiTheme="minorHAnsi" w:hAnsiTheme="minorHAnsi" w:cstheme="minorHAnsi"/>
                <w:sz w:val="22"/>
                <w:szCs w:val="22"/>
              </w:rPr>
              <w:t xml:space="preserve">is maintained in practice </w:t>
            </w:r>
            <w:r w:rsidR="00E803C1" w:rsidRPr="00514B21">
              <w:rPr>
                <w:rFonts w:asciiTheme="minorHAnsi" w:hAnsiTheme="minorHAnsi" w:cstheme="minorHAnsi"/>
                <w:sz w:val="22"/>
                <w:szCs w:val="22"/>
              </w:rPr>
              <w:t>and reducing the risk of resistance</w:t>
            </w:r>
            <w:r w:rsidR="00F21A64">
              <w:rPr>
                <w:rFonts w:asciiTheme="minorHAnsi" w:hAnsiTheme="minorHAnsi" w:cstheme="minorHAnsi"/>
                <w:sz w:val="22"/>
                <w:szCs w:val="22"/>
              </w:rPr>
              <w:t>.</w:t>
            </w:r>
          </w:p>
          <w:p w14:paraId="7926FE66" w14:textId="7EC75F1C" w:rsidR="00D13750" w:rsidRPr="00514B21" w:rsidRDefault="00D13750" w:rsidP="008261D6">
            <w:pPr>
              <w:pStyle w:val="ListParagraph"/>
              <w:ind w:left="360"/>
              <w:contextualSpacing w:val="0"/>
              <w:rPr>
                <w:rFonts w:asciiTheme="minorHAnsi" w:hAnsiTheme="minorHAnsi" w:cstheme="minorHAnsi"/>
                <w:sz w:val="22"/>
                <w:szCs w:val="22"/>
              </w:rPr>
            </w:pPr>
          </w:p>
        </w:tc>
        <w:tc>
          <w:tcPr>
            <w:tcW w:w="1907" w:type="dxa"/>
          </w:tcPr>
          <w:p w14:paraId="67FA916E" w14:textId="47D67E7B" w:rsidR="007D694E" w:rsidRPr="00514B21" w:rsidRDefault="00D4341B" w:rsidP="008261D6">
            <w:pPr>
              <w:rPr>
                <w:rFonts w:asciiTheme="minorHAnsi" w:hAnsiTheme="minorHAnsi" w:cstheme="minorHAnsi"/>
                <w:sz w:val="22"/>
                <w:szCs w:val="22"/>
              </w:rPr>
            </w:pPr>
            <w:r w:rsidRPr="00514B21">
              <w:rPr>
                <w:rFonts w:asciiTheme="minorHAnsi" w:hAnsiTheme="minorHAnsi" w:cstheme="minorHAnsi"/>
                <w:sz w:val="22"/>
                <w:szCs w:val="22"/>
              </w:rPr>
              <w:t xml:space="preserve">Content and scope of stewardship </w:t>
            </w:r>
            <w:r w:rsidR="00E622D8" w:rsidRPr="00514B21">
              <w:rPr>
                <w:rFonts w:asciiTheme="minorHAnsi" w:hAnsiTheme="minorHAnsi" w:cstheme="minorHAnsi"/>
                <w:sz w:val="22"/>
                <w:szCs w:val="22"/>
              </w:rPr>
              <w:t xml:space="preserve">recommendations </w:t>
            </w:r>
            <w:r w:rsidRPr="00514B21">
              <w:rPr>
                <w:rFonts w:asciiTheme="minorHAnsi" w:hAnsiTheme="minorHAnsi" w:cstheme="minorHAnsi"/>
                <w:sz w:val="22"/>
                <w:szCs w:val="22"/>
              </w:rPr>
              <w:t>is not exhaustive but likely appropriate</w:t>
            </w:r>
            <w:r w:rsidR="00E622D8" w:rsidRPr="00514B21">
              <w:rPr>
                <w:rFonts w:asciiTheme="minorHAnsi" w:hAnsiTheme="minorHAnsi" w:cstheme="minorHAnsi"/>
                <w:sz w:val="22"/>
                <w:szCs w:val="22"/>
              </w:rPr>
              <w:t xml:space="preserve"> for this type of NICE evaluation</w:t>
            </w:r>
            <w:r w:rsidR="00F21A64">
              <w:rPr>
                <w:rFonts w:asciiTheme="minorHAnsi" w:hAnsiTheme="minorHAnsi" w:cstheme="minorHAnsi"/>
                <w:sz w:val="22"/>
                <w:szCs w:val="22"/>
              </w:rPr>
              <w:t>.</w:t>
            </w:r>
          </w:p>
        </w:tc>
      </w:tr>
      <w:tr w:rsidR="00B414A4" w:rsidRPr="00514B21" w14:paraId="540C0822" w14:textId="77777777" w:rsidTr="008261D6">
        <w:trPr>
          <w:trHeight w:val="767"/>
        </w:trPr>
        <w:tc>
          <w:tcPr>
            <w:tcW w:w="1482" w:type="dxa"/>
          </w:tcPr>
          <w:p w14:paraId="77C45ECF" w14:textId="77777777" w:rsidR="0080365D" w:rsidRPr="00514B21" w:rsidRDefault="0080365D" w:rsidP="008261D6">
            <w:pPr>
              <w:rPr>
                <w:rFonts w:asciiTheme="minorHAnsi" w:hAnsiTheme="minorHAnsi" w:cstheme="minorHAnsi"/>
                <w:sz w:val="22"/>
                <w:szCs w:val="22"/>
              </w:rPr>
            </w:pPr>
            <w:r w:rsidRPr="00514B21">
              <w:rPr>
                <w:rFonts w:asciiTheme="minorHAnsi" w:hAnsiTheme="minorHAnsi" w:cstheme="minorHAnsi"/>
                <w:sz w:val="22"/>
                <w:szCs w:val="22"/>
              </w:rPr>
              <w:lastRenderedPageBreak/>
              <w:t>Modelling the process on the NICE MTA process</w:t>
            </w:r>
          </w:p>
          <w:p w14:paraId="13B91A7F" w14:textId="36235486" w:rsidR="0080365D" w:rsidRPr="00514B21" w:rsidRDefault="0080365D" w:rsidP="008261D6">
            <w:pPr>
              <w:rPr>
                <w:rFonts w:asciiTheme="minorHAnsi" w:hAnsiTheme="minorHAnsi" w:cstheme="minorHAnsi"/>
                <w:sz w:val="22"/>
                <w:szCs w:val="22"/>
              </w:rPr>
            </w:pPr>
          </w:p>
        </w:tc>
        <w:tc>
          <w:tcPr>
            <w:tcW w:w="2624" w:type="dxa"/>
          </w:tcPr>
          <w:p w14:paraId="5EFA4BE9" w14:textId="3CB1DA32" w:rsidR="005D4B80" w:rsidRPr="009529B5" w:rsidRDefault="0033178E" w:rsidP="008261D6">
            <w:pPr>
              <w:pStyle w:val="ListParagraph"/>
              <w:numPr>
                <w:ilvl w:val="0"/>
                <w:numId w:val="32"/>
              </w:numPr>
              <w:ind w:left="360"/>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Appropriate for an academic group to </w:t>
            </w:r>
            <w:r w:rsidR="007C2A10" w:rsidRPr="00514B21">
              <w:rPr>
                <w:rFonts w:asciiTheme="minorHAnsi" w:hAnsiTheme="minorHAnsi" w:cstheme="minorHAnsi"/>
                <w:sz w:val="22"/>
                <w:szCs w:val="22"/>
              </w:rPr>
              <w:t xml:space="preserve">develop </w:t>
            </w:r>
            <w:r w:rsidRPr="00514B21">
              <w:rPr>
                <w:rFonts w:asciiTheme="minorHAnsi" w:hAnsiTheme="minorHAnsi" w:cstheme="minorHAnsi"/>
                <w:sz w:val="22"/>
                <w:szCs w:val="22"/>
              </w:rPr>
              <w:t>the model for the pilot</w:t>
            </w:r>
            <w:r w:rsidR="007C2A10" w:rsidRPr="00514B21">
              <w:rPr>
                <w:rFonts w:asciiTheme="minorHAnsi" w:hAnsiTheme="minorHAnsi" w:cstheme="minorHAnsi"/>
                <w:sz w:val="22"/>
                <w:szCs w:val="22"/>
              </w:rPr>
              <w:t xml:space="preserve"> to ensure consistency across the 2 evaluations, given the lack of consensus in methods</w:t>
            </w:r>
            <w:r w:rsidR="00CD1262">
              <w:rPr>
                <w:rFonts w:asciiTheme="minorHAnsi" w:hAnsiTheme="minorHAnsi" w:cstheme="minorHAnsi"/>
                <w:sz w:val="22"/>
                <w:szCs w:val="22"/>
              </w:rPr>
              <w:t xml:space="preserve"> and risk of bias</w:t>
            </w:r>
            <w:r w:rsidR="007C2A10" w:rsidRPr="00514B21">
              <w:rPr>
                <w:rFonts w:asciiTheme="minorHAnsi" w:hAnsiTheme="minorHAnsi" w:cstheme="minorHAnsi"/>
                <w:sz w:val="22"/>
                <w:szCs w:val="22"/>
              </w:rPr>
              <w:t>, and use EEPRU’s existing expertise</w:t>
            </w:r>
            <w:r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[Committee member</w:t>
            </w:r>
            <w:r w:rsidR="007912BC">
              <w:rPr>
                <w:rFonts w:asciiTheme="minorHAnsi" w:hAnsiTheme="minorHAnsi" w:cstheme="minorHAnsi"/>
                <w:i/>
                <w:iCs/>
                <w:sz w:val="22"/>
                <w:szCs w:val="22"/>
              </w:rPr>
              <w:t>,</w:t>
            </w:r>
            <w:r w:rsidR="007C2A10" w:rsidRPr="00514B21">
              <w:rPr>
                <w:rFonts w:asciiTheme="minorHAnsi" w:hAnsiTheme="minorHAnsi" w:cstheme="minorHAnsi"/>
                <w:i/>
                <w:iCs/>
                <w:sz w:val="22"/>
                <w:szCs w:val="22"/>
              </w:rPr>
              <w:t xml:space="preserve"> </w:t>
            </w:r>
            <w:r w:rsidR="00003C33">
              <w:rPr>
                <w:rFonts w:asciiTheme="minorHAnsi" w:hAnsiTheme="minorHAnsi" w:cstheme="minorHAnsi"/>
                <w:i/>
                <w:iCs/>
                <w:sz w:val="22"/>
                <w:szCs w:val="22"/>
              </w:rPr>
              <w:t>Clinical expert</w:t>
            </w:r>
            <w:r w:rsidR="007912BC">
              <w:rPr>
                <w:rFonts w:asciiTheme="minorHAnsi" w:hAnsiTheme="minorHAnsi" w:cstheme="minorHAnsi"/>
                <w:i/>
                <w:iCs/>
                <w:sz w:val="22"/>
                <w:szCs w:val="22"/>
              </w:rPr>
              <w:t>,</w:t>
            </w:r>
            <w:r w:rsidR="007C2A10" w:rsidRPr="00514B21">
              <w:rPr>
                <w:rFonts w:asciiTheme="minorHAnsi" w:hAnsiTheme="minorHAnsi" w:cstheme="minorHAnsi"/>
                <w:i/>
                <w:iCs/>
                <w:sz w:val="22"/>
                <w:szCs w:val="22"/>
              </w:rPr>
              <w:t xml:space="preserve"> </w:t>
            </w:r>
            <w:proofErr w:type="gramStart"/>
            <w:r w:rsidR="007C2A10" w:rsidRPr="00514B21">
              <w:rPr>
                <w:rFonts w:asciiTheme="minorHAnsi" w:hAnsiTheme="minorHAnsi" w:cstheme="minorHAnsi"/>
                <w:i/>
                <w:iCs/>
                <w:sz w:val="22"/>
                <w:szCs w:val="22"/>
              </w:rPr>
              <w:t>KOL</w:t>
            </w:r>
            <w:proofErr w:type="gramEnd"/>
            <w:r w:rsidR="007912BC">
              <w:rPr>
                <w:rFonts w:asciiTheme="minorHAnsi" w:hAnsiTheme="minorHAnsi" w:cstheme="minorHAnsi"/>
                <w:i/>
                <w:iCs/>
                <w:sz w:val="22"/>
                <w:szCs w:val="22"/>
              </w:rPr>
              <w:t xml:space="preserve"> and </w:t>
            </w:r>
            <w:r w:rsidR="00643996" w:rsidRPr="00514B21">
              <w:rPr>
                <w:rFonts w:asciiTheme="minorHAnsi" w:hAnsiTheme="minorHAnsi" w:cstheme="minorHAnsi"/>
                <w:i/>
                <w:iCs/>
                <w:sz w:val="22"/>
                <w:szCs w:val="22"/>
              </w:rPr>
              <w:t>academia</w:t>
            </w:r>
            <w:r w:rsidRPr="00514B21">
              <w:rPr>
                <w:rFonts w:asciiTheme="minorHAnsi" w:hAnsiTheme="minorHAnsi" w:cstheme="minorHAnsi"/>
                <w:i/>
                <w:iCs/>
                <w:sz w:val="22"/>
                <w:szCs w:val="22"/>
              </w:rPr>
              <w:t>]</w:t>
            </w:r>
          </w:p>
          <w:p w14:paraId="3F3A2D77" w14:textId="2609AD79" w:rsidR="00F21A64" w:rsidRPr="009529B5" w:rsidRDefault="00F21A64" w:rsidP="009529B5">
            <w:pPr>
              <w:pStyle w:val="ListParagraph"/>
              <w:numPr>
                <w:ilvl w:val="0"/>
                <w:numId w:val="32"/>
              </w:numPr>
              <w:spacing w:after="160" w:line="259" w:lineRule="auto"/>
              <w:ind w:left="360"/>
              <w:rPr>
                <w:rFonts w:asciiTheme="minorHAnsi" w:hAnsiTheme="minorHAnsi" w:cstheme="minorHAnsi"/>
                <w:sz w:val="22"/>
                <w:szCs w:val="22"/>
              </w:rPr>
            </w:pPr>
            <w:r w:rsidRPr="009F3708">
              <w:rPr>
                <w:rFonts w:asciiTheme="minorHAnsi" w:hAnsiTheme="minorHAnsi" w:cstheme="minorHAnsi"/>
                <w:sz w:val="22"/>
                <w:szCs w:val="22"/>
              </w:rPr>
              <w:t>Using a large academic group meant that substantial staff and resources could be assigned to the project, which was more resource</w:t>
            </w:r>
            <w:r w:rsidR="00CD1262">
              <w:rPr>
                <w:rFonts w:asciiTheme="minorHAnsi" w:hAnsiTheme="minorHAnsi" w:cstheme="minorHAnsi"/>
                <w:sz w:val="22"/>
                <w:szCs w:val="22"/>
              </w:rPr>
              <w:t xml:space="preserve"> </w:t>
            </w:r>
            <w:r w:rsidRPr="009F3708">
              <w:rPr>
                <w:rFonts w:asciiTheme="minorHAnsi" w:hAnsiTheme="minorHAnsi" w:cstheme="minorHAnsi"/>
                <w:sz w:val="22"/>
                <w:szCs w:val="22"/>
              </w:rPr>
              <w:t>intensive and technically challenging than anticipated.</w:t>
            </w:r>
            <w:r>
              <w:rPr>
                <w:rFonts w:asciiTheme="minorHAnsi" w:hAnsiTheme="minorHAnsi" w:cstheme="minorHAnsi"/>
                <w:sz w:val="22"/>
                <w:szCs w:val="22"/>
              </w:rPr>
              <w:t xml:space="preserve"> </w:t>
            </w:r>
            <w:r>
              <w:rPr>
                <w:rFonts w:asciiTheme="minorHAnsi" w:hAnsiTheme="minorHAnsi" w:cstheme="minorHAnsi"/>
                <w:i/>
                <w:iCs/>
                <w:sz w:val="22"/>
                <w:szCs w:val="22"/>
              </w:rPr>
              <w:t>[academi</w:t>
            </w:r>
            <w:r w:rsidR="007912BC">
              <w:rPr>
                <w:rFonts w:asciiTheme="minorHAnsi" w:hAnsiTheme="minorHAnsi" w:cstheme="minorHAnsi"/>
                <w:i/>
                <w:iCs/>
                <w:sz w:val="22"/>
                <w:szCs w:val="22"/>
              </w:rPr>
              <w:t>a</w:t>
            </w:r>
            <w:r>
              <w:rPr>
                <w:rFonts w:asciiTheme="minorHAnsi" w:hAnsiTheme="minorHAnsi" w:cstheme="minorHAnsi"/>
                <w:i/>
                <w:iCs/>
                <w:sz w:val="22"/>
                <w:szCs w:val="22"/>
              </w:rPr>
              <w:t>]</w:t>
            </w:r>
          </w:p>
        </w:tc>
        <w:tc>
          <w:tcPr>
            <w:tcW w:w="5103" w:type="dxa"/>
          </w:tcPr>
          <w:p w14:paraId="3F5506CF" w14:textId="6CE5E7AD" w:rsidR="002468F1" w:rsidRPr="00514B21" w:rsidRDefault="004A07F2" w:rsidP="00CD1262">
            <w:pPr>
              <w:pStyle w:val="ListParagraph"/>
              <w:numPr>
                <w:ilvl w:val="0"/>
                <w:numId w:val="46"/>
              </w:numPr>
              <w:contextualSpacing w:val="0"/>
              <w:rPr>
                <w:rFonts w:asciiTheme="minorHAnsi" w:hAnsiTheme="minorHAnsi" w:cstheme="minorHAnsi"/>
                <w:sz w:val="22"/>
                <w:szCs w:val="22"/>
              </w:rPr>
            </w:pPr>
            <w:r w:rsidRPr="00514B21">
              <w:rPr>
                <w:rFonts w:asciiTheme="minorHAnsi" w:hAnsiTheme="minorHAnsi" w:cstheme="minorHAnsi"/>
                <w:sz w:val="22"/>
                <w:szCs w:val="22"/>
              </w:rPr>
              <w:t>The c</w:t>
            </w:r>
            <w:r w:rsidR="007C2A10" w:rsidRPr="00514B21">
              <w:rPr>
                <w:rFonts w:asciiTheme="minorHAnsi" w:hAnsiTheme="minorHAnsi" w:cstheme="minorHAnsi"/>
                <w:sz w:val="22"/>
                <w:szCs w:val="22"/>
              </w:rPr>
              <w:t>ompany</w:t>
            </w:r>
            <w:r w:rsidRPr="00514B21">
              <w:rPr>
                <w:rFonts w:asciiTheme="minorHAnsi" w:hAnsiTheme="minorHAnsi" w:cstheme="minorHAnsi"/>
                <w:sz w:val="22"/>
                <w:szCs w:val="22"/>
              </w:rPr>
              <w:t xml:space="preserve"> should have a bigger role in developing the health economic model that informs committee decision</w:t>
            </w:r>
            <w:r w:rsidR="004B3300">
              <w:rPr>
                <w:rFonts w:asciiTheme="minorHAnsi" w:hAnsiTheme="minorHAnsi" w:cstheme="minorHAnsi"/>
                <w:sz w:val="22"/>
                <w:szCs w:val="22"/>
              </w:rPr>
              <w:t>,</w:t>
            </w:r>
            <w:r w:rsidR="007C2A10" w:rsidRPr="00514B21">
              <w:rPr>
                <w:rFonts w:asciiTheme="minorHAnsi" w:hAnsiTheme="minorHAnsi" w:cstheme="minorHAnsi"/>
                <w:sz w:val="22"/>
                <w:szCs w:val="22"/>
              </w:rPr>
              <w:t xml:space="preserve"> </w:t>
            </w:r>
            <w:r w:rsidRPr="00514B21">
              <w:rPr>
                <w:rFonts w:asciiTheme="minorHAnsi" w:hAnsiTheme="minorHAnsi" w:cstheme="minorHAnsi"/>
                <w:sz w:val="22"/>
                <w:szCs w:val="22"/>
              </w:rPr>
              <w:t>once the methods for economic analysis of antimicrobials have developed. T</w:t>
            </w:r>
            <w:r w:rsidR="007D6E2C" w:rsidRPr="00514B21">
              <w:rPr>
                <w:rFonts w:asciiTheme="minorHAnsi" w:hAnsiTheme="minorHAnsi" w:cstheme="minorHAnsi"/>
                <w:sz w:val="22"/>
                <w:szCs w:val="22"/>
              </w:rPr>
              <w:t>his would require</w:t>
            </w:r>
            <w:r w:rsidRPr="00514B21">
              <w:rPr>
                <w:rFonts w:asciiTheme="minorHAnsi" w:hAnsiTheme="minorHAnsi" w:cstheme="minorHAnsi"/>
                <w:sz w:val="22"/>
                <w:szCs w:val="22"/>
              </w:rPr>
              <w:t xml:space="preserve"> clear guidance from NICE on its requirements, including a bespoke reference case</w:t>
            </w:r>
            <w:r w:rsidR="0092027D">
              <w:rPr>
                <w:rFonts w:asciiTheme="minorHAnsi" w:hAnsiTheme="minorHAnsi" w:cstheme="minorHAnsi"/>
                <w:sz w:val="22"/>
                <w:szCs w:val="22"/>
              </w:rPr>
              <w:t>, and a dedicated antimicrobials committee</w:t>
            </w:r>
            <w:r w:rsidR="00643996" w:rsidRPr="00514B21">
              <w:rPr>
                <w:rFonts w:asciiTheme="minorHAnsi" w:hAnsiTheme="minorHAnsi" w:cstheme="minorHAnsi"/>
                <w:sz w:val="22"/>
                <w:szCs w:val="22"/>
              </w:rPr>
              <w:t>.</w:t>
            </w:r>
            <w:r w:rsidRPr="00514B21">
              <w:rPr>
                <w:rFonts w:asciiTheme="minorHAnsi" w:hAnsiTheme="minorHAnsi" w:cstheme="minorHAnsi"/>
                <w:sz w:val="22"/>
                <w:szCs w:val="22"/>
              </w:rPr>
              <w:t xml:space="preserve"> </w:t>
            </w:r>
            <w:r w:rsidR="007C2A10" w:rsidRPr="00514B21">
              <w:rPr>
                <w:rFonts w:asciiTheme="minorHAnsi" w:hAnsiTheme="minorHAnsi" w:cstheme="minorHAnsi"/>
                <w:i/>
                <w:iCs/>
                <w:sz w:val="22"/>
                <w:szCs w:val="22"/>
              </w:rPr>
              <w:t>[Committee member</w:t>
            </w:r>
            <w:r w:rsidR="007912BC">
              <w:rPr>
                <w:rFonts w:asciiTheme="minorHAnsi" w:hAnsiTheme="minorHAnsi" w:cstheme="minorHAnsi"/>
                <w:i/>
                <w:iCs/>
                <w:sz w:val="22"/>
                <w:szCs w:val="22"/>
              </w:rPr>
              <w:t xml:space="preserve"> and </w:t>
            </w:r>
            <w:r w:rsidR="007D6E2C" w:rsidRPr="00514B21">
              <w:rPr>
                <w:rFonts w:asciiTheme="minorHAnsi" w:hAnsiTheme="minorHAnsi" w:cstheme="minorHAnsi"/>
                <w:i/>
                <w:iCs/>
                <w:sz w:val="22"/>
                <w:szCs w:val="22"/>
              </w:rPr>
              <w:t>Industry</w:t>
            </w:r>
            <w:r w:rsidR="007C2A10" w:rsidRPr="00514B21">
              <w:rPr>
                <w:rFonts w:asciiTheme="minorHAnsi" w:hAnsiTheme="minorHAnsi" w:cstheme="minorHAnsi"/>
                <w:i/>
                <w:iCs/>
                <w:sz w:val="22"/>
                <w:szCs w:val="22"/>
              </w:rPr>
              <w:t>]</w:t>
            </w:r>
            <w:r w:rsidR="00643996" w:rsidRPr="00514B21">
              <w:rPr>
                <w:rFonts w:asciiTheme="minorHAnsi" w:hAnsiTheme="minorHAnsi" w:cstheme="minorHAnsi"/>
                <w:i/>
                <w:iCs/>
                <w:sz w:val="22"/>
                <w:szCs w:val="22"/>
              </w:rPr>
              <w:t xml:space="preserve"> </w:t>
            </w:r>
          </w:p>
          <w:p w14:paraId="3BA25BAC" w14:textId="5675B897" w:rsidR="00B40AA4" w:rsidRPr="00514B21" w:rsidRDefault="00B40AA4" w:rsidP="008261D6">
            <w:pPr>
              <w:pStyle w:val="ListParagraph"/>
              <w:numPr>
                <w:ilvl w:val="0"/>
                <w:numId w:val="46"/>
              </w:numPr>
              <w:contextualSpacing w:val="0"/>
              <w:rPr>
                <w:rFonts w:asciiTheme="minorHAnsi" w:hAnsiTheme="minorHAnsi" w:cstheme="minorHAnsi"/>
                <w:i/>
                <w:iCs/>
                <w:sz w:val="22"/>
                <w:szCs w:val="22"/>
              </w:rPr>
            </w:pPr>
            <w:r w:rsidRPr="00514B21">
              <w:rPr>
                <w:rFonts w:asciiTheme="minorHAnsi" w:hAnsiTheme="minorHAnsi" w:cstheme="minorHAnsi"/>
                <w:sz w:val="22"/>
                <w:szCs w:val="22"/>
              </w:rPr>
              <w:t xml:space="preserve">Producing a </w:t>
            </w:r>
            <w:r w:rsidR="00117F71" w:rsidRPr="00514B21">
              <w:rPr>
                <w:rFonts w:asciiTheme="minorHAnsi" w:hAnsiTheme="minorHAnsi" w:cstheme="minorHAnsi"/>
                <w:sz w:val="22"/>
                <w:szCs w:val="22"/>
              </w:rPr>
              <w:t xml:space="preserve">common </w:t>
            </w:r>
            <w:r w:rsidR="001E43D7" w:rsidRPr="00514B21">
              <w:rPr>
                <w:rFonts w:asciiTheme="minorHAnsi" w:hAnsiTheme="minorHAnsi" w:cstheme="minorHAnsi"/>
                <w:sz w:val="22"/>
                <w:szCs w:val="22"/>
              </w:rPr>
              <w:t xml:space="preserve">economic </w:t>
            </w:r>
            <w:r w:rsidRPr="00514B21">
              <w:rPr>
                <w:rFonts w:asciiTheme="minorHAnsi" w:hAnsiTheme="minorHAnsi" w:cstheme="minorHAnsi"/>
                <w:sz w:val="22"/>
                <w:szCs w:val="22"/>
              </w:rPr>
              <w:t xml:space="preserve">model </w:t>
            </w:r>
            <w:r w:rsidR="00117F71" w:rsidRPr="00514B21">
              <w:rPr>
                <w:rFonts w:asciiTheme="minorHAnsi" w:hAnsiTheme="minorHAnsi" w:cstheme="minorHAnsi"/>
                <w:sz w:val="22"/>
                <w:szCs w:val="22"/>
              </w:rPr>
              <w:t>(</w:t>
            </w:r>
            <w:proofErr w:type="spellStart"/>
            <w:proofErr w:type="gramStart"/>
            <w:r w:rsidR="00117F71" w:rsidRPr="00514B21">
              <w:rPr>
                <w:rFonts w:asciiTheme="minorHAnsi" w:hAnsiTheme="minorHAnsi" w:cstheme="minorHAnsi"/>
                <w:sz w:val="22"/>
                <w:szCs w:val="22"/>
              </w:rPr>
              <w:t>ie</w:t>
            </w:r>
            <w:proofErr w:type="spellEnd"/>
            <w:proofErr w:type="gramEnd"/>
            <w:r w:rsidR="00117F71" w:rsidRPr="00514B21">
              <w:rPr>
                <w:rFonts w:asciiTheme="minorHAnsi" w:hAnsiTheme="minorHAnsi" w:cstheme="minorHAnsi"/>
                <w:sz w:val="22"/>
                <w:szCs w:val="22"/>
              </w:rPr>
              <w:t xml:space="preserve"> not product specific) </w:t>
            </w:r>
            <w:r w:rsidRPr="00514B21">
              <w:rPr>
                <w:rFonts w:asciiTheme="minorHAnsi" w:hAnsiTheme="minorHAnsi" w:cstheme="minorHAnsi"/>
                <w:sz w:val="22"/>
                <w:szCs w:val="22"/>
              </w:rPr>
              <w:t>would mean not having to replicate EEPRU efforts every time and ensure consistency across evaluations</w:t>
            </w:r>
            <w:r w:rsidR="00FD2986">
              <w:rPr>
                <w:rFonts w:asciiTheme="minorHAnsi" w:hAnsiTheme="minorHAnsi" w:cstheme="minorHAnsi"/>
                <w:sz w:val="22"/>
                <w:szCs w:val="22"/>
              </w:rPr>
              <w:t>.</w:t>
            </w:r>
            <w:r w:rsidR="00F21A64">
              <w:rPr>
                <w:rFonts w:asciiTheme="minorHAnsi" w:hAnsiTheme="minorHAnsi" w:cstheme="minorHAnsi"/>
                <w:sz w:val="22"/>
                <w:szCs w:val="22"/>
              </w:rPr>
              <w:t xml:space="preserve"> It should </w:t>
            </w:r>
            <w:r w:rsidR="00F21A64" w:rsidRPr="009F3708">
              <w:rPr>
                <w:rFonts w:asciiTheme="minorHAnsi" w:hAnsiTheme="minorHAnsi" w:cstheme="minorHAnsi"/>
                <w:sz w:val="22"/>
                <w:szCs w:val="22"/>
              </w:rPr>
              <w:t>includ</w:t>
            </w:r>
            <w:r w:rsidR="00F21A64">
              <w:rPr>
                <w:rFonts w:asciiTheme="minorHAnsi" w:hAnsiTheme="minorHAnsi" w:cstheme="minorHAnsi"/>
                <w:sz w:val="22"/>
                <w:szCs w:val="22"/>
              </w:rPr>
              <w:t>e</w:t>
            </w:r>
            <w:r w:rsidR="00F21A64" w:rsidRPr="009F3708">
              <w:rPr>
                <w:rFonts w:asciiTheme="minorHAnsi" w:hAnsiTheme="minorHAnsi" w:cstheme="minorHAnsi"/>
                <w:sz w:val="22"/>
                <w:szCs w:val="22"/>
              </w:rPr>
              <w:t xml:space="preserve"> standardised techniques for analysing relevant datasets (</w:t>
            </w:r>
            <w:proofErr w:type="gramStart"/>
            <w:r w:rsidR="00F21A64" w:rsidRPr="009F3708">
              <w:rPr>
                <w:rFonts w:asciiTheme="minorHAnsi" w:hAnsiTheme="minorHAnsi" w:cstheme="minorHAnsi"/>
                <w:sz w:val="22"/>
                <w:szCs w:val="22"/>
              </w:rPr>
              <w:t>e</w:t>
            </w:r>
            <w:r w:rsidR="00F35418">
              <w:rPr>
                <w:rFonts w:asciiTheme="minorHAnsi" w:hAnsiTheme="minorHAnsi" w:cstheme="minorHAnsi"/>
                <w:sz w:val="22"/>
                <w:szCs w:val="22"/>
              </w:rPr>
              <w:t>.</w:t>
            </w:r>
            <w:r w:rsidR="00F21A64" w:rsidRPr="009F3708">
              <w:rPr>
                <w:rFonts w:asciiTheme="minorHAnsi" w:hAnsiTheme="minorHAnsi" w:cstheme="minorHAnsi"/>
                <w:sz w:val="22"/>
                <w:szCs w:val="22"/>
              </w:rPr>
              <w:t>g</w:t>
            </w:r>
            <w:r w:rsidR="00F35418">
              <w:rPr>
                <w:rFonts w:asciiTheme="minorHAnsi" w:hAnsiTheme="minorHAnsi" w:cstheme="minorHAnsi"/>
                <w:sz w:val="22"/>
                <w:szCs w:val="22"/>
              </w:rPr>
              <w:t>.</w:t>
            </w:r>
            <w:proofErr w:type="gramEnd"/>
            <w:r w:rsidR="00F21A64" w:rsidRPr="009F3708">
              <w:rPr>
                <w:rFonts w:asciiTheme="minorHAnsi" w:hAnsiTheme="minorHAnsi" w:cstheme="minorHAnsi"/>
                <w:sz w:val="22"/>
                <w:szCs w:val="22"/>
              </w:rPr>
              <w:t xml:space="preserve"> UKHSA and other surveillance data) and synthesising evidence, and agreement on the most appropriate </w:t>
            </w:r>
            <w:r w:rsidR="00F21A64">
              <w:rPr>
                <w:rFonts w:asciiTheme="minorHAnsi" w:hAnsiTheme="minorHAnsi" w:cstheme="minorHAnsi"/>
                <w:sz w:val="22"/>
                <w:szCs w:val="22"/>
              </w:rPr>
              <w:t xml:space="preserve">data </w:t>
            </w:r>
            <w:r w:rsidR="00F21A64" w:rsidRPr="009F3708">
              <w:rPr>
                <w:rFonts w:asciiTheme="minorHAnsi" w:hAnsiTheme="minorHAnsi" w:cstheme="minorHAnsi"/>
                <w:sz w:val="22"/>
                <w:szCs w:val="22"/>
              </w:rPr>
              <w:t>sources</w:t>
            </w:r>
            <w:r w:rsidR="00F21A64">
              <w:rPr>
                <w:rFonts w:asciiTheme="minorHAnsi" w:hAnsiTheme="minorHAnsi" w:cstheme="minorHAnsi"/>
                <w:sz w:val="22"/>
                <w:szCs w:val="22"/>
              </w:rPr>
              <w:t>.</w:t>
            </w:r>
            <w:r w:rsidR="00F21A64" w:rsidRPr="009F3708">
              <w:rPr>
                <w:rFonts w:asciiTheme="minorHAnsi" w:hAnsiTheme="minorHAnsi" w:cstheme="minorHAnsi"/>
                <w:sz w:val="22"/>
                <w:szCs w:val="22"/>
              </w:rPr>
              <w:t xml:space="preserve"> </w:t>
            </w:r>
            <w:r w:rsidRPr="00514B21">
              <w:rPr>
                <w:rFonts w:asciiTheme="minorHAnsi" w:hAnsiTheme="minorHAnsi" w:cstheme="minorHAnsi"/>
                <w:i/>
                <w:iCs/>
                <w:sz w:val="22"/>
                <w:szCs w:val="22"/>
              </w:rPr>
              <w:t>[Academia, Committee member</w:t>
            </w:r>
            <w:r w:rsidR="007912BC">
              <w:rPr>
                <w:rFonts w:asciiTheme="minorHAnsi" w:hAnsiTheme="minorHAnsi" w:cstheme="minorHAnsi"/>
                <w:i/>
                <w:iCs/>
                <w:sz w:val="22"/>
                <w:szCs w:val="22"/>
              </w:rPr>
              <w:t xml:space="preserve">, </w:t>
            </w:r>
            <w:proofErr w:type="gramStart"/>
            <w:r w:rsidRPr="00514B21">
              <w:rPr>
                <w:rFonts w:asciiTheme="minorHAnsi" w:hAnsiTheme="minorHAnsi" w:cstheme="minorHAnsi"/>
                <w:i/>
                <w:iCs/>
                <w:sz w:val="22"/>
                <w:szCs w:val="22"/>
              </w:rPr>
              <w:t>KOL</w:t>
            </w:r>
            <w:proofErr w:type="gramEnd"/>
            <w:r w:rsidRPr="00514B21">
              <w:rPr>
                <w:rFonts w:asciiTheme="minorHAnsi" w:hAnsiTheme="minorHAnsi" w:cstheme="minorHAnsi"/>
                <w:i/>
                <w:iCs/>
                <w:sz w:val="22"/>
                <w:szCs w:val="22"/>
              </w:rPr>
              <w:t xml:space="preserve"> </w:t>
            </w:r>
            <w:r w:rsidR="007912BC">
              <w:rPr>
                <w:rFonts w:asciiTheme="minorHAnsi" w:hAnsiTheme="minorHAnsi" w:cstheme="minorHAnsi"/>
                <w:i/>
                <w:iCs/>
                <w:sz w:val="22"/>
                <w:szCs w:val="22"/>
              </w:rPr>
              <w:t xml:space="preserve">and </w:t>
            </w:r>
            <w:r w:rsidR="00C3688F" w:rsidRPr="00514B21">
              <w:rPr>
                <w:rFonts w:asciiTheme="minorHAnsi" w:hAnsiTheme="minorHAnsi" w:cstheme="minorHAnsi"/>
                <w:i/>
                <w:iCs/>
                <w:sz w:val="22"/>
                <w:szCs w:val="22"/>
              </w:rPr>
              <w:t>Industry</w:t>
            </w:r>
            <w:r w:rsidRPr="00514B21">
              <w:rPr>
                <w:rFonts w:asciiTheme="minorHAnsi" w:hAnsiTheme="minorHAnsi" w:cstheme="minorHAnsi"/>
                <w:i/>
                <w:iCs/>
                <w:sz w:val="22"/>
                <w:szCs w:val="22"/>
              </w:rPr>
              <w:t>]</w:t>
            </w:r>
          </w:p>
          <w:p w14:paraId="56E301BE" w14:textId="3C979F8C" w:rsidR="001E43D7" w:rsidRPr="00514B21" w:rsidRDefault="001B3983" w:rsidP="008261D6">
            <w:pPr>
              <w:pStyle w:val="ListParagraph"/>
              <w:numPr>
                <w:ilvl w:val="0"/>
                <w:numId w:val="46"/>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NICE could use a more pragmatic approach to evaluation instead of estimating QALYs using an economic model. For example, a points-based scoring system </w:t>
            </w:r>
            <w:proofErr w:type="gramStart"/>
            <w:r w:rsidRPr="00514B21">
              <w:rPr>
                <w:rFonts w:asciiTheme="minorHAnsi" w:hAnsiTheme="minorHAnsi" w:cstheme="minorHAnsi"/>
                <w:sz w:val="22"/>
                <w:szCs w:val="22"/>
              </w:rPr>
              <w:t>similar to</w:t>
            </w:r>
            <w:proofErr w:type="gramEnd"/>
            <w:r w:rsidRPr="00514B21">
              <w:rPr>
                <w:rFonts w:asciiTheme="minorHAnsi" w:hAnsiTheme="minorHAnsi" w:cstheme="minorHAnsi"/>
                <w:sz w:val="22"/>
                <w:szCs w:val="22"/>
              </w:rPr>
              <w:t xml:space="preserve"> the pilot’s </w:t>
            </w:r>
            <w:r w:rsidR="00D64986">
              <w:rPr>
                <w:rFonts w:asciiTheme="minorHAnsi" w:hAnsiTheme="minorHAnsi" w:cstheme="minorHAnsi"/>
                <w:sz w:val="22"/>
                <w:szCs w:val="22"/>
              </w:rPr>
              <w:t>eligibility</w:t>
            </w:r>
            <w:r w:rsidR="00D64986" w:rsidRPr="00514B21">
              <w:rPr>
                <w:rFonts w:asciiTheme="minorHAnsi" w:hAnsiTheme="minorHAnsi" w:cstheme="minorHAnsi"/>
                <w:sz w:val="22"/>
                <w:szCs w:val="22"/>
              </w:rPr>
              <w:t xml:space="preserve"> </w:t>
            </w:r>
            <w:r w:rsidRPr="00514B21">
              <w:rPr>
                <w:rFonts w:asciiTheme="minorHAnsi" w:hAnsiTheme="minorHAnsi" w:cstheme="minorHAnsi"/>
                <w:sz w:val="22"/>
                <w:szCs w:val="22"/>
              </w:rPr>
              <w:t xml:space="preserve">and selection criteria. </w:t>
            </w:r>
            <w:r w:rsidR="0015449B" w:rsidRPr="00514B21">
              <w:rPr>
                <w:rFonts w:asciiTheme="minorHAnsi" w:hAnsiTheme="minorHAnsi" w:cstheme="minorHAnsi"/>
                <w:sz w:val="22"/>
                <w:szCs w:val="22"/>
              </w:rPr>
              <w:t xml:space="preserve">We could learn from the proposed system in the USA (the PASTEUR act). </w:t>
            </w:r>
            <w:r w:rsidRPr="00514B21">
              <w:rPr>
                <w:rFonts w:asciiTheme="minorHAnsi" w:hAnsiTheme="minorHAnsi" w:cstheme="minorHAnsi"/>
                <w:sz w:val="22"/>
                <w:szCs w:val="22"/>
              </w:rPr>
              <w:t>This would still require a framework to convert points into a contract value.</w:t>
            </w:r>
            <w:r w:rsidR="004A4B4A" w:rsidRPr="00514B21">
              <w:rPr>
                <w:rFonts w:asciiTheme="minorHAnsi" w:hAnsiTheme="minorHAnsi" w:cstheme="minorHAnsi"/>
                <w:sz w:val="22"/>
                <w:szCs w:val="22"/>
              </w:rPr>
              <w:t xml:space="preserve"> </w:t>
            </w:r>
            <w:r w:rsidRPr="00514B21">
              <w:rPr>
                <w:rFonts w:asciiTheme="minorHAnsi" w:hAnsiTheme="minorHAnsi" w:cstheme="minorHAnsi"/>
                <w:i/>
                <w:iCs/>
                <w:sz w:val="22"/>
                <w:szCs w:val="22"/>
              </w:rPr>
              <w:t>[KOL,</w:t>
            </w:r>
            <w:r w:rsidR="005901F4" w:rsidRPr="00514B21">
              <w:rPr>
                <w:rFonts w:asciiTheme="minorHAnsi" w:hAnsiTheme="minorHAnsi" w:cstheme="minorHAnsi"/>
                <w:i/>
                <w:iCs/>
                <w:sz w:val="22"/>
                <w:szCs w:val="22"/>
              </w:rPr>
              <w:t xml:space="preserve"> Committee member</w:t>
            </w:r>
            <w:r w:rsidR="007912BC">
              <w:rPr>
                <w:rFonts w:asciiTheme="minorHAnsi" w:hAnsiTheme="minorHAnsi" w:cstheme="minorHAnsi"/>
                <w:i/>
                <w:iCs/>
                <w:sz w:val="22"/>
                <w:szCs w:val="22"/>
              </w:rPr>
              <w:t xml:space="preserve"> and </w:t>
            </w:r>
            <w:r w:rsidR="005632C2" w:rsidRPr="00514B21">
              <w:rPr>
                <w:rFonts w:asciiTheme="minorHAnsi" w:hAnsiTheme="minorHAnsi" w:cstheme="minorHAnsi"/>
                <w:i/>
                <w:iCs/>
                <w:sz w:val="22"/>
                <w:szCs w:val="22"/>
              </w:rPr>
              <w:t>Industr</w:t>
            </w:r>
            <w:r w:rsidR="007912BC">
              <w:rPr>
                <w:rFonts w:asciiTheme="minorHAnsi" w:hAnsiTheme="minorHAnsi" w:cstheme="minorHAnsi"/>
                <w:i/>
                <w:iCs/>
                <w:sz w:val="22"/>
                <w:szCs w:val="22"/>
              </w:rPr>
              <w:t>y</w:t>
            </w:r>
            <w:r w:rsidRPr="00514B21">
              <w:rPr>
                <w:rFonts w:asciiTheme="minorHAnsi" w:hAnsiTheme="minorHAnsi" w:cstheme="minorHAnsi"/>
                <w:i/>
                <w:iCs/>
                <w:sz w:val="22"/>
                <w:szCs w:val="22"/>
              </w:rPr>
              <w:t>]</w:t>
            </w:r>
          </w:p>
          <w:p w14:paraId="35EEF1F7" w14:textId="224F8912" w:rsidR="00E43054" w:rsidRPr="00514B21" w:rsidRDefault="00C350B4" w:rsidP="008261D6">
            <w:pPr>
              <w:pStyle w:val="ListParagraph"/>
              <w:numPr>
                <w:ilvl w:val="0"/>
                <w:numId w:val="46"/>
              </w:numPr>
              <w:contextualSpacing w:val="0"/>
              <w:rPr>
                <w:rFonts w:asciiTheme="minorHAnsi" w:hAnsiTheme="minorHAnsi" w:cstheme="minorHAnsi"/>
                <w:sz w:val="22"/>
                <w:szCs w:val="22"/>
              </w:rPr>
            </w:pPr>
            <w:r w:rsidRPr="00514B21">
              <w:rPr>
                <w:rFonts w:asciiTheme="minorHAnsi" w:hAnsiTheme="minorHAnsi" w:cstheme="minorHAnsi"/>
                <w:sz w:val="22"/>
                <w:szCs w:val="22"/>
              </w:rPr>
              <w:t xml:space="preserve">Mechanism for company to appeal decision is missing </w:t>
            </w:r>
            <w:r w:rsidRPr="00514B21">
              <w:rPr>
                <w:rFonts w:asciiTheme="minorHAnsi" w:hAnsiTheme="minorHAnsi" w:cstheme="minorHAnsi"/>
                <w:i/>
                <w:iCs/>
                <w:sz w:val="22"/>
                <w:szCs w:val="22"/>
              </w:rPr>
              <w:t>[Industry]</w:t>
            </w:r>
          </w:p>
        </w:tc>
        <w:tc>
          <w:tcPr>
            <w:tcW w:w="2062" w:type="dxa"/>
          </w:tcPr>
          <w:p w14:paraId="0B20091A" w14:textId="4972CC65" w:rsidR="0080365D" w:rsidRPr="00514B21" w:rsidRDefault="00F717B9" w:rsidP="008261D6">
            <w:pPr>
              <w:rPr>
                <w:rFonts w:asciiTheme="minorHAnsi" w:hAnsiTheme="minorHAnsi" w:cstheme="minorHAnsi"/>
                <w:sz w:val="22"/>
                <w:szCs w:val="22"/>
              </w:rPr>
            </w:pPr>
            <w:r>
              <w:rPr>
                <w:rFonts w:asciiTheme="minorHAnsi" w:hAnsiTheme="minorHAnsi" w:cstheme="minorHAnsi"/>
                <w:sz w:val="22"/>
                <w:szCs w:val="22"/>
              </w:rPr>
              <w:t>If replicating the QALY-based approach, e</w:t>
            </w:r>
            <w:r w:rsidR="00B40AA4" w:rsidRPr="00514B21">
              <w:rPr>
                <w:rFonts w:asciiTheme="minorHAnsi" w:hAnsiTheme="minorHAnsi" w:cstheme="minorHAnsi"/>
                <w:sz w:val="22"/>
                <w:szCs w:val="22"/>
              </w:rPr>
              <w:t>fficiency could be achieved either by greater company input or a generic economic model</w:t>
            </w:r>
            <w:r w:rsidR="00ED2A8D" w:rsidRPr="00514B21">
              <w:rPr>
                <w:rFonts w:asciiTheme="minorHAnsi" w:hAnsiTheme="minorHAnsi" w:cstheme="minorHAnsi"/>
                <w:sz w:val="22"/>
                <w:szCs w:val="22"/>
              </w:rPr>
              <w:t xml:space="preserve"> that could be used for any antimicrobial</w:t>
            </w:r>
            <w:r w:rsidR="00B40AA4" w:rsidRPr="00514B21">
              <w:rPr>
                <w:rFonts w:asciiTheme="minorHAnsi" w:hAnsiTheme="minorHAnsi" w:cstheme="minorHAnsi"/>
                <w:sz w:val="22"/>
                <w:szCs w:val="22"/>
              </w:rPr>
              <w:t>.</w:t>
            </w:r>
          </w:p>
          <w:p w14:paraId="2AC5725D" w14:textId="45C7316B" w:rsidR="00F70C10" w:rsidRPr="00514B21" w:rsidRDefault="00F70C10" w:rsidP="008261D6">
            <w:pPr>
              <w:rPr>
                <w:rFonts w:asciiTheme="minorHAnsi" w:hAnsiTheme="minorHAnsi" w:cstheme="minorHAnsi"/>
                <w:sz w:val="22"/>
                <w:szCs w:val="22"/>
              </w:rPr>
            </w:pPr>
          </w:p>
        </w:tc>
        <w:tc>
          <w:tcPr>
            <w:tcW w:w="1907" w:type="dxa"/>
          </w:tcPr>
          <w:p w14:paraId="4CADDCDF" w14:textId="62003712" w:rsidR="00B414A4" w:rsidRPr="00514B21" w:rsidRDefault="007F4517" w:rsidP="008261D6">
            <w:pPr>
              <w:rPr>
                <w:rFonts w:asciiTheme="minorHAnsi" w:hAnsiTheme="minorHAnsi" w:cstheme="minorHAnsi"/>
                <w:sz w:val="22"/>
                <w:szCs w:val="22"/>
              </w:rPr>
            </w:pPr>
            <w:r w:rsidRPr="00514B21">
              <w:rPr>
                <w:rFonts w:asciiTheme="minorHAnsi" w:hAnsiTheme="minorHAnsi" w:cstheme="minorHAnsi"/>
                <w:sz w:val="22"/>
                <w:szCs w:val="22"/>
              </w:rPr>
              <w:t xml:space="preserve">The pilot was highly resource </w:t>
            </w:r>
            <w:proofErr w:type="gramStart"/>
            <w:r w:rsidRPr="00514B21">
              <w:rPr>
                <w:rFonts w:asciiTheme="minorHAnsi" w:hAnsiTheme="minorHAnsi" w:cstheme="minorHAnsi"/>
                <w:sz w:val="22"/>
                <w:szCs w:val="22"/>
              </w:rPr>
              <w:t>intensive</w:t>
            </w:r>
            <w:proofErr w:type="gramEnd"/>
            <w:r w:rsidRPr="00514B21">
              <w:rPr>
                <w:rFonts w:asciiTheme="minorHAnsi" w:hAnsiTheme="minorHAnsi" w:cstheme="minorHAnsi"/>
                <w:sz w:val="22"/>
                <w:szCs w:val="22"/>
              </w:rPr>
              <w:t xml:space="preserve"> and </w:t>
            </w:r>
            <w:r w:rsidR="00BB676D" w:rsidRPr="00514B21">
              <w:rPr>
                <w:rFonts w:asciiTheme="minorHAnsi" w:hAnsiTheme="minorHAnsi" w:cstheme="minorHAnsi"/>
                <w:sz w:val="22"/>
                <w:szCs w:val="22"/>
              </w:rPr>
              <w:t xml:space="preserve">it wouldn’t be </w:t>
            </w:r>
            <w:r w:rsidRPr="00514B21">
              <w:rPr>
                <w:rFonts w:asciiTheme="minorHAnsi" w:hAnsiTheme="minorHAnsi" w:cstheme="minorHAnsi"/>
                <w:sz w:val="22"/>
                <w:szCs w:val="22"/>
              </w:rPr>
              <w:t xml:space="preserve">feasible </w:t>
            </w:r>
            <w:r w:rsidR="00BB676D" w:rsidRPr="00514B21">
              <w:rPr>
                <w:rFonts w:asciiTheme="minorHAnsi" w:hAnsiTheme="minorHAnsi" w:cstheme="minorHAnsi"/>
                <w:sz w:val="22"/>
                <w:szCs w:val="22"/>
              </w:rPr>
              <w:t xml:space="preserve">to replicate this </w:t>
            </w:r>
            <w:r w:rsidRPr="00514B21">
              <w:rPr>
                <w:rFonts w:asciiTheme="minorHAnsi" w:hAnsiTheme="minorHAnsi" w:cstheme="minorHAnsi"/>
                <w:sz w:val="22"/>
                <w:szCs w:val="22"/>
              </w:rPr>
              <w:t xml:space="preserve">for </w:t>
            </w:r>
            <w:r w:rsidR="00BB676D" w:rsidRPr="00514B21">
              <w:rPr>
                <w:rFonts w:asciiTheme="minorHAnsi" w:hAnsiTheme="minorHAnsi" w:cstheme="minorHAnsi"/>
                <w:sz w:val="22"/>
                <w:szCs w:val="22"/>
              </w:rPr>
              <w:t xml:space="preserve">every antimicrobial </w:t>
            </w:r>
            <w:r w:rsidRPr="00514B21">
              <w:rPr>
                <w:rFonts w:asciiTheme="minorHAnsi" w:hAnsiTheme="minorHAnsi" w:cstheme="minorHAnsi"/>
                <w:sz w:val="22"/>
                <w:szCs w:val="22"/>
              </w:rPr>
              <w:t xml:space="preserve">evaluation. There are different ways of achieving efficiencies in the process that would shift burden away from </w:t>
            </w:r>
            <w:r w:rsidR="00BB676D" w:rsidRPr="00514B21">
              <w:rPr>
                <w:rFonts w:asciiTheme="minorHAnsi" w:hAnsiTheme="minorHAnsi" w:cstheme="minorHAnsi"/>
                <w:sz w:val="22"/>
                <w:szCs w:val="22"/>
              </w:rPr>
              <w:t>academic groups</w:t>
            </w:r>
            <w:r w:rsidR="00C75D0C" w:rsidRPr="00514B21">
              <w:rPr>
                <w:rFonts w:asciiTheme="minorHAnsi" w:hAnsiTheme="minorHAnsi" w:cstheme="minorHAnsi"/>
                <w:sz w:val="22"/>
                <w:szCs w:val="22"/>
              </w:rPr>
              <w:t xml:space="preserve">, including </w:t>
            </w:r>
            <w:r w:rsidR="00946C50" w:rsidRPr="00514B21">
              <w:rPr>
                <w:rFonts w:asciiTheme="minorHAnsi" w:hAnsiTheme="minorHAnsi" w:cstheme="minorHAnsi"/>
                <w:sz w:val="22"/>
                <w:szCs w:val="22"/>
              </w:rPr>
              <w:t>a more p</w:t>
            </w:r>
            <w:r w:rsidR="00C75D0C" w:rsidRPr="00514B21">
              <w:rPr>
                <w:rFonts w:asciiTheme="minorHAnsi" w:hAnsiTheme="minorHAnsi" w:cstheme="minorHAnsi"/>
                <w:sz w:val="22"/>
                <w:szCs w:val="22"/>
              </w:rPr>
              <w:t>ragmatic approach which uses a points system rather than estimating QALYs</w:t>
            </w:r>
            <w:r w:rsidRPr="00514B21">
              <w:rPr>
                <w:rFonts w:asciiTheme="minorHAnsi" w:hAnsiTheme="minorHAnsi" w:cstheme="minorHAnsi"/>
                <w:sz w:val="22"/>
                <w:szCs w:val="22"/>
              </w:rPr>
              <w:t>.</w:t>
            </w:r>
          </w:p>
          <w:p w14:paraId="73C12742" w14:textId="34A9D018" w:rsidR="008922A5" w:rsidRPr="00514B21" w:rsidRDefault="008922A5" w:rsidP="008261D6">
            <w:pPr>
              <w:rPr>
                <w:rFonts w:asciiTheme="minorHAnsi" w:hAnsiTheme="minorHAnsi" w:cstheme="minorHAnsi"/>
                <w:sz w:val="22"/>
                <w:szCs w:val="22"/>
              </w:rPr>
            </w:pPr>
          </w:p>
        </w:tc>
      </w:tr>
    </w:tbl>
    <w:p w14:paraId="481EE084" w14:textId="77777777" w:rsidR="00D10880" w:rsidRPr="00514B21" w:rsidRDefault="00D10880" w:rsidP="00607BCF">
      <w:pPr>
        <w:rPr>
          <w:rFonts w:asciiTheme="majorHAnsi" w:eastAsiaTheme="majorEastAsia" w:hAnsiTheme="majorHAnsi" w:cstheme="majorBidi"/>
          <w:color w:val="2F5496" w:themeColor="accent1" w:themeShade="BF"/>
          <w:sz w:val="26"/>
          <w:szCs w:val="26"/>
        </w:rPr>
      </w:pPr>
    </w:p>
    <w:bookmarkEnd w:id="1"/>
    <w:p w14:paraId="548B369F" w14:textId="77777777" w:rsidR="00CD6F62" w:rsidRPr="00514B21" w:rsidRDefault="00CD6F62">
      <w:pPr>
        <w:sectPr w:rsidR="00CD6F62" w:rsidRPr="00514B21" w:rsidSect="005E11BF">
          <w:footerReference w:type="default" r:id="rId22"/>
          <w:footerReference w:type="first" r:id="rId23"/>
          <w:pgSz w:w="15840" w:h="12240" w:orient="landscape"/>
          <w:pgMar w:top="1440" w:right="1440" w:bottom="1440" w:left="1440" w:header="720" w:footer="720" w:gutter="0"/>
          <w:cols w:space="720"/>
          <w:titlePg/>
          <w:docGrid w:linePitch="360"/>
        </w:sectPr>
      </w:pPr>
    </w:p>
    <w:p w14:paraId="5F847563" w14:textId="0CAD604E" w:rsidR="00B40473" w:rsidRPr="00E44846" w:rsidRDefault="00B40473" w:rsidP="00E44846">
      <w:pPr>
        <w:pStyle w:val="Heading1"/>
      </w:pPr>
      <w:bookmarkStart w:id="3" w:name="_Hlk92378057"/>
      <w:bookmarkEnd w:id="3"/>
      <w:r w:rsidRPr="00E44846">
        <w:lastRenderedPageBreak/>
        <w:t xml:space="preserve">Appendix </w:t>
      </w:r>
      <w:r w:rsidR="00E44846" w:rsidRPr="00E44846">
        <w:t xml:space="preserve">2 - </w:t>
      </w:r>
      <w:r w:rsidRPr="00E44846">
        <w:t>Verbatim questions presented at the workshop</w:t>
      </w:r>
    </w:p>
    <w:p w14:paraId="77984F99" w14:textId="77777777" w:rsidR="00B40473" w:rsidRPr="00514B21" w:rsidRDefault="00B40473" w:rsidP="005C5F45">
      <w:pPr>
        <w:pStyle w:val="paragraph"/>
        <w:spacing w:before="0" w:beforeAutospacing="0" w:after="0" w:afterAutospacing="0"/>
        <w:textAlignment w:val="baseline"/>
        <w:rPr>
          <w:rStyle w:val="normaltextrun"/>
          <w:rFonts w:asciiTheme="minorHAnsi" w:hAnsiTheme="minorHAnsi" w:cstheme="minorHAnsi"/>
          <w:b/>
          <w:bCs/>
          <w:color w:val="0072C6"/>
          <w:sz w:val="22"/>
          <w:szCs w:val="22"/>
        </w:rPr>
      </w:pPr>
      <w:r w:rsidRPr="00514B21">
        <w:rPr>
          <w:rStyle w:val="normaltextrun"/>
          <w:rFonts w:asciiTheme="minorHAnsi" w:hAnsiTheme="minorHAnsi" w:cstheme="minorHAnsi"/>
          <w:b/>
          <w:bCs/>
          <w:color w:val="0072C6"/>
          <w:sz w:val="22"/>
          <w:szCs w:val="22"/>
        </w:rPr>
        <w:t>Procurement process</w:t>
      </w:r>
    </w:p>
    <w:p w14:paraId="1318F5C2" w14:textId="5F2D94FE" w:rsidR="00B40473" w:rsidRPr="00514B21" w:rsidRDefault="007F4517" w:rsidP="00FD4797">
      <w:pPr>
        <w:pStyle w:val="ListParagraph"/>
        <w:numPr>
          <w:ilvl w:val="0"/>
          <w:numId w:val="8"/>
        </w:numPr>
      </w:pPr>
      <w:r w:rsidRPr="00514B21">
        <w:t>What are your thoughts on the procurement process used for the pilot?</w:t>
      </w:r>
    </w:p>
    <w:p w14:paraId="43E018B6" w14:textId="7D2E39F6" w:rsidR="007F4517" w:rsidRPr="00514B21" w:rsidRDefault="007F4517" w:rsidP="007F4517">
      <w:pPr>
        <w:pStyle w:val="ListParagraph"/>
        <w:numPr>
          <w:ilvl w:val="0"/>
          <w:numId w:val="8"/>
        </w:numPr>
      </w:pPr>
      <w:r w:rsidRPr="00514B21">
        <w:t>Should these elements be retained in the future routine approach?</w:t>
      </w:r>
    </w:p>
    <w:p w14:paraId="1DFFB245" w14:textId="7CB8429A" w:rsidR="007F4517" w:rsidRPr="00514B21" w:rsidRDefault="007F4517" w:rsidP="007F4517">
      <w:pPr>
        <w:pStyle w:val="ListParagraph"/>
        <w:numPr>
          <w:ilvl w:val="0"/>
          <w:numId w:val="8"/>
        </w:numPr>
      </w:pPr>
      <w:r w:rsidRPr="00514B21">
        <w:t>If changes are needed, how should the process be amended?</w:t>
      </w:r>
    </w:p>
    <w:p w14:paraId="12962678" w14:textId="77777777" w:rsidR="00B40473" w:rsidRPr="00514B21" w:rsidRDefault="00B40473" w:rsidP="005C5F45">
      <w:pPr>
        <w:pStyle w:val="paragraph"/>
        <w:spacing w:before="0" w:beforeAutospacing="0" w:after="0" w:afterAutospacing="0"/>
        <w:textAlignment w:val="baseline"/>
        <w:rPr>
          <w:rStyle w:val="normaltextrun"/>
          <w:rFonts w:asciiTheme="minorHAnsi" w:hAnsiTheme="minorHAnsi" w:cstheme="minorHAnsi"/>
          <w:b/>
          <w:bCs/>
          <w:color w:val="0072C6"/>
          <w:sz w:val="22"/>
          <w:szCs w:val="22"/>
        </w:rPr>
      </w:pPr>
      <w:r w:rsidRPr="00514B21">
        <w:rPr>
          <w:rStyle w:val="normaltextrun"/>
          <w:rFonts w:asciiTheme="minorHAnsi" w:hAnsiTheme="minorHAnsi" w:cstheme="minorHAnsi"/>
          <w:b/>
          <w:bCs/>
          <w:color w:val="0072C6"/>
          <w:sz w:val="22"/>
          <w:szCs w:val="22"/>
        </w:rPr>
        <w:t>Model contract</w:t>
      </w:r>
    </w:p>
    <w:p w14:paraId="0F7C5A95" w14:textId="77777777" w:rsidR="007F4517" w:rsidRPr="00514B21" w:rsidRDefault="007F4517" w:rsidP="00FD4797">
      <w:pPr>
        <w:pStyle w:val="ListParagraph"/>
        <w:numPr>
          <w:ilvl w:val="0"/>
          <w:numId w:val="9"/>
        </w:numPr>
      </w:pPr>
      <w:r w:rsidRPr="00514B21">
        <w:t>What are your thoughts on the contract design used for the pilot?</w:t>
      </w:r>
    </w:p>
    <w:p w14:paraId="7F4190B3" w14:textId="77777777" w:rsidR="007F4517" w:rsidRPr="00514B21" w:rsidRDefault="007F4517" w:rsidP="007F4517">
      <w:pPr>
        <w:pStyle w:val="ListParagraph"/>
        <w:numPr>
          <w:ilvl w:val="0"/>
          <w:numId w:val="9"/>
        </w:numPr>
      </w:pPr>
      <w:r w:rsidRPr="00514B21">
        <w:t>Which elements should be retained in the future routine approach?</w:t>
      </w:r>
    </w:p>
    <w:p w14:paraId="04020843" w14:textId="77777777" w:rsidR="007F4517" w:rsidRPr="00514B21" w:rsidRDefault="007F4517" w:rsidP="007F4517">
      <w:pPr>
        <w:pStyle w:val="ListParagraph"/>
        <w:numPr>
          <w:ilvl w:val="0"/>
          <w:numId w:val="9"/>
        </w:numPr>
      </w:pPr>
      <w:r w:rsidRPr="00514B21">
        <w:t>Which elements need amending?</w:t>
      </w:r>
    </w:p>
    <w:p w14:paraId="247FA4A7" w14:textId="77777777" w:rsidR="00B40473" w:rsidRPr="00514B21" w:rsidRDefault="00B40473" w:rsidP="005C5F45">
      <w:pPr>
        <w:pStyle w:val="paragraph"/>
        <w:spacing w:before="0" w:beforeAutospacing="0" w:after="0" w:afterAutospacing="0"/>
        <w:textAlignment w:val="baseline"/>
        <w:rPr>
          <w:rStyle w:val="normaltextrun"/>
          <w:rFonts w:asciiTheme="minorHAnsi" w:hAnsiTheme="minorHAnsi" w:cstheme="minorHAnsi"/>
          <w:b/>
          <w:bCs/>
          <w:color w:val="0072C6"/>
          <w:sz w:val="22"/>
          <w:szCs w:val="22"/>
        </w:rPr>
      </w:pPr>
      <w:r w:rsidRPr="00514B21">
        <w:rPr>
          <w:rStyle w:val="normaltextrun"/>
          <w:rFonts w:asciiTheme="minorHAnsi" w:hAnsiTheme="minorHAnsi" w:cstheme="minorHAnsi"/>
          <w:b/>
          <w:bCs/>
          <w:color w:val="0072C6"/>
          <w:sz w:val="22"/>
          <w:szCs w:val="22"/>
        </w:rPr>
        <w:t>Criteria for selecting the 2 products in the pilot</w:t>
      </w:r>
    </w:p>
    <w:p w14:paraId="695BDD73" w14:textId="7D8024B1" w:rsidR="007F6A7B" w:rsidRPr="00514B21" w:rsidRDefault="007F6A7B" w:rsidP="007F6A7B">
      <w:pPr>
        <w:pStyle w:val="ListParagraph"/>
        <w:numPr>
          <w:ilvl w:val="0"/>
          <w:numId w:val="10"/>
        </w:numPr>
      </w:pPr>
      <w:r w:rsidRPr="00514B21">
        <w:t>What are your thoughts on the selection criteria used for the pilot?</w:t>
      </w:r>
    </w:p>
    <w:p w14:paraId="2DCFD657" w14:textId="2DE5F103" w:rsidR="007F6A7B" w:rsidRPr="00514B21" w:rsidRDefault="007F6A7B" w:rsidP="007F6A7B">
      <w:pPr>
        <w:pStyle w:val="ListParagraph"/>
        <w:numPr>
          <w:ilvl w:val="0"/>
          <w:numId w:val="10"/>
        </w:numPr>
      </w:pPr>
      <w:r w:rsidRPr="00514B21">
        <w:t>Do the criteria need amending for the future routine approach?</w:t>
      </w:r>
    </w:p>
    <w:p w14:paraId="2B619573" w14:textId="77777777" w:rsidR="00B40473" w:rsidRPr="00514B21" w:rsidRDefault="00B40473" w:rsidP="005C5F45">
      <w:pPr>
        <w:pStyle w:val="paragraph"/>
        <w:spacing w:before="0" w:beforeAutospacing="0" w:after="0" w:afterAutospacing="0"/>
        <w:textAlignment w:val="baseline"/>
        <w:rPr>
          <w:rStyle w:val="normaltextrun"/>
          <w:rFonts w:asciiTheme="minorHAnsi" w:hAnsiTheme="minorHAnsi" w:cstheme="minorHAnsi"/>
          <w:b/>
          <w:bCs/>
          <w:color w:val="0072C6"/>
          <w:sz w:val="22"/>
          <w:szCs w:val="22"/>
        </w:rPr>
      </w:pPr>
      <w:r w:rsidRPr="00514B21">
        <w:rPr>
          <w:rStyle w:val="normaltextrun"/>
          <w:rFonts w:asciiTheme="minorHAnsi" w:hAnsiTheme="minorHAnsi" w:cstheme="minorHAnsi"/>
          <w:b/>
          <w:bCs/>
          <w:color w:val="0072C6"/>
          <w:sz w:val="22"/>
          <w:szCs w:val="22"/>
        </w:rPr>
        <w:t>Achieving policy objectives</w:t>
      </w:r>
    </w:p>
    <w:p w14:paraId="59AF2FB9" w14:textId="654C6CA9" w:rsidR="00B40473" w:rsidRPr="00514B21" w:rsidRDefault="007F6A7B" w:rsidP="00FD4797">
      <w:pPr>
        <w:pStyle w:val="ListParagraph"/>
        <w:numPr>
          <w:ilvl w:val="0"/>
          <w:numId w:val="6"/>
        </w:numPr>
      </w:pPr>
      <w:r w:rsidRPr="00514B21">
        <w:t>Does the design of the pilot deliver the intended pull incentive?</w:t>
      </w:r>
      <w:r w:rsidR="00B40473" w:rsidRPr="00514B21">
        <w:t xml:space="preserve"> </w:t>
      </w:r>
    </w:p>
    <w:p w14:paraId="30C6A8F8" w14:textId="235CF895" w:rsidR="00B40473" w:rsidRPr="00514B21" w:rsidRDefault="007F6A7B" w:rsidP="00FD4797">
      <w:pPr>
        <w:pStyle w:val="ListParagraph"/>
        <w:numPr>
          <w:ilvl w:val="0"/>
          <w:numId w:val="6"/>
        </w:numPr>
      </w:pPr>
      <w:r w:rsidRPr="00514B21">
        <w:t>How could the design be amended to better achieve a pull incentive?</w:t>
      </w:r>
    </w:p>
    <w:p w14:paraId="56F0AF77" w14:textId="5AC1FFB4" w:rsidR="00B40473" w:rsidRPr="00514B21" w:rsidRDefault="007F6A7B" w:rsidP="005C5F45">
      <w:pPr>
        <w:pStyle w:val="paragraph"/>
        <w:spacing w:before="0" w:beforeAutospacing="0" w:after="0" w:afterAutospacing="0"/>
        <w:textAlignment w:val="baseline"/>
        <w:rPr>
          <w:rStyle w:val="normaltextrun"/>
          <w:rFonts w:asciiTheme="minorHAnsi" w:hAnsiTheme="minorHAnsi" w:cstheme="minorHAnsi"/>
          <w:b/>
          <w:bCs/>
          <w:color w:val="0072C6"/>
          <w:sz w:val="22"/>
          <w:szCs w:val="22"/>
        </w:rPr>
      </w:pPr>
      <w:r w:rsidRPr="00514B21">
        <w:rPr>
          <w:rStyle w:val="normaltextrun"/>
          <w:rFonts w:asciiTheme="minorHAnsi" w:hAnsiTheme="minorHAnsi" w:cstheme="minorHAnsi"/>
          <w:b/>
          <w:bCs/>
          <w:color w:val="0072C6"/>
          <w:sz w:val="22"/>
          <w:szCs w:val="22"/>
        </w:rPr>
        <w:t>Estimating the value of antimicrobials to the NHS</w:t>
      </w:r>
    </w:p>
    <w:p w14:paraId="6A884570" w14:textId="4A24C06C" w:rsidR="00B40473" w:rsidRPr="00514B21" w:rsidRDefault="007F6A7B" w:rsidP="00FD4797">
      <w:pPr>
        <w:pStyle w:val="ListParagraph"/>
        <w:numPr>
          <w:ilvl w:val="0"/>
          <w:numId w:val="4"/>
        </w:numPr>
      </w:pPr>
      <w:r w:rsidRPr="00514B21">
        <w:t>What are your thoughts on committee’s approach to estimating uncaptured value?</w:t>
      </w:r>
    </w:p>
    <w:p w14:paraId="11AD5900" w14:textId="390C059B" w:rsidR="00B40473" w:rsidRPr="00514B21" w:rsidRDefault="007F6A7B" w:rsidP="00FD4797">
      <w:pPr>
        <w:pStyle w:val="ListParagraph"/>
        <w:numPr>
          <w:ilvl w:val="0"/>
          <w:numId w:val="4"/>
        </w:numPr>
      </w:pPr>
      <w:r w:rsidRPr="00514B21">
        <w:t>What are the most important attributes of value to capture? Quantitatively or qualitatively?</w:t>
      </w:r>
    </w:p>
    <w:p w14:paraId="423C1A75" w14:textId="77777777" w:rsidR="00B40473" w:rsidRPr="00514B21" w:rsidRDefault="00B40473" w:rsidP="005C5F45">
      <w:pPr>
        <w:pStyle w:val="paragraph"/>
        <w:spacing w:before="0" w:beforeAutospacing="0" w:after="0" w:afterAutospacing="0"/>
        <w:textAlignment w:val="baseline"/>
        <w:rPr>
          <w:rStyle w:val="normaltextrun"/>
          <w:rFonts w:asciiTheme="minorHAnsi" w:hAnsiTheme="minorHAnsi" w:cstheme="minorHAnsi"/>
          <w:b/>
          <w:bCs/>
          <w:color w:val="0072C6"/>
          <w:sz w:val="22"/>
          <w:szCs w:val="22"/>
        </w:rPr>
      </w:pPr>
      <w:r w:rsidRPr="00514B21">
        <w:rPr>
          <w:rStyle w:val="normaltextrun"/>
          <w:rFonts w:asciiTheme="minorHAnsi" w:hAnsiTheme="minorHAnsi" w:cstheme="minorHAnsi"/>
          <w:b/>
          <w:bCs/>
          <w:color w:val="0072C6"/>
          <w:sz w:val="22"/>
          <w:szCs w:val="22"/>
        </w:rPr>
        <w:t>Stewardship guidance</w:t>
      </w:r>
    </w:p>
    <w:p w14:paraId="185225F6" w14:textId="48B18E97" w:rsidR="007F6A7B" w:rsidRPr="00514B21" w:rsidRDefault="007F6A7B" w:rsidP="007F6A7B">
      <w:pPr>
        <w:pStyle w:val="ListParagraph"/>
        <w:numPr>
          <w:ilvl w:val="0"/>
          <w:numId w:val="3"/>
        </w:numPr>
      </w:pPr>
      <w:r w:rsidRPr="00514B21">
        <w:t>What are your thoughts on the approach to deriving the stewardship recommendations?</w:t>
      </w:r>
    </w:p>
    <w:p w14:paraId="09012EF8" w14:textId="77D743D4" w:rsidR="007F6A7B" w:rsidRPr="00514B21" w:rsidRDefault="007F6A7B" w:rsidP="007F6A7B">
      <w:pPr>
        <w:pStyle w:val="ListParagraph"/>
        <w:numPr>
          <w:ilvl w:val="0"/>
          <w:numId w:val="3"/>
        </w:numPr>
      </w:pPr>
      <w:r w:rsidRPr="00514B21">
        <w:t>How could the approach to developing stewardship recommendations be improved?</w:t>
      </w:r>
    </w:p>
    <w:p w14:paraId="01E4E439" w14:textId="77777777" w:rsidR="00B40473" w:rsidRPr="00514B21" w:rsidRDefault="00B40473" w:rsidP="005C5F45">
      <w:pPr>
        <w:pStyle w:val="paragraph"/>
        <w:spacing w:before="0" w:beforeAutospacing="0" w:after="0" w:afterAutospacing="0"/>
        <w:textAlignment w:val="baseline"/>
        <w:rPr>
          <w:rStyle w:val="normaltextrun"/>
          <w:rFonts w:asciiTheme="minorHAnsi" w:hAnsiTheme="minorHAnsi" w:cstheme="minorHAnsi"/>
          <w:b/>
          <w:bCs/>
          <w:color w:val="0072C6"/>
          <w:sz w:val="22"/>
          <w:szCs w:val="22"/>
        </w:rPr>
      </w:pPr>
      <w:r w:rsidRPr="00514B21">
        <w:rPr>
          <w:rStyle w:val="normaltextrun"/>
          <w:rFonts w:asciiTheme="minorHAnsi" w:hAnsiTheme="minorHAnsi" w:cstheme="minorHAnsi"/>
          <w:b/>
          <w:bCs/>
          <w:color w:val="0072C6"/>
          <w:sz w:val="22"/>
          <w:szCs w:val="22"/>
        </w:rPr>
        <w:t>Modelling the process on the NICE MTA process</w:t>
      </w:r>
    </w:p>
    <w:p w14:paraId="14A15318" w14:textId="77777777" w:rsidR="007F6A7B" w:rsidRPr="00514B21" w:rsidRDefault="00B40473" w:rsidP="007F6A7B">
      <w:pPr>
        <w:pStyle w:val="ListParagraph"/>
        <w:numPr>
          <w:ilvl w:val="0"/>
          <w:numId w:val="1"/>
        </w:numPr>
      </w:pPr>
      <w:r w:rsidRPr="00514B21">
        <w:t>Was it appropriate to commission the model to an academic group (rather than being company-led)?</w:t>
      </w:r>
    </w:p>
    <w:p w14:paraId="17F3976A" w14:textId="77777777" w:rsidR="007F6A7B" w:rsidRPr="00514B21" w:rsidRDefault="007F6A7B" w:rsidP="007F6A7B">
      <w:pPr>
        <w:pStyle w:val="ListParagraph"/>
        <w:numPr>
          <w:ilvl w:val="0"/>
          <w:numId w:val="1"/>
        </w:numPr>
      </w:pPr>
      <w:r w:rsidRPr="00514B21">
        <w:t xml:space="preserve">Were there sufficient opportunities and time for company and other stakeholder input? </w:t>
      </w:r>
    </w:p>
    <w:p w14:paraId="25964837" w14:textId="0BFD8568" w:rsidR="00B40473" w:rsidRPr="00514B21" w:rsidRDefault="007F6A7B" w:rsidP="007F6A7B">
      <w:pPr>
        <w:pStyle w:val="ListParagraph"/>
        <w:numPr>
          <w:ilvl w:val="0"/>
          <w:numId w:val="1"/>
        </w:numPr>
      </w:pPr>
      <w:r w:rsidRPr="00514B21">
        <w:t>Is the approach used in these evaluations scalable and sustainable?</w:t>
      </w:r>
    </w:p>
    <w:sectPr w:rsidR="00B40473" w:rsidRPr="00514B21" w:rsidSect="0063715E">
      <w:footerReference w:type="defaul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0A93" w14:textId="77777777" w:rsidR="00A76792" w:rsidRDefault="00A76792" w:rsidP="00A85F96">
      <w:pPr>
        <w:spacing w:after="0" w:line="240" w:lineRule="auto"/>
      </w:pPr>
      <w:r>
        <w:separator/>
      </w:r>
    </w:p>
  </w:endnote>
  <w:endnote w:type="continuationSeparator" w:id="0">
    <w:p w14:paraId="0469C9F6" w14:textId="77777777" w:rsidR="00A76792" w:rsidRDefault="00A76792" w:rsidP="00A85F96">
      <w:pPr>
        <w:spacing w:after="0" w:line="240" w:lineRule="auto"/>
      </w:pPr>
      <w:r>
        <w:continuationSeparator/>
      </w:r>
    </w:p>
  </w:endnote>
  <w:endnote w:type="continuationNotice" w:id="1">
    <w:p w14:paraId="5E67181F" w14:textId="77777777" w:rsidR="00A76792" w:rsidRDefault="00A767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HGSMinchoE">
    <w:charset w:val="80"/>
    <w:family w:val="roman"/>
    <w:pitch w:val="variable"/>
    <w:sig w:usb0="E00002FF" w:usb1="2AC7EDFE" w:usb2="00000012"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305972"/>
      <w:docPartObj>
        <w:docPartGallery w:val="Page Numbers (Bottom of Page)"/>
        <w:docPartUnique/>
      </w:docPartObj>
    </w:sdtPr>
    <w:sdtEndPr>
      <w:rPr>
        <w:noProof/>
      </w:rPr>
    </w:sdtEndPr>
    <w:sdtContent>
      <w:p w14:paraId="0C054EB6" w14:textId="0BEFECBD" w:rsidR="00820E3D" w:rsidRDefault="00820E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0AE58A" w14:textId="497AEDE5" w:rsidR="004F59BA" w:rsidRDefault="004F5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805176"/>
      <w:docPartObj>
        <w:docPartGallery w:val="Page Numbers (Bottom of Page)"/>
        <w:docPartUnique/>
      </w:docPartObj>
    </w:sdtPr>
    <w:sdtEndPr>
      <w:rPr>
        <w:noProof/>
      </w:rPr>
    </w:sdtEndPr>
    <w:sdtContent>
      <w:p w14:paraId="3886ACA5" w14:textId="290D92E6" w:rsidR="00820E3D" w:rsidRDefault="00820E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ADC377" w14:textId="713E8D44" w:rsidR="005E11BF" w:rsidRDefault="005E11BF" w:rsidP="00F06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025950"/>
      <w:docPartObj>
        <w:docPartGallery w:val="Page Numbers (Bottom of Page)"/>
        <w:docPartUnique/>
      </w:docPartObj>
    </w:sdtPr>
    <w:sdtEndPr>
      <w:rPr>
        <w:noProof/>
      </w:rPr>
    </w:sdtEndPr>
    <w:sdtContent>
      <w:p w14:paraId="79D7ADAC" w14:textId="001C304D" w:rsidR="00820E3D" w:rsidRDefault="00820E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EEF8F" w14:textId="7F730019" w:rsidR="00043CB5" w:rsidRDefault="00043C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125178"/>
      <w:docPartObj>
        <w:docPartGallery w:val="Page Numbers (Bottom of Page)"/>
        <w:docPartUnique/>
      </w:docPartObj>
    </w:sdtPr>
    <w:sdtEndPr>
      <w:rPr>
        <w:noProof/>
      </w:rPr>
    </w:sdtEndPr>
    <w:sdtContent>
      <w:p w14:paraId="4A3E1BD3" w14:textId="139736AF" w:rsidR="00820E3D" w:rsidRDefault="00820E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76C5C8" w14:textId="4BB718C5" w:rsidR="00F06AE6" w:rsidRDefault="00F06AE6" w:rsidP="00F06A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66C6" w14:textId="77777777" w:rsidR="00043CB5" w:rsidRDefault="00043CB5">
    <w:pPr>
      <w:pStyle w:val="Footer"/>
    </w:pPr>
    <w:r w:rsidRPr="005E5831">
      <w:rPr>
        <w:noProof/>
      </w:rPr>
      <w:drawing>
        <wp:inline distT="0" distB="0" distL="0" distR="0" wp14:anchorId="1E07AD3F" wp14:editId="48318643">
          <wp:extent cx="7560000" cy="248400"/>
          <wp:effectExtent l="0" t="0" r="317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2484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068104"/>
      <w:docPartObj>
        <w:docPartGallery w:val="Page Numbers (Bottom of Page)"/>
        <w:docPartUnique/>
      </w:docPartObj>
    </w:sdtPr>
    <w:sdtEndPr>
      <w:rPr>
        <w:noProof/>
      </w:rPr>
    </w:sdtEndPr>
    <w:sdtContent>
      <w:p w14:paraId="7A1D2130" w14:textId="07E6EA61" w:rsidR="00820E3D" w:rsidRDefault="00820E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5B441" w14:textId="70409EE8" w:rsidR="00F06AE6" w:rsidRDefault="00F06AE6" w:rsidP="00F06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30B6" w14:textId="77777777" w:rsidR="00A76792" w:rsidRDefault="00A76792" w:rsidP="00A85F96">
      <w:pPr>
        <w:spacing w:after="0" w:line="240" w:lineRule="auto"/>
      </w:pPr>
      <w:r>
        <w:separator/>
      </w:r>
    </w:p>
  </w:footnote>
  <w:footnote w:type="continuationSeparator" w:id="0">
    <w:p w14:paraId="081764CE" w14:textId="77777777" w:rsidR="00A76792" w:rsidRDefault="00A76792" w:rsidP="00A85F96">
      <w:pPr>
        <w:spacing w:after="0" w:line="240" w:lineRule="auto"/>
      </w:pPr>
      <w:r>
        <w:continuationSeparator/>
      </w:r>
    </w:p>
  </w:footnote>
  <w:footnote w:type="continuationNotice" w:id="1">
    <w:p w14:paraId="2DA4D2E8" w14:textId="77777777" w:rsidR="00A76792" w:rsidRDefault="00A767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4B1C" w14:textId="6D9FD18F" w:rsidR="00A85F96" w:rsidRDefault="00280206">
    <w:pPr>
      <w:pStyle w:val="Header"/>
    </w:pPr>
    <w:r>
      <w:rPr>
        <w:noProof/>
      </w:rPr>
      <w:drawing>
        <wp:anchor distT="0" distB="0" distL="114300" distR="114300" simplePos="0" relativeHeight="251658241" behindDoc="0" locked="0" layoutInCell="1" allowOverlap="1" wp14:anchorId="2737419A" wp14:editId="575160B6">
          <wp:simplePos x="0" y="0"/>
          <wp:positionH relativeFrom="margin">
            <wp:align>right</wp:align>
          </wp:positionH>
          <wp:positionV relativeFrom="margin">
            <wp:posOffset>-520700</wp:posOffset>
          </wp:positionV>
          <wp:extent cx="892810" cy="359410"/>
          <wp:effectExtent l="0" t="0" r="2540" b="2540"/>
          <wp:wrapSquare wrapText="bothSides"/>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2810" cy="359410"/>
                  </a:xfrm>
                  <a:prstGeom prst="rect">
                    <a:avLst/>
                  </a:prstGeom>
                </pic:spPr>
              </pic:pic>
            </a:graphicData>
          </a:graphic>
        </wp:anchor>
      </w:drawing>
    </w:r>
    <w:r w:rsidR="00A85F96">
      <w:rPr>
        <w:noProof/>
      </w:rPr>
      <w:drawing>
        <wp:anchor distT="0" distB="0" distL="114300" distR="114300" simplePos="0" relativeHeight="251658240" behindDoc="0" locked="0" layoutInCell="1" allowOverlap="1" wp14:anchorId="1C08B70E" wp14:editId="67F80CD7">
          <wp:simplePos x="0" y="0"/>
          <wp:positionH relativeFrom="margin">
            <wp:align>left</wp:align>
          </wp:positionH>
          <wp:positionV relativeFrom="margin">
            <wp:posOffset>-520700</wp:posOffset>
          </wp:positionV>
          <wp:extent cx="2717165" cy="267335"/>
          <wp:effectExtent l="0" t="0" r="6985" b="0"/>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6AA"/>
    <w:multiLevelType w:val="hybridMultilevel"/>
    <w:tmpl w:val="022EEFD6"/>
    <w:lvl w:ilvl="0" w:tplc="8B0CBD38">
      <w:start w:val="1"/>
      <w:numFmt w:val="bullet"/>
      <w:lvlText w:val="-"/>
      <w:lvlJc w:val="left"/>
      <w:pPr>
        <w:ind w:left="360" w:hanging="360"/>
      </w:pPr>
      <w:rPr>
        <w:rFonts w:ascii="Calibri" w:eastAsia="HGSMinchoE"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57C61"/>
    <w:multiLevelType w:val="hybridMultilevel"/>
    <w:tmpl w:val="E628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82ACC"/>
    <w:multiLevelType w:val="hybridMultilevel"/>
    <w:tmpl w:val="2790389A"/>
    <w:lvl w:ilvl="0" w:tplc="7CE4934A">
      <w:numFmt w:val="bullet"/>
      <w:lvlText w:val="-"/>
      <w:lvlJc w:val="left"/>
      <w:pPr>
        <w:ind w:left="720" w:hanging="360"/>
      </w:pPr>
      <w:rPr>
        <w:rFonts w:ascii="Arial" w:eastAsia="HGSMincho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C23CE"/>
    <w:multiLevelType w:val="hybridMultilevel"/>
    <w:tmpl w:val="9A148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64E3D"/>
    <w:multiLevelType w:val="hybridMultilevel"/>
    <w:tmpl w:val="5E08C072"/>
    <w:lvl w:ilvl="0" w:tplc="FFFFFFFF">
      <w:start w:val="1"/>
      <w:numFmt w:val="decimal"/>
      <w:lvlText w:val="%1."/>
      <w:lvlJc w:val="left"/>
      <w:pPr>
        <w:ind w:left="1080" w:hanging="360"/>
      </w:pPr>
      <w:rPr>
        <w:rFonts w:asciiTheme="minorHAnsi" w:hAnsiTheme="minorHAnsi" w:cstheme="minorHAnsi"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ABC4916"/>
    <w:multiLevelType w:val="hybridMultilevel"/>
    <w:tmpl w:val="4AFE4498"/>
    <w:lvl w:ilvl="0" w:tplc="8B0CBD38">
      <w:start w:val="1"/>
      <w:numFmt w:val="bullet"/>
      <w:lvlText w:val="-"/>
      <w:lvlJc w:val="left"/>
      <w:pPr>
        <w:ind w:left="360" w:hanging="360"/>
      </w:pPr>
      <w:rPr>
        <w:rFonts w:ascii="Calibri" w:eastAsia="HGSMinchoE"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7557BB"/>
    <w:multiLevelType w:val="hybridMultilevel"/>
    <w:tmpl w:val="3AFC5FF8"/>
    <w:lvl w:ilvl="0" w:tplc="8B0CBD38">
      <w:start w:val="1"/>
      <w:numFmt w:val="bullet"/>
      <w:lvlText w:val="-"/>
      <w:lvlJc w:val="left"/>
      <w:pPr>
        <w:ind w:left="360" w:hanging="360"/>
      </w:pPr>
      <w:rPr>
        <w:rFonts w:ascii="Calibri" w:eastAsia="HGSMinchoE"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AA617C"/>
    <w:multiLevelType w:val="hybridMultilevel"/>
    <w:tmpl w:val="428A3A78"/>
    <w:lvl w:ilvl="0" w:tplc="8B0CBD38">
      <w:start w:val="1"/>
      <w:numFmt w:val="bullet"/>
      <w:lvlText w:val="-"/>
      <w:lvlJc w:val="left"/>
      <w:pPr>
        <w:ind w:left="360" w:hanging="360"/>
      </w:pPr>
      <w:rPr>
        <w:rFonts w:ascii="Calibri" w:eastAsia="HGSMinchoE"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D36F49"/>
    <w:multiLevelType w:val="hybridMultilevel"/>
    <w:tmpl w:val="E94EEAEC"/>
    <w:lvl w:ilvl="0" w:tplc="636A39FC">
      <w:start w:val="1"/>
      <w:numFmt w:val="bullet"/>
      <w:lvlText w:val="-"/>
      <w:lvlJc w:val="left"/>
      <w:pPr>
        <w:ind w:left="720" w:hanging="360"/>
      </w:pPr>
      <w:rPr>
        <w:rFonts w:ascii="Calibri" w:eastAsia="HGSMinchoE"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D480A"/>
    <w:multiLevelType w:val="hybridMultilevel"/>
    <w:tmpl w:val="C2FCF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20081"/>
    <w:multiLevelType w:val="hybridMultilevel"/>
    <w:tmpl w:val="082CBC4E"/>
    <w:lvl w:ilvl="0" w:tplc="8B0CBD38">
      <w:start w:val="1"/>
      <w:numFmt w:val="bullet"/>
      <w:lvlText w:val="-"/>
      <w:lvlJc w:val="left"/>
      <w:pPr>
        <w:ind w:left="360" w:hanging="360"/>
      </w:pPr>
      <w:rPr>
        <w:rFonts w:ascii="Calibri" w:eastAsia="HGSMinchoE"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0D552C"/>
    <w:multiLevelType w:val="hybridMultilevel"/>
    <w:tmpl w:val="F9DC091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8013516"/>
    <w:multiLevelType w:val="hybridMultilevel"/>
    <w:tmpl w:val="81308C12"/>
    <w:lvl w:ilvl="0" w:tplc="8B0CBD38">
      <w:start w:val="1"/>
      <w:numFmt w:val="bullet"/>
      <w:lvlText w:val="-"/>
      <w:lvlJc w:val="left"/>
      <w:pPr>
        <w:ind w:left="360" w:hanging="360"/>
      </w:pPr>
      <w:rPr>
        <w:rFonts w:ascii="Calibri" w:eastAsia="HGSMinchoE"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02784D"/>
    <w:multiLevelType w:val="hybridMultilevel"/>
    <w:tmpl w:val="FFC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A0B7D"/>
    <w:multiLevelType w:val="hybridMultilevel"/>
    <w:tmpl w:val="EFEA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AC41BD"/>
    <w:multiLevelType w:val="hybridMultilevel"/>
    <w:tmpl w:val="CEFE7EF2"/>
    <w:lvl w:ilvl="0" w:tplc="FFFFFFFF">
      <w:start w:val="1"/>
      <w:numFmt w:val="decimal"/>
      <w:lvlText w:val="%1."/>
      <w:lvlJc w:val="left"/>
      <w:pPr>
        <w:ind w:left="360" w:hanging="360"/>
      </w:pPr>
      <w:rPr>
        <w:rFonts w:asciiTheme="minorHAnsi" w:hAnsiTheme="minorHAnsi" w:cstheme="minorHAnsi"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F6E234C"/>
    <w:multiLevelType w:val="hybridMultilevel"/>
    <w:tmpl w:val="6DB074BA"/>
    <w:lvl w:ilvl="0" w:tplc="90B4F3FA">
      <w:start w:val="1"/>
      <w:numFmt w:val="bullet"/>
      <w:lvlText w:val="-"/>
      <w:lvlJc w:val="left"/>
      <w:pPr>
        <w:ind w:left="720" w:hanging="360"/>
      </w:pPr>
      <w:rPr>
        <w:rFonts w:ascii="Arial" w:eastAsia="HGSMincho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60466"/>
    <w:multiLevelType w:val="hybridMultilevel"/>
    <w:tmpl w:val="D17E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50F23"/>
    <w:multiLevelType w:val="hybridMultilevel"/>
    <w:tmpl w:val="08B0B03A"/>
    <w:lvl w:ilvl="0" w:tplc="F9BA0D3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F56E0B"/>
    <w:multiLevelType w:val="hybridMultilevel"/>
    <w:tmpl w:val="CF50CEF8"/>
    <w:lvl w:ilvl="0" w:tplc="8B0CBD38">
      <w:start w:val="1"/>
      <w:numFmt w:val="bullet"/>
      <w:lvlText w:val="-"/>
      <w:lvlJc w:val="left"/>
      <w:pPr>
        <w:ind w:left="360" w:hanging="360"/>
      </w:pPr>
      <w:rPr>
        <w:rFonts w:ascii="Calibri" w:eastAsia="HGSMinchoE"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8A4D3D"/>
    <w:multiLevelType w:val="hybridMultilevel"/>
    <w:tmpl w:val="A5AE78A6"/>
    <w:lvl w:ilvl="0" w:tplc="8B0CBD38">
      <w:start w:val="1"/>
      <w:numFmt w:val="bullet"/>
      <w:lvlText w:val="-"/>
      <w:lvlJc w:val="left"/>
      <w:pPr>
        <w:ind w:left="360" w:hanging="360"/>
      </w:pPr>
      <w:rPr>
        <w:rFonts w:ascii="Calibri" w:eastAsia="HGSMinchoE"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2541C9"/>
    <w:multiLevelType w:val="hybridMultilevel"/>
    <w:tmpl w:val="08B0B03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7902D8"/>
    <w:multiLevelType w:val="hybridMultilevel"/>
    <w:tmpl w:val="9FFE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F77F5"/>
    <w:multiLevelType w:val="hybridMultilevel"/>
    <w:tmpl w:val="A1C80084"/>
    <w:lvl w:ilvl="0" w:tplc="EE3C167A">
      <w:start w:val="1"/>
      <w:numFmt w:val="decimal"/>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321B9E"/>
    <w:multiLevelType w:val="hybridMultilevel"/>
    <w:tmpl w:val="B1464FCC"/>
    <w:lvl w:ilvl="0" w:tplc="8B0CBD38">
      <w:start w:val="1"/>
      <w:numFmt w:val="bullet"/>
      <w:lvlText w:val="-"/>
      <w:lvlJc w:val="left"/>
      <w:pPr>
        <w:ind w:left="360" w:hanging="360"/>
      </w:pPr>
      <w:rPr>
        <w:rFonts w:ascii="Calibri" w:eastAsia="HGSMinchoE"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FD7107"/>
    <w:multiLevelType w:val="hybridMultilevel"/>
    <w:tmpl w:val="CEFE7EF2"/>
    <w:lvl w:ilvl="0" w:tplc="FFFFFFFF">
      <w:start w:val="1"/>
      <w:numFmt w:val="decimal"/>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1C254B"/>
    <w:multiLevelType w:val="hybridMultilevel"/>
    <w:tmpl w:val="D4A459D0"/>
    <w:lvl w:ilvl="0" w:tplc="8B0CBD38">
      <w:start w:val="1"/>
      <w:numFmt w:val="bullet"/>
      <w:lvlText w:val="-"/>
      <w:lvlJc w:val="left"/>
      <w:pPr>
        <w:ind w:left="360" w:hanging="360"/>
      </w:pPr>
      <w:rPr>
        <w:rFonts w:ascii="Calibri" w:eastAsia="HGSMinchoE"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DD1973"/>
    <w:multiLevelType w:val="hybridMultilevel"/>
    <w:tmpl w:val="7BA03B8E"/>
    <w:lvl w:ilvl="0" w:tplc="B14886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2136AB"/>
    <w:multiLevelType w:val="hybridMultilevel"/>
    <w:tmpl w:val="21506FBA"/>
    <w:lvl w:ilvl="0" w:tplc="9DB83E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2365AE"/>
    <w:multiLevelType w:val="hybridMultilevel"/>
    <w:tmpl w:val="3AE8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EA3D59"/>
    <w:multiLevelType w:val="hybridMultilevel"/>
    <w:tmpl w:val="638EC264"/>
    <w:lvl w:ilvl="0" w:tplc="8B0CBD38">
      <w:start w:val="1"/>
      <w:numFmt w:val="bullet"/>
      <w:lvlText w:val="-"/>
      <w:lvlJc w:val="left"/>
      <w:pPr>
        <w:ind w:left="360" w:hanging="360"/>
      </w:pPr>
      <w:rPr>
        <w:rFonts w:ascii="Calibri" w:eastAsia="HGSMinchoE"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D01385B"/>
    <w:multiLevelType w:val="hybridMultilevel"/>
    <w:tmpl w:val="482C3EB8"/>
    <w:lvl w:ilvl="0" w:tplc="0FF0CC32">
      <w:start w:val="1"/>
      <w:numFmt w:val="bullet"/>
      <w:lvlText w:val="-"/>
      <w:lvlJc w:val="left"/>
      <w:pPr>
        <w:ind w:left="720" w:hanging="360"/>
      </w:pPr>
      <w:rPr>
        <w:rFonts w:ascii="Calibri" w:eastAsia="HGSMinchoE"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2C5CCB"/>
    <w:multiLevelType w:val="hybridMultilevel"/>
    <w:tmpl w:val="618CCDC4"/>
    <w:lvl w:ilvl="0" w:tplc="8B0CBD38">
      <w:start w:val="1"/>
      <w:numFmt w:val="bullet"/>
      <w:lvlText w:val="-"/>
      <w:lvlJc w:val="left"/>
      <w:pPr>
        <w:ind w:left="720" w:hanging="360"/>
      </w:pPr>
      <w:rPr>
        <w:rFonts w:ascii="Calibri" w:eastAsia="HGSMinchoE"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45EA0"/>
    <w:multiLevelType w:val="hybridMultilevel"/>
    <w:tmpl w:val="CDF01808"/>
    <w:lvl w:ilvl="0" w:tplc="FFFFFFFF">
      <w:start w:val="1"/>
      <w:numFmt w:val="decimal"/>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1865F0"/>
    <w:multiLevelType w:val="hybridMultilevel"/>
    <w:tmpl w:val="F078BDEE"/>
    <w:lvl w:ilvl="0" w:tplc="8B0CBD38">
      <w:start w:val="1"/>
      <w:numFmt w:val="bullet"/>
      <w:lvlText w:val="-"/>
      <w:lvlJc w:val="left"/>
      <w:pPr>
        <w:ind w:left="360" w:hanging="360"/>
      </w:pPr>
      <w:rPr>
        <w:rFonts w:ascii="Calibri" w:eastAsia="HGSMinchoE"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980CEA"/>
    <w:multiLevelType w:val="hybridMultilevel"/>
    <w:tmpl w:val="A000C8B6"/>
    <w:lvl w:ilvl="0" w:tplc="7E341952">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1371C6"/>
    <w:multiLevelType w:val="hybridMultilevel"/>
    <w:tmpl w:val="F9DC091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205535"/>
    <w:multiLevelType w:val="hybridMultilevel"/>
    <w:tmpl w:val="59A0E2EC"/>
    <w:lvl w:ilvl="0" w:tplc="23A243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B62190"/>
    <w:multiLevelType w:val="hybridMultilevel"/>
    <w:tmpl w:val="6964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23331"/>
    <w:multiLevelType w:val="hybridMultilevel"/>
    <w:tmpl w:val="4C2C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D322BD"/>
    <w:multiLevelType w:val="hybridMultilevel"/>
    <w:tmpl w:val="A1C80084"/>
    <w:lvl w:ilvl="0" w:tplc="FFFFFFFF">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2E1DA8"/>
    <w:multiLevelType w:val="hybridMultilevel"/>
    <w:tmpl w:val="349235AA"/>
    <w:lvl w:ilvl="0" w:tplc="AB1E18F8">
      <w:numFmt w:val="bullet"/>
      <w:lvlText w:val=""/>
      <w:lvlJc w:val="left"/>
      <w:pPr>
        <w:ind w:left="720" w:hanging="360"/>
      </w:pPr>
      <w:rPr>
        <w:rFonts w:ascii="Calibri" w:eastAsia="HGSMinchoE"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71567A"/>
    <w:multiLevelType w:val="hybridMultilevel"/>
    <w:tmpl w:val="CDF01808"/>
    <w:lvl w:ilvl="0" w:tplc="FFFFFFFF">
      <w:start w:val="1"/>
      <w:numFmt w:val="decimal"/>
      <w:lvlText w:val="%1."/>
      <w:lvlJc w:val="left"/>
      <w:pPr>
        <w:ind w:left="360" w:hanging="360"/>
      </w:pPr>
      <w:rPr>
        <w:rFonts w:asciiTheme="minorHAnsi" w:hAnsiTheme="minorHAnsi" w:cstheme="minorHAnsi"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F6B3307"/>
    <w:multiLevelType w:val="hybridMultilevel"/>
    <w:tmpl w:val="9E8A7E0C"/>
    <w:lvl w:ilvl="0" w:tplc="8B0CBD38">
      <w:start w:val="1"/>
      <w:numFmt w:val="bullet"/>
      <w:lvlText w:val="-"/>
      <w:lvlJc w:val="left"/>
      <w:pPr>
        <w:ind w:left="360" w:hanging="360"/>
      </w:pPr>
      <w:rPr>
        <w:rFonts w:ascii="Calibri" w:eastAsia="HGSMinchoE"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FDA59C2"/>
    <w:multiLevelType w:val="hybridMultilevel"/>
    <w:tmpl w:val="AFD6180E"/>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0C57DFF"/>
    <w:multiLevelType w:val="hybridMultilevel"/>
    <w:tmpl w:val="CB96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5769C7"/>
    <w:multiLevelType w:val="hybridMultilevel"/>
    <w:tmpl w:val="862816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5322182">
    <w:abstractNumId w:val="45"/>
  </w:num>
  <w:num w:numId="2" w16cid:durableId="343703189">
    <w:abstractNumId w:val="38"/>
  </w:num>
  <w:num w:numId="3" w16cid:durableId="78063441">
    <w:abstractNumId w:val="39"/>
  </w:num>
  <w:num w:numId="4" w16cid:durableId="2127844672">
    <w:abstractNumId w:val="9"/>
  </w:num>
  <w:num w:numId="5" w16cid:durableId="16011607">
    <w:abstractNumId w:val="17"/>
  </w:num>
  <w:num w:numId="6" w16cid:durableId="83310544">
    <w:abstractNumId w:val="29"/>
  </w:num>
  <w:num w:numId="7" w16cid:durableId="1602836549">
    <w:abstractNumId w:val="3"/>
  </w:num>
  <w:num w:numId="8" w16cid:durableId="1018040759">
    <w:abstractNumId w:val="13"/>
  </w:num>
  <w:num w:numId="9" w16cid:durableId="523785856">
    <w:abstractNumId w:val="14"/>
  </w:num>
  <w:num w:numId="10" w16cid:durableId="1799251412">
    <w:abstractNumId w:val="22"/>
  </w:num>
  <w:num w:numId="11" w16cid:durableId="1118527741">
    <w:abstractNumId w:val="35"/>
  </w:num>
  <w:num w:numId="12" w16cid:durableId="1998990734">
    <w:abstractNumId w:val="2"/>
  </w:num>
  <w:num w:numId="13" w16cid:durableId="1407995979">
    <w:abstractNumId w:val="27"/>
  </w:num>
  <w:num w:numId="14" w16cid:durableId="517083292">
    <w:abstractNumId w:val="8"/>
  </w:num>
  <w:num w:numId="15" w16cid:durableId="2057120958">
    <w:abstractNumId w:val="16"/>
  </w:num>
  <w:num w:numId="16" w16cid:durableId="1012683395">
    <w:abstractNumId w:val="31"/>
  </w:num>
  <w:num w:numId="17" w16cid:durableId="1218473756">
    <w:abstractNumId w:val="18"/>
  </w:num>
  <w:num w:numId="18" w16cid:durableId="1867214305">
    <w:abstractNumId w:val="43"/>
  </w:num>
  <w:num w:numId="19" w16cid:durableId="1907061832">
    <w:abstractNumId w:val="41"/>
  </w:num>
  <w:num w:numId="20" w16cid:durableId="1823621514">
    <w:abstractNumId w:val="46"/>
  </w:num>
  <w:num w:numId="21" w16cid:durableId="1056513803">
    <w:abstractNumId w:val="44"/>
  </w:num>
  <w:num w:numId="22" w16cid:durableId="1765222168">
    <w:abstractNumId w:val="23"/>
  </w:num>
  <w:num w:numId="23" w16cid:durableId="1784111598">
    <w:abstractNumId w:val="40"/>
  </w:num>
  <w:num w:numId="24" w16cid:durableId="518471027">
    <w:abstractNumId w:val="33"/>
  </w:num>
  <w:num w:numId="25" w16cid:durableId="418870975">
    <w:abstractNumId w:val="25"/>
  </w:num>
  <w:num w:numId="26" w16cid:durableId="89588181">
    <w:abstractNumId w:val="42"/>
  </w:num>
  <w:num w:numId="27" w16cid:durableId="1549875776">
    <w:abstractNumId w:val="15"/>
  </w:num>
  <w:num w:numId="28" w16cid:durableId="20128226">
    <w:abstractNumId w:val="4"/>
  </w:num>
  <w:num w:numId="29" w16cid:durableId="631639108">
    <w:abstractNumId w:val="37"/>
  </w:num>
  <w:num w:numId="30" w16cid:durableId="971519900">
    <w:abstractNumId w:val="6"/>
  </w:num>
  <w:num w:numId="31" w16cid:durableId="1592665668">
    <w:abstractNumId w:val="30"/>
  </w:num>
  <w:num w:numId="32" w16cid:durableId="1591163022">
    <w:abstractNumId w:val="32"/>
  </w:num>
  <w:num w:numId="33" w16cid:durableId="1511990937">
    <w:abstractNumId w:val="24"/>
  </w:num>
  <w:num w:numId="34" w16cid:durableId="1009336973">
    <w:abstractNumId w:val="36"/>
  </w:num>
  <w:num w:numId="35" w16cid:durableId="1837989167">
    <w:abstractNumId w:val="11"/>
  </w:num>
  <w:num w:numId="36" w16cid:durableId="1272712794">
    <w:abstractNumId w:val="21"/>
  </w:num>
  <w:num w:numId="37" w16cid:durableId="640884463">
    <w:abstractNumId w:val="5"/>
  </w:num>
  <w:num w:numId="38" w16cid:durableId="957950497">
    <w:abstractNumId w:val="12"/>
  </w:num>
  <w:num w:numId="39" w16cid:durableId="717048194">
    <w:abstractNumId w:val="19"/>
  </w:num>
  <w:num w:numId="40" w16cid:durableId="780341961">
    <w:abstractNumId w:val="10"/>
  </w:num>
  <w:num w:numId="41" w16cid:durableId="376127427">
    <w:abstractNumId w:val="34"/>
  </w:num>
  <w:num w:numId="42" w16cid:durableId="182476216">
    <w:abstractNumId w:val="0"/>
  </w:num>
  <w:num w:numId="43" w16cid:durableId="135340406">
    <w:abstractNumId w:val="7"/>
  </w:num>
  <w:num w:numId="44" w16cid:durableId="1336377184">
    <w:abstractNumId w:val="1"/>
  </w:num>
  <w:num w:numId="45" w16cid:durableId="188103550">
    <w:abstractNumId w:val="26"/>
  </w:num>
  <w:num w:numId="46" w16cid:durableId="1363749452">
    <w:abstractNumId w:val="20"/>
  </w:num>
  <w:num w:numId="47" w16cid:durableId="894007960">
    <w:abstractNumId w:val="28"/>
  </w:num>
  <w:num w:numId="48" w16cid:durableId="10200822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2B48A5"/>
    <w:rsid w:val="00001C9E"/>
    <w:rsid w:val="00003C33"/>
    <w:rsid w:val="00003D97"/>
    <w:rsid w:val="00005CD1"/>
    <w:rsid w:val="0000752F"/>
    <w:rsid w:val="00011177"/>
    <w:rsid w:val="000145D1"/>
    <w:rsid w:val="0001530A"/>
    <w:rsid w:val="00015C8B"/>
    <w:rsid w:val="00015F9E"/>
    <w:rsid w:val="00020341"/>
    <w:rsid w:val="00021839"/>
    <w:rsid w:val="00022DD0"/>
    <w:rsid w:val="00023464"/>
    <w:rsid w:val="000252FB"/>
    <w:rsid w:val="000253FA"/>
    <w:rsid w:val="0002703E"/>
    <w:rsid w:val="00027AE7"/>
    <w:rsid w:val="00031F5A"/>
    <w:rsid w:val="000351FC"/>
    <w:rsid w:val="00042D26"/>
    <w:rsid w:val="00043898"/>
    <w:rsid w:val="00043CB5"/>
    <w:rsid w:val="00044AB6"/>
    <w:rsid w:val="00045013"/>
    <w:rsid w:val="0004588C"/>
    <w:rsid w:val="0005082A"/>
    <w:rsid w:val="00053FCA"/>
    <w:rsid w:val="00054289"/>
    <w:rsid w:val="00054394"/>
    <w:rsid w:val="00055602"/>
    <w:rsid w:val="00057981"/>
    <w:rsid w:val="00063168"/>
    <w:rsid w:val="000651AA"/>
    <w:rsid w:val="00067BE2"/>
    <w:rsid w:val="000701A0"/>
    <w:rsid w:val="000705D8"/>
    <w:rsid w:val="0007097A"/>
    <w:rsid w:val="00071E1A"/>
    <w:rsid w:val="00072B3B"/>
    <w:rsid w:val="00074A47"/>
    <w:rsid w:val="0007533A"/>
    <w:rsid w:val="00075B58"/>
    <w:rsid w:val="00076874"/>
    <w:rsid w:val="000769FE"/>
    <w:rsid w:val="00077447"/>
    <w:rsid w:val="00077C2A"/>
    <w:rsid w:val="00081B7C"/>
    <w:rsid w:val="000844E4"/>
    <w:rsid w:val="00084651"/>
    <w:rsid w:val="00084FBD"/>
    <w:rsid w:val="000857DE"/>
    <w:rsid w:val="00087896"/>
    <w:rsid w:val="0009013E"/>
    <w:rsid w:val="00092909"/>
    <w:rsid w:val="00096520"/>
    <w:rsid w:val="0009769C"/>
    <w:rsid w:val="000A0983"/>
    <w:rsid w:val="000A1CD9"/>
    <w:rsid w:val="000A306E"/>
    <w:rsid w:val="000B05E3"/>
    <w:rsid w:val="000B0FFE"/>
    <w:rsid w:val="000B10B5"/>
    <w:rsid w:val="000B40B5"/>
    <w:rsid w:val="000B6145"/>
    <w:rsid w:val="000B65AC"/>
    <w:rsid w:val="000B698D"/>
    <w:rsid w:val="000C089F"/>
    <w:rsid w:val="000C096F"/>
    <w:rsid w:val="000C168C"/>
    <w:rsid w:val="000C3228"/>
    <w:rsid w:val="000C5912"/>
    <w:rsid w:val="000C77EE"/>
    <w:rsid w:val="000D1E16"/>
    <w:rsid w:val="000D36E9"/>
    <w:rsid w:val="000D3D97"/>
    <w:rsid w:val="000D3EC9"/>
    <w:rsid w:val="000E0D92"/>
    <w:rsid w:val="000E63A1"/>
    <w:rsid w:val="000F18B0"/>
    <w:rsid w:val="000F57AE"/>
    <w:rsid w:val="000F5D51"/>
    <w:rsid w:val="000F5FD2"/>
    <w:rsid w:val="000F5FFF"/>
    <w:rsid w:val="000F774E"/>
    <w:rsid w:val="00101229"/>
    <w:rsid w:val="00102B47"/>
    <w:rsid w:val="00103E75"/>
    <w:rsid w:val="001143B7"/>
    <w:rsid w:val="00114875"/>
    <w:rsid w:val="00115E43"/>
    <w:rsid w:val="00117F71"/>
    <w:rsid w:val="001226CA"/>
    <w:rsid w:val="001235DC"/>
    <w:rsid w:val="00123C76"/>
    <w:rsid w:val="001245C8"/>
    <w:rsid w:val="0012462C"/>
    <w:rsid w:val="00124FCB"/>
    <w:rsid w:val="0012628A"/>
    <w:rsid w:val="00126F7F"/>
    <w:rsid w:val="00130A0A"/>
    <w:rsid w:val="001332DE"/>
    <w:rsid w:val="0013726F"/>
    <w:rsid w:val="00137BD9"/>
    <w:rsid w:val="001416B3"/>
    <w:rsid w:val="001472BF"/>
    <w:rsid w:val="0015353B"/>
    <w:rsid w:val="00153FC2"/>
    <w:rsid w:val="0015449B"/>
    <w:rsid w:val="00154ABC"/>
    <w:rsid w:val="001561C6"/>
    <w:rsid w:val="00156E82"/>
    <w:rsid w:val="00157B97"/>
    <w:rsid w:val="00160E34"/>
    <w:rsid w:val="00163622"/>
    <w:rsid w:val="001637C0"/>
    <w:rsid w:val="00164603"/>
    <w:rsid w:val="00164F4F"/>
    <w:rsid w:val="001657BA"/>
    <w:rsid w:val="00173111"/>
    <w:rsid w:val="00173E5D"/>
    <w:rsid w:val="001745BE"/>
    <w:rsid w:val="00176341"/>
    <w:rsid w:val="00176957"/>
    <w:rsid w:val="0018041B"/>
    <w:rsid w:val="00181354"/>
    <w:rsid w:val="00181C33"/>
    <w:rsid w:val="0018274A"/>
    <w:rsid w:val="00186962"/>
    <w:rsid w:val="00196551"/>
    <w:rsid w:val="0019659D"/>
    <w:rsid w:val="00196A2E"/>
    <w:rsid w:val="001A2F14"/>
    <w:rsid w:val="001A5AF3"/>
    <w:rsid w:val="001A7C9B"/>
    <w:rsid w:val="001A7E83"/>
    <w:rsid w:val="001B1ADB"/>
    <w:rsid w:val="001B2DAC"/>
    <w:rsid w:val="001B3983"/>
    <w:rsid w:val="001B3DE9"/>
    <w:rsid w:val="001B5613"/>
    <w:rsid w:val="001B7A2A"/>
    <w:rsid w:val="001C1C5C"/>
    <w:rsid w:val="001C49C7"/>
    <w:rsid w:val="001C71DD"/>
    <w:rsid w:val="001D17AF"/>
    <w:rsid w:val="001D33D5"/>
    <w:rsid w:val="001D350F"/>
    <w:rsid w:val="001D6678"/>
    <w:rsid w:val="001D6ACE"/>
    <w:rsid w:val="001E0EA6"/>
    <w:rsid w:val="001E12DF"/>
    <w:rsid w:val="001E1B4F"/>
    <w:rsid w:val="001E43D7"/>
    <w:rsid w:val="001E59B9"/>
    <w:rsid w:val="001E6BF4"/>
    <w:rsid w:val="001E7753"/>
    <w:rsid w:val="001F12E7"/>
    <w:rsid w:val="001F1618"/>
    <w:rsid w:val="001F1DC8"/>
    <w:rsid w:val="001F2932"/>
    <w:rsid w:val="001F312C"/>
    <w:rsid w:val="001F3953"/>
    <w:rsid w:val="001F4C1F"/>
    <w:rsid w:val="001F7596"/>
    <w:rsid w:val="001F78C5"/>
    <w:rsid w:val="001F7A84"/>
    <w:rsid w:val="002017A1"/>
    <w:rsid w:val="00201C37"/>
    <w:rsid w:val="00202B7B"/>
    <w:rsid w:val="00206412"/>
    <w:rsid w:val="00211FFB"/>
    <w:rsid w:val="002133D3"/>
    <w:rsid w:val="002141F9"/>
    <w:rsid w:val="00214C8B"/>
    <w:rsid w:val="00216488"/>
    <w:rsid w:val="00216C0D"/>
    <w:rsid w:val="00223E42"/>
    <w:rsid w:val="002242DD"/>
    <w:rsid w:val="00224E5F"/>
    <w:rsid w:val="00225E24"/>
    <w:rsid w:val="00227A32"/>
    <w:rsid w:val="002329F1"/>
    <w:rsid w:val="00232A65"/>
    <w:rsid w:val="00233B8B"/>
    <w:rsid w:val="002350F1"/>
    <w:rsid w:val="002356D6"/>
    <w:rsid w:val="00237BCC"/>
    <w:rsid w:val="00237D89"/>
    <w:rsid w:val="002405E4"/>
    <w:rsid w:val="00241BC5"/>
    <w:rsid w:val="002465B1"/>
    <w:rsid w:val="002468F1"/>
    <w:rsid w:val="00246E27"/>
    <w:rsid w:val="002504AF"/>
    <w:rsid w:val="002534F1"/>
    <w:rsid w:val="002536E1"/>
    <w:rsid w:val="00253E0E"/>
    <w:rsid w:val="00254532"/>
    <w:rsid w:val="00256F7F"/>
    <w:rsid w:val="00257396"/>
    <w:rsid w:val="00263A24"/>
    <w:rsid w:val="00264826"/>
    <w:rsid w:val="002651A4"/>
    <w:rsid w:val="00267341"/>
    <w:rsid w:val="00270D0F"/>
    <w:rsid w:val="00271E49"/>
    <w:rsid w:val="00273A57"/>
    <w:rsid w:val="00276980"/>
    <w:rsid w:val="00277241"/>
    <w:rsid w:val="00277450"/>
    <w:rsid w:val="00280206"/>
    <w:rsid w:val="00282319"/>
    <w:rsid w:val="0028343E"/>
    <w:rsid w:val="0028365A"/>
    <w:rsid w:val="00284B0C"/>
    <w:rsid w:val="00285A02"/>
    <w:rsid w:val="0028639A"/>
    <w:rsid w:val="00286BDC"/>
    <w:rsid w:val="00293E9A"/>
    <w:rsid w:val="00294182"/>
    <w:rsid w:val="002960AF"/>
    <w:rsid w:val="002A068E"/>
    <w:rsid w:val="002A0FE0"/>
    <w:rsid w:val="002A3CDC"/>
    <w:rsid w:val="002A4720"/>
    <w:rsid w:val="002A4A49"/>
    <w:rsid w:val="002A5553"/>
    <w:rsid w:val="002A65BE"/>
    <w:rsid w:val="002B1056"/>
    <w:rsid w:val="002B1693"/>
    <w:rsid w:val="002B4174"/>
    <w:rsid w:val="002B5A79"/>
    <w:rsid w:val="002B5DC1"/>
    <w:rsid w:val="002B63D0"/>
    <w:rsid w:val="002B6EA4"/>
    <w:rsid w:val="002C0425"/>
    <w:rsid w:val="002C0F20"/>
    <w:rsid w:val="002C2409"/>
    <w:rsid w:val="002C30F5"/>
    <w:rsid w:val="002C4262"/>
    <w:rsid w:val="002C44BE"/>
    <w:rsid w:val="002C4FE9"/>
    <w:rsid w:val="002D0A1E"/>
    <w:rsid w:val="002D2D76"/>
    <w:rsid w:val="002D331D"/>
    <w:rsid w:val="002D6C0C"/>
    <w:rsid w:val="002D6E12"/>
    <w:rsid w:val="002D77FF"/>
    <w:rsid w:val="002D78DE"/>
    <w:rsid w:val="002E13E9"/>
    <w:rsid w:val="002E1A92"/>
    <w:rsid w:val="002E2ED3"/>
    <w:rsid w:val="002E521A"/>
    <w:rsid w:val="002E620B"/>
    <w:rsid w:val="002E69B7"/>
    <w:rsid w:val="002E78C3"/>
    <w:rsid w:val="002F02BE"/>
    <w:rsid w:val="002F03FB"/>
    <w:rsid w:val="002F2D85"/>
    <w:rsid w:val="002F2F3F"/>
    <w:rsid w:val="002F39C7"/>
    <w:rsid w:val="002F4FFA"/>
    <w:rsid w:val="002F5379"/>
    <w:rsid w:val="002F62DF"/>
    <w:rsid w:val="002F7811"/>
    <w:rsid w:val="00300267"/>
    <w:rsid w:val="00300F6C"/>
    <w:rsid w:val="00301910"/>
    <w:rsid w:val="003068A3"/>
    <w:rsid w:val="003112C8"/>
    <w:rsid w:val="003133D4"/>
    <w:rsid w:val="00314683"/>
    <w:rsid w:val="00317722"/>
    <w:rsid w:val="00321D58"/>
    <w:rsid w:val="00321F6B"/>
    <w:rsid w:val="003246E1"/>
    <w:rsid w:val="00324D69"/>
    <w:rsid w:val="00325E34"/>
    <w:rsid w:val="00327967"/>
    <w:rsid w:val="0033178E"/>
    <w:rsid w:val="00331B36"/>
    <w:rsid w:val="003369B3"/>
    <w:rsid w:val="00336E4C"/>
    <w:rsid w:val="00337C08"/>
    <w:rsid w:val="00341730"/>
    <w:rsid w:val="003446EC"/>
    <w:rsid w:val="00345F95"/>
    <w:rsid w:val="003502EB"/>
    <w:rsid w:val="003503BC"/>
    <w:rsid w:val="00354C44"/>
    <w:rsid w:val="00355738"/>
    <w:rsid w:val="003606BF"/>
    <w:rsid w:val="00364904"/>
    <w:rsid w:val="00365D8B"/>
    <w:rsid w:val="00373F28"/>
    <w:rsid w:val="00374DB0"/>
    <w:rsid w:val="00375031"/>
    <w:rsid w:val="003827AD"/>
    <w:rsid w:val="00382F7D"/>
    <w:rsid w:val="00385118"/>
    <w:rsid w:val="00385BBA"/>
    <w:rsid w:val="0039177F"/>
    <w:rsid w:val="00393340"/>
    <w:rsid w:val="003934DB"/>
    <w:rsid w:val="00393617"/>
    <w:rsid w:val="003951BB"/>
    <w:rsid w:val="003A20B2"/>
    <w:rsid w:val="003A3411"/>
    <w:rsid w:val="003A4CBD"/>
    <w:rsid w:val="003A5A7A"/>
    <w:rsid w:val="003A5E1E"/>
    <w:rsid w:val="003B192C"/>
    <w:rsid w:val="003B2E21"/>
    <w:rsid w:val="003B3C97"/>
    <w:rsid w:val="003B4546"/>
    <w:rsid w:val="003B4785"/>
    <w:rsid w:val="003B47F9"/>
    <w:rsid w:val="003B508C"/>
    <w:rsid w:val="003B5446"/>
    <w:rsid w:val="003B674E"/>
    <w:rsid w:val="003C46AE"/>
    <w:rsid w:val="003C6701"/>
    <w:rsid w:val="003D1110"/>
    <w:rsid w:val="003D146A"/>
    <w:rsid w:val="003D1B65"/>
    <w:rsid w:val="003D1BD1"/>
    <w:rsid w:val="003D24DA"/>
    <w:rsid w:val="003D2747"/>
    <w:rsid w:val="003D31F8"/>
    <w:rsid w:val="003D4919"/>
    <w:rsid w:val="003D6A6E"/>
    <w:rsid w:val="003D7744"/>
    <w:rsid w:val="003E03C6"/>
    <w:rsid w:val="003E2242"/>
    <w:rsid w:val="003E28D9"/>
    <w:rsid w:val="003E3641"/>
    <w:rsid w:val="003E5CDE"/>
    <w:rsid w:val="003E7BA2"/>
    <w:rsid w:val="003F0C86"/>
    <w:rsid w:val="003F138A"/>
    <w:rsid w:val="003F3175"/>
    <w:rsid w:val="003F3629"/>
    <w:rsid w:val="003F38F3"/>
    <w:rsid w:val="003F4A69"/>
    <w:rsid w:val="00401941"/>
    <w:rsid w:val="00401B05"/>
    <w:rsid w:val="00402C18"/>
    <w:rsid w:val="004034EB"/>
    <w:rsid w:val="00405B3A"/>
    <w:rsid w:val="00410816"/>
    <w:rsid w:val="004149CA"/>
    <w:rsid w:val="00415578"/>
    <w:rsid w:val="00416A17"/>
    <w:rsid w:val="00417D80"/>
    <w:rsid w:val="00420013"/>
    <w:rsid w:val="004210D1"/>
    <w:rsid w:val="004217B5"/>
    <w:rsid w:val="00424772"/>
    <w:rsid w:val="00424B73"/>
    <w:rsid w:val="0042593D"/>
    <w:rsid w:val="00425AA3"/>
    <w:rsid w:val="00425F93"/>
    <w:rsid w:val="0042622D"/>
    <w:rsid w:val="00427B9D"/>
    <w:rsid w:val="00427C55"/>
    <w:rsid w:val="00427C65"/>
    <w:rsid w:val="00430432"/>
    <w:rsid w:val="00437EC5"/>
    <w:rsid w:val="00441AAF"/>
    <w:rsid w:val="00443F95"/>
    <w:rsid w:val="00444774"/>
    <w:rsid w:val="00445227"/>
    <w:rsid w:val="00447B1F"/>
    <w:rsid w:val="004504BD"/>
    <w:rsid w:val="00450C1E"/>
    <w:rsid w:val="00454D0B"/>
    <w:rsid w:val="00455EB1"/>
    <w:rsid w:val="004612F5"/>
    <w:rsid w:val="00466EEB"/>
    <w:rsid w:val="00467B14"/>
    <w:rsid w:val="00470D8A"/>
    <w:rsid w:val="00471853"/>
    <w:rsid w:val="00471EA0"/>
    <w:rsid w:val="00473DA3"/>
    <w:rsid w:val="004751D2"/>
    <w:rsid w:val="00475C76"/>
    <w:rsid w:val="004800C1"/>
    <w:rsid w:val="00480AF2"/>
    <w:rsid w:val="00481381"/>
    <w:rsid w:val="0048204F"/>
    <w:rsid w:val="0048470E"/>
    <w:rsid w:val="00484BD2"/>
    <w:rsid w:val="00484C2D"/>
    <w:rsid w:val="00485680"/>
    <w:rsid w:val="004856FB"/>
    <w:rsid w:val="00486FA2"/>
    <w:rsid w:val="00491FEF"/>
    <w:rsid w:val="00496DE2"/>
    <w:rsid w:val="004A07F2"/>
    <w:rsid w:val="004A3709"/>
    <w:rsid w:val="004A4B4A"/>
    <w:rsid w:val="004A5407"/>
    <w:rsid w:val="004A5EE8"/>
    <w:rsid w:val="004A6F0E"/>
    <w:rsid w:val="004B1ACC"/>
    <w:rsid w:val="004B1AFD"/>
    <w:rsid w:val="004B3300"/>
    <w:rsid w:val="004B3B20"/>
    <w:rsid w:val="004B4A95"/>
    <w:rsid w:val="004B5879"/>
    <w:rsid w:val="004B5D2D"/>
    <w:rsid w:val="004B6BBE"/>
    <w:rsid w:val="004C0A01"/>
    <w:rsid w:val="004C1457"/>
    <w:rsid w:val="004C158D"/>
    <w:rsid w:val="004C1877"/>
    <w:rsid w:val="004C1E34"/>
    <w:rsid w:val="004C2512"/>
    <w:rsid w:val="004C2747"/>
    <w:rsid w:val="004C32F6"/>
    <w:rsid w:val="004C372B"/>
    <w:rsid w:val="004C39C7"/>
    <w:rsid w:val="004C4630"/>
    <w:rsid w:val="004C48B7"/>
    <w:rsid w:val="004C7573"/>
    <w:rsid w:val="004D0FBD"/>
    <w:rsid w:val="004D16C7"/>
    <w:rsid w:val="004D1965"/>
    <w:rsid w:val="004D4EEF"/>
    <w:rsid w:val="004D73CD"/>
    <w:rsid w:val="004E1387"/>
    <w:rsid w:val="004E1870"/>
    <w:rsid w:val="004E32FA"/>
    <w:rsid w:val="004E36BC"/>
    <w:rsid w:val="004E38DD"/>
    <w:rsid w:val="004E5514"/>
    <w:rsid w:val="004E6C1D"/>
    <w:rsid w:val="004F07A9"/>
    <w:rsid w:val="004F0859"/>
    <w:rsid w:val="004F31B5"/>
    <w:rsid w:val="004F38AB"/>
    <w:rsid w:val="004F59BA"/>
    <w:rsid w:val="004F7C93"/>
    <w:rsid w:val="00500504"/>
    <w:rsid w:val="00502AC6"/>
    <w:rsid w:val="00502FF8"/>
    <w:rsid w:val="005049D9"/>
    <w:rsid w:val="00505057"/>
    <w:rsid w:val="00505610"/>
    <w:rsid w:val="0050621A"/>
    <w:rsid w:val="00507243"/>
    <w:rsid w:val="0050786C"/>
    <w:rsid w:val="005108A3"/>
    <w:rsid w:val="00512709"/>
    <w:rsid w:val="005144E6"/>
    <w:rsid w:val="00514B21"/>
    <w:rsid w:val="005200DE"/>
    <w:rsid w:val="00520386"/>
    <w:rsid w:val="0052122C"/>
    <w:rsid w:val="00524344"/>
    <w:rsid w:val="00524DC8"/>
    <w:rsid w:val="00525CA9"/>
    <w:rsid w:val="005263BE"/>
    <w:rsid w:val="005265F4"/>
    <w:rsid w:val="005310BA"/>
    <w:rsid w:val="0053258C"/>
    <w:rsid w:val="005329B2"/>
    <w:rsid w:val="00541A27"/>
    <w:rsid w:val="00544367"/>
    <w:rsid w:val="00545E05"/>
    <w:rsid w:val="00546B49"/>
    <w:rsid w:val="00547520"/>
    <w:rsid w:val="005506BE"/>
    <w:rsid w:val="0055087A"/>
    <w:rsid w:val="00550FC8"/>
    <w:rsid w:val="005515DD"/>
    <w:rsid w:val="005541AE"/>
    <w:rsid w:val="00554DB6"/>
    <w:rsid w:val="00555F17"/>
    <w:rsid w:val="00560E23"/>
    <w:rsid w:val="005632C2"/>
    <w:rsid w:val="00563613"/>
    <w:rsid w:val="0056476D"/>
    <w:rsid w:val="00564DEC"/>
    <w:rsid w:val="00565A6A"/>
    <w:rsid w:val="00565D37"/>
    <w:rsid w:val="00570251"/>
    <w:rsid w:val="005705CA"/>
    <w:rsid w:val="0057185F"/>
    <w:rsid w:val="005728C5"/>
    <w:rsid w:val="005760A5"/>
    <w:rsid w:val="00583084"/>
    <w:rsid w:val="00584EA1"/>
    <w:rsid w:val="00586698"/>
    <w:rsid w:val="005901F4"/>
    <w:rsid w:val="005925E1"/>
    <w:rsid w:val="005937C2"/>
    <w:rsid w:val="00594C8A"/>
    <w:rsid w:val="00596F44"/>
    <w:rsid w:val="005A1600"/>
    <w:rsid w:val="005A28BF"/>
    <w:rsid w:val="005A38F5"/>
    <w:rsid w:val="005A4299"/>
    <w:rsid w:val="005A43BB"/>
    <w:rsid w:val="005A520E"/>
    <w:rsid w:val="005A6D9D"/>
    <w:rsid w:val="005B1AC9"/>
    <w:rsid w:val="005B3D6F"/>
    <w:rsid w:val="005B4BA5"/>
    <w:rsid w:val="005B5711"/>
    <w:rsid w:val="005C3DCA"/>
    <w:rsid w:val="005C4208"/>
    <w:rsid w:val="005C4450"/>
    <w:rsid w:val="005C5D0A"/>
    <w:rsid w:val="005C5F45"/>
    <w:rsid w:val="005C6431"/>
    <w:rsid w:val="005D03CC"/>
    <w:rsid w:val="005D09AE"/>
    <w:rsid w:val="005D26D8"/>
    <w:rsid w:val="005D4B80"/>
    <w:rsid w:val="005D67EC"/>
    <w:rsid w:val="005D686B"/>
    <w:rsid w:val="005D7355"/>
    <w:rsid w:val="005E11BF"/>
    <w:rsid w:val="005E1FBB"/>
    <w:rsid w:val="005E275B"/>
    <w:rsid w:val="005F047C"/>
    <w:rsid w:val="005F5C70"/>
    <w:rsid w:val="005F63EC"/>
    <w:rsid w:val="005F6625"/>
    <w:rsid w:val="005F6C8E"/>
    <w:rsid w:val="005F79C0"/>
    <w:rsid w:val="00600C40"/>
    <w:rsid w:val="006018C2"/>
    <w:rsid w:val="00601EE1"/>
    <w:rsid w:val="00606BB4"/>
    <w:rsid w:val="00607BCF"/>
    <w:rsid w:val="006111A7"/>
    <w:rsid w:val="0061165A"/>
    <w:rsid w:val="00614A87"/>
    <w:rsid w:val="00620B62"/>
    <w:rsid w:val="006215C5"/>
    <w:rsid w:val="00621D4B"/>
    <w:rsid w:val="00622C36"/>
    <w:rsid w:val="006237A8"/>
    <w:rsid w:val="006237B8"/>
    <w:rsid w:val="00625779"/>
    <w:rsid w:val="00625C0F"/>
    <w:rsid w:val="00630A01"/>
    <w:rsid w:val="006328B9"/>
    <w:rsid w:val="00633B98"/>
    <w:rsid w:val="00634CC6"/>
    <w:rsid w:val="00636EB2"/>
    <w:rsid w:val="0063715E"/>
    <w:rsid w:val="00637F83"/>
    <w:rsid w:val="00643996"/>
    <w:rsid w:val="0064429D"/>
    <w:rsid w:val="0064495F"/>
    <w:rsid w:val="00644BF5"/>
    <w:rsid w:val="00650D00"/>
    <w:rsid w:val="00651B67"/>
    <w:rsid w:val="00654057"/>
    <w:rsid w:val="0065419F"/>
    <w:rsid w:val="006549BC"/>
    <w:rsid w:val="00654EEC"/>
    <w:rsid w:val="00654FF9"/>
    <w:rsid w:val="0065565E"/>
    <w:rsid w:val="00655E16"/>
    <w:rsid w:val="00657846"/>
    <w:rsid w:val="006602B9"/>
    <w:rsid w:val="006602CF"/>
    <w:rsid w:val="0066322B"/>
    <w:rsid w:val="00663500"/>
    <w:rsid w:val="0066489F"/>
    <w:rsid w:val="00670211"/>
    <w:rsid w:val="00671A07"/>
    <w:rsid w:val="00674CB0"/>
    <w:rsid w:val="006757A1"/>
    <w:rsid w:val="00676D72"/>
    <w:rsid w:val="0067714D"/>
    <w:rsid w:val="006828B5"/>
    <w:rsid w:val="006834AE"/>
    <w:rsid w:val="00692465"/>
    <w:rsid w:val="00693A92"/>
    <w:rsid w:val="006A25F7"/>
    <w:rsid w:val="006A2CE5"/>
    <w:rsid w:val="006A566B"/>
    <w:rsid w:val="006A586A"/>
    <w:rsid w:val="006A5892"/>
    <w:rsid w:val="006B11BF"/>
    <w:rsid w:val="006B2330"/>
    <w:rsid w:val="006B7B7F"/>
    <w:rsid w:val="006C4C3E"/>
    <w:rsid w:val="006C7FDF"/>
    <w:rsid w:val="006D3D08"/>
    <w:rsid w:val="006D675F"/>
    <w:rsid w:val="006E13A6"/>
    <w:rsid w:val="006E4907"/>
    <w:rsid w:val="006E611B"/>
    <w:rsid w:val="006E7665"/>
    <w:rsid w:val="006E76C3"/>
    <w:rsid w:val="006F299A"/>
    <w:rsid w:val="006F30E5"/>
    <w:rsid w:val="006F4611"/>
    <w:rsid w:val="006F4C11"/>
    <w:rsid w:val="006F4FED"/>
    <w:rsid w:val="00700AF8"/>
    <w:rsid w:val="0070178D"/>
    <w:rsid w:val="00701E10"/>
    <w:rsid w:val="0070488E"/>
    <w:rsid w:val="00707BA7"/>
    <w:rsid w:val="00707E95"/>
    <w:rsid w:val="00711BDE"/>
    <w:rsid w:val="00712A26"/>
    <w:rsid w:val="00723017"/>
    <w:rsid w:val="00724206"/>
    <w:rsid w:val="00726B8B"/>
    <w:rsid w:val="007324C4"/>
    <w:rsid w:val="007324D5"/>
    <w:rsid w:val="00732E42"/>
    <w:rsid w:val="0073406D"/>
    <w:rsid w:val="00736339"/>
    <w:rsid w:val="0073727A"/>
    <w:rsid w:val="00740DAD"/>
    <w:rsid w:val="007417C3"/>
    <w:rsid w:val="007428EE"/>
    <w:rsid w:val="007436AD"/>
    <w:rsid w:val="00744527"/>
    <w:rsid w:val="00746B83"/>
    <w:rsid w:val="00746F88"/>
    <w:rsid w:val="007474EE"/>
    <w:rsid w:val="0074761E"/>
    <w:rsid w:val="00750285"/>
    <w:rsid w:val="00750330"/>
    <w:rsid w:val="0075103A"/>
    <w:rsid w:val="00752BD2"/>
    <w:rsid w:val="00753902"/>
    <w:rsid w:val="00755775"/>
    <w:rsid w:val="0075729A"/>
    <w:rsid w:val="00757A80"/>
    <w:rsid w:val="00760CA7"/>
    <w:rsid w:val="007618F6"/>
    <w:rsid w:val="00762FA6"/>
    <w:rsid w:val="00763AA5"/>
    <w:rsid w:val="007669D4"/>
    <w:rsid w:val="00771FBF"/>
    <w:rsid w:val="00772021"/>
    <w:rsid w:val="0077289F"/>
    <w:rsid w:val="0077656B"/>
    <w:rsid w:val="0077689F"/>
    <w:rsid w:val="0078093A"/>
    <w:rsid w:val="0078105A"/>
    <w:rsid w:val="00783728"/>
    <w:rsid w:val="0078433F"/>
    <w:rsid w:val="00786DE2"/>
    <w:rsid w:val="0079053B"/>
    <w:rsid w:val="007912BC"/>
    <w:rsid w:val="007937E6"/>
    <w:rsid w:val="00793A8C"/>
    <w:rsid w:val="0079649A"/>
    <w:rsid w:val="0079691D"/>
    <w:rsid w:val="00796E3C"/>
    <w:rsid w:val="007A207B"/>
    <w:rsid w:val="007A33F7"/>
    <w:rsid w:val="007A3855"/>
    <w:rsid w:val="007A3BB3"/>
    <w:rsid w:val="007A51CA"/>
    <w:rsid w:val="007A7BE8"/>
    <w:rsid w:val="007B0200"/>
    <w:rsid w:val="007B0518"/>
    <w:rsid w:val="007B0B51"/>
    <w:rsid w:val="007B1760"/>
    <w:rsid w:val="007B1B89"/>
    <w:rsid w:val="007B6270"/>
    <w:rsid w:val="007C0D71"/>
    <w:rsid w:val="007C2A10"/>
    <w:rsid w:val="007C4627"/>
    <w:rsid w:val="007C55A3"/>
    <w:rsid w:val="007C6BA3"/>
    <w:rsid w:val="007C7FC0"/>
    <w:rsid w:val="007D13E2"/>
    <w:rsid w:val="007D1C19"/>
    <w:rsid w:val="007D42C6"/>
    <w:rsid w:val="007D669E"/>
    <w:rsid w:val="007D694E"/>
    <w:rsid w:val="007D6A60"/>
    <w:rsid w:val="007D6E2C"/>
    <w:rsid w:val="007E0D50"/>
    <w:rsid w:val="007E0F41"/>
    <w:rsid w:val="007E257D"/>
    <w:rsid w:val="007E43E2"/>
    <w:rsid w:val="007E52E8"/>
    <w:rsid w:val="007E58AD"/>
    <w:rsid w:val="007E707D"/>
    <w:rsid w:val="007F07A3"/>
    <w:rsid w:val="007F15BA"/>
    <w:rsid w:val="007F1AFA"/>
    <w:rsid w:val="007F3D35"/>
    <w:rsid w:val="007F4517"/>
    <w:rsid w:val="007F5870"/>
    <w:rsid w:val="007F5F9A"/>
    <w:rsid w:val="007F6970"/>
    <w:rsid w:val="007F6A7B"/>
    <w:rsid w:val="0080167E"/>
    <w:rsid w:val="0080365D"/>
    <w:rsid w:val="00803779"/>
    <w:rsid w:val="00804412"/>
    <w:rsid w:val="0080679F"/>
    <w:rsid w:val="00807208"/>
    <w:rsid w:val="008101C9"/>
    <w:rsid w:val="00810B8C"/>
    <w:rsid w:val="008114FC"/>
    <w:rsid w:val="008127C1"/>
    <w:rsid w:val="00812C7D"/>
    <w:rsid w:val="008139DF"/>
    <w:rsid w:val="00816167"/>
    <w:rsid w:val="00820E3D"/>
    <w:rsid w:val="00822BE1"/>
    <w:rsid w:val="00822E49"/>
    <w:rsid w:val="00825AFD"/>
    <w:rsid w:val="008261D6"/>
    <w:rsid w:val="008261D7"/>
    <w:rsid w:val="00831924"/>
    <w:rsid w:val="00833FA1"/>
    <w:rsid w:val="00834A92"/>
    <w:rsid w:val="0083750E"/>
    <w:rsid w:val="00840051"/>
    <w:rsid w:val="00840395"/>
    <w:rsid w:val="0084305F"/>
    <w:rsid w:val="00844EA8"/>
    <w:rsid w:val="00845BA7"/>
    <w:rsid w:val="00851BE6"/>
    <w:rsid w:val="008537C3"/>
    <w:rsid w:val="00853C3B"/>
    <w:rsid w:val="00854961"/>
    <w:rsid w:val="00854CC9"/>
    <w:rsid w:val="00856924"/>
    <w:rsid w:val="008623FF"/>
    <w:rsid w:val="00863791"/>
    <w:rsid w:val="008648ED"/>
    <w:rsid w:val="00867AD1"/>
    <w:rsid w:val="00871239"/>
    <w:rsid w:val="00871BD8"/>
    <w:rsid w:val="008727EA"/>
    <w:rsid w:val="00873592"/>
    <w:rsid w:val="00873921"/>
    <w:rsid w:val="0087400C"/>
    <w:rsid w:val="00874C0F"/>
    <w:rsid w:val="0087602F"/>
    <w:rsid w:val="008800CA"/>
    <w:rsid w:val="00880213"/>
    <w:rsid w:val="008808B8"/>
    <w:rsid w:val="00880A60"/>
    <w:rsid w:val="00881351"/>
    <w:rsid w:val="0088164E"/>
    <w:rsid w:val="00882CBF"/>
    <w:rsid w:val="008835EF"/>
    <w:rsid w:val="00884BD5"/>
    <w:rsid w:val="00887F32"/>
    <w:rsid w:val="00890506"/>
    <w:rsid w:val="00891400"/>
    <w:rsid w:val="008922A5"/>
    <w:rsid w:val="00893261"/>
    <w:rsid w:val="00893EEB"/>
    <w:rsid w:val="008940B4"/>
    <w:rsid w:val="0089472B"/>
    <w:rsid w:val="0089720F"/>
    <w:rsid w:val="00897223"/>
    <w:rsid w:val="008A3FAE"/>
    <w:rsid w:val="008A4560"/>
    <w:rsid w:val="008A46A2"/>
    <w:rsid w:val="008A47F2"/>
    <w:rsid w:val="008A6BDF"/>
    <w:rsid w:val="008B11AF"/>
    <w:rsid w:val="008B25C5"/>
    <w:rsid w:val="008B2B93"/>
    <w:rsid w:val="008B5183"/>
    <w:rsid w:val="008B523A"/>
    <w:rsid w:val="008B5338"/>
    <w:rsid w:val="008B7073"/>
    <w:rsid w:val="008C30AF"/>
    <w:rsid w:val="008C3F80"/>
    <w:rsid w:val="008C71E2"/>
    <w:rsid w:val="008D0BA1"/>
    <w:rsid w:val="008D233D"/>
    <w:rsid w:val="008D4051"/>
    <w:rsid w:val="008D451B"/>
    <w:rsid w:val="008D494E"/>
    <w:rsid w:val="008E1975"/>
    <w:rsid w:val="008E3012"/>
    <w:rsid w:val="008E3237"/>
    <w:rsid w:val="008E4CB5"/>
    <w:rsid w:val="008E6D35"/>
    <w:rsid w:val="008E75CF"/>
    <w:rsid w:val="008F1780"/>
    <w:rsid w:val="008F6593"/>
    <w:rsid w:val="008F6D20"/>
    <w:rsid w:val="009010EA"/>
    <w:rsid w:val="009113E0"/>
    <w:rsid w:val="0092027D"/>
    <w:rsid w:val="0092039C"/>
    <w:rsid w:val="00921C2C"/>
    <w:rsid w:val="00921E67"/>
    <w:rsid w:val="0092230D"/>
    <w:rsid w:val="0092492E"/>
    <w:rsid w:val="00925230"/>
    <w:rsid w:val="0092610F"/>
    <w:rsid w:val="00927DC2"/>
    <w:rsid w:val="00930A42"/>
    <w:rsid w:val="00931303"/>
    <w:rsid w:val="0093356F"/>
    <w:rsid w:val="00933BAF"/>
    <w:rsid w:val="009340EB"/>
    <w:rsid w:val="00934C76"/>
    <w:rsid w:val="0093767F"/>
    <w:rsid w:val="00937CB0"/>
    <w:rsid w:val="00937CF9"/>
    <w:rsid w:val="00942705"/>
    <w:rsid w:val="0094496C"/>
    <w:rsid w:val="00946C50"/>
    <w:rsid w:val="00947038"/>
    <w:rsid w:val="009475D5"/>
    <w:rsid w:val="00951A3C"/>
    <w:rsid w:val="00952760"/>
    <w:rsid w:val="009529B5"/>
    <w:rsid w:val="00954395"/>
    <w:rsid w:val="00954F9C"/>
    <w:rsid w:val="00955B1C"/>
    <w:rsid w:val="00955F94"/>
    <w:rsid w:val="009623A2"/>
    <w:rsid w:val="00963971"/>
    <w:rsid w:val="00963DA7"/>
    <w:rsid w:val="00967397"/>
    <w:rsid w:val="0097050C"/>
    <w:rsid w:val="00971341"/>
    <w:rsid w:val="009718B0"/>
    <w:rsid w:val="00972DED"/>
    <w:rsid w:val="0098276D"/>
    <w:rsid w:val="009870DF"/>
    <w:rsid w:val="009877A3"/>
    <w:rsid w:val="009900AA"/>
    <w:rsid w:val="00991534"/>
    <w:rsid w:val="00995271"/>
    <w:rsid w:val="00995645"/>
    <w:rsid w:val="009A0579"/>
    <w:rsid w:val="009A0C60"/>
    <w:rsid w:val="009A2DFC"/>
    <w:rsid w:val="009A5C64"/>
    <w:rsid w:val="009A6514"/>
    <w:rsid w:val="009B0B3B"/>
    <w:rsid w:val="009B564B"/>
    <w:rsid w:val="009B6C4B"/>
    <w:rsid w:val="009B78A6"/>
    <w:rsid w:val="009B7AB5"/>
    <w:rsid w:val="009C069B"/>
    <w:rsid w:val="009C08B7"/>
    <w:rsid w:val="009C0C30"/>
    <w:rsid w:val="009C480C"/>
    <w:rsid w:val="009C65E5"/>
    <w:rsid w:val="009C6912"/>
    <w:rsid w:val="009D06E3"/>
    <w:rsid w:val="009D2A05"/>
    <w:rsid w:val="009D4E4A"/>
    <w:rsid w:val="009D5066"/>
    <w:rsid w:val="009D772C"/>
    <w:rsid w:val="009E24A3"/>
    <w:rsid w:val="009E2DE1"/>
    <w:rsid w:val="009E6C65"/>
    <w:rsid w:val="009F1B79"/>
    <w:rsid w:val="009F3CEB"/>
    <w:rsid w:val="009F47EB"/>
    <w:rsid w:val="009F5691"/>
    <w:rsid w:val="009F738C"/>
    <w:rsid w:val="009F7CFC"/>
    <w:rsid w:val="00A007CC"/>
    <w:rsid w:val="00A01E34"/>
    <w:rsid w:val="00A032C3"/>
    <w:rsid w:val="00A07353"/>
    <w:rsid w:val="00A108F7"/>
    <w:rsid w:val="00A10A40"/>
    <w:rsid w:val="00A11C59"/>
    <w:rsid w:val="00A13C02"/>
    <w:rsid w:val="00A14771"/>
    <w:rsid w:val="00A164E9"/>
    <w:rsid w:val="00A22FBF"/>
    <w:rsid w:val="00A23070"/>
    <w:rsid w:val="00A25C89"/>
    <w:rsid w:val="00A34BEA"/>
    <w:rsid w:val="00A3546A"/>
    <w:rsid w:val="00A41779"/>
    <w:rsid w:val="00A418CD"/>
    <w:rsid w:val="00A42F86"/>
    <w:rsid w:val="00A4308E"/>
    <w:rsid w:val="00A439F3"/>
    <w:rsid w:val="00A47662"/>
    <w:rsid w:val="00A50730"/>
    <w:rsid w:val="00A512C7"/>
    <w:rsid w:val="00A51498"/>
    <w:rsid w:val="00A543EF"/>
    <w:rsid w:val="00A54E29"/>
    <w:rsid w:val="00A55427"/>
    <w:rsid w:val="00A55E2A"/>
    <w:rsid w:val="00A55E3F"/>
    <w:rsid w:val="00A5656F"/>
    <w:rsid w:val="00A56603"/>
    <w:rsid w:val="00A56FD2"/>
    <w:rsid w:val="00A57C52"/>
    <w:rsid w:val="00A602F0"/>
    <w:rsid w:val="00A61964"/>
    <w:rsid w:val="00A62079"/>
    <w:rsid w:val="00A62F4E"/>
    <w:rsid w:val="00A64431"/>
    <w:rsid w:val="00A64E23"/>
    <w:rsid w:val="00A664AD"/>
    <w:rsid w:val="00A66907"/>
    <w:rsid w:val="00A67311"/>
    <w:rsid w:val="00A674CE"/>
    <w:rsid w:val="00A70772"/>
    <w:rsid w:val="00A7109C"/>
    <w:rsid w:val="00A74DB5"/>
    <w:rsid w:val="00A76792"/>
    <w:rsid w:val="00A768CB"/>
    <w:rsid w:val="00A77A06"/>
    <w:rsid w:val="00A77B95"/>
    <w:rsid w:val="00A85A36"/>
    <w:rsid w:val="00A85F96"/>
    <w:rsid w:val="00A87802"/>
    <w:rsid w:val="00A905BA"/>
    <w:rsid w:val="00A92427"/>
    <w:rsid w:val="00A92790"/>
    <w:rsid w:val="00A92FAC"/>
    <w:rsid w:val="00A93652"/>
    <w:rsid w:val="00A94306"/>
    <w:rsid w:val="00A96E45"/>
    <w:rsid w:val="00A975B7"/>
    <w:rsid w:val="00AA1028"/>
    <w:rsid w:val="00AA4EC4"/>
    <w:rsid w:val="00AA5925"/>
    <w:rsid w:val="00AA5AF3"/>
    <w:rsid w:val="00AA64C6"/>
    <w:rsid w:val="00AA652E"/>
    <w:rsid w:val="00AA742C"/>
    <w:rsid w:val="00AB1B3B"/>
    <w:rsid w:val="00AB1C99"/>
    <w:rsid w:val="00AB5471"/>
    <w:rsid w:val="00AC0FB6"/>
    <w:rsid w:val="00AC1408"/>
    <w:rsid w:val="00AC1E6F"/>
    <w:rsid w:val="00AC3421"/>
    <w:rsid w:val="00AD0BF7"/>
    <w:rsid w:val="00AD2C67"/>
    <w:rsid w:val="00AD3D41"/>
    <w:rsid w:val="00AD6CA6"/>
    <w:rsid w:val="00AD789F"/>
    <w:rsid w:val="00AE4818"/>
    <w:rsid w:val="00AE6AA8"/>
    <w:rsid w:val="00AE7870"/>
    <w:rsid w:val="00AF2063"/>
    <w:rsid w:val="00AF2B3C"/>
    <w:rsid w:val="00AF606F"/>
    <w:rsid w:val="00B002D9"/>
    <w:rsid w:val="00B00CD9"/>
    <w:rsid w:val="00B0124E"/>
    <w:rsid w:val="00B06207"/>
    <w:rsid w:val="00B06438"/>
    <w:rsid w:val="00B10CCB"/>
    <w:rsid w:val="00B127E9"/>
    <w:rsid w:val="00B15290"/>
    <w:rsid w:val="00B169F3"/>
    <w:rsid w:val="00B17210"/>
    <w:rsid w:val="00B21059"/>
    <w:rsid w:val="00B21FB1"/>
    <w:rsid w:val="00B24033"/>
    <w:rsid w:val="00B25F2D"/>
    <w:rsid w:val="00B263EE"/>
    <w:rsid w:val="00B31BC6"/>
    <w:rsid w:val="00B32821"/>
    <w:rsid w:val="00B3403E"/>
    <w:rsid w:val="00B34179"/>
    <w:rsid w:val="00B34ACD"/>
    <w:rsid w:val="00B34C44"/>
    <w:rsid w:val="00B36737"/>
    <w:rsid w:val="00B3773F"/>
    <w:rsid w:val="00B40473"/>
    <w:rsid w:val="00B40AA4"/>
    <w:rsid w:val="00B414A4"/>
    <w:rsid w:val="00B440D3"/>
    <w:rsid w:val="00B474C3"/>
    <w:rsid w:val="00B508AD"/>
    <w:rsid w:val="00B50CFC"/>
    <w:rsid w:val="00B52412"/>
    <w:rsid w:val="00B53502"/>
    <w:rsid w:val="00B5667E"/>
    <w:rsid w:val="00B57058"/>
    <w:rsid w:val="00B63067"/>
    <w:rsid w:val="00B6400F"/>
    <w:rsid w:val="00B7002B"/>
    <w:rsid w:val="00B70CD4"/>
    <w:rsid w:val="00B71971"/>
    <w:rsid w:val="00B71B98"/>
    <w:rsid w:val="00B72255"/>
    <w:rsid w:val="00B722B3"/>
    <w:rsid w:val="00B733D6"/>
    <w:rsid w:val="00B753F9"/>
    <w:rsid w:val="00B7574B"/>
    <w:rsid w:val="00B761F5"/>
    <w:rsid w:val="00B769D8"/>
    <w:rsid w:val="00B77275"/>
    <w:rsid w:val="00B84A37"/>
    <w:rsid w:val="00B857E2"/>
    <w:rsid w:val="00B858E6"/>
    <w:rsid w:val="00B860ED"/>
    <w:rsid w:val="00B91485"/>
    <w:rsid w:val="00B920C4"/>
    <w:rsid w:val="00B9232F"/>
    <w:rsid w:val="00B93B29"/>
    <w:rsid w:val="00B95051"/>
    <w:rsid w:val="00B97AA2"/>
    <w:rsid w:val="00BA23B7"/>
    <w:rsid w:val="00BA5CB3"/>
    <w:rsid w:val="00BB1255"/>
    <w:rsid w:val="00BB1F6A"/>
    <w:rsid w:val="00BB1F83"/>
    <w:rsid w:val="00BB5DB1"/>
    <w:rsid w:val="00BB676D"/>
    <w:rsid w:val="00BB7F03"/>
    <w:rsid w:val="00BC3219"/>
    <w:rsid w:val="00BC5120"/>
    <w:rsid w:val="00BD0FEF"/>
    <w:rsid w:val="00BD26A5"/>
    <w:rsid w:val="00BD3371"/>
    <w:rsid w:val="00BD54A7"/>
    <w:rsid w:val="00BD6401"/>
    <w:rsid w:val="00BE04DF"/>
    <w:rsid w:val="00BE0809"/>
    <w:rsid w:val="00BE165B"/>
    <w:rsid w:val="00BE2D64"/>
    <w:rsid w:val="00BE32A7"/>
    <w:rsid w:val="00BE3665"/>
    <w:rsid w:val="00BE3D6C"/>
    <w:rsid w:val="00BE6A64"/>
    <w:rsid w:val="00BE7428"/>
    <w:rsid w:val="00BE7D3D"/>
    <w:rsid w:val="00BF051F"/>
    <w:rsid w:val="00BF3086"/>
    <w:rsid w:val="00BF325B"/>
    <w:rsid w:val="00BF439B"/>
    <w:rsid w:val="00BF4547"/>
    <w:rsid w:val="00BF5825"/>
    <w:rsid w:val="00BF64A2"/>
    <w:rsid w:val="00BF7BF0"/>
    <w:rsid w:val="00C000B3"/>
    <w:rsid w:val="00C059C1"/>
    <w:rsid w:val="00C065DD"/>
    <w:rsid w:val="00C10EEE"/>
    <w:rsid w:val="00C130C4"/>
    <w:rsid w:val="00C1357E"/>
    <w:rsid w:val="00C15744"/>
    <w:rsid w:val="00C15A0C"/>
    <w:rsid w:val="00C23026"/>
    <w:rsid w:val="00C2526E"/>
    <w:rsid w:val="00C26BF8"/>
    <w:rsid w:val="00C271D7"/>
    <w:rsid w:val="00C27FCE"/>
    <w:rsid w:val="00C31DF8"/>
    <w:rsid w:val="00C323E7"/>
    <w:rsid w:val="00C337FB"/>
    <w:rsid w:val="00C350B4"/>
    <w:rsid w:val="00C35758"/>
    <w:rsid w:val="00C366A3"/>
    <w:rsid w:val="00C3688F"/>
    <w:rsid w:val="00C40B96"/>
    <w:rsid w:val="00C4302A"/>
    <w:rsid w:val="00C51C00"/>
    <w:rsid w:val="00C55ED5"/>
    <w:rsid w:val="00C56FB7"/>
    <w:rsid w:val="00C615DF"/>
    <w:rsid w:val="00C61AF6"/>
    <w:rsid w:val="00C622C4"/>
    <w:rsid w:val="00C66040"/>
    <w:rsid w:val="00C71780"/>
    <w:rsid w:val="00C7187C"/>
    <w:rsid w:val="00C73B40"/>
    <w:rsid w:val="00C74587"/>
    <w:rsid w:val="00C75D0C"/>
    <w:rsid w:val="00C825E7"/>
    <w:rsid w:val="00C86371"/>
    <w:rsid w:val="00C91457"/>
    <w:rsid w:val="00C924EF"/>
    <w:rsid w:val="00C93239"/>
    <w:rsid w:val="00C93958"/>
    <w:rsid w:val="00CA206F"/>
    <w:rsid w:val="00CA3D3B"/>
    <w:rsid w:val="00CA3E71"/>
    <w:rsid w:val="00CA61BC"/>
    <w:rsid w:val="00CA7D1D"/>
    <w:rsid w:val="00CB1305"/>
    <w:rsid w:val="00CB32F1"/>
    <w:rsid w:val="00CB579D"/>
    <w:rsid w:val="00CB7E12"/>
    <w:rsid w:val="00CC1FF1"/>
    <w:rsid w:val="00CC3EA0"/>
    <w:rsid w:val="00CC4EBB"/>
    <w:rsid w:val="00CC5690"/>
    <w:rsid w:val="00CC7E67"/>
    <w:rsid w:val="00CD0F0F"/>
    <w:rsid w:val="00CD1262"/>
    <w:rsid w:val="00CD54D6"/>
    <w:rsid w:val="00CD6B52"/>
    <w:rsid w:val="00CD6F62"/>
    <w:rsid w:val="00CD7675"/>
    <w:rsid w:val="00CE018A"/>
    <w:rsid w:val="00CE0758"/>
    <w:rsid w:val="00CE1193"/>
    <w:rsid w:val="00CE2A43"/>
    <w:rsid w:val="00CF0131"/>
    <w:rsid w:val="00CF3042"/>
    <w:rsid w:val="00CF6C74"/>
    <w:rsid w:val="00D00B0F"/>
    <w:rsid w:val="00D028E9"/>
    <w:rsid w:val="00D0518E"/>
    <w:rsid w:val="00D060F2"/>
    <w:rsid w:val="00D10880"/>
    <w:rsid w:val="00D12102"/>
    <w:rsid w:val="00D1238A"/>
    <w:rsid w:val="00D1249B"/>
    <w:rsid w:val="00D12E23"/>
    <w:rsid w:val="00D12F48"/>
    <w:rsid w:val="00D13750"/>
    <w:rsid w:val="00D141DA"/>
    <w:rsid w:val="00D15413"/>
    <w:rsid w:val="00D16D55"/>
    <w:rsid w:val="00D17A82"/>
    <w:rsid w:val="00D20CDF"/>
    <w:rsid w:val="00D224D0"/>
    <w:rsid w:val="00D23434"/>
    <w:rsid w:val="00D23E66"/>
    <w:rsid w:val="00D2653F"/>
    <w:rsid w:val="00D34D3C"/>
    <w:rsid w:val="00D3727E"/>
    <w:rsid w:val="00D4141D"/>
    <w:rsid w:val="00D416C8"/>
    <w:rsid w:val="00D4341B"/>
    <w:rsid w:val="00D443BE"/>
    <w:rsid w:val="00D44CBC"/>
    <w:rsid w:val="00D47EB2"/>
    <w:rsid w:val="00D508D5"/>
    <w:rsid w:val="00D511DB"/>
    <w:rsid w:val="00D527A0"/>
    <w:rsid w:val="00D52AD9"/>
    <w:rsid w:val="00D53781"/>
    <w:rsid w:val="00D568CF"/>
    <w:rsid w:val="00D57717"/>
    <w:rsid w:val="00D62DF7"/>
    <w:rsid w:val="00D63499"/>
    <w:rsid w:val="00D64986"/>
    <w:rsid w:val="00D67194"/>
    <w:rsid w:val="00D7053A"/>
    <w:rsid w:val="00D70DEF"/>
    <w:rsid w:val="00D70F93"/>
    <w:rsid w:val="00D76B5A"/>
    <w:rsid w:val="00D82992"/>
    <w:rsid w:val="00D832F3"/>
    <w:rsid w:val="00D8696D"/>
    <w:rsid w:val="00D90135"/>
    <w:rsid w:val="00D90283"/>
    <w:rsid w:val="00D9293B"/>
    <w:rsid w:val="00D92E5B"/>
    <w:rsid w:val="00D97C7D"/>
    <w:rsid w:val="00DA1C22"/>
    <w:rsid w:val="00DA2A02"/>
    <w:rsid w:val="00DA4012"/>
    <w:rsid w:val="00DA46DC"/>
    <w:rsid w:val="00DA63B7"/>
    <w:rsid w:val="00DA7AEF"/>
    <w:rsid w:val="00DB33F9"/>
    <w:rsid w:val="00DB365D"/>
    <w:rsid w:val="00DB4144"/>
    <w:rsid w:val="00DB69F5"/>
    <w:rsid w:val="00DC15C4"/>
    <w:rsid w:val="00DC17BF"/>
    <w:rsid w:val="00DC1DEF"/>
    <w:rsid w:val="00DC1F65"/>
    <w:rsid w:val="00DC5C33"/>
    <w:rsid w:val="00DC62A3"/>
    <w:rsid w:val="00DD0679"/>
    <w:rsid w:val="00DD452F"/>
    <w:rsid w:val="00DE106C"/>
    <w:rsid w:val="00DE22FC"/>
    <w:rsid w:val="00DE4B8B"/>
    <w:rsid w:val="00DE57AA"/>
    <w:rsid w:val="00DE752C"/>
    <w:rsid w:val="00DF30AF"/>
    <w:rsid w:val="00DF3732"/>
    <w:rsid w:val="00E01EA9"/>
    <w:rsid w:val="00E028F2"/>
    <w:rsid w:val="00E064D9"/>
    <w:rsid w:val="00E064F2"/>
    <w:rsid w:val="00E1393D"/>
    <w:rsid w:val="00E2067A"/>
    <w:rsid w:val="00E21C31"/>
    <w:rsid w:val="00E2207A"/>
    <w:rsid w:val="00E224CB"/>
    <w:rsid w:val="00E2510C"/>
    <w:rsid w:val="00E30820"/>
    <w:rsid w:val="00E32CBD"/>
    <w:rsid w:val="00E32EEA"/>
    <w:rsid w:val="00E333A7"/>
    <w:rsid w:val="00E34AE9"/>
    <w:rsid w:val="00E34C0B"/>
    <w:rsid w:val="00E3580C"/>
    <w:rsid w:val="00E358D2"/>
    <w:rsid w:val="00E375F7"/>
    <w:rsid w:val="00E37AE9"/>
    <w:rsid w:val="00E40680"/>
    <w:rsid w:val="00E41BAF"/>
    <w:rsid w:val="00E423DC"/>
    <w:rsid w:val="00E43054"/>
    <w:rsid w:val="00E44846"/>
    <w:rsid w:val="00E44AFC"/>
    <w:rsid w:val="00E44FA2"/>
    <w:rsid w:val="00E45E0E"/>
    <w:rsid w:val="00E520AD"/>
    <w:rsid w:val="00E5251F"/>
    <w:rsid w:val="00E5267D"/>
    <w:rsid w:val="00E55AC0"/>
    <w:rsid w:val="00E611FB"/>
    <w:rsid w:val="00E622D8"/>
    <w:rsid w:val="00E637FD"/>
    <w:rsid w:val="00E64AAC"/>
    <w:rsid w:val="00E665FE"/>
    <w:rsid w:val="00E66DD4"/>
    <w:rsid w:val="00E729E6"/>
    <w:rsid w:val="00E73715"/>
    <w:rsid w:val="00E74027"/>
    <w:rsid w:val="00E74186"/>
    <w:rsid w:val="00E74DE6"/>
    <w:rsid w:val="00E7587D"/>
    <w:rsid w:val="00E803C1"/>
    <w:rsid w:val="00E848C5"/>
    <w:rsid w:val="00E87713"/>
    <w:rsid w:val="00E911E5"/>
    <w:rsid w:val="00E9532F"/>
    <w:rsid w:val="00E973BA"/>
    <w:rsid w:val="00EA0C6D"/>
    <w:rsid w:val="00EA3DED"/>
    <w:rsid w:val="00EA4D1A"/>
    <w:rsid w:val="00EA519F"/>
    <w:rsid w:val="00EB0F0D"/>
    <w:rsid w:val="00EB10D9"/>
    <w:rsid w:val="00EB201A"/>
    <w:rsid w:val="00EB3261"/>
    <w:rsid w:val="00EB345D"/>
    <w:rsid w:val="00EB5F02"/>
    <w:rsid w:val="00EB6EDA"/>
    <w:rsid w:val="00EB7249"/>
    <w:rsid w:val="00EB79DB"/>
    <w:rsid w:val="00EC16D2"/>
    <w:rsid w:val="00EC17AC"/>
    <w:rsid w:val="00EC28FC"/>
    <w:rsid w:val="00EC4ABA"/>
    <w:rsid w:val="00EC7AB9"/>
    <w:rsid w:val="00ED24D1"/>
    <w:rsid w:val="00ED2A8D"/>
    <w:rsid w:val="00ED3C9F"/>
    <w:rsid w:val="00ED4FEA"/>
    <w:rsid w:val="00ED745A"/>
    <w:rsid w:val="00ED76A7"/>
    <w:rsid w:val="00EE2BEC"/>
    <w:rsid w:val="00EE3EA3"/>
    <w:rsid w:val="00EE458F"/>
    <w:rsid w:val="00EE5793"/>
    <w:rsid w:val="00EF102B"/>
    <w:rsid w:val="00EF2788"/>
    <w:rsid w:val="00EF4646"/>
    <w:rsid w:val="00EF70B9"/>
    <w:rsid w:val="00EF71A4"/>
    <w:rsid w:val="00F055EB"/>
    <w:rsid w:val="00F06AE6"/>
    <w:rsid w:val="00F11316"/>
    <w:rsid w:val="00F11ACD"/>
    <w:rsid w:val="00F147AB"/>
    <w:rsid w:val="00F16DB5"/>
    <w:rsid w:val="00F21A64"/>
    <w:rsid w:val="00F232EA"/>
    <w:rsid w:val="00F249CA"/>
    <w:rsid w:val="00F255CA"/>
    <w:rsid w:val="00F2668F"/>
    <w:rsid w:val="00F27813"/>
    <w:rsid w:val="00F31464"/>
    <w:rsid w:val="00F31FBB"/>
    <w:rsid w:val="00F34636"/>
    <w:rsid w:val="00F34A05"/>
    <w:rsid w:val="00F35418"/>
    <w:rsid w:val="00F36C39"/>
    <w:rsid w:val="00F36CC5"/>
    <w:rsid w:val="00F370F4"/>
    <w:rsid w:val="00F37FFC"/>
    <w:rsid w:val="00F40BAC"/>
    <w:rsid w:val="00F40C48"/>
    <w:rsid w:val="00F42360"/>
    <w:rsid w:val="00F445B6"/>
    <w:rsid w:val="00F449B3"/>
    <w:rsid w:val="00F45E2F"/>
    <w:rsid w:val="00F4711A"/>
    <w:rsid w:val="00F4720B"/>
    <w:rsid w:val="00F474A9"/>
    <w:rsid w:val="00F50FA8"/>
    <w:rsid w:val="00F51B4D"/>
    <w:rsid w:val="00F53BC9"/>
    <w:rsid w:val="00F6023F"/>
    <w:rsid w:val="00F61238"/>
    <w:rsid w:val="00F61CA8"/>
    <w:rsid w:val="00F6485D"/>
    <w:rsid w:val="00F679EC"/>
    <w:rsid w:val="00F70199"/>
    <w:rsid w:val="00F70C10"/>
    <w:rsid w:val="00F7144C"/>
    <w:rsid w:val="00F717B9"/>
    <w:rsid w:val="00F74170"/>
    <w:rsid w:val="00F80945"/>
    <w:rsid w:val="00F80B25"/>
    <w:rsid w:val="00F861D0"/>
    <w:rsid w:val="00F86C54"/>
    <w:rsid w:val="00F87328"/>
    <w:rsid w:val="00F875DD"/>
    <w:rsid w:val="00F9450C"/>
    <w:rsid w:val="00F945C0"/>
    <w:rsid w:val="00F95788"/>
    <w:rsid w:val="00F957E8"/>
    <w:rsid w:val="00F9603E"/>
    <w:rsid w:val="00F96867"/>
    <w:rsid w:val="00FA11B8"/>
    <w:rsid w:val="00FA1505"/>
    <w:rsid w:val="00FA3603"/>
    <w:rsid w:val="00FA54EF"/>
    <w:rsid w:val="00FB0B54"/>
    <w:rsid w:val="00FB3A5E"/>
    <w:rsid w:val="00FB573E"/>
    <w:rsid w:val="00FB6E45"/>
    <w:rsid w:val="00FC1F9D"/>
    <w:rsid w:val="00FC20EE"/>
    <w:rsid w:val="00FC2611"/>
    <w:rsid w:val="00FC28D2"/>
    <w:rsid w:val="00FC49A2"/>
    <w:rsid w:val="00FC4E3D"/>
    <w:rsid w:val="00FC4F66"/>
    <w:rsid w:val="00FC6148"/>
    <w:rsid w:val="00FD1309"/>
    <w:rsid w:val="00FD2986"/>
    <w:rsid w:val="00FD3FF2"/>
    <w:rsid w:val="00FD4559"/>
    <w:rsid w:val="00FD4797"/>
    <w:rsid w:val="00FD5EBE"/>
    <w:rsid w:val="00FE02F4"/>
    <w:rsid w:val="00FE0F51"/>
    <w:rsid w:val="00FE358E"/>
    <w:rsid w:val="00FF1F5D"/>
    <w:rsid w:val="00FF3003"/>
    <w:rsid w:val="00FF31B8"/>
    <w:rsid w:val="00FF44C9"/>
    <w:rsid w:val="00FF4C93"/>
    <w:rsid w:val="0744603C"/>
    <w:rsid w:val="08C70840"/>
    <w:rsid w:val="0D9A7963"/>
    <w:rsid w:val="15BB2E78"/>
    <w:rsid w:val="1BC13CCD"/>
    <w:rsid w:val="1D8046AA"/>
    <w:rsid w:val="20839B7C"/>
    <w:rsid w:val="22A19F06"/>
    <w:rsid w:val="23CFE61A"/>
    <w:rsid w:val="243D6F67"/>
    <w:rsid w:val="24BBB119"/>
    <w:rsid w:val="2657817A"/>
    <w:rsid w:val="2DC608BF"/>
    <w:rsid w:val="3102CA12"/>
    <w:rsid w:val="343A6AD4"/>
    <w:rsid w:val="39EBFBBA"/>
    <w:rsid w:val="3C1BB0FD"/>
    <w:rsid w:val="3C5A1C27"/>
    <w:rsid w:val="3EE45D14"/>
    <w:rsid w:val="402B48A5"/>
    <w:rsid w:val="4070E06E"/>
    <w:rsid w:val="41EF322A"/>
    <w:rsid w:val="452B2934"/>
    <w:rsid w:val="4597D34E"/>
    <w:rsid w:val="4812BF24"/>
    <w:rsid w:val="4E13FDD8"/>
    <w:rsid w:val="4F3E82C3"/>
    <w:rsid w:val="50D0F355"/>
    <w:rsid w:val="53BA1C0B"/>
    <w:rsid w:val="561F6CC1"/>
    <w:rsid w:val="57BB3D22"/>
    <w:rsid w:val="59D9BF74"/>
    <w:rsid w:val="5A295D8F"/>
    <w:rsid w:val="5BBBB8A7"/>
    <w:rsid w:val="6346B799"/>
    <w:rsid w:val="6A0F87DA"/>
    <w:rsid w:val="6BAB583B"/>
    <w:rsid w:val="6D47289C"/>
    <w:rsid w:val="6D7F0FA1"/>
    <w:rsid w:val="702DAFA3"/>
    <w:rsid w:val="70B6B063"/>
    <w:rsid w:val="7167085B"/>
    <w:rsid w:val="740F0AD9"/>
    <w:rsid w:val="779781B1"/>
    <w:rsid w:val="786E8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2B48A5"/>
  <w15:chartTrackingRefBased/>
  <w15:docId w15:val="{65BC92B5-3B91-4E5A-B8AE-C3019EB5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505"/>
    <w:rPr>
      <w:lang w:val="en-GB"/>
    </w:rPr>
  </w:style>
  <w:style w:type="paragraph" w:styleId="Heading1">
    <w:name w:val="heading 1"/>
    <w:basedOn w:val="Normal"/>
    <w:next w:val="Normal"/>
    <w:link w:val="Heading1Char"/>
    <w:uiPriority w:val="9"/>
    <w:qFormat/>
    <w:rsid w:val="00B404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7B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04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F96"/>
  </w:style>
  <w:style w:type="paragraph" w:styleId="Footer">
    <w:name w:val="footer"/>
    <w:basedOn w:val="Normal"/>
    <w:link w:val="FooterChar"/>
    <w:uiPriority w:val="99"/>
    <w:unhideWhenUsed/>
    <w:rsid w:val="00A85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F96"/>
  </w:style>
  <w:style w:type="paragraph" w:customStyle="1" w:styleId="TableText">
    <w:name w:val="Table Text"/>
    <w:basedOn w:val="Normal"/>
    <w:link w:val="TableTextChar"/>
    <w:rsid w:val="007E52E8"/>
    <w:pPr>
      <w:tabs>
        <w:tab w:val="right" w:pos="9000"/>
        <w:tab w:val="right" w:pos="14580"/>
      </w:tabs>
      <w:spacing w:before="60" w:after="60" w:line="240" w:lineRule="auto"/>
    </w:pPr>
    <w:rPr>
      <w:rFonts w:ascii="Arial" w:eastAsia="SimSun" w:hAnsi="Arial" w:cs="Arial"/>
      <w:sz w:val="20"/>
      <w:szCs w:val="20"/>
    </w:rPr>
  </w:style>
  <w:style w:type="character" w:customStyle="1" w:styleId="TableTextChar">
    <w:name w:val="Table Text Char"/>
    <w:link w:val="TableText"/>
    <w:locked/>
    <w:rsid w:val="007E52E8"/>
    <w:rPr>
      <w:rFonts w:ascii="Arial" w:eastAsia="SimSun" w:hAnsi="Arial" w:cs="Arial"/>
      <w:sz w:val="20"/>
      <w:szCs w:val="20"/>
      <w:lang w:val="en-GB"/>
    </w:rPr>
  </w:style>
  <w:style w:type="paragraph" w:styleId="ListParagraph">
    <w:name w:val="List Paragraph"/>
    <w:basedOn w:val="Normal"/>
    <w:link w:val="ListParagraphChar"/>
    <w:uiPriority w:val="34"/>
    <w:qFormat/>
    <w:rsid w:val="009475D5"/>
    <w:pPr>
      <w:ind w:left="720"/>
      <w:contextualSpacing/>
    </w:pPr>
  </w:style>
  <w:style w:type="table" w:styleId="TableGrid">
    <w:name w:val="Table Grid"/>
    <w:basedOn w:val="TableNormal"/>
    <w:uiPriority w:val="39"/>
    <w:rsid w:val="00076874"/>
    <w:pPr>
      <w:spacing w:after="0" w:line="240" w:lineRule="auto"/>
    </w:pPr>
    <w:rPr>
      <w:rFonts w:ascii="Arial" w:eastAsia="HGSMinchoE" w:hAnsi="Arial"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64F2"/>
    <w:pPr>
      <w:spacing w:after="0" w:line="240" w:lineRule="auto"/>
    </w:pPr>
  </w:style>
  <w:style w:type="character" w:styleId="CommentReference">
    <w:name w:val="annotation reference"/>
    <w:basedOn w:val="DefaultParagraphFont"/>
    <w:uiPriority w:val="99"/>
    <w:unhideWhenUsed/>
    <w:rsid w:val="0077289F"/>
    <w:rPr>
      <w:sz w:val="16"/>
      <w:szCs w:val="16"/>
    </w:rPr>
  </w:style>
  <w:style w:type="paragraph" w:styleId="CommentText">
    <w:name w:val="annotation text"/>
    <w:basedOn w:val="Normal"/>
    <w:link w:val="CommentTextChar"/>
    <w:uiPriority w:val="99"/>
    <w:unhideWhenUsed/>
    <w:rsid w:val="0077289F"/>
    <w:pPr>
      <w:spacing w:line="240" w:lineRule="auto"/>
    </w:pPr>
    <w:rPr>
      <w:sz w:val="20"/>
      <w:szCs w:val="20"/>
    </w:rPr>
  </w:style>
  <w:style w:type="character" w:customStyle="1" w:styleId="CommentTextChar">
    <w:name w:val="Comment Text Char"/>
    <w:basedOn w:val="DefaultParagraphFont"/>
    <w:link w:val="CommentText"/>
    <w:uiPriority w:val="99"/>
    <w:rsid w:val="0077289F"/>
    <w:rPr>
      <w:sz w:val="20"/>
      <w:szCs w:val="20"/>
    </w:rPr>
  </w:style>
  <w:style w:type="paragraph" w:styleId="CommentSubject">
    <w:name w:val="annotation subject"/>
    <w:basedOn w:val="CommentText"/>
    <w:next w:val="CommentText"/>
    <w:link w:val="CommentSubjectChar"/>
    <w:uiPriority w:val="99"/>
    <w:semiHidden/>
    <w:unhideWhenUsed/>
    <w:rsid w:val="0077289F"/>
    <w:rPr>
      <w:b/>
      <w:bCs/>
    </w:rPr>
  </w:style>
  <w:style w:type="character" w:customStyle="1" w:styleId="CommentSubjectChar">
    <w:name w:val="Comment Subject Char"/>
    <w:basedOn w:val="CommentTextChar"/>
    <w:link w:val="CommentSubject"/>
    <w:uiPriority w:val="99"/>
    <w:semiHidden/>
    <w:rsid w:val="0077289F"/>
    <w:rPr>
      <w:b/>
      <w:bCs/>
      <w:sz w:val="20"/>
      <w:szCs w:val="20"/>
    </w:rPr>
  </w:style>
  <w:style w:type="paragraph" w:styleId="BalloonText">
    <w:name w:val="Balloon Text"/>
    <w:basedOn w:val="Normal"/>
    <w:link w:val="BalloonTextChar"/>
    <w:uiPriority w:val="99"/>
    <w:semiHidden/>
    <w:unhideWhenUsed/>
    <w:rsid w:val="003B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74E"/>
    <w:rPr>
      <w:rFonts w:ascii="Segoe UI" w:hAnsi="Segoe UI" w:cs="Segoe UI"/>
      <w:sz w:val="18"/>
      <w:szCs w:val="18"/>
    </w:rPr>
  </w:style>
  <w:style w:type="paragraph" w:customStyle="1" w:styleId="paragraph">
    <w:name w:val="paragraph"/>
    <w:basedOn w:val="Normal"/>
    <w:rsid w:val="006702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70211"/>
  </w:style>
  <w:style w:type="character" w:customStyle="1" w:styleId="eop">
    <w:name w:val="eop"/>
    <w:basedOn w:val="DefaultParagraphFont"/>
    <w:rsid w:val="00670211"/>
  </w:style>
  <w:style w:type="character" w:styleId="Hyperlink">
    <w:name w:val="Hyperlink"/>
    <w:basedOn w:val="DefaultParagraphFont"/>
    <w:uiPriority w:val="99"/>
    <w:unhideWhenUsed/>
    <w:rsid w:val="00A512C7"/>
    <w:rPr>
      <w:color w:val="0563C1" w:themeColor="hyperlink"/>
      <w:u w:val="single"/>
    </w:rPr>
  </w:style>
  <w:style w:type="character" w:styleId="UnresolvedMention">
    <w:name w:val="Unresolved Mention"/>
    <w:basedOn w:val="DefaultParagraphFont"/>
    <w:uiPriority w:val="99"/>
    <w:semiHidden/>
    <w:unhideWhenUsed/>
    <w:rsid w:val="00A512C7"/>
    <w:rPr>
      <w:color w:val="605E5C"/>
      <w:shd w:val="clear" w:color="auto" w:fill="E1DFDD"/>
    </w:rPr>
  </w:style>
  <w:style w:type="character" w:customStyle="1" w:styleId="Heading2Char">
    <w:name w:val="Heading 2 Char"/>
    <w:basedOn w:val="DefaultParagraphFont"/>
    <w:link w:val="Heading2"/>
    <w:uiPriority w:val="9"/>
    <w:rsid w:val="00607BCF"/>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B40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0473"/>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basedOn w:val="DefaultParagraphFont"/>
    <w:link w:val="ListParagraph"/>
    <w:uiPriority w:val="34"/>
    <w:locked/>
    <w:rsid w:val="00700AF8"/>
  </w:style>
  <w:style w:type="character" w:styleId="FollowedHyperlink">
    <w:name w:val="FollowedHyperlink"/>
    <w:basedOn w:val="DefaultParagraphFont"/>
    <w:uiPriority w:val="99"/>
    <w:semiHidden/>
    <w:unhideWhenUsed/>
    <w:rsid w:val="0056476D"/>
    <w:rPr>
      <w:color w:val="954F72" w:themeColor="followedHyperlink"/>
      <w:u w:val="single"/>
    </w:rPr>
  </w:style>
  <w:style w:type="paragraph" w:styleId="Title">
    <w:name w:val="Title"/>
    <w:basedOn w:val="Normal"/>
    <w:next w:val="Normal"/>
    <w:link w:val="TitleChar"/>
    <w:uiPriority w:val="10"/>
    <w:qFormat/>
    <w:rsid w:val="00F314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46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314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31464"/>
    <w:rPr>
      <w:rFonts w:eastAsiaTheme="minorEastAsia"/>
      <w:color w:val="5A5A5A" w:themeColor="text1" w:themeTint="A5"/>
      <w:spacing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668">
      <w:bodyDiv w:val="1"/>
      <w:marLeft w:val="0"/>
      <w:marRight w:val="0"/>
      <w:marTop w:val="0"/>
      <w:marBottom w:val="0"/>
      <w:divBdr>
        <w:top w:val="none" w:sz="0" w:space="0" w:color="auto"/>
        <w:left w:val="none" w:sz="0" w:space="0" w:color="auto"/>
        <w:bottom w:val="none" w:sz="0" w:space="0" w:color="auto"/>
        <w:right w:val="none" w:sz="0" w:space="0" w:color="auto"/>
      </w:divBdr>
    </w:div>
    <w:div w:id="321471672">
      <w:bodyDiv w:val="1"/>
      <w:marLeft w:val="0"/>
      <w:marRight w:val="0"/>
      <w:marTop w:val="0"/>
      <w:marBottom w:val="0"/>
      <w:divBdr>
        <w:top w:val="none" w:sz="0" w:space="0" w:color="auto"/>
        <w:left w:val="none" w:sz="0" w:space="0" w:color="auto"/>
        <w:bottom w:val="none" w:sz="0" w:space="0" w:color="auto"/>
        <w:right w:val="none" w:sz="0" w:space="0" w:color="auto"/>
      </w:divBdr>
    </w:div>
    <w:div w:id="690037887">
      <w:bodyDiv w:val="1"/>
      <w:marLeft w:val="0"/>
      <w:marRight w:val="0"/>
      <w:marTop w:val="0"/>
      <w:marBottom w:val="0"/>
      <w:divBdr>
        <w:top w:val="none" w:sz="0" w:space="0" w:color="auto"/>
        <w:left w:val="none" w:sz="0" w:space="0" w:color="auto"/>
        <w:bottom w:val="none" w:sz="0" w:space="0" w:color="auto"/>
        <w:right w:val="none" w:sz="0" w:space="0" w:color="auto"/>
      </w:divBdr>
    </w:div>
    <w:div w:id="768357680">
      <w:bodyDiv w:val="1"/>
      <w:marLeft w:val="0"/>
      <w:marRight w:val="0"/>
      <w:marTop w:val="0"/>
      <w:marBottom w:val="0"/>
      <w:divBdr>
        <w:top w:val="none" w:sz="0" w:space="0" w:color="auto"/>
        <w:left w:val="none" w:sz="0" w:space="0" w:color="auto"/>
        <w:bottom w:val="none" w:sz="0" w:space="0" w:color="auto"/>
        <w:right w:val="none" w:sz="0" w:space="0" w:color="auto"/>
      </w:divBdr>
    </w:div>
    <w:div w:id="1057514237">
      <w:bodyDiv w:val="1"/>
      <w:marLeft w:val="0"/>
      <w:marRight w:val="0"/>
      <w:marTop w:val="0"/>
      <w:marBottom w:val="0"/>
      <w:divBdr>
        <w:top w:val="none" w:sz="0" w:space="0" w:color="auto"/>
        <w:left w:val="none" w:sz="0" w:space="0" w:color="auto"/>
        <w:bottom w:val="none" w:sz="0" w:space="0" w:color="auto"/>
        <w:right w:val="none" w:sz="0" w:space="0" w:color="auto"/>
      </w:divBdr>
    </w:div>
    <w:div w:id="1100680955">
      <w:bodyDiv w:val="1"/>
      <w:marLeft w:val="0"/>
      <w:marRight w:val="0"/>
      <w:marTop w:val="0"/>
      <w:marBottom w:val="0"/>
      <w:divBdr>
        <w:top w:val="none" w:sz="0" w:space="0" w:color="auto"/>
        <w:left w:val="none" w:sz="0" w:space="0" w:color="auto"/>
        <w:bottom w:val="none" w:sz="0" w:space="0" w:color="auto"/>
        <w:right w:val="none" w:sz="0" w:space="0" w:color="auto"/>
      </w:divBdr>
      <w:divsChild>
        <w:div w:id="1003433765">
          <w:marLeft w:val="547"/>
          <w:marRight w:val="0"/>
          <w:marTop w:val="0"/>
          <w:marBottom w:val="0"/>
          <w:divBdr>
            <w:top w:val="none" w:sz="0" w:space="0" w:color="auto"/>
            <w:left w:val="none" w:sz="0" w:space="0" w:color="auto"/>
            <w:bottom w:val="none" w:sz="0" w:space="0" w:color="auto"/>
            <w:right w:val="none" w:sz="0" w:space="0" w:color="auto"/>
          </w:divBdr>
        </w:div>
      </w:divsChild>
    </w:div>
    <w:div w:id="1133401335">
      <w:bodyDiv w:val="1"/>
      <w:marLeft w:val="0"/>
      <w:marRight w:val="0"/>
      <w:marTop w:val="0"/>
      <w:marBottom w:val="0"/>
      <w:divBdr>
        <w:top w:val="none" w:sz="0" w:space="0" w:color="auto"/>
        <w:left w:val="none" w:sz="0" w:space="0" w:color="auto"/>
        <w:bottom w:val="none" w:sz="0" w:space="0" w:color="auto"/>
        <w:right w:val="none" w:sz="0" w:space="0" w:color="auto"/>
      </w:divBdr>
    </w:div>
    <w:div w:id="1331450514">
      <w:bodyDiv w:val="1"/>
      <w:marLeft w:val="0"/>
      <w:marRight w:val="0"/>
      <w:marTop w:val="0"/>
      <w:marBottom w:val="0"/>
      <w:divBdr>
        <w:top w:val="none" w:sz="0" w:space="0" w:color="auto"/>
        <w:left w:val="none" w:sz="0" w:space="0" w:color="auto"/>
        <w:bottom w:val="none" w:sz="0" w:space="0" w:color="auto"/>
        <w:right w:val="none" w:sz="0" w:space="0" w:color="auto"/>
      </w:divBdr>
      <w:divsChild>
        <w:div w:id="748890233">
          <w:marLeft w:val="0"/>
          <w:marRight w:val="0"/>
          <w:marTop w:val="0"/>
          <w:marBottom w:val="0"/>
          <w:divBdr>
            <w:top w:val="none" w:sz="0" w:space="0" w:color="auto"/>
            <w:left w:val="none" w:sz="0" w:space="0" w:color="auto"/>
            <w:bottom w:val="none" w:sz="0" w:space="0" w:color="auto"/>
            <w:right w:val="none" w:sz="0" w:space="0" w:color="auto"/>
          </w:divBdr>
          <w:divsChild>
            <w:div w:id="426390623">
              <w:marLeft w:val="0"/>
              <w:marRight w:val="0"/>
              <w:marTop w:val="0"/>
              <w:marBottom w:val="0"/>
              <w:divBdr>
                <w:top w:val="none" w:sz="0" w:space="0" w:color="auto"/>
                <w:left w:val="none" w:sz="0" w:space="0" w:color="auto"/>
                <w:bottom w:val="none" w:sz="0" w:space="0" w:color="auto"/>
                <w:right w:val="none" w:sz="0" w:space="0" w:color="auto"/>
              </w:divBdr>
            </w:div>
            <w:div w:id="1889611062">
              <w:marLeft w:val="0"/>
              <w:marRight w:val="0"/>
              <w:marTop w:val="0"/>
              <w:marBottom w:val="0"/>
              <w:divBdr>
                <w:top w:val="none" w:sz="0" w:space="0" w:color="auto"/>
                <w:left w:val="none" w:sz="0" w:space="0" w:color="auto"/>
                <w:bottom w:val="none" w:sz="0" w:space="0" w:color="auto"/>
                <w:right w:val="none" w:sz="0" w:space="0" w:color="auto"/>
              </w:divBdr>
            </w:div>
          </w:divsChild>
        </w:div>
        <w:div w:id="1165436509">
          <w:marLeft w:val="0"/>
          <w:marRight w:val="0"/>
          <w:marTop w:val="0"/>
          <w:marBottom w:val="0"/>
          <w:divBdr>
            <w:top w:val="none" w:sz="0" w:space="0" w:color="auto"/>
            <w:left w:val="none" w:sz="0" w:space="0" w:color="auto"/>
            <w:bottom w:val="none" w:sz="0" w:space="0" w:color="auto"/>
            <w:right w:val="none" w:sz="0" w:space="0" w:color="auto"/>
          </w:divBdr>
        </w:div>
        <w:div w:id="1646667771">
          <w:marLeft w:val="0"/>
          <w:marRight w:val="0"/>
          <w:marTop w:val="0"/>
          <w:marBottom w:val="0"/>
          <w:divBdr>
            <w:top w:val="none" w:sz="0" w:space="0" w:color="auto"/>
            <w:left w:val="none" w:sz="0" w:space="0" w:color="auto"/>
            <w:bottom w:val="none" w:sz="0" w:space="0" w:color="auto"/>
            <w:right w:val="none" w:sz="0" w:space="0" w:color="auto"/>
          </w:divBdr>
          <w:divsChild>
            <w:div w:id="140973061">
              <w:marLeft w:val="0"/>
              <w:marRight w:val="0"/>
              <w:marTop w:val="0"/>
              <w:marBottom w:val="0"/>
              <w:divBdr>
                <w:top w:val="none" w:sz="0" w:space="0" w:color="auto"/>
                <w:left w:val="none" w:sz="0" w:space="0" w:color="auto"/>
                <w:bottom w:val="none" w:sz="0" w:space="0" w:color="auto"/>
                <w:right w:val="none" w:sz="0" w:space="0" w:color="auto"/>
              </w:divBdr>
            </w:div>
            <w:div w:id="141891318">
              <w:marLeft w:val="0"/>
              <w:marRight w:val="0"/>
              <w:marTop w:val="0"/>
              <w:marBottom w:val="0"/>
              <w:divBdr>
                <w:top w:val="none" w:sz="0" w:space="0" w:color="auto"/>
                <w:left w:val="none" w:sz="0" w:space="0" w:color="auto"/>
                <w:bottom w:val="none" w:sz="0" w:space="0" w:color="auto"/>
                <w:right w:val="none" w:sz="0" w:space="0" w:color="auto"/>
              </w:divBdr>
            </w:div>
            <w:div w:id="1102647573">
              <w:marLeft w:val="0"/>
              <w:marRight w:val="0"/>
              <w:marTop w:val="0"/>
              <w:marBottom w:val="0"/>
              <w:divBdr>
                <w:top w:val="none" w:sz="0" w:space="0" w:color="auto"/>
                <w:left w:val="none" w:sz="0" w:space="0" w:color="auto"/>
                <w:bottom w:val="none" w:sz="0" w:space="0" w:color="auto"/>
                <w:right w:val="none" w:sz="0" w:space="0" w:color="auto"/>
              </w:divBdr>
            </w:div>
            <w:div w:id="1129590715">
              <w:marLeft w:val="0"/>
              <w:marRight w:val="0"/>
              <w:marTop w:val="0"/>
              <w:marBottom w:val="0"/>
              <w:divBdr>
                <w:top w:val="none" w:sz="0" w:space="0" w:color="auto"/>
                <w:left w:val="none" w:sz="0" w:space="0" w:color="auto"/>
                <w:bottom w:val="none" w:sz="0" w:space="0" w:color="auto"/>
                <w:right w:val="none" w:sz="0" w:space="0" w:color="auto"/>
              </w:divBdr>
            </w:div>
            <w:div w:id="1992982336">
              <w:marLeft w:val="0"/>
              <w:marRight w:val="0"/>
              <w:marTop w:val="0"/>
              <w:marBottom w:val="0"/>
              <w:divBdr>
                <w:top w:val="none" w:sz="0" w:space="0" w:color="auto"/>
                <w:left w:val="none" w:sz="0" w:space="0" w:color="auto"/>
                <w:bottom w:val="none" w:sz="0" w:space="0" w:color="auto"/>
                <w:right w:val="none" w:sz="0" w:space="0" w:color="auto"/>
              </w:divBdr>
            </w:div>
          </w:divsChild>
        </w:div>
        <w:div w:id="1891727570">
          <w:marLeft w:val="0"/>
          <w:marRight w:val="0"/>
          <w:marTop w:val="0"/>
          <w:marBottom w:val="0"/>
          <w:divBdr>
            <w:top w:val="none" w:sz="0" w:space="0" w:color="auto"/>
            <w:left w:val="none" w:sz="0" w:space="0" w:color="auto"/>
            <w:bottom w:val="none" w:sz="0" w:space="0" w:color="auto"/>
            <w:right w:val="none" w:sz="0" w:space="0" w:color="auto"/>
          </w:divBdr>
          <w:divsChild>
            <w:div w:id="134687481">
              <w:marLeft w:val="0"/>
              <w:marRight w:val="0"/>
              <w:marTop w:val="0"/>
              <w:marBottom w:val="0"/>
              <w:divBdr>
                <w:top w:val="none" w:sz="0" w:space="0" w:color="auto"/>
                <w:left w:val="none" w:sz="0" w:space="0" w:color="auto"/>
                <w:bottom w:val="none" w:sz="0" w:space="0" w:color="auto"/>
                <w:right w:val="none" w:sz="0" w:space="0" w:color="auto"/>
              </w:divBdr>
            </w:div>
            <w:div w:id="484014595">
              <w:marLeft w:val="0"/>
              <w:marRight w:val="0"/>
              <w:marTop w:val="0"/>
              <w:marBottom w:val="0"/>
              <w:divBdr>
                <w:top w:val="none" w:sz="0" w:space="0" w:color="auto"/>
                <w:left w:val="none" w:sz="0" w:space="0" w:color="auto"/>
                <w:bottom w:val="none" w:sz="0" w:space="0" w:color="auto"/>
                <w:right w:val="none" w:sz="0" w:space="0" w:color="auto"/>
              </w:divBdr>
            </w:div>
          </w:divsChild>
        </w:div>
        <w:div w:id="1994722726">
          <w:marLeft w:val="0"/>
          <w:marRight w:val="0"/>
          <w:marTop w:val="0"/>
          <w:marBottom w:val="0"/>
          <w:divBdr>
            <w:top w:val="none" w:sz="0" w:space="0" w:color="auto"/>
            <w:left w:val="none" w:sz="0" w:space="0" w:color="auto"/>
            <w:bottom w:val="none" w:sz="0" w:space="0" w:color="auto"/>
            <w:right w:val="none" w:sz="0" w:space="0" w:color="auto"/>
          </w:divBdr>
          <w:divsChild>
            <w:div w:id="32997237">
              <w:marLeft w:val="0"/>
              <w:marRight w:val="0"/>
              <w:marTop w:val="0"/>
              <w:marBottom w:val="0"/>
              <w:divBdr>
                <w:top w:val="none" w:sz="0" w:space="0" w:color="auto"/>
                <w:left w:val="none" w:sz="0" w:space="0" w:color="auto"/>
                <w:bottom w:val="none" w:sz="0" w:space="0" w:color="auto"/>
                <w:right w:val="none" w:sz="0" w:space="0" w:color="auto"/>
              </w:divBdr>
            </w:div>
            <w:div w:id="1271087993">
              <w:marLeft w:val="0"/>
              <w:marRight w:val="0"/>
              <w:marTop w:val="0"/>
              <w:marBottom w:val="0"/>
              <w:divBdr>
                <w:top w:val="none" w:sz="0" w:space="0" w:color="auto"/>
                <w:left w:val="none" w:sz="0" w:space="0" w:color="auto"/>
                <w:bottom w:val="none" w:sz="0" w:space="0" w:color="auto"/>
                <w:right w:val="none" w:sz="0" w:space="0" w:color="auto"/>
              </w:divBdr>
            </w:div>
            <w:div w:id="1349215689">
              <w:marLeft w:val="0"/>
              <w:marRight w:val="0"/>
              <w:marTop w:val="0"/>
              <w:marBottom w:val="0"/>
              <w:divBdr>
                <w:top w:val="none" w:sz="0" w:space="0" w:color="auto"/>
                <w:left w:val="none" w:sz="0" w:space="0" w:color="auto"/>
                <w:bottom w:val="none" w:sz="0" w:space="0" w:color="auto"/>
                <w:right w:val="none" w:sz="0" w:space="0" w:color="auto"/>
              </w:divBdr>
            </w:div>
            <w:div w:id="1711227501">
              <w:marLeft w:val="0"/>
              <w:marRight w:val="0"/>
              <w:marTop w:val="0"/>
              <w:marBottom w:val="0"/>
              <w:divBdr>
                <w:top w:val="none" w:sz="0" w:space="0" w:color="auto"/>
                <w:left w:val="none" w:sz="0" w:space="0" w:color="auto"/>
                <w:bottom w:val="none" w:sz="0" w:space="0" w:color="auto"/>
                <w:right w:val="none" w:sz="0" w:space="0" w:color="auto"/>
              </w:divBdr>
            </w:div>
            <w:div w:id="20790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2484">
      <w:bodyDiv w:val="1"/>
      <w:marLeft w:val="0"/>
      <w:marRight w:val="0"/>
      <w:marTop w:val="0"/>
      <w:marBottom w:val="0"/>
      <w:divBdr>
        <w:top w:val="none" w:sz="0" w:space="0" w:color="auto"/>
        <w:left w:val="none" w:sz="0" w:space="0" w:color="auto"/>
        <w:bottom w:val="none" w:sz="0" w:space="0" w:color="auto"/>
        <w:right w:val="none" w:sz="0" w:space="0" w:color="auto"/>
      </w:divBdr>
      <w:divsChild>
        <w:div w:id="679282311">
          <w:marLeft w:val="547"/>
          <w:marRight w:val="0"/>
          <w:marTop w:val="0"/>
          <w:marBottom w:val="0"/>
          <w:divBdr>
            <w:top w:val="none" w:sz="0" w:space="0" w:color="auto"/>
            <w:left w:val="none" w:sz="0" w:space="0" w:color="auto"/>
            <w:bottom w:val="none" w:sz="0" w:space="0" w:color="auto"/>
            <w:right w:val="none" w:sz="0" w:space="0" w:color="auto"/>
          </w:divBdr>
        </w:div>
      </w:divsChild>
    </w:div>
    <w:div w:id="1957255216">
      <w:bodyDiv w:val="1"/>
      <w:marLeft w:val="0"/>
      <w:marRight w:val="0"/>
      <w:marTop w:val="0"/>
      <w:marBottom w:val="0"/>
      <w:divBdr>
        <w:top w:val="none" w:sz="0" w:space="0" w:color="auto"/>
        <w:left w:val="none" w:sz="0" w:space="0" w:color="auto"/>
        <w:bottom w:val="none" w:sz="0" w:space="0" w:color="auto"/>
        <w:right w:val="none" w:sz="0" w:space="0" w:color="auto"/>
      </w:divBdr>
    </w:div>
    <w:div w:id="2111579475">
      <w:bodyDiv w:val="1"/>
      <w:marLeft w:val="0"/>
      <w:marRight w:val="0"/>
      <w:marTop w:val="0"/>
      <w:marBottom w:val="0"/>
      <w:divBdr>
        <w:top w:val="none" w:sz="0" w:space="0" w:color="auto"/>
        <w:left w:val="none" w:sz="0" w:space="0" w:color="auto"/>
        <w:bottom w:val="none" w:sz="0" w:space="0" w:color="auto"/>
        <w:right w:val="none" w:sz="0" w:space="0" w:color="auto"/>
      </w:divBdr>
    </w:div>
    <w:div w:id="21281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ice.org.uk/about/what-we-do/life-sciences/scientific-advice/models-for-the-evaluation-and-purchase-of-antimicrobials/ceftazidime-with-avibacta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ice.org.uk/get-involved/meetings-in-public/antimicrobials-evaluation-committe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ice.org.uk/Media/Default/About/what-we-do/Life-sciences/award-questions-criteria-annex3.pdf"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nice.org.uk/Media/Default/About/what-we-do/Life-sciences/Selection-Questions-Criteria-Existing.pdf" TargetMode="External"/><Relationship Id="rId20" Type="http://schemas.openxmlformats.org/officeDocument/2006/relationships/hyperlink" Target="https://www.gov.uk/government/publications/voluntary-scheme-for-branded-medicines-pricing-and-ac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nice.org.uk/Media/Default/About/what-we-do/Life-sciences/models-for-the-evaluation-and-purchase-of-antimicrobials/Contract.docx"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nice.org.uk/about/what-we-do/life-sciences/scientific-advice/models-for-the-evaluation-and-purchase-of-antimicrobials/cefideroc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uk-5-year-action-plan-for-antimicrobial-resistance-2019-to-2024" TargetMode="External"/><Relationship Id="rId22" Type="http://schemas.openxmlformats.org/officeDocument/2006/relationships/footer" Target="footer3.xml"/><Relationship Id="rId27"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38DE6192F85E44ADA6DFA0D6347ACA" ma:contentTypeVersion="1" ma:contentTypeDescription="Create a new document." ma:contentTypeScope="" ma:versionID="7ec2fdb63a4464b1892391a9c1d02d23">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EBCF6-5ECF-4F51-B1FE-F18836ED2549}">
  <ds:schemaRefs>
    <ds:schemaRef ds:uri="http://schemas.microsoft.com/sharepoint/v3/contenttype/forms"/>
  </ds:schemaRefs>
</ds:datastoreItem>
</file>

<file path=customXml/itemProps2.xml><?xml version="1.0" encoding="utf-8"?>
<ds:datastoreItem xmlns:ds="http://schemas.openxmlformats.org/officeDocument/2006/customXml" ds:itemID="{0203532A-3355-4F7A-90CB-80792D8EDA30}">
  <ds:schemaRef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8EE10AA-F3B2-4EAC-B204-36132C1F2548}">
  <ds:schemaRefs>
    <ds:schemaRef ds:uri="http://schemas.openxmlformats.org/officeDocument/2006/bibliography"/>
  </ds:schemaRefs>
</ds:datastoreItem>
</file>

<file path=customXml/itemProps4.xml><?xml version="1.0" encoding="utf-8"?>
<ds:datastoreItem xmlns:ds="http://schemas.openxmlformats.org/officeDocument/2006/customXml" ds:itemID="{9CFB2FBA-7A54-42FE-82BB-8A18501F7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7227</Words>
  <Characters>41196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Glover</dc:creator>
  <cp:keywords/>
  <dc:description/>
  <cp:lastModifiedBy>Trish Brennan</cp:lastModifiedBy>
  <cp:revision>2</cp:revision>
  <dcterms:created xsi:type="dcterms:W3CDTF">2022-11-21T10:30:00Z</dcterms:created>
  <dcterms:modified xsi:type="dcterms:W3CDTF">2022-11-21T10:30:00Z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0x010100D438DE6192F85E44ADA6DFA0D6347ACA</vt:lpwstr>
  </property>
</Properties>
</file>