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4572D" w14:textId="020DE871" w:rsidR="00C52395" w:rsidRPr="00D65A89" w:rsidRDefault="00D65A89" w:rsidP="00D65A89">
      <w:pPr>
        <w:pStyle w:val="Title"/>
        <w:rPr>
          <w:sz w:val="72"/>
          <w:szCs w:val="72"/>
        </w:rPr>
      </w:pPr>
      <w:bookmarkStart w:id="0" w:name="_Toc90390397"/>
      <w:bookmarkStart w:id="1" w:name="_Toc92957931"/>
      <w:bookmarkStart w:id="2" w:name="_Hlk54006667"/>
      <w:r w:rsidRPr="00D65A89">
        <w:rPr>
          <w:sz w:val="72"/>
          <w:szCs w:val="72"/>
        </w:rPr>
        <w:t xml:space="preserve">Methods </w:t>
      </w:r>
      <w:r w:rsidR="00681FA3">
        <w:rPr>
          <w:sz w:val="72"/>
          <w:szCs w:val="72"/>
        </w:rPr>
        <w:t xml:space="preserve">proposals </w:t>
      </w:r>
      <w:r w:rsidRPr="00D65A89">
        <w:rPr>
          <w:sz w:val="72"/>
          <w:szCs w:val="72"/>
        </w:rPr>
        <w:t>second consultation response</w:t>
      </w:r>
      <w:bookmarkEnd w:id="0"/>
      <w:bookmarkEnd w:id="1"/>
    </w:p>
    <w:p w14:paraId="1E615636" w14:textId="6C66A1BC" w:rsidR="00C52395" w:rsidRPr="00D65A89" w:rsidRDefault="00D65A89" w:rsidP="0023635A">
      <w:pPr>
        <w:pStyle w:val="Title1"/>
        <w:rPr>
          <w:sz w:val="72"/>
          <w:szCs w:val="72"/>
        </w:rPr>
      </w:pPr>
      <w:bookmarkStart w:id="3" w:name="_Toc90390398"/>
      <w:bookmarkStart w:id="4" w:name="_Toc92957932"/>
      <w:r w:rsidRPr="00D65A89">
        <w:rPr>
          <w:sz w:val="72"/>
          <w:szCs w:val="72"/>
        </w:rPr>
        <w:t>NICE task and finish group report</w:t>
      </w:r>
      <w:bookmarkEnd w:id="3"/>
      <w:bookmarkEnd w:id="4"/>
    </w:p>
    <w:p w14:paraId="0CD29641" w14:textId="77777777" w:rsidR="00D65A89" w:rsidRDefault="00D65A89" w:rsidP="00D65A89">
      <w:pPr>
        <w:pStyle w:val="NICEnormalnumbered"/>
        <w:numPr>
          <w:ilvl w:val="0"/>
          <w:numId w:val="0"/>
        </w:numPr>
        <w:tabs>
          <w:tab w:val="clear" w:pos="426"/>
          <w:tab w:val="left" w:pos="0"/>
        </w:tabs>
        <w:ind w:left="644" w:hanging="644"/>
        <w:jc w:val="center"/>
        <w:rPr>
          <w:b/>
          <w:bCs/>
        </w:rPr>
      </w:pPr>
    </w:p>
    <w:p w14:paraId="4AA82644" w14:textId="170097F7" w:rsidR="00D65A89" w:rsidRPr="00D65A89" w:rsidRDefault="00D65A89" w:rsidP="00D65A89">
      <w:pPr>
        <w:pStyle w:val="NICEnormalnumbered"/>
        <w:numPr>
          <w:ilvl w:val="0"/>
          <w:numId w:val="0"/>
        </w:numPr>
        <w:tabs>
          <w:tab w:val="clear" w:pos="426"/>
          <w:tab w:val="left" w:pos="0"/>
        </w:tabs>
        <w:ind w:left="644" w:hanging="644"/>
        <w:jc w:val="center"/>
        <w:rPr>
          <w:b/>
          <w:bCs/>
        </w:rPr>
      </w:pPr>
      <w:r w:rsidRPr="00D65A89">
        <w:rPr>
          <w:b/>
          <w:bCs/>
        </w:rPr>
        <w:t>January 2022</w:t>
      </w:r>
    </w:p>
    <w:p w14:paraId="0DB8968F" w14:textId="7D749B9A" w:rsidR="00D65A89" w:rsidRDefault="00D65A89">
      <w:pPr>
        <w:rPr>
          <w:rFonts w:ascii="Arial" w:hAnsi="Arial"/>
          <w:b/>
          <w:bCs/>
          <w:color w:val="004650"/>
          <w:kern w:val="32"/>
          <w:sz w:val="36"/>
          <w:szCs w:val="36"/>
        </w:rPr>
      </w:pPr>
      <w:r>
        <w:br w:type="page"/>
      </w:r>
    </w:p>
    <w:p w14:paraId="101E6CE5" w14:textId="206CDDDB" w:rsidR="00D65A89" w:rsidRDefault="00D65A89" w:rsidP="00D65A89">
      <w:pPr>
        <w:pStyle w:val="Heading1boardreport"/>
        <w:rPr>
          <w:color w:val="000000" w:themeColor="text1"/>
        </w:rPr>
      </w:pPr>
      <w:bookmarkStart w:id="5" w:name="_Toc90390399"/>
      <w:bookmarkStart w:id="6" w:name="_Toc92957933"/>
      <w:r w:rsidRPr="00D65A89">
        <w:rPr>
          <w:color w:val="000000" w:themeColor="text1"/>
        </w:rPr>
        <w:lastRenderedPageBreak/>
        <w:t>Contents</w:t>
      </w:r>
      <w:bookmarkEnd w:id="5"/>
      <w:bookmarkEnd w:id="6"/>
    </w:p>
    <w:sdt>
      <w:sdtPr>
        <w:rPr>
          <w:rFonts w:ascii="Times New Roman" w:hAnsi="Times New Roman"/>
        </w:rPr>
        <w:id w:val="642401910"/>
        <w:docPartObj>
          <w:docPartGallery w:val="Table of Contents"/>
          <w:docPartUnique/>
        </w:docPartObj>
      </w:sdtPr>
      <w:sdtEndPr>
        <w:rPr>
          <w:b/>
          <w:bCs/>
          <w:noProof/>
        </w:rPr>
      </w:sdtEndPr>
      <w:sdtContent>
        <w:p w14:paraId="2EE58E30" w14:textId="1C7BDCD1" w:rsidR="00CD2C3F" w:rsidRDefault="00EB2546" w:rsidP="00CD2C3F">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2957931" w:history="1">
            <w:r w:rsidR="00CD2C3F" w:rsidRPr="001C1904">
              <w:rPr>
                <w:rStyle w:val="Hyperlink"/>
                <w:noProof/>
              </w:rPr>
              <w:t>Methods proposals second consultation response</w:t>
            </w:r>
            <w:r w:rsidR="00CD2C3F">
              <w:rPr>
                <w:noProof/>
                <w:webHidden/>
              </w:rPr>
              <w:tab/>
            </w:r>
            <w:r w:rsidR="00CD2C3F">
              <w:rPr>
                <w:noProof/>
                <w:webHidden/>
              </w:rPr>
              <w:fldChar w:fldCharType="begin"/>
            </w:r>
            <w:r w:rsidR="00CD2C3F">
              <w:rPr>
                <w:noProof/>
                <w:webHidden/>
              </w:rPr>
              <w:instrText xml:space="preserve"> PAGEREF _Toc92957931 \h </w:instrText>
            </w:r>
            <w:r w:rsidR="00CD2C3F">
              <w:rPr>
                <w:noProof/>
                <w:webHidden/>
              </w:rPr>
            </w:r>
            <w:r w:rsidR="00CD2C3F">
              <w:rPr>
                <w:noProof/>
                <w:webHidden/>
              </w:rPr>
              <w:fldChar w:fldCharType="separate"/>
            </w:r>
            <w:r w:rsidR="00CD2C3F">
              <w:rPr>
                <w:noProof/>
                <w:webHidden/>
              </w:rPr>
              <w:t>1</w:t>
            </w:r>
            <w:r w:rsidR="00CD2C3F">
              <w:rPr>
                <w:noProof/>
                <w:webHidden/>
              </w:rPr>
              <w:fldChar w:fldCharType="end"/>
            </w:r>
          </w:hyperlink>
        </w:p>
        <w:p w14:paraId="378C8302" w14:textId="7B974056" w:rsidR="00CD2C3F" w:rsidRDefault="00BD6CA9" w:rsidP="00CD2C3F">
          <w:pPr>
            <w:pStyle w:val="TOC1"/>
            <w:rPr>
              <w:rFonts w:asciiTheme="minorHAnsi" w:eastAsiaTheme="minorEastAsia" w:hAnsiTheme="minorHAnsi" w:cstheme="minorBidi"/>
              <w:noProof/>
              <w:sz w:val="22"/>
              <w:szCs w:val="22"/>
            </w:rPr>
          </w:pPr>
          <w:hyperlink w:anchor="_Toc92957932" w:history="1">
            <w:r w:rsidR="00CD2C3F" w:rsidRPr="001C1904">
              <w:rPr>
                <w:rStyle w:val="Hyperlink"/>
                <w:noProof/>
              </w:rPr>
              <w:t>NICE task and finish group report</w:t>
            </w:r>
            <w:r w:rsidR="00CD2C3F">
              <w:rPr>
                <w:noProof/>
                <w:webHidden/>
              </w:rPr>
              <w:tab/>
            </w:r>
            <w:r w:rsidR="00CD2C3F">
              <w:rPr>
                <w:noProof/>
                <w:webHidden/>
              </w:rPr>
              <w:fldChar w:fldCharType="begin"/>
            </w:r>
            <w:r w:rsidR="00CD2C3F">
              <w:rPr>
                <w:noProof/>
                <w:webHidden/>
              </w:rPr>
              <w:instrText xml:space="preserve"> PAGEREF _Toc92957932 \h </w:instrText>
            </w:r>
            <w:r w:rsidR="00CD2C3F">
              <w:rPr>
                <w:noProof/>
                <w:webHidden/>
              </w:rPr>
            </w:r>
            <w:r w:rsidR="00CD2C3F">
              <w:rPr>
                <w:noProof/>
                <w:webHidden/>
              </w:rPr>
              <w:fldChar w:fldCharType="separate"/>
            </w:r>
            <w:r w:rsidR="00CD2C3F">
              <w:rPr>
                <w:noProof/>
                <w:webHidden/>
              </w:rPr>
              <w:t>1</w:t>
            </w:r>
            <w:r w:rsidR="00CD2C3F">
              <w:rPr>
                <w:noProof/>
                <w:webHidden/>
              </w:rPr>
              <w:fldChar w:fldCharType="end"/>
            </w:r>
          </w:hyperlink>
        </w:p>
        <w:p w14:paraId="248AA6B7" w14:textId="1EF43745" w:rsidR="00CD2C3F" w:rsidRDefault="00BD6CA9" w:rsidP="00CD2C3F">
          <w:pPr>
            <w:pStyle w:val="TOC1"/>
            <w:rPr>
              <w:rFonts w:asciiTheme="minorHAnsi" w:eastAsiaTheme="minorEastAsia" w:hAnsiTheme="minorHAnsi" w:cstheme="minorBidi"/>
              <w:noProof/>
              <w:sz w:val="22"/>
              <w:szCs w:val="22"/>
            </w:rPr>
          </w:pPr>
          <w:hyperlink w:anchor="_Toc92957933" w:history="1">
            <w:r w:rsidR="00CD2C3F" w:rsidRPr="001C1904">
              <w:rPr>
                <w:rStyle w:val="Hyperlink"/>
                <w:noProof/>
              </w:rPr>
              <w:t>Contents</w:t>
            </w:r>
            <w:r w:rsidR="00CD2C3F">
              <w:rPr>
                <w:noProof/>
                <w:webHidden/>
              </w:rPr>
              <w:tab/>
            </w:r>
            <w:r w:rsidR="00CD2C3F">
              <w:rPr>
                <w:noProof/>
                <w:webHidden/>
              </w:rPr>
              <w:fldChar w:fldCharType="begin"/>
            </w:r>
            <w:r w:rsidR="00CD2C3F">
              <w:rPr>
                <w:noProof/>
                <w:webHidden/>
              </w:rPr>
              <w:instrText xml:space="preserve"> PAGEREF _Toc92957933 \h </w:instrText>
            </w:r>
            <w:r w:rsidR="00CD2C3F">
              <w:rPr>
                <w:noProof/>
                <w:webHidden/>
              </w:rPr>
            </w:r>
            <w:r w:rsidR="00CD2C3F">
              <w:rPr>
                <w:noProof/>
                <w:webHidden/>
              </w:rPr>
              <w:fldChar w:fldCharType="separate"/>
            </w:r>
            <w:r w:rsidR="00CD2C3F">
              <w:rPr>
                <w:noProof/>
                <w:webHidden/>
              </w:rPr>
              <w:t>2</w:t>
            </w:r>
            <w:r w:rsidR="00CD2C3F">
              <w:rPr>
                <w:noProof/>
                <w:webHidden/>
              </w:rPr>
              <w:fldChar w:fldCharType="end"/>
            </w:r>
          </w:hyperlink>
        </w:p>
        <w:p w14:paraId="762A7CCA" w14:textId="729D69AD" w:rsidR="00CD2C3F" w:rsidRDefault="00BD6CA9" w:rsidP="00CD2C3F">
          <w:pPr>
            <w:pStyle w:val="TOC1"/>
            <w:rPr>
              <w:rFonts w:asciiTheme="minorHAnsi" w:eastAsiaTheme="minorEastAsia" w:hAnsiTheme="minorHAnsi" w:cstheme="minorBidi"/>
              <w:noProof/>
              <w:sz w:val="22"/>
              <w:szCs w:val="22"/>
            </w:rPr>
          </w:pPr>
          <w:hyperlink w:anchor="_Toc92957934" w:history="1">
            <w:r w:rsidR="00CD2C3F" w:rsidRPr="001C1904">
              <w:rPr>
                <w:rStyle w:val="Hyperlink"/>
                <w:noProof/>
              </w:rPr>
              <w:t>Tables and Figures</w:t>
            </w:r>
            <w:r w:rsidR="00CD2C3F">
              <w:rPr>
                <w:noProof/>
                <w:webHidden/>
              </w:rPr>
              <w:tab/>
            </w:r>
            <w:r w:rsidR="00CD2C3F">
              <w:rPr>
                <w:noProof/>
                <w:webHidden/>
              </w:rPr>
              <w:fldChar w:fldCharType="begin"/>
            </w:r>
            <w:r w:rsidR="00CD2C3F">
              <w:rPr>
                <w:noProof/>
                <w:webHidden/>
              </w:rPr>
              <w:instrText xml:space="preserve"> PAGEREF _Toc92957934 \h </w:instrText>
            </w:r>
            <w:r w:rsidR="00CD2C3F">
              <w:rPr>
                <w:noProof/>
                <w:webHidden/>
              </w:rPr>
            </w:r>
            <w:r w:rsidR="00CD2C3F">
              <w:rPr>
                <w:noProof/>
                <w:webHidden/>
              </w:rPr>
              <w:fldChar w:fldCharType="separate"/>
            </w:r>
            <w:r w:rsidR="00CD2C3F">
              <w:rPr>
                <w:noProof/>
                <w:webHidden/>
              </w:rPr>
              <w:t>3</w:t>
            </w:r>
            <w:r w:rsidR="00CD2C3F">
              <w:rPr>
                <w:noProof/>
                <w:webHidden/>
              </w:rPr>
              <w:fldChar w:fldCharType="end"/>
            </w:r>
          </w:hyperlink>
        </w:p>
        <w:p w14:paraId="57024811" w14:textId="2723CA9F" w:rsidR="00CD2C3F" w:rsidRDefault="00BD6CA9" w:rsidP="00CD2C3F">
          <w:pPr>
            <w:pStyle w:val="TOC1"/>
            <w:rPr>
              <w:rFonts w:asciiTheme="minorHAnsi" w:eastAsiaTheme="minorEastAsia" w:hAnsiTheme="minorHAnsi" w:cstheme="minorBidi"/>
              <w:noProof/>
              <w:sz w:val="22"/>
              <w:szCs w:val="22"/>
            </w:rPr>
          </w:pPr>
          <w:hyperlink w:anchor="_Toc92957935" w:history="1">
            <w:r w:rsidR="00CD2C3F" w:rsidRPr="001C1904">
              <w:rPr>
                <w:rStyle w:val="Hyperlink"/>
                <w:noProof/>
              </w:rPr>
              <w:t>1</w:t>
            </w:r>
            <w:r w:rsidR="00CD2C3F">
              <w:rPr>
                <w:rFonts w:asciiTheme="minorHAnsi" w:eastAsiaTheme="minorEastAsia" w:hAnsiTheme="minorHAnsi" w:cstheme="minorBidi"/>
                <w:noProof/>
                <w:sz w:val="22"/>
                <w:szCs w:val="22"/>
              </w:rPr>
              <w:tab/>
            </w:r>
            <w:r w:rsidR="00CD2C3F" w:rsidRPr="001C1904">
              <w:rPr>
                <w:rStyle w:val="Hyperlink"/>
                <w:noProof/>
              </w:rPr>
              <w:t>Background and objectives</w:t>
            </w:r>
            <w:r w:rsidR="00CD2C3F">
              <w:rPr>
                <w:noProof/>
                <w:webHidden/>
              </w:rPr>
              <w:tab/>
            </w:r>
            <w:r w:rsidR="00CD2C3F">
              <w:rPr>
                <w:noProof/>
                <w:webHidden/>
              </w:rPr>
              <w:fldChar w:fldCharType="begin"/>
            </w:r>
            <w:r w:rsidR="00CD2C3F">
              <w:rPr>
                <w:noProof/>
                <w:webHidden/>
              </w:rPr>
              <w:instrText xml:space="preserve"> PAGEREF _Toc92957935 \h </w:instrText>
            </w:r>
            <w:r w:rsidR="00CD2C3F">
              <w:rPr>
                <w:noProof/>
                <w:webHidden/>
              </w:rPr>
            </w:r>
            <w:r w:rsidR="00CD2C3F">
              <w:rPr>
                <w:noProof/>
                <w:webHidden/>
              </w:rPr>
              <w:fldChar w:fldCharType="separate"/>
            </w:r>
            <w:r w:rsidR="00CD2C3F">
              <w:rPr>
                <w:noProof/>
                <w:webHidden/>
              </w:rPr>
              <w:t>4</w:t>
            </w:r>
            <w:r w:rsidR="00CD2C3F">
              <w:rPr>
                <w:noProof/>
                <w:webHidden/>
              </w:rPr>
              <w:fldChar w:fldCharType="end"/>
            </w:r>
          </w:hyperlink>
        </w:p>
        <w:p w14:paraId="0D93A998" w14:textId="78EC82CD" w:rsidR="00CD2C3F" w:rsidRDefault="00BD6CA9" w:rsidP="00CD2C3F">
          <w:pPr>
            <w:pStyle w:val="TOC1"/>
            <w:rPr>
              <w:rFonts w:asciiTheme="minorHAnsi" w:eastAsiaTheme="minorEastAsia" w:hAnsiTheme="minorHAnsi" w:cstheme="minorBidi"/>
              <w:noProof/>
              <w:sz w:val="22"/>
              <w:szCs w:val="22"/>
            </w:rPr>
          </w:pPr>
          <w:hyperlink w:anchor="_Toc92957936" w:history="1">
            <w:r w:rsidR="00CD2C3F" w:rsidRPr="001C1904">
              <w:rPr>
                <w:rStyle w:val="Hyperlink"/>
                <w:noProof/>
              </w:rPr>
              <w:t>2</w:t>
            </w:r>
            <w:r w:rsidR="00CD2C3F">
              <w:rPr>
                <w:rFonts w:asciiTheme="minorHAnsi" w:eastAsiaTheme="minorEastAsia" w:hAnsiTheme="minorHAnsi" w:cstheme="minorBidi"/>
                <w:noProof/>
                <w:sz w:val="22"/>
                <w:szCs w:val="22"/>
              </w:rPr>
              <w:tab/>
            </w:r>
            <w:r w:rsidR="00CD2C3F" w:rsidRPr="001C1904">
              <w:rPr>
                <w:rStyle w:val="Hyperlink"/>
                <w:noProof/>
              </w:rPr>
              <w:t>Project overview</w:t>
            </w:r>
            <w:r w:rsidR="00CD2C3F">
              <w:rPr>
                <w:noProof/>
                <w:webHidden/>
              </w:rPr>
              <w:tab/>
            </w:r>
            <w:r w:rsidR="00CD2C3F">
              <w:rPr>
                <w:noProof/>
                <w:webHidden/>
              </w:rPr>
              <w:fldChar w:fldCharType="begin"/>
            </w:r>
            <w:r w:rsidR="00CD2C3F">
              <w:rPr>
                <w:noProof/>
                <w:webHidden/>
              </w:rPr>
              <w:instrText xml:space="preserve"> PAGEREF _Toc92957936 \h </w:instrText>
            </w:r>
            <w:r w:rsidR="00CD2C3F">
              <w:rPr>
                <w:noProof/>
                <w:webHidden/>
              </w:rPr>
            </w:r>
            <w:r w:rsidR="00CD2C3F">
              <w:rPr>
                <w:noProof/>
                <w:webHidden/>
              </w:rPr>
              <w:fldChar w:fldCharType="separate"/>
            </w:r>
            <w:r w:rsidR="00CD2C3F">
              <w:rPr>
                <w:noProof/>
                <w:webHidden/>
              </w:rPr>
              <w:t>4</w:t>
            </w:r>
            <w:r w:rsidR="00CD2C3F">
              <w:rPr>
                <w:noProof/>
                <w:webHidden/>
              </w:rPr>
              <w:fldChar w:fldCharType="end"/>
            </w:r>
          </w:hyperlink>
        </w:p>
        <w:p w14:paraId="74DDD188" w14:textId="3E940F7F" w:rsidR="00CD2C3F" w:rsidRDefault="00BD6CA9" w:rsidP="00CD2C3F">
          <w:pPr>
            <w:pStyle w:val="TOC1"/>
            <w:rPr>
              <w:rFonts w:asciiTheme="minorHAnsi" w:eastAsiaTheme="minorEastAsia" w:hAnsiTheme="minorHAnsi" w:cstheme="minorBidi"/>
              <w:noProof/>
              <w:sz w:val="22"/>
              <w:szCs w:val="22"/>
            </w:rPr>
          </w:pPr>
          <w:hyperlink w:anchor="_Toc92957937" w:history="1">
            <w:r w:rsidR="00CD2C3F" w:rsidRPr="001C1904">
              <w:rPr>
                <w:rStyle w:val="Hyperlink"/>
                <w:noProof/>
              </w:rPr>
              <w:t>3</w:t>
            </w:r>
            <w:r w:rsidR="00CD2C3F">
              <w:rPr>
                <w:rFonts w:asciiTheme="minorHAnsi" w:eastAsiaTheme="minorEastAsia" w:hAnsiTheme="minorHAnsi" w:cstheme="minorBidi"/>
                <w:noProof/>
                <w:sz w:val="22"/>
                <w:szCs w:val="22"/>
              </w:rPr>
              <w:tab/>
            </w:r>
            <w:r w:rsidR="00CD2C3F" w:rsidRPr="001C1904">
              <w:rPr>
                <w:rStyle w:val="Hyperlink"/>
                <w:noProof/>
              </w:rPr>
              <w:t>Results</w:t>
            </w:r>
            <w:r w:rsidR="00CD2C3F">
              <w:rPr>
                <w:noProof/>
                <w:webHidden/>
              </w:rPr>
              <w:tab/>
            </w:r>
            <w:r w:rsidR="00CD2C3F">
              <w:rPr>
                <w:noProof/>
                <w:webHidden/>
              </w:rPr>
              <w:fldChar w:fldCharType="begin"/>
            </w:r>
            <w:r w:rsidR="00CD2C3F">
              <w:rPr>
                <w:noProof/>
                <w:webHidden/>
              </w:rPr>
              <w:instrText xml:space="preserve"> PAGEREF _Toc92957937 \h </w:instrText>
            </w:r>
            <w:r w:rsidR="00CD2C3F">
              <w:rPr>
                <w:noProof/>
                <w:webHidden/>
              </w:rPr>
            </w:r>
            <w:r w:rsidR="00CD2C3F">
              <w:rPr>
                <w:noProof/>
                <w:webHidden/>
              </w:rPr>
              <w:fldChar w:fldCharType="separate"/>
            </w:r>
            <w:r w:rsidR="00CD2C3F">
              <w:rPr>
                <w:noProof/>
                <w:webHidden/>
              </w:rPr>
              <w:t>5</w:t>
            </w:r>
            <w:r w:rsidR="00CD2C3F">
              <w:rPr>
                <w:noProof/>
                <w:webHidden/>
              </w:rPr>
              <w:fldChar w:fldCharType="end"/>
            </w:r>
          </w:hyperlink>
        </w:p>
        <w:p w14:paraId="7CBC39C6" w14:textId="5DB5A285" w:rsidR="00CD2C3F" w:rsidRDefault="00BD6CA9">
          <w:pPr>
            <w:pStyle w:val="TOC2"/>
            <w:tabs>
              <w:tab w:val="left" w:pos="880"/>
              <w:tab w:val="right" w:leader="dot" w:pos="9016"/>
            </w:tabs>
            <w:rPr>
              <w:rFonts w:asciiTheme="minorHAnsi" w:eastAsiaTheme="minorEastAsia" w:hAnsiTheme="minorHAnsi" w:cstheme="minorBidi"/>
              <w:noProof/>
              <w:sz w:val="22"/>
              <w:szCs w:val="22"/>
            </w:rPr>
          </w:pPr>
          <w:hyperlink w:anchor="_Toc92957938" w:history="1">
            <w:r w:rsidR="00CD2C3F" w:rsidRPr="001C1904">
              <w:rPr>
                <w:rStyle w:val="Hyperlink"/>
                <w:noProof/>
              </w:rPr>
              <w:t>3.1</w:t>
            </w:r>
            <w:r w:rsidR="00CD2C3F">
              <w:rPr>
                <w:rFonts w:asciiTheme="minorHAnsi" w:eastAsiaTheme="minorEastAsia" w:hAnsiTheme="minorHAnsi" w:cstheme="minorBidi"/>
                <w:noProof/>
                <w:sz w:val="22"/>
                <w:szCs w:val="22"/>
              </w:rPr>
              <w:tab/>
            </w:r>
            <w:r w:rsidR="00CD2C3F" w:rsidRPr="001C1904">
              <w:rPr>
                <w:rStyle w:val="Hyperlink"/>
                <w:noProof/>
              </w:rPr>
              <w:t>General overview</w:t>
            </w:r>
            <w:r w:rsidR="00CD2C3F">
              <w:rPr>
                <w:noProof/>
                <w:webHidden/>
              </w:rPr>
              <w:tab/>
            </w:r>
            <w:r w:rsidR="00CD2C3F">
              <w:rPr>
                <w:noProof/>
                <w:webHidden/>
              </w:rPr>
              <w:fldChar w:fldCharType="begin"/>
            </w:r>
            <w:r w:rsidR="00CD2C3F">
              <w:rPr>
                <w:noProof/>
                <w:webHidden/>
              </w:rPr>
              <w:instrText xml:space="preserve"> PAGEREF _Toc92957938 \h </w:instrText>
            </w:r>
            <w:r w:rsidR="00CD2C3F">
              <w:rPr>
                <w:noProof/>
                <w:webHidden/>
              </w:rPr>
            </w:r>
            <w:r w:rsidR="00CD2C3F">
              <w:rPr>
                <w:noProof/>
                <w:webHidden/>
              </w:rPr>
              <w:fldChar w:fldCharType="separate"/>
            </w:r>
            <w:r w:rsidR="00CD2C3F">
              <w:rPr>
                <w:noProof/>
                <w:webHidden/>
              </w:rPr>
              <w:t>5</w:t>
            </w:r>
            <w:r w:rsidR="00CD2C3F">
              <w:rPr>
                <w:noProof/>
                <w:webHidden/>
              </w:rPr>
              <w:fldChar w:fldCharType="end"/>
            </w:r>
          </w:hyperlink>
        </w:p>
        <w:p w14:paraId="5C016C5F" w14:textId="3597C699" w:rsidR="00CD2C3F" w:rsidRDefault="00BD6CA9">
          <w:pPr>
            <w:pStyle w:val="TOC2"/>
            <w:tabs>
              <w:tab w:val="left" w:pos="880"/>
              <w:tab w:val="right" w:leader="dot" w:pos="9016"/>
            </w:tabs>
            <w:rPr>
              <w:rFonts w:asciiTheme="minorHAnsi" w:eastAsiaTheme="minorEastAsia" w:hAnsiTheme="minorHAnsi" w:cstheme="minorBidi"/>
              <w:noProof/>
              <w:sz w:val="22"/>
              <w:szCs w:val="22"/>
            </w:rPr>
          </w:pPr>
          <w:hyperlink w:anchor="_Toc92957939" w:history="1">
            <w:r w:rsidR="00CD2C3F" w:rsidRPr="001C1904">
              <w:rPr>
                <w:rStyle w:val="Hyperlink"/>
                <w:noProof/>
              </w:rPr>
              <w:t>3.2</w:t>
            </w:r>
            <w:r w:rsidR="00CD2C3F">
              <w:rPr>
                <w:rFonts w:asciiTheme="minorHAnsi" w:eastAsiaTheme="minorEastAsia" w:hAnsiTheme="minorHAnsi" w:cstheme="minorBidi"/>
                <w:noProof/>
                <w:sz w:val="22"/>
                <w:szCs w:val="22"/>
              </w:rPr>
              <w:tab/>
            </w:r>
            <w:r w:rsidR="00CD2C3F" w:rsidRPr="001C1904">
              <w:rPr>
                <w:rStyle w:val="Hyperlink"/>
                <w:noProof/>
              </w:rPr>
              <w:t>Valuing the benefits of health technologies</w:t>
            </w:r>
            <w:r w:rsidR="00CD2C3F">
              <w:rPr>
                <w:noProof/>
                <w:webHidden/>
              </w:rPr>
              <w:tab/>
            </w:r>
            <w:r w:rsidR="00CD2C3F">
              <w:rPr>
                <w:noProof/>
                <w:webHidden/>
              </w:rPr>
              <w:fldChar w:fldCharType="begin"/>
            </w:r>
            <w:r w:rsidR="00CD2C3F">
              <w:rPr>
                <w:noProof/>
                <w:webHidden/>
              </w:rPr>
              <w:instrText xml:space="preserve"> PAGEREF _Toc92957939 \h </w:instrText>
            </w:r>
            <w:r w:rsidR="00CD2C3F">
              <w:rPr>
                <w:noProof/>
                <w:webHidden/>
              </w:rPr>
            </w:r>
            <w:r w:rsidR="00CD2C3F">
              <w:rPr>
                <w:noProof/>
                <w:webHidden/>
              </w:rPr>
              <w:fldChar w:fldCharType="separate"/>
            </w:r>
            <w:r w:rsidR="00CD2C3F">
              <w:rPr>
                <w:noProof/>
                <w:webHidden/>
              </w:rPr>
              <w:t>7</w:t>
            </w:r>
            <w:r w:rsidR="00CD2C3F">
              <w:rPr>
                <w:noProof/>
                <w:webHidden/>
              </w:rPr>
              <w:fldChar w:fldCharType="end"/>
            </w:r>
          </w:hyperlink>
        </w:p>
        <w:p w14:paraId="3DA753B3" w14:textId="5B5AE05D" w:rsidR="00CD2C3F" w:rsidRDefault="00BD6CA9">
          <w:pPr>
            <w:pStyle w:val="TOC3"/>
            <w:tabs>
              <w:tab w:val="left" w:pos="1320"/>
              <w:tab w:val="right" w:leader="dot" w:pos="9016"/>
            </w:tabs>
            <w:rPr>
              <w:rFonts w:asciiTheme="minorHAnsi" w:eastAsiaTheme="minorEastAsia" w:hAnsiTheme="minorHAnsi" w:cstheme="minorBidi"/>
              <w:noProof/>
              <w:sz w:val="22"/>
              <w:szCs w:val="22"/>
            </w:rPr>
          </w:pPr>
          <w:hyperlink w:anchor="_Toc92957940" w:history="1">
            <w:r w:rsidR="00CD2C3F" w:rsidRPr="001C1904">
              <w:rPr>
                <w:rStyle w:val="Hyperlink"/>
                <w:noProof/>
                <w:lang w:eastAsia="en-US"/>
              </w:rPr>
              <w:t>3.2.1</w:t>
            </w:r>
            <w:r w:rsidR="00CD2C3F">
              <w:rPr>
                <w:rFonts w:asciiTheme="minorHAnsi" w:eastAsiaTheme="minorEastAsia" w:hAnsiTheme="minorHAnsi" w:cstheme="minorBidi"/>
                <w:noProof/>
                <w:sz w:val="22"/>
                <w:szCs w:val="22"/>
              </w:rPr>
              <w:tab/>
            </w:r>
            <w:r w:rsidR="00CD2C3F" w:rsidRPr="001C1904">
              <w:rPr>
                <w:rStyle w:val="Hyperlink"/>
                <w:noProof/>
                <w:lang w:eastAsia="en-US"/>
              </w:rPr>
              <w:t>Severity of disease</w:t>
            </w:r>
            <w:r w:rsidR="00CD2C3F">
              <w:rPr>
                <w:noProof/>
                <w:webHidden/>
              </w:rPr>
              <w:tab/>
            </w:r>
            <w:r w:rsidR="00CD2C3F">
              <w:rPr>
                <w:noProof/>
                <w:webHidden/>
              </w:rPr>
              <w:fldChar w:fldCharType="begin"/>
            </w:r>
            <w:r w:rsidR="00CD2C3F">
              <w:rPr>
                <w:noProof/>
                <w:webHidden/>
              </w:rPr>
              <w:instrText xml:space="preserve"> PAGEREF _Toc92957940 \h </w:instrText>
            </w:r>
            <w:r w:rsidR="00CD2C3F">
              <w:rPr>
                <w:noProof/>
                <w:webHidden/>
              </w:rPr>
            </w:r>
            <w:r w:rsidR="00CD2C3F">
              <w:rPr>
                <w:noProof/>
                <w:webHidden/>
              </w:rPr>
              <w:fldChar w:fldCharType="separate"/>
            </w:r>
            <w:r w:rsidR="00CD2C3F">
              <w:rPr>
                <w:noProof/>
                <w:webHidden/>
              </w:rPr>
              <w:t>7</w:t>
            </w:r>
            <w:r w:rsidR="00CD2C3F">
              <w:rPr>
                <w:noProof/>
                <w:webHidden/>
              </w:rPr>
              <w:fldChar w:fldCharType="end"/>
            </w:r>
          </w:hyperlink>
        </w:p>
        <w:p w14:paraId="5742D60A" w14:textId="24A485AF" w:rsidR="00CD2C3F" w:rsidRDefault="00BD6CA9">
          <w:pPr>
            <w:pStyle w:val="TOC3"/>
            <w:tabs>
              <w:tab w:val="left" w:pos="1320"/>
              <w:tab w:val="right" w:leader="dot" w:pos="9016"/>
            </w:tabs>
            <w:rPr>
              <w:rFonts w:asciiTheme="minorHAnsi" w:eastAsiaTheme="minorEastAsia" w:hAnsiTheme="minorHAnsi" w:cstheme="minorBidi"/>
              <w:noProof/>
              <w:sz w:val="22"/>
              <w:szCs w:val="22"/>
            </w:rPr>
          </w:pPr>
          <w:hyperlink w:anchor="_Toc92957941" w:history="1">
            <w:r w:rsidR="00CD2C3F" w:rsidRPr="001C1904">
              <w:rPr>
                <w:rStyle w:val="Hyperlink"/>
                <w:noProof/>
                <w:lang w:eastAsia="en-US"/>
              </w:rPr>
              <w:t>3.2.2</w:t>
            </w:r>
            <w:r w:rsidR="00CD2C3F">
              <w:rPr>
                <w:rFonts w:asciiTheme="minorHAnsi" w:eastAsiaTheme="minorEastAsia" w:hAnsiTheme="minorHAnsi" w:cstheme="minorBidi"/>
                <w:noProof/>
                <w:sz w:val="22"/>
                <w:szCs w:val="22"/>
              </w:rPr>
              <w:tab/>
            </w:r>
            <w:r w:rsidR="00CD2C3F" w:rsidRPr="001C1904">
              <w:rPr>
                <w:rStyle w:val="Hyperlink"/>
                <w:noProof/>
                <w:lang w:eastAsia="en-US"/>
              </w:rPr>
              <w:t>Consideration of uncertainty</w:t>
            </w:r>
            <w:r w:rsidR="00CD2C3F">
              <w:rPr>
                <w:noProof/>
                <w:webHidden/>
              </w:rPr>
              <w:tab/>
            </w:r>
            <w:r w:rsidR="00CD2C3F">
              <w:rPr>
                <w:noProof/>
                <w:webHidden/>
              </w:rPr>
              <w:fldChar w:fldCharType="begin"/>
            </w:r>
            <w:r w:rsidR="00CD2C3F">
              <w:rPr>
                <w:noProof/>
                <w:webHidden/>
              </w:rPr>
              <w:instrText xml:space="preserve"> PAGEREF _Toc92957941 \h </w:instrText>
            </w:r>
            <w:r w:rsidR="00CD2C3F">
              <w:rPr>
                <w:noProof/>
                <w:webHidden/>
              </w:rPr>
            </w:r>
            <w:r w:rsidR="00CD2C3F">
              <w:rPr>
                <w:noProof/>
                <w:webHidden/>
              </w:rPr>
              <w:fldChar w:fldCharType="separate"/>
            </w:r>
            <w:r w:rsidR="00CD2C3F">
              <w:rPr>
                <w:noProof/>
                <w:webHidden/>
              </w:rPr>
              <w:t>9</w:t>
            </w:r>
            <w:r w:rsidR="00CD2C3F">
              <w:rPr>
                <w:noProof/>
                <w:webHidden/>
              </w:rPr>
              <w:fldChar w:fldCharType="end"/>
            </w:r>
          </w:hyperlink>
        </w:p>
        <w:p w14:paraId="3A1A1992" w14:textId="093B4740" w:rsidR="00CD2C3F" w:rsidRDefault="00BD6CA9">
          <w:pPr>
            <w:pStyle w:val="TOC3"/>
            <w:tabs>
              <w:tab w:val="left" w:pos="1320"/>
              <w:tab w:val="right" w:leader="dot" w:pos="9016"/>
            </w:tabs>
            <w:rPr>
              <w:rFonts w:asciiTheme="minorHAnsi" w:eastAsiaTheme="minorEastAsia" w:hAnsiTheme="minorHAnsi" w:cstheme="minorBidi"/>
              <w:noProof/>
              <w:sz w:val="22"/>
              <w:szCs w:val="22"/>
            </w:rPr>
          </w:pPr>
          <w:hyperlink w:anchor="_Toc92957942" w:history="1">
            <w:r w:rsidR="00CD2C3F" w:rsidRPr="001C1904">
              <w:rPr>
                <w:rStyle w:val="Hyperlink"/>
                <w:noProof/>
                <w:lang w:eastAsia="en-US"/>
              </w:rPr>
              <w:t>3.2.3</w:t>
            </w:r>
            <w:r w:rsidR="00CD2C3F">
              <w:rPr>
                <w:rFonts w:asciiTheme="minorHAnsi" w:eastAsiaTheme="minorEastAsia" w:hAnsiTheme="minorHAnsi" w:cstheme="minorBidi"/>
                <w:noProof/>
                <w:sz w:val="22"/>
                <w:szCs w:val="22"/>
              </w:rPr>
              <w:tab/>
            </w:r>
            <w:r w:rsidR="00CD2C3F" w:rsidRPr="001C1904">
              <w:rPr>
                <w:rStyle w:val="Hyperlink"/>
                <w:noProof/>
                <w:lang w:eastAsia="en-US"/>
              </w:rPr>
              <w:t>Health inequalities</w:t>
            </w:r>
            <w:r w:rsidR="00CD2C3F">
              <w:rPr>
                <w:noProof/>
                <w:webHidden/>
              </w:rPr>
              <w:tab/>
            </w:r>
            <w:r w:rsidR="00CD2C3F">
              <w:rPr>
                <w:noProof/>
                <w:webHidden/>
              </w:rPr>
              <w:fldChar w:fldCharType="begin"/>
            </w:r>
            <w:r w:rsidR="00CD2C3F">
              <w:rPr>
                <w:noProof/>
                <w:webHidden/>
              </w:rPr>
              <w:instrText xml:space="preserve"> PAGEREF _Toc92957942 \h </w:instrText>
            </w:r>
            <w:r w:rsidR="00CD2C3F">
              <w:rPr>
                <w:noProof/>
                <w:webHidden/>
              </w:rPr>
            </w:r>
            <w:r w:rsidR="00CD2C3F">
              <w:rPr>
                <w:noProof/>
                <w:webHidden/>
              </w:rPr>
              <w:fldChar w:fldCharType="separate"/>
            </w:r>
            <w:r w:rsidR="00CD2C3F">
              <w:rPr>
                <w:noProof/>
                <w:webHidden/>
              </w:rPr>
              <w:t>10</w:t>
            </w:r>
            <w:r w:rsidR="00CD2C3F">
              <w:rPr>
                <w:noProof/>
                <w:webHidden/>
              </w:rPr>
              <w:fldChar w:fldCharType="end"/>
            </w:r>
          </w:hyperlink>
        </w:p>
        <w:p w14:paraId="1653CB03" w14:textId="5F8234E7" w:rsidR="00CD2C3F" w:rsidRDefault="00BD6CA9">
          <w:pPr>
            <w:pStyle w:val="TOC3"/>
            <w:tabs>
              <w:tab w:val="left" w:pos="1320"/>
              <w:tab w:val="right" w:leader="dot" w:pos="9016"/>
            </w:tabs>
            <w:rPr>
              <w:rFonts w:asciiTheme="minorHAnsi" w:eastAsiaTheme="minorEastAsia" w:hAnsiTheme="minorHAnsi" w:cstheme="minorBidi"/>
              <w:noProof/>
              <w:sz w:val="22"/>
              <w:szCs w:val="22"/>
            </w:rPr>
          </w:pPr>
          <w:hyperlink w:anchor="_Toc92957943" w:history="1">
            <w:r w:rsidR="00CD2C3F" w:rsidRPr="001C1904">
              <w:rPr>
                <w:rStyle w:val="Hyperlink"/>
                <w:noProof/>
                <w:lang w:eastAsia="en-US"/>
              </w:rPr>
              <w:t>3.2.4</w:t>
            </w:r>
            <w:r w:rsidR="00CD2C3F">
              <w:rPr>
                <w:rFonts w:asciiTheme="minorHAnsi" w:eastAsiaTheme="minorEastAsia" w:hAnsiTheme="minorHAnsi" w:cstheme="minorBidi"/>
                <w:noProof/>
                <w:sz w:val="22"/>
                <w:szCs w:val="22"/>
              </w:rPr>
              <w:tab/>
            </w:r>
            <w:r w:rsidR="00CD2C3F" w:rsidRPr="001C1904">
              <w:rPr>
                <w:rStyle w:val="Hyperlink"/>
                <w:noProof/>
                <w:lang w:eastAsia="en-US"/>
              </w:rPr>
              <w:t>Highly specialised technologies</w:t>
            </w:r>
            <w:r w:rsidR="00CD2C3F">
              <w:rPr>
                <w:noProof/>
                <w:webHidden/>
              </w:rPr>
              <w:tab/>
            </w:r>
            <w:r w:rsidR="00CD2C3F">
              <w:rPr>
                <w:noProof/>
                <w:webHidden/>
              </w:rPr>
              <w:fldChar w:fldCharType="begin"/>
            </w:r>
            <w:r w:rsidR="00CD2C3F">
              <w:rPr>
                <w:noProof/>
                <w:webHidden/>
              </w:rPr>
              <w:instrText xml:space="preserve"> PAGEREF _Toc92957943 \h </w:instrText>
            </w:r>
            <w:r w:rsidR="00CD2C3F">
              <w:rPr>
                <w:noProof/>
                <w:webHidden/>
              </w:rPr>
            </w:r>
            <w:r w:rsidR="00CD2C3F">
              <w:rPr>
                <w:noProof/>
                <w:webHidden/>
              </w:rPr>
              <w:fldChar w:fldCharType="separate"/>
            </w:r>
            <w:r w:rsidR="00CD2C3F">
              <w:rPr>
                <w:noProof/>
                <w:webHidden/>
              </w:rPr>
              <w:t>11</w:t>
            </w:r>
            <w:r w:rsidR="00CD2C3F">
              <w:rPr>
                <w:noProof/>
                <w:webHidden/>
              </w:rPr>
              <w:fldChar w:fldCharType="end"/>
            </w:r>
          </w:hyperlink>
        </w:p>
        <w:p w14:paraId="279FE4D1" w14:textId="0A1693DA" w:rsidR="00CD2C3F" w:rsidRDefault="00BD6CA9">
          <w:pPr>
            <w:pStyle w:val="TOC3"/>
            <w:tabs>
              <w:tab w:val="left" w:pos="1320"/>
              <w:tab w:val="right" w:leader="dot" w:pos="9016"/>
            </w:tabs>
            <w:rPr>
              <w:rFonts w:asciiTheme="minorHAnsi" w:eastAsiaTheme="minorEastAsia" w:hAnsiTheme="minorHAnsi" w:cstheme="minorBidi"/>
              <w:noProof/>
              <w:sz w:val="22"/>
              <w:szCs w:val="22"/>
            </w:rPr>
          </w:pPr>
          <w:hyperlink w:anchor="_Toc92957944" w:history="1">
            <w:r w:rsidR="00CD2C3F" w:rsidRPr="001C1904">
              <w:rPr>
                <w:rStyle w:val="Hyperlink"/>
                <w:noProof/>
                <w:lang w:eastAsia="en-US"/>
              </w:rPr>
              <w:t>3.2.5</w:t>
            </w:r>
            <w:r w:rsidR="00CD2C3F">
              <w:rPr>
                <w:rFonts w:asciiTheme="minorHAnsi" w:eastAsiaTheme="minorEastAsia" w:hAnsiTheme="minorHAnsi" w:cstheme="minorBidi"/>
                <w:noProof/>
                <w:sz w:val="22"/>
                <w:szCs w:val="22"/>
              </w:rPr>
              <w:tab/>
            </w:r>
            <w:r w:rsidR="00CD2C3F" w:rsidRPr="001C1904">
              <w:rPr>
                <w:rStyle w:val="Hyperlink"/>
                <w:noProof/>
                <w:lang w:eastAsia="en-US"/>
              </w:rPr>
              <w:t>Discounting</w:t>
            </w:r>
            <w:r w:rsidR="00CD2C3F">
              <w:rPr>
                <w:noProof/>
                <w:webHidden/>
              </w:rPr>
              <w:tab/>
            </w:r>
            <w:r w:rsidR="00CD2C3F">
              <w:rPr>
                <w:noProof/>
                <w:webHidden/>
              </w:rPr>
              <w:fldChar w:fldCharType="begin"/>
            </w:r>
            <w:r w:rsidR="00CD2C3F">
              <w:rPr>
                <w:noProof/>
                <w:webHidden/>
              </w:rPr>
              <w:instrText xml:space="preserve"> PAGEREF _Toc92957944 \h </w:instrText>
            </w:r>
            <w:r w:rsidR="00CD2C3F">
              <w:rPr>
                <w:noProof/>
                <w:webHidden/>
              </w:rPr>
            </w:r>
            <w:r w:rsidR="00CD2C3F">
              <w:rPr>
                <w:noProof/>
                <w:webHidden/>
              </w:rPr>
              <w:fldChar w:fldCharType="separate"/>
            </w:r>
            <w:r w:rsidR="00CD2C3F">
              <w:rPr>
                <w:noProof/>
                <w:webHidden/>
              </w:rPr>
              <w:t>12</w:t>
            </w:r>
            <w:r w:rsidR="00CD2C3F">
              <w:rPr>
                <w:noProof/>
                <w:webHidden/>
              </w:rPr>
              <w:fldChar w:fldCharType="end"/>
            </w:r>
          </w:hyperlink>
        </w:p>
        <w:p w14:paraId="3C19FEA4" w14:textId="050C1913" w:rsidR="00CD2C3F" w:rsidRDefault="00BD6CA9">
          <w:pPr>
            <w:pStyle w:val="TOC2"/>
            <w:tabs>
              <w:tab w:val="left" w:pos="880"/>
              <w:tab w:val="right" w:leader="dot" w:pos="9016"/>
            </w:tabs>
            <w:rPr>
              <w:rFonts w:asciiTheme="minorHAnsi" w:eastAsiaTheme="minorEastAsia" w:hAnsiTheme="minorHAnsi" w:cstheme="minorBidi"/>
              <w:noProof/>
              <w:sz w:val="22"/>
              <w:szCs w:val="22"/>
            </w:rPr>
          </w:pPr>
          <w:hyperlink w:anchor="_Toc92957945" w:history="1">
            <w:r w:rsidR="00CD2C3F" w:rsidRPr="001C1904">
              <w:rPr>
                <w:rStyle w:val="Hyperlink"/>
                <w:noProof/>
              </w:rPr>
              <w:t>3.3</w:t>
            </w:r>
            <w:r w:rsidR="00CD2C3F">
              <w:rPr>
                <w:rFonts w:asciiTheme="minorHAnsi" w:eastAsiaTheme="minorEastAsia" w:hAnsiTheme="minorHAnsi" w:cstheme="minorBidi"/>
                <w:noProof/>
                <w:sz w:val="22"/>
                <w:szCs w:val="22"/>
              </w:rPr>
              <w:tab/>
            </w:r>
            <w:r w:rsidR="00CD2C3F" w:rsidRPr="001C1904">
              <w:rPr>
                <w:rStyle w:val="Hyperlink"/>
                <w:noProof/>
              </w:rPr>
              <w:t>Understanding and improving the evidence base</w:t>
            </w:r>
            <w:r w:rsidR="00CD2C3F">
              <w:rPr>
                <w:noProof/>
                <w:webHidden/>
              </w:rPr>
              <w:tab/>
            </w:r>
            <w:r w:rsidR="00CD2C3F">
              <w:rPr>
                <w:noProof/>
                <w:webHidden/>
              </w:rPr>
              <w:fldChar w:fldCharType="begin"/>
            </w:r>
            <w:r w:rsidR="00CD2C3F">
              <w:rPr>
                <w:noProof/>
                <w:webHidden/>
              </w:rPr>
              <w:instrText xml:space="preserve"> PAGEREF _Toc92957945 \h </w:instrText>
            </w:r>
            <w:r w:rsidR="00CD2C3F">
              <w:rPr>
                <w:noProof/>
                <w:webHidden/>
              </w:rPr>
            </w:r>
            <w:r w:rsidR="00CD2C3F">
              <w:rPr>
                <w:noProof/>
                <w:webHidden/>
              </w:rPr>
              <w:fldChar w:fldCharType="separate"/>
            </w:r>
            <w:r w:rsidR="00CD2C3F">
              <w:rPr>
                <w:noProof/>
                <w:webHidden/>
              </w:rPr>
              <w:t>14</w:t>
            </w:r>
            <w:r w:rsidR="00CD2C3F">
              <w:rPr>
                <w:noProof/>
                <w:webHidden/>
              </w:rPr>
              <w:fldChar w:fldCharType="end"/>
            </w:r>
          </w:hyperlink>
        </w:p>
        <w:p w14:paraId="4C4AB5D0" w14:textId="1A06E4CA" w:rsidR="00CD2C3F" w:rsidRDefault="00BD6CA9">
          <w:pPr>
            <w:pStyle w:val="TOC3"/>
            <w:tabs>
              <w:tab w:val="left" w:pos="1320"/>
              <w:tab w:val="right" w:leader="dot" w:pos="9016"/>
            </w:tabs>
            <w:rPr>
              <w:rFonts w:asciiTheme="minorHAnsi" w:eastAsiaTheme="minorEastAsia" w:hAnsiTheme="minorHAnsi" w:cstheme="minorBidi"/>
              <w:noProof/>
              <w:sz w:val="22"/>
              <w:szCs w:val="22"/>
            </w:rPr>
          </w:pPr>
          <w:hyperlink w:anchor="_Toc92957946" w:history="1">
            <w:r w:rsidR="00CD2C3F" w:rsidRPr="001C1904">
              <w:rPr>
                <w:rStyle w:val="Hyperlink"/>
                <w:noProof/>
              </w:rPr>
              <w:t>3.3.1</w:t>
            </w:r>
            <w:r w:rsidR="00CD2C3F">
              <w:rPr>
                <w:rFonts w:asciiTheme="minorHAnsi" w:eastAsiaTheme="minorEastAsia" w:hAnsiTheme="minorHAnsi" w:cstheme="minorBidi"/>
                <w:noProof/>
                <w:sz w:val="22"/>
                <w:szCs w:val="22"/>
              </w:rPr>
              <w:tab/>
            </w:r>
            <w:r w:rsidR="00CD2C3F" w:rsidRPr="001C1904">
              <w:rPr>
                <w:rStyle w:val="Hyperlink"/>
                <w:noProof/>
              </w:rPr>
              <w:t>Guidance on the use of real-world evidence</w:t>
            </w:r>
            <w:r w:rsidR="00CD2C3F">
              <w:rPr>
                <w:noProof/>
                <w:webHidden/>
              </w:rPr>
              <w:tab/>
            </w:r>
            <w:r w:rsidR="00CD2C3F">
              <w:rPr>
                <w:noProof/>
                <w:webHidden/>
              </w:rPr>
              <w:fldChar w:fldCharType="begin"/>
            </w:r>
            <w:r w:rsidR="00CD2C3F">
              <w:rPr>
                <w:noProof/>
                <w:webHidden/>
              </w:rPr>
              <w:instrText xml:space="preserve"> PAGEREF _Toc92957946 \h </w:instrText>
            </w:r>
            <w:r w:rsidR="00CD2C3F">
              <w:rPr>
                <w:noProof/>
                <w:webHidden/>
              </w:rPr>
            </w:r>
            <w:r w:rsidR="00CD2C3F">
              <w:rPr>
                <w:noProof/>
                <w:webHidden/>
              </w:rPr>
              <w:fldChar w:fldCharType="separate"/>
            </w:r>
            <w:r w:rsidR="00CD2C3F">
              <w:rPr>
                <w:noProof/>
                <w:webHidden/>
              </w:rPr>
              <w:t>14</w:t>
            </w:r>
            <w:r w:rsidR="00CD2C3F">
              <w:rPr>
                <w:noProof/>
                <w:webHidden/>
              </w:rPr>
              <w:fldChar w:fldCharType="end"/>
            </w:r>
          </w:hyperlink>
        </w:p>
        <w:p w14:paraId="692DDD67" w14:textId="3FFC1B8D" w:rsidR="00CD2C3F" w:rsidRDefault="00BD6CA9">
          <w:pPr>
            <w:pStyle w:val="TOC3"/>
            <w:tabs>
              <w:tab w:val="left" w:pos="1320"/>
              <w:tab w:val="right" w:leader="dot" w:pos="9016"/>
            </w:tabs>
            <w:rPr>
              <w:rFonts w:asciiTheme="minorHAnsi" w:eastAsiaTheme="minorEastAsia" w:hAnsiTheme="minorHAnsi" w:cstheme="minorBidi"/>
              <w:noProof/>
              <w:sz w:val="22"/>
              <w:szCs w:val="22"/>
            </w:rPr>
          </w:pPr>
          <w:hyperlink w:anchor="_Toc92957947" w:history="1">
            <w:r w:rsidR="00CD2C3F" w:rsidRPr="001C1904">
              <w:rPr>
                <w:rStyle w:val="Hyperlink"/>
                <w:noProof/>
              </w:rPr>
              <w:t>3.3.2</w:t>
            </w:r>
            <w:r w:rsidR="00CD2C3F">
              <w:rPr>
                <w:rFonts w:asciiTheme="minorHAnsi" w:eastAsiaTheme="minorEastAsia" w:hAnsiTheme="minorHAnsi" w:cstheme="minorBidi"/>
                <w:noProof/>
                <w:sz w:val="22"/>
                <w:szCs w:val="22"/>
              </w:rPr>
              <w:tab/>
            </w:r>
            <w:r w:rsidR="00CD2C3F" w:rsidRPr="001C1904">
              <w:rPr>
                <w:rStyle w:val="Hyperlink"/>
                <w:noProof/>
              </w:rPr>
              <w:t>Costs</w:t>
            </w:r>
            <w:r w:rsidR="00CD2C3F">
              <w:rPr>
                <w:noProof/>
                <w:webHidden/>
              </w:rPr>
              <w:tab/>
            </w:r>
            <w:r w:rsidR="00CD2C3F">
              <w:rPr>
                <w:noProof/>
                <w:webHidden/>
              </w:rPr>
              <w:fldChar w:fldCharType="begin"/>
            </w:r>
            <w:r w:rsidR="00CD2C3F">
              <w:rPr>
                <w:noProof/>
                <w:webHidden/>
              </w:rPr>
              <w:instrText xml:space="preserve"> PAGEREF _Toc92957947 \h </w:instrText>
            </w:r>
            <w:r w:rsidR="00CD2C3F">
              <w:rPr>
                <w:noProof/>
                <w:webHidden/>
              </w:rPr>
            </w:r>
            <w:r w:rsidR="00CD2C3F">
              <w:rPr>
                <w:noProof/>
                <w:webHidden/>
              </w:rPr>
              <w:fldChar w:fldCharType="separate"/>
            </w:r>
            <w:r w:rsidR="00CD2C3F">
              <w:rPr>
                <w:noProof/>
                <w:webHidden/>
              </w:rPr>
              <w:t>15</w:t>
            </w:r>
            <w:r w:rsidR="00CD2C3F">
              <w:rPr>
                <w:noProof/>
                <w:webHidden/>
              </w:rPr>
              <w:fldChar w:fldCharType="end"/>
            </w:r>
          </w:hyperlink>
        </w:p>
        <w:p w14:paraId="1F93A764" w14:textId="300EF122" w:rsidR="00CD2C3F" w:rsidRDefault="00BD6CA9">
          <w:pPr>
            <w:pStyle w:val="TOC3"/>
            <w:tabs>
              <w:tab w:val="left" w:pos="1320"/>
              <w:tab w:val="right" w:leader="dot" w:pos="9016"/>
            </w:tabs>
            <w:rPr>
              <w:rFonts w:asciiTheme="minorHAnsi" w:eastAsiaTheme="minorEastAsia" w:hAnsiTheme="minorHAnsi" w:cstheme="minorBidi"/>
              <w:noProof/>
              <w:sz w:val="22"/>
              <w:szCs w:val="22"/>
            </w:rPr>
          </w:pPr>
          <w:hyperlink w:anchor="_Toc92957948" w:history="1">
            <w:r w:rsidR="00CD2C3F" w:rsidRPr="001C1904">
              <w:rPr>
                <w:rStyle w:val="Hyperlink"/>
                <w:noProof/>
              </w:rPr>
              <w:t>3.3.3</w:t>
            </w:r>
            <w:r w:rsidR="00CD2C3F">
              <w:rPr>
                <w:rFonts w:asciiTheme="minorHAnsi" w:eastAsiaTheme="minorEastAsia" w:hAnsiTheme="minorHAnsi" w:cstheme="minorBidi"/>
                <w:noProof/>
                <w:sz w:val="22"/>
                <w:szCs w:val="22"/>
              </w:rPr>
              <w:tab/>
            </w:r>
            <w:r w:rsidR="00CD2C3F" w:rsidRPr="001C1904">
              <w:rPr>
                <w:rStyle w:val="Hyperlink"/>
                <w:noProof/>
              </w:rPr>
              <w:t>Understanding and presenting uncertainty</w:t>
            </w:r>
            <w:r w:rsidR="00CD2C3F">
              <w:rPr>
                <w:noProof/>
                <w:webHidden/>
              </w:rPr>
              <w:tab/>
            </w:r>
            <w:r w:rsidR="00CD2C3F">
              <w:rPr>
                <w:noProof/>
                <w:webHidden/>
              </w:rPr>
              <w:fldChar w:fldCharType="begin"/>
            </w:r>
            <w:r w:rsidR="00CD2C3F">
              <w:rPr>
                <w:noProof/>
                <w:webHidden/>
              </w:rPr>
              <w:instrText xml:space="preserve"> PAGEREF _Toc92957948 \h </w:instrText>
            </w:r>
            <w:r w:rsidR="00CD2C3F">
              <w:rPr>
                <w:noProof/>
                <w:webHidden/>
              </w:rPr>
            </w:r>
            <w:r w:rsidR="00CD2C3F">
              <w:rPr>
                <w:noProof/>
                <w:webHidden/>
              </w:rPr>
              <w:fldChar w:fldCharType="separate"/>
            </w:r>
            <w:r w:rsidR="00CD2C3F">
              <w:rPr>
                <w:noProof/>
                <w:webHidden/>
              </w:rPr>
              <w:t>17</w:t>
            </w:r>
            <w:r w:rsidR="00CD2C3F">
              <w:rPr>
                <w:noProof/>
                <w:webHidden/>
              </w:rPr>
              <w:fldChar w:fldCharType="end"/>
            </w:r>
          </w:hyperlink>
        </w:p>
        <w:p w14:paraId="7E895B2D" w14:textId="0531B52F" w:rsidR="00CD2C3F" w:rsidRDefault="00BD6CA9">
          <w:pPr>
            <w:pStyle w:val="TOC2"/>
            <w:tabs>
              <w:tab w:val="left" w:pos="880"/>
              <w:tab w:val="right" w:leader="dot" w:pos="9016"/>
            </w:tabs>
            <w:rPr>
              <w:rFonts w:asciiTheme="minorHAnsi" w:eastAsiaTheme="minorEastAsia" w:hAnsiTheme="minorHAnsi" w:cstheme="minorBidi"/>
              <w:noProof/>
              <w:sz w:val="22"/>
              <w:szCs w:val="22"/>
            </w:rPr>
          </w:pPr>
          <w:hyperlink w:anchor="_Toc92957949" w:history="1">
            <w:r w:rsidR="00CD2C3F" w:rsidRPr="001C1904">
              <w:rPr>
                <w:rStyle w:val="Hyperlink"/>
                <w:noProof/>
              </w:rPr>
              <w:t>3.4</w:t>
            </w:r>
            <w:r w:rsidR="00CD2C3F">
              <w:rPr>
                <w:rFonts w:asciiTheme="minorHAnsi" w:eastAsiaTheme="minorEastAsia" w:hAnsiTheme="minorHAnsi" w:cstheme="minorBidi"/>
                <w:noProof/>
                <w:sz w:val="22"/>
                <w:szCs w:val="22"/>
              </w:rPr>
              <w:tab/>
            </w:r>
            <w:r w:rsidR="00CD2C3F" w:rsidRPr="001C1904">
              <w:rPr>
                <w:rStyle w:val="Hyperlink"/>
                <w:noProof/>
              </w:rPr>
              <w:t>Structured decision-making</w:t>
            </w:r>
            <w:r w:rsidR="00CD2C3F">
              <w:rPr>
                <w:noProof/>
                <w:webHidden/>
              </w:rPr>
              <w:tab/>
            </w:r>
            <w:r w:rsidR="00CD2C3F">
              <w:rPr>
                <w:noProof/>
                <w:webHidden/>
              </w:rPr>
              <w:fldChar w:fldCharType="begin"/>
            </w:r>
            <w:r w:rsidR="00CD2C3F">
              <w:rPr>
                <w:noProof/>
                <w:webHidden/>
              </w:rPr>
              <w:instrText xml:space="preserve"> PAGEREF _Toc92957949 \h </w:instrText>
            </w:r>
            <w:r w:rsidR="00CD2C3F">
              <w:rPr>
                <w:noProof/>
                <w:webHidden/>
              </w:rPr>
            </w:r>
            <w:r w:rsidR="00CD2C3F">
              <w:rPr>
                <w:noProof/>
                <w:webHidden/>
              </w:rPr>
              <w:fldChar w:fldCharType="separate"/>
            </w:r>
            <w:r w:rsidR="00CD2C3F">
              <w:rPr>
                <w:noProof/>
                <w:webHidden/>
              </w:rPr>
              <w:t>18</w:t>
            </w:r>
            <w:r w:rsidR="00CD2C3F">
              <w:rPr>
                <w:noProof/>
                <w:webHidden/>
              </w:rPr>
              <w:fldChar w:fldCharType="end"/>
            </w:r>
          </w:hyperlink>
        </w:p>
        <w:p w14:paraId="767BC1DC" w14:textId="6A04210B" w:rsidR="00CD2C3F" w:rsidRDefault="00BD6CA9">
          <w:pPr>
            <w:pStyle w:val="TOC3"/>
            <w:tabs>
              <w:tab w:val="left" w:pos="1320"/>
              <w:tab w:val="right" w:leader="dot" w:pos="9016"/>
            </w:tabs>
            <w:rPr>
              <w:rFonts w:asciiTheme="minorHAnsi" w:eastAsiaTheme="minorEastAsia" w:hAnsiTheme="minorHAnsi" w:cstheme="minorBidi"/>
              <w:noProof/>
              <w:sz w:val="22"/>
              <w:szCs w:val="22"/>
            </w:rPr>
          </w:pPr>
          <w:hyperlink w:anchor="_Toc92957950" w:history="1">
            <w:r w:rsidR="00CD2C3F" w:rsidRPr="001C1904">
              <w:rPr>
                <w:rStyle w:val="Hyperlink"/>
                <w:noProof/>
              </w:rPr>
              <w:t>3.4.1</w:t>
            </w:r>
            <w:r w:rsidR="00CD2C3F">
              <w:rPr>
                <w:rFonts w:asciiTheme="minorHAnsi" w:eastAsiaTheme="minorEastAsia" w:hAnsiTheme="minorHAnsi" w:cstheme="minorBidi"/>
                <w:noProof/>
                <w:sz w:val="22"/>
                <w:szCs w:val="22"/>
              </w:rPr>
              <w:tab/>
            </w:r>
            <w:r w:rsidR="00CD2C3F" w:rsidRPr="001C1904">
              <w:rPr>
                <w:rStyle w:val="Hyperlink"/>
                <w:noProof/>
              </w:rPr>
              <w:t>Net benefit approaches</w:t>
            </w:r>
            <w:r w:rsidR="00CD2C3F">
              <w:rPr>
                <w:noProof/>
                <w:webHidden/>
              </w:rPr>
              <w:tab/>
            </w:r>
            <w:r w:rsidR="00CD2C3F">
              <w:rPr>
                <w:noProof/>
                <w:webHidden/>
              </w:rPr>
              <w:fldChar w:fldCharType="begin"/>
            </w:r>
            <w:r w:rsidR="00CD2C3F">
              <w:rPr>
                <w:noProof/>
                <w:webHidden/>
              </w:rPr>
              <w:instrText xml:space="preserve"> PAGEREF _Toc92957950 \h </w:instrText>
            </w:r>
            <w:r w:rsidR="00CD2C3F">
              <w:rPr>
                <w:noProof/>
                <w:webHidden/>
              </w:rPr>
            </w:r>
            <w:r w:rsidR="00CD2C3F">
              <w:rPr>
                <w:noProof/>
                <w:webHidden/>
              </w:rPr>
              <w:fldChar w:fldCharType="separate"/>
            </w:r>
            <w:r w:rsidR="00CD2C3F">
              <w:rPr>
                <w:noProof/>
                <w:webHidden/>
              </w:rPr>
              <w:t>18</w:t>
            </w:r>
            <w:r w:rsidR="00CD2C3F">
              <w:rPr>
                <w:noProof/>
                <w:webHidden/>
              </w:rPr>
              <w:fldChar w:fldCharType="end"/>
            </w:r>
          </w:hyperlink>
        </w:p>
        <w:p w14:paraId="04C90026" w14:textId="2AEC6BD4" w:rsidR="00CD2C3F" w:rsidRDefault="00BD6CA9">
          <w:pPr>
            <w:pStyle w:val="TOC3"/>
            <w:tabs>
              <w:tab w:val="left" w:pos="1320"/>
              <w:tab w:val="right" w:leader="dot" w:pos="9016"/>
            </w:tabs>
            <w:rPr>
              <w:rFonts w:asciiTheme="minorHAnsi" w:eastAsiaTheme="minorEastAsia" w:hAnsiTheme="minorHAnsi" w:cstheme="minorBidi"/>
              <w:noProof/>
              <w:sz w:val="22"/>
              <w:szCs w:val="22"/>
            </w:rPr>
          </w:pPr>
          <w:hyperlink w:anchor="_Toc92957951" w:history="1">
            <w:r w:rsidR="00CD2C3F" w:rsidRPr="001C1904">
              <w:rPr>
                <w:rStyle w:val="Hyperlink"/>
                <w:noProof/>
              </w:rPr>
              <w:t>3.4.2</w:t>
            </w:r>
            <w:r w:rsidR="00CD2C3F">
              <w:rPr>
                <w:rFonts w:asciiTheme="minorHAnsi" w:eastAsiaTheme="minorEastAsia" w:hAnsiTheme="minorHAnsi" w:cstheme="minorBidi"/>
                <w:noProof/>
                <w:sz w:val="22"/>
                <w:szCs w:val="22"/>
              </w:rPr>
              <w:tab/>
            </w:r>
            <w:r w:rsidR="00CD2C3F" w:rsidRPr="001C1904">
              <w:rPr>
                <w:rStyle w:val="Hyperlink"/>
                <w:noProof/>
              </w:rPr>
              <w:t>Subgroups</w:t>
            </w:r>
            <w:r w:rsidR="00CD2C3F">
              <w:rPr>
                <w:noProof/>
                <w:webHidden/>
              </w:rPr>
              <w:tab/>
            </w:r>
            <w:r w:rsidR="00CD2C3F">
              <w:rPr>
                <w:noProof/>
                <w:webHidden/>
              </w:rPr>
              <w:fldChar w:fldCharType="begin"/>
            </w:r>
            <w:r w:rsidR="00CD2C3F">
              <w:rPr>
                <w:noProof/>
                <w:webHidden/>
              </w:rPr>
              <w:instrText xml:space="preserve"> PAGEREF _Toc92957951 \h </w:instrText>
            </w:r>
            <w:r w:rsidR="00CD2C3F">
              <w:rPr>
                <w:noProof/>
                <w:webHidden/>
              </w:rPr>
            </w:r>
            <w:r w:rsidR="00CD2C3F">
              <w:rPr>
                <w:noProof/>
                <w:webHidden/>
              </w:rPr>
              <w:fldChar w:fldCharType="separate"/>
            </w:r>
            <w:r w:rsidR="00CD2C3F">
              <w:rPr>
                <w:noProof/>
                <w:webHidden/>
              </w:rPr>
              <w:t>18</w:t>
            </w:r>
            <w:r w:rsidR="00CD2C3F">
              <w:rPr>
                <w:noProof/>
                <w:webHidden/>
              </w:rPr>
              <w:fldChar w:fldCharType="end"/>
            </w:r>
          </w:hyperlink>
        </w:p>
        <w:p w14:paraId="2E176296" w14:textId="1FFBEDEE" w:rsidR="00CD2C3F" w:rsidRDefault="00BD6CA9">
          <w:pPr>
            <w:pStyle w:val="TOC3"/>
            <w:tabs>
              <w:tab w:val="left" w:pos="1320"/>
              <w:tab w:val="right" w:leader="dot" w:pos="9016"/>
            </w:tabs>
            <w:rPr>
              <w:rFonts w:asciiTheme="minorHAnsi" w:eastAsiaTheme="minorEastAsia" w:hAnsiTheme="minorHAnsi" w:cstheme="minorBidi"/>
              <w:noProof/>
              <w:sz w:val="22"/>
              <w:szCs w:val="22"/>
            </w:rPr>
          </w:pPr>
          <w:hyperlink w:anchor="_Toc92957952" w:history="1">
            <w:r w:rsidR="00CD2C3F" w:rsidRPr="001C1904">
              <w:rPr>
                <w:rStyle w:val="Hyperlink"/>
                <w:noProof/>
              </w:rPr>
              <w:t>3.4.3</w:t>
            </w:r>
            <w:r w:rsidR="00CD2C3F">
              <w:rPr>
                <w:rFonts w:asciiTheme="minorHAnsi" w:eastAsiaTheme="minorEastAsia" w:hAnsiTheme="minorHAnsi" w:cstheme="minorBidi"/>
                <w:noProof/>
                <w:sz w:val="22"/>
                <w:szCs w:val="22"/>
              </w:rPr>
              <w:tab/>
            </w:r>
            <w:r w:rsidR="00CD2C3F" w:rsidRPr="001C1904">
              <w:rPr>
                <w:rStyle w:val="Hyperlink"/>
                <w:noProof/>
              </w:rPr>
              <w:t>Technologies which are not cost effective at low or £0 cost</w:t>
            </w:r>
            <w:r w:rsidR="00CD2C3F">
              <w:rPr>
                <w:noProof/>
                <w:webHidden/>
              </w:rPr>
              <w:tab/>
            </w:r>
            <w:r w:rsidR="00CD2C3F">
              <w:rPr>
                <w:noProof/>
                <w:webHidden/>
              </w:rPr>
              <w:fldChar w:fldCharType="begin"/>
            </w:r>
            <w:r w:rsidR="00CD2C3F">
              <w:rPr>
                <w:noProof/>
                <w:webHidden/>
              </w:rPr>
              <w:instrText xml:space="preserve"> PAGEREF _Toc92957952 \h </w:instrText>
            </w:r>
            <w:r w:rsidR="00CD2C3F">
              <w:rPr>
                <w:noProof/>
                <w:webHidden/>
              </w:rPr>
            </w:r>
            <w:r w:rsidR="00CD2C3F">
              <w:rPr>
                <w:noProof/>
                <w:webHidden/>
              </w:rPr>
              <w:fldChar w:fldCharType="separate"/>
            </w:r>
            <w:r w:rsidR="00CD2C3F">
              <w:rPr>
                <w:noProof/>
                <w:webHidden/>
              </w:rPr>
              <w:t>18</w:t>
            </w:r>
            <w:r w:rsidR="00CD2C3F">
              <w:rPr>
                <w:noProof/>
                <w:webHidden/>
              </w:rPr>
              <w:fldChar w:fldCharType="end"/>
            </w:r>
          </w:hyperlink>
        </w:p>
        <w:p w14:paraId="522DD17C" w14:textId="651C0DD0" w:rsidR="00CD2C3F" w:rsidRDefault="00BD6CA9">
          <w:pPr>
            <w:pStyle w:val="TOC2"/>
            <w:tabs>
              <w:tab w:val="left" w:pos="880"/>
              <w:tab w:val="right" w:leader="dot" w:pos="9016"/>
            </w:tabs>
            <w:rPr>
              <w:rFonts w:asciiTheme="minorHAnsi" w:eastAsiaTheme="minorEastAsia" w:hAnsiTheme="minorHAnsi" w:cstheme="minorBidi"/>
              <w:noProof/>
              <w:sz w:val="22"/>
              <w:szCs w:val="22"/>
            </w:rPr>
          </w:pPr>
          <w:hyperlink w:anchor="_Toc92957953" w:history="1">
            <w:r w:rsidR="00CD2C3F" w:rsidRPr="001C1904">
              <w:rPr>
                <w:rStyle w:val="Hyperlink"/>
                <w:noProof/>
              </w:rPr>
              <w:t>3.5</w:t>
            </w:r>
            <w:r w:rsidR="00CD2C3F">
              <w:rPr>
                <w:rFonts w:asciiTheme="minorHAnsi" w:eastAsiaTheme="minorEastAsia" w:hAnsiTheme="minorHAnsi" w:cstheme="minorBidi"/>
                <w:noProof/>
                <w:sz w:val="22"/>
                <w:szCs w:val="22"/>
              </w:rPr>
              <w:tab/>
            </w:r>
            <w:r w:rsidR="00CD2C3F" w:rsidRPr="001C1904">
              <w:rPr>
                <w:rStyle w:val="Hyperlink"/>
                <w:noProof/>
              </w:rPr>
              <w:t>Challenging technologies, conditions and evaluations</w:t>
            </w:r>
            <w:r w:rsidR="00CD2C3F">
              <w:rPr>
                <w:noProof/>
                <w:webHidden/>
              </w:rPr>
              <w:tab/>
            </w:r>
            <w:r w:rsidR="00CD2C3F">
              <w:rPr>
                <w:noProof/>
                <w:webHidden/>
              </w:rPr>
              <w:fldChar w:fldCharType="begin"/>
            </w:r>
            <w:r w:rsidR="00CD2C3F">
              <w:rPr>
                <w:noProof/>
                <w:webHidden/>
              </w:rPr>
              <w:instrText xml:space="preserve"> PAGEREF _Toc92957953 \h </w:instrText>
            </w:r>
            <w:r w:rsidR="00CD2C3F">
              <w:rPr>
                <w:noProof/>
                <w:webHidden/>
              </w:rPr>
            </w:r>
            <w:r w:rsidR="00CD2C3F">
              <w:rPr>
                <w:noProof/>
                <w:webHidden/>
              </w:rPr>
              <w:fldChar w:fldCharType="separate"/>
            </w:r>
            <w:r w:rsidR="00CD2C3F">
              <w:rPr>
                <w:noProof/>
                <w:webHidden/>
              </w:rPr>
              <w:t>19</w:t>
            </w:r>
            <w:r w:rsidR="00CD2C3F">
              <w:rPr>
                <w:noProof/>
                <w:webHidden/>
              </w:rPr>
              <w:fldChar w:fldCharType="end"/>
            </w:r>
          </w:hyperlink>
        </w:p>
        <w:p w14:paraId="42CA5657" w14:textId="652987B2" w:rsidR="00CD2C3F" w:rsidRDefault="00BD6CA9">
          <w:pPr>
            <w:pStyle w:val="TOC2"/>
            <w:tabs>
              <w:tab w:val="left" w:pos="880"/>
              <w:tab w:val="right" w:leader="dot" w:pos="9016"/>
            </w:tabs>
            <w:rPr>
              <w:rFonts w:asciiTheme="minorHAnsi" w:eastAsiaTheme="minorEastAsia" w:hAnsiTheme="minorHAnsi" w:cstheme="minorBidi"/>
              <w:noProof/>
              <w:sz w:val="22"/>
              <w:szCs w:val="22"/>
            </w:rPr>
          </w:pPr>
          <w:hyperlink w:anchor="_Toc92957954" w:history="1">
            <w:r w:rsidR="00CD2C3F" w:rsidRPr="001C1904">
              <w:rPr>
                <w:rStyle w:val="Hyperlink"/>
                <w:noProof/>
              </w:rPr>
              <w:t>3.6</w:t>
            </w:r>
            <w:r w:rsidR="00CD2C3F">
              <w:rPr>
                <w:rFonts w:asciiTheme="minorHAnsi" w:eastAsiaTheme="minorEastAsia" w:hAnsiTheme="minorHAnsi" w:cstheme="minorBidi"/>
                <w:noProof/>
                <w:sz w:val="22"/>
                <w:szCs w:val="22"/>
              </w:rPr>
              <w:tab/>
            </w:r>
            <w:r w:rsidR="00CD2C3F" w:rsidRPr="001C1904">
              <w:rPr>
                <w:rStyle w:val="Hyperlink"/>
                <w:noProof/>
              </w:rPr>
              <w:t>Aligning methods across programmes</w:t>
            </w:r>
            <w:r w:rsidR="00CD2C3F">
              <w:rPr>
                <w:noProof/>
                <w:webHidden/>
              </w:rPr>
              <w:tab/>
            </w:r>
            <w:r w:rsidR="00CD2C3F">
              <w:rPr>
                <w:noProof/>
                <w:webHidden/>
              </w:rPr>
              <w:fldChar w:fldCharType="begin"/>
            </w:r>
            <w:r w:rsidR="00CD2C3F">
              <w:rPr>
                <w:noProof/>
                <w:webHidden/>
              </w:rPr>
              <w:instrText xml:space="preserve"> PAGEREF _Toc92957954 \h </w:instrText>
            </w:r>
            <w:r w:rsidR="00CD2C3F">
              <w:rPr>
                <w:noProof/>
                <w:webHidden/>
              </w:rPr>
            </w:r>
            <w:r w:rsidR="00CD2C3F">
              <w:rPr>
                <w:noProof/>
                <w:webHidden/>
              </w:rPr>
              <w:fldChar w:fldCharType="separate"/>
            </w:r>
            <w:r w:rsidR="00CD2C3F">
              <w:rPr>
                <w:noProof/>
                <w:webHidden/>
              </w:rPr>
              <w:t>20</w:t>
            </w:r>
            <w:r w:rsidR="00CD2C3F">
              <w:rPr>
                <w:noProof/>
                <w:webHidden/>
              </w:rPr>
              <w:fldChar w:fldCharType="end"/>
            </w:r>
          </w:hyperlink>
        </w:p>
        <w:p w14:paraId="675F2EB4" w14:textId="3FF0ED0E" w:rsidR="00CD2C3F" w:rsidRDefault="00BD6CA9">
          <w:pPr>
            <w:pStyle w:val="TOC2"/>
            <w:tabs>
              <w:tab w:val="left" w:pos="880"/>
              <w:tab w:val="right" w:leader="dot" w:pos="9016"/>
            </w:tabs>
            <w:rPr>
              <w:rFonts w:asciiTheme="minorHAnsi" w:eastAsiaTheme="minorEastAsia" w:hAnsiTheme="minorHAnsi" w:cstheme="minorBidi"/>
              <w:noProof/>
              <w:sz w:val="22"/>
              <w:szCs w:val="22"/>
            </w:rPr>
          </w:pPr>
          <w:hyperlink w:anchor="_Toc92957955" w:history="1">
            <w:r w:rsidR="00CD2C3F" w:rsidRPr="001C1904">
              <w:rPr>
                <w:rStyle w:val="Hyperlink"/>
                <w:noProof/>
              </w:rPr>
              <w:t>3.7</w:t>
            </w:r>
            <w:r w:rsidR="00CD2C3F">
              <w:rPr>
                <w:rFonts w:asciiTheme="minorHAnsi" w:eastAsiaTheme="minorEastAsia" w:hAnsiTheme="minorHAnsi" w:cstheme="minorBidi"/>
                <w:noProof/>
                <w:sz w:val="22"/>
                <w:szCs w:val="22"/>
              </w:rPr>
              <w:tab/>
            </w:r>
            <w:r w:rsidR="00CD2C3F" w:rsidRPr="001C1904">
              <w:rPr>
                <w:rStyle w:val="Hyperlink"/>
                <w:noProof/>
              </w:rPr>
              <w:t>Other comments</w:t>
            </w:r>
            <w:r w:rsidR="00CD2C3F">
              <w:rPr>
                <w:noProof/>
                <w:webHidden/>
              </w:rPr>
              <w:tab/>
            </w:r>
            <w:r w:rsidR="00CD2C3F">
              <w:rPr>
                <w:noProof/>
                <w:webHidden/>
              </w:rPr>
              <w:fldChar w:fldCharType="begin"/>
            </w:r>
            <w:r w:rsidR="00CD2C3F">
              <w:rPr>
                <w:noProof/>
                <w:webHidden/>
              </w:rPr>
              <w:instrText xml:space="preserve"> PAGEREF _Toc92957955 \h </w:instrText>
            </w:r>
            <w:r w:rsidR="00CD2C3F">
              <w:rPr>
                <w:noProof/>
                <w:webHidden/>
              </w:rPr>
            </w:r>
            <w:r w:rsidR="00CD2C3F">
              <w:rPr>
                <w:noProof/>
                <w:webHidden/>
              </w:rPr>
              <w:fldChar w:fldCharType="separate"/>
            </w:r>
            <w:r w:rsidR="00CD2C3F">
              <w:rPr>
                <w:noProof/>
                <w:webHidden/>
              </w:rPr>
              <w:t>21</w:t>
            </w:r>
            <w:r w:rsidR="00CD2C3F">
              <w:rPr>
                <w:noProof/>
                <w:webHidden/>
              </w:rPr>
              <w:fldChar w:fldCharType="end"/>
            </w:r>
          </w:hyperlink>
        </w:p>
        <w:p w14:paraId="498FAD32" w14:textId="75AE21A1" w:rsidR="00CD2C3F" w:rsidRDefault="00BD6CA9">
          <w:pPr>
            <w:pStyle w:val="TOC3"/>
            <w:tabs>
              <w:tab w:val="left" w:pos="1320"/>
              <w:tab w:val="right" w:leader="dot" w:pos="9016"/>
            </w:tabs>
            <w:rPr>
              <w:rFonts w:asciiTheme="minorHAnsi" w:eastAsiaTheme="minorEastAsia" w:hAnsiTheme="minorHAnsi" w:cstheme="minorBidi"/>
              <w:noProof/>
              <w:sz w:val="22"/>
              <w:szCs w:val="22"/>
            </w:rPr>
          </w:pPr>
          <w:hyperlink w:anchor="_Toc92957956" w:history="1">
            <w:r w:rsidR="00CD2C3F" w:rsidRPr="001C1904">
              <w:rPr>
                <w:rStyle w:val="Hyperlink"/>
                <w:noProof/>
              </w:rPr>
              <w:t>3.7.1</w:t>
            </w:r>
            <w:r w:rsidR="00CD2C3F">
              <w:rPr>
                <w:rFonts w:asciiTheme="minorHAnsi" w:eastAsiaTheme="minorEastAsia" w:hAnsiTheme="minorHAnsi" w:cstheme="minorBidi"/>
                <w:noProof/>
                <w:sz w:val="22"/>
                <w:szCs w:val="22"/>
              </w:rPr>
              <w:tab/>
            </w:r>
            <w:r w:rsidR="00CD2C3F" w:rsidRPr="001C1904">
              <w:rPr>
                <w:rStyle w:val="Hyperlink"/>
                <w:noProof/>
              </w:rPr>
              <w:t>Health-related quality of life</w:t>
            </w:r>
            <w:r w:rsidR="00CD2C3F">
              <w:rPr>
                <w:noProof/>
                <w:webHidden/>
              </w:rPr>
              <w:tab/>
            </w:r>
            <w:r w:rsidR="00CD2C3F">
              <w:rPr>
                <w:noProof/>
                <w:webHidden/>
              </w:rPr>
              <w:fldChar w:fldCharType="begin"/>
            </w:r>
            <w:r w:rsidR="00CD2C3F">
              <w:rPr>
                <w:noProof/>
                <w:webHidden/>
              </w:rPr>
              <w:instrText xml:space="preserve"> PAGEREF _Toc92957956 \h </w:instrText>
            </w:r>
            <w:r w:rsidR="00CD2C3F">
              <w:rPr>
                <w:noProof/>
                <w:webHidden/>
              </w:rPr>
            </w:r>
            <w:r w:rsidR="00CD2C3F">
              <w:rPr>
                <w:noProof/>
                <w:webHidden/>
              </w:rPr>
              <w:fldChar w:fldCharType="separate"/>
            </w:r>
            <w:r w:rsidR="00CD2C3F">
              <w:rPr>
                <w:noProof/>
                <w:webHidden/>
              </w:rPr>
              <w:t>21</w:t>
            </w:r>
            <w:r w:rsidR="00CD2C3F">
              <w:rPr>
                <w:noProof/>
                <w:webHidden/>
              </w:rPr>
              <w:fldChar w:fldCharType="end"/>
            </w:r>
          </w:hyperlink>
        </w:p>
        <w:p w14:paraId="27F43008" w14:textId="136BE71B" w:rsidR="00CD2C3F" w:rsidRDefault="00BD6CA9">
          <w:pPr>
            <w:pStyle w:val="TOC3"/>
            <w:tabs>
              <w:tab w:val="left" w:pos="1320"/>
              <w:tab w:val="right" w:leader="dot" w:pos="9016"/>
            </w:tabs>
            <w:rPr>
              <w:rFonts w:asciiTheme="minorHAnsi" w:eastAsiaTheme="minorEastAsia" w:hAnsiTheme="minorHAnsi" w:cstheme="minorBidi"/>
              <w:noProof/>
              <w:sz w:val="22"/>
              <w:szCs w:val="22"/>
            </w:rPr>
          </w:pPr>
          <w:hyperlink w:anchor="_Toc92957957" w:history="1">
            <w:r w:rsidR="00CD2C3F" w:rsidRPr="001C1904">
              <w:rPr>
                <w:rStyle w:val="Hyperlink"/>
                <w:noProof/>
              </w:rPr>
              <w:t>3.7.2</w:t>
            </w:r>
            <w:r w:rsidR="00CD2C3F">
              <w:rPr>
                <w:rFonts w:asciiTheme="minorHAnsi" w:eastAsiaTheme="minorEastAsia" w:hAnsiTheme="minorHAnsi" w:cstheme="minorBidi"/>
                <w:noProof/>
                <w:sz w:val="22"/>
                <w:szCs w:val="22"/>
              </w:rPr>
              <w:tab/>
            </w:r>
            <w:r w:rsidR="00CD2C3F" w:rsidRPr="001C1904">
              <w:rPr>
                <w:rStyle w:val="Hyperlink"/>
                <w:noProof/>
              </w:rPr>
              <w:t>Surrogate outcomes</w:t>
            </w:r>
            <w:r w:rsidR="00CD2C3F">
              <w:rPr>
                <w:noProof/>
                <w:webHidden/>
              </w:rPr>
              <w:tab/>
            </w:r>
            <w:r w:rsidR="00CD2C3F">
              <w:rPr>
                <w:noProof/>
                <w:webHidden/>
              </w:rPr>
              <w:fldChar w:fldCharType="begin"/>
            </w:r>
            <w:r w:rsidR="00CD2C3F">
              <w:rPr>
                <w:noProof/>
                <w:webHidden/>
              </w:rPr>
              <w:instrText xml:space="preserve"> PAGEREF _Toc92957957 \h </w:instrText>
            </w:r>
            <w:r w:rsidR="00CD2C3F">
              <w:rPr>
                <w:noProof/>
                <w:webHidden/>
              </w:rPr>
            </w:r>
            <w:r w:rsidR="00CD2C3F">
              <w:rPr>
                <w:noProof/>
                <w:webHidden/>
              </w:rPr>
              <w:fldChar w:fldCharType="separate"/>
            </w:r>
            <w:r w:rsidR="00CD2C3F">
              <w:rPr>
                <w:noProof/>
                <w:webHidden/>
              </w:rPr>
              <w:t>22</w:t>
            </w:r>
            <w:r w:rsidR="00CD2C3F">
              <w:rPr>
                <w:noProof/>
                <w:webHidden/>
              </w:rPr>
              <w:fldChar w:fldCharType="end"/>
            </w:r>
          </w:hyperlink>
        </w:p>
        <w:p w14:paraId="5DE366B7" w14:textId="01F056CF" w:rsidR="00CD2C3F" w:rsidRDefault="00BD6CA9">
          <w:pPr>
            <w:pStyle w:val="TOC3"/>
            <w:tabs>
              <w:tab w:val="left" w:pos="1320"/>
              <w:tab w:val="right" w:leader="dot" w:pos="9016"/>
            </w:tabs>
            <w:rPr>
              <w:rFonts w:asciiTheme="minorHAnsi" w:eastAsiaTheme="minorEastAsia" w:hAnsiTheme="minorHAnsi" w:cstheme="minorBidi"/>
              <w:noProof/>
              <w:sz w:val="22"/>
              <w:szCs w:val="22"/>
            </w:rPr>
          </w:pPr>
          <w:hyperlink w:anchor="_Toc92957958" w:history="1">
            <w:r w:rsidR="00CD2C3F" w:rsidRPr="001C1904">
              <w:rPr>
                <w:rStyle w:val="Hyperlink"/>
                <w:noProof/>
              </w:rPr>
              <w:t>3.7.3</w:t>
            </w:r>
            <w:r w:rsidR="00CD2C3F">
              <w:rPr>
                <w:rFonts w:asciiTheme="minorHAnsi" w:eastAsiaTheme="minorEastAsia" w:hAnsiTheme="minorHAnsi" w:cstheme="minorBidi"/>
                <w:noProof/>
                <w:sz w:val="22"/>
                <w:szCs w:val="22"/>
              </w:rPr>
              <w:tab/>
            </w:r>
            <w:r w:rsidR="00CD2C3F" w:rsidRPr="001C1904">
              <w:rPr>
                <w:rStyle w:val="Hyperlink"/>
                <w:noProof/>
              </w:rPr>
              <w:t>Qualitative and quantitative data</w:t>
            </w:r>
            <w:r w:rsidR="00CD2C3F">
              <w:rPr>
                <w:noProof/>
                <w:webHidden/>
              </w:rPr>
              <w:tab/>
            </w:r>
            <w:r w:rsidR="00CD2C3F">
              <w:rPr>
                <w:noProof/>
                <w:webHidden/>
              </w:rPr>
              <w:fldChar w:fldCharType="begin"/>
            </w:r>
            <w:r w:rsidR="00CD2C3F">
              <w:rPr>
                <w:noProof/>
                <w:webHidden/>
              </w:rPr>
              <w:instrText xml:space="preserve"> PAGEREF _Toc92957958 \h </w:instrText>
            </w:r>
            <w:r w:rsidR="00CD2C3F">
              <w:rPr>
                <w:noProof/>
                <w:webHidden/>
              </w:rPr>
            </w:r>
            <w:r w:rsidR="00CD2C3F">
              <w:rPr>
                <w:noProof/>
                <w:webHidden/>
              </w:rPr>
              <w:fldChar w:fldCharType="separate"/>
            </w:r>
            <w:r w:rsidR="00CD2C3F">
              <w:rPr>
                <w:noProof/>
                <w:webHidden/>
              </w:rPr>
              <w:t>22</w:t>
            </w:r>
            <w:r w:rsidR="00CD2C3F">
              <w:rPr>
                <w:noProof/>
                <w:webHidden/>
              </w:rPr>
              <w:fldChar w:fldCharType="end"/>
            </w:r>
          </w:hyperlink>
        </w:p>
        <w:p w14:paraId="77E86314" w14:textId="4DA7E4A8" w:rsidR="00CD2C3F" w:rsidRDefault="00BD6CA9">
          <w:pPr>
            <w:pStyle w:val="TOC2"/>
            <w:tabs>
              <w:tab w:val="left" w:pos="880"/>
              <w:tab w:val="right" w:leader="dot" w:pos="9016"/>
            </w:tabs>
            <w:rPr>
              <w:rFonts w:asciiTheme="minorHAnsi" w:eastAsiaTheme="minorEastAsia" w:hAnsiTheme="minorHAnsi" w:cstheme="minorBidi"/>
              <w:noProof/>
              <w:sz w:val="22"/>
              <w:szCs w:val="22"/>
            </w:rPr>
          </w:pPr>
          <w:hyperlink w:anchor="_Toc92957959" w:history="1">
            <w:r w:rsidR="00CD2C3F" w:rsidRPr="001C1904">
              <w:rPr>
                <w:rStyle w:val="Hyperlink"/>
                <w:noProof/>
              </w:rPr>
              <w:t>3.8</w:t>
            </w:r>
            <w:r w:rsidR="00CD2C3F">
              <w:rPr>
                <w:rFonts w:asciiTheme="minorHAnsi" w:eastAsiaTheme="minorEastAsia" w:hAnsiTheme="minorHAnsi" w:cstheme="minorBidi"/>
                <w:noProof/>
                <w:sz w:val="22"/>
                <w:szCs w:val="22"/>
              </w:rPr>
              <w:tab/>
            </w:r>
            <w:r w:rsidR="00CD2C3F" w:rsidRPr="001C1904">
              <w:rPr>
                <w:rStyle w:val="Hyperlink"/>
                <w:noProof/>
              </w:rPr>
              <w:t>Equalities issues</w:t>
            </w:r>
            <w:r w:rsidR="00CD2C3F">
              <w:rPr>
                <w:noProof/>
                <w:webHidden/>
              </w:rPr>
              <w:tab/>
            </w:r>
            <w:r w:rsidR="00CD2C3F">
              <w:rPr>
                <w:noProof/>
                <w:webHidden/>
              </w:rPr>
              <w:fldChar w:fldCharType="begin"/>
            </w:r>
            <w:r w:rsidR="00CD2C3F">
              <w:rPr>
                <w:noProof/>
                <w:webHidden/>
              </w:rPr>
              <w:instrText xml:space="preserve"> PAGEREF _Toc92957959 \h </w:instrText>
            </w:r>
            <w:r w:rsidR="00CD2C3F">
              <w:rPr>
                <w:noProof/>
                <w:webHidden/>
              </w:rPr>
            </w:r>
            <w:r w:rsidR="00CD2C3F">
              <w:rPr>
                <w:noProof/>
                <w:webHidden/>
              </w:rPr>
              <w:fldChar w:fldCharType="separate"/>
            </w:r>
            <w:r w:rsidR="00CD2C3F">
              <w:rPr>
                <w:noProof/>
                <w:webHidden/>
              </w:rPr>
              <w:t>23</w:t>
            </w:r>
            <w:r w:rsidR="00CD2C3F">
              <w:rPr>
                <w:noProof/>
                <w:webHidden/>
              </w:rPr>
              <w:fldChar w:fldCharType="end"/>
            </w:r>
          </w:hyperlink>
        </w:p>
        <w:p w14:paraId="292DE5FC" w14:textId="1BC5FC8F" w:rsidR="00CD2C3F" w:rsidRDefault="00BD6CA9">
          <w:pPr>
            <w:pStyle w:val="TOC2"/>
            <w:tabs>
              <w:tab w:val="left" w:pos="880"/>
              <w:tab w:val="right" w:leader="dot" w:pos="9016"/>
            </w:tabs>
            <w:rPr>
              <w:rFonts w:asciiTheme="minorHAnsi" w:eastAsiaTheme="minorEastAsia" w:hAnsiTheme="minorHAnsi" w:cstheme="minorBidi"/>
              <w:noProof/>
              <w:sz w:val="22"/>
              <w:szCs w:val="22"/>
            </w:rPr>
          </w:pPr>
          <w:hyperlink w:anchor="_Toc92957960" w:history="1">
            <w:r w:rsidR="00CD2C3F" w:rsidRPr="001C1904">
              <w:rPr>
                <w:rStyle w:val="Hyperlink"/>
                <w:noProof/>
              </w:rPr>
              <w:t>3.9</w:t>
            </w:r>
            <w:r w:rsidR="00CD2C3F">
              <w:rPr>
                <w:rFonts w:asciiTheme="minorHAnsi" w:eastAsiaTheme="minorEastAsia" w:hAnsiTheme="minorHAnsi" w:cstheme="minorBidi"/>
                <w:noProof/>
                <w:sz w:val="22"/>
                <w:szCs w:val="22"/>
              </w:rPr>
              <w:tab/>
            </w:r>
            <w:r w:rsidR="00CD2C3F" w:rsidRPr="001C1904">
              <w:rPr>
                <w:rStyle w:val="Hyperlink"/>
                <w:noProof/>
              </w:rPr>
              <w:t>Impact</w:t>
            </w:r>
            <w:r w:rsidR="00CD2C3F">
              <w:rPr>
                <w:noProof/>
                <w:webHidden/>
              </w:rPr>
              <w:tab/>
            </w:r>
            <w:r w:rsidR="00CD2C3F">
              <w:rPr>
                <w:noProof/>
                <w:webHidden/>
              </w:rPr>
              <w:fldChar w:fldCharType="begin"/>
            </w:r>
            <w:r w:rsidR="00CD2C3F">
              <w:rPr>
                <w:noProof/>
                <w:webHidden/>
              </w:rPr>
              <w:instrText xml:space="preserve"> PAGEREF _Toc92957960 \h </w:instrText>
            </w:r>
            <w:r w:rsidR="00CD2C3F">
              <w:rPr>
                <w:noProof/>
                <w:webHidden/>
              </w:rPr>
            </w:r>
            <w:r w:rsidR="00CD2C3F">
              <w:rPr>
                <w:noProof/>
                <w:webHidden/>
              </w:rPr>
              <w:fldChar w:fldCharType="separate"/>
            </w:r>
            <w:r w:rsidR="00CD2C3F">
              <w:rPr>
                <w:noProof/>
                <w:webHidden/>
              </w:rPr>
              <w:t>23</w:t>
            </w:r>
            <w:r w:rsidR="00CD2C3F">
              <w:rPr>
                <w:noProof/>
                <w:webHidden/>
              </w:rPr>
              <w:fldChar w:fldCharType="end"/>
            </w:r>
          </w:hyperlink>
        </w:p>
        <w:p w14:paraId="60DCC7CA" w14:textId="42EBE5CF" w:rsidR="00CD2C3F" w:rsidRDefault="00BD6CA9">
          <w:pPr>
            <w:pStyle w:val="TOC2"/>
            <w:tabs>
              <w:tab w:val="left" w:pos="1100"/>
              <w:tab w:val="right" w:leader="dot" w:pos="9016"/>
            </w:tabs>
            <w:rPr>
              <w:rFonts w:asciiTheme="minorHAnsi" w:eastAsiaTheme="minorEastAsia" w:hAnsiTheme="minorHAnsi" w:cstheme="minorBidi"/>
              <w:noProof/>
              <w:sz w:val="22"/>
              <w:szCs w:val="22"/>
            </w:rPr>
          </w:pPr>
          <w:hyperlink w:anchor="_Toc92957961" w:history="1">
            <w:r w:rsidR="00CD2C3F" w:rsidRPr="001C1904">
              <w:rPr>
                <w:rStyle w:val="Hyperlink"/>
                <w:noProof/>
              </w:rPr>
              <w:t>3.10</w:t>
            </w:r>
            <w:r w:rsidR="00CD2C3F">
              <w:rPr>
                <w:rFonts w:asciiTheme="minorHAnsi" w:eastAsiaTheme="minorEastAsia" w:hAnsiTheme="minorHAnsi" w:cstheme="minorBidi"/>
                <w:noProof/>
                <w:sz w:val="22"/>
                <w:szCs w:val="22"/>
              </w:rPr>
              <w:tab/>
            </w:r>
            <w:r w:rsidR="00CD2C3F" w:rsidRPr="001C1904">
              <w:rPr>
                <w:rStyle w:val="Hyperlink"/>
                <w:noProof/>
              </w:rPr>
              <w:t>Further research</w:t>
            </w:r>
            <w:r w:rsidR="00CD2C3F">
              <w:rPr>
                <w:noProof/>
                <w:webHidden/>
              </w:rPr>
              <w:tab/>
            </w:r>
            <w:r w:rsidR="00CD2C3F">
              <w:rPr>
                <w:noProof/>
                <w:webHidden/>
              </w:rPr>
              <w:fldChar w:fldCharType="begin"/>
            </w:r>
            <w:r w:rsidR="00CD2C3F">
              <w:rPr>
                <w:noProof/>
                <w:webHidden/>
              </w:rPr>
              <w:instrText xml:space="preserve"> PAGEREF _Toc92957961 \h </w:instrText>
            </w:r>
            <w:r w:rsidR="00CD2C3F">
              <w:rPr>
                <w:noProof/>
                <w:webHidden/>
              </w:rPr>
            </w:r>
            <w:r w:rsidR="00CD2C3F">
              <w:rPr>
                <w:noProof/>
                <w:webHidden/>
              </w:rPr>
              <w:fldChar w:fldCharType="separate"/>
            </w:r>
            <w:r w:rsidR="00CD2C3F">
              <w:rPr>
                <w:noProof/>
                <w:webHidden/>
              </w:rPr>
              <w:t>24</w:t>
            </w:r>
            <w:r w:rsidR="00CD2C3F">
              <w:rPr>
                <w:noProof/>
                <w:webHidden/>
              </w:rPr>
              <w:fldChar w:fldCharType="end"/>
            </w:r>
          </w:hyperlink>
        </w:p>
        <w:p w14:paraId="10E98905" w14:textId="50BF710D" w:rsidR="00CD2C3F" w:rsidRDefault="00BD6CA9">
          <w:pPr>
            <w:pStyle w:val="TOC2"/>
            <w:tabs>
              <w:tab w:val="left" w:pos="1100"/>
              <w:tab w:val="right" w:leader="dot" w:pos="9016"/>
            </w:tabs>
            <w:rPr>
              <w:rFonts w:asciiTheme="minorHAnsi" w:eastAsiaTheme="minorEastAsia" w:hAnsiTheme="minorHAnsi" w:cstheme="minorBidi"/>
              <w:noProof/>
              <w:sz w:val="22"/>
              <w:szCs w:val="22"/>
            </w:rPr>
          </w:pPr>
          <w:hyperlink w:anchor="_Toc92957962" w:history="1">
            <w:r w:rsidR="00CD2C3F" w:rsidRPr="001C1904">
              <w:rPr>
                <w:rStyle w:val="Hyperlink"/>
                <w:noProof/>
              </w:rPr>
              <w:t>3.11</w:t>
            </w:r>
            <w:r w:rsidR="00CD2C3F">
              <w:rPr>
                <w:rFonts w:asciiTheme="minorHAnsi" w:eastAsiaTheme="minorEastAsia" w:hAnsiTheme="minorHAnsi" w:cstheme="minorBidi"/>
                <w:noProof/>
                <w:sz w:val="22"/>
                <w:szCs w:val="22"/>
              </w:rPr>
              <w:tab/>
            </w:r>
            <w:r w:rsidR="00CD2C3F" w:rsidRPr="001C1904">
              <w:rPr>
                <w:rStyle w:val="Hyperlink"/>
                <w:noProof/>
              </w:rPr>
              <w:t>Limitations</w:t>
            </w:r>
            <w:r w:rsidR="00CD2C3F">
              <w:rPr>
                <w:noProof/>
                <w:webHidden/>
              </w:rPr>
              <w:tab/>
            </w:r>
            <w:r w:rsidR="00CD2C3F">
              <w:rPr>
                <w:noProof/>
                <w:webHidden/>
              </w:rPr>
              <w:fldChar w:fldCharType="begin"/>
            </w:r>
            <w:r w:rsidR="00CD2C3F">
              <w:rPr>
                <w:noProof/>
                <w:webHidden/>
              </w:rPr>
              <w:instrText xml:space="preserve"> PAGEREF _Toc92957962 \h </w:instrText>
            </w:r>
            <w:r w:rsidR="00CD2C3F">
              <w:rPr>
                <w:noProof/>
                <w:webHidden/>
              </w:rPr>
            </w:r>
            <w:r w:rsidR="00CD2C3F">
              <w:rPr>
                <w:noProof/>
                <w:webHidden/>
              </w:rPr>
              <w:fldChar w:fldCharType="separate"/>
            </w:r>
            <w:r w:rsidR="00CD2C3F">
              <w:rPr>
                <w:noProof/>
                <w:webHidden/>
              </w:rPr>
              <w:t>25</w:t>
            </w:r>
            <w:r w:rsidR="00CD2C3F">
              <w:rPr>
                <w:noProof/>
                <w:webHidden/>
              </w:rPr>
              <w:fldChar w:fldCharType="end"/>
            </w:r>
          </w:hyperlink>
        </w:p>
        <w:p w14:paraId="6A3A4939" w14:textId="262F9CB2" w:rsidR="00CD2C3F" w:rsidRDefault="00BD6CA9" w:rsidP="00CD2C3F">
          <w:pPr>
            <w:pStyle w:val="TOC1"/>
            <w:rPr>
              <w:rFonts w:asciiTheme="minorHAnsi" w:eastAsiaTheme="minorEastAsia" w:hAnsiTheme="minorHAnsi" w:cstheme="minorBidi"/>
              <w:noProof/>
              <w:sz w:val="22"/>
              <w:szCs w:val="22"/>
            </w:rPr>
          </w:pPr>
          <w:hyperlink w:anchor="_Toc92957963" w:history="1">
            <w:r w:rsidR="00CD2C3F" w:rsidRPr="001C1904">
              <w:rPr>
                <w:rStyle w:val="Hyperlink"/>
                <w:noProof/>
                <w:lang w:eastAsia="en-US"/>
              </w:rPr>
              <w:t>4</w:t>
            </w:r>
            <w:r w:rsidR="00CD2C3F">
              <w:rPr>
                <w:rFonts w:asciiTheme="minorHAnsi" w:eastAsiaTheme="minorEastAsia" w:hAnsiTheme="minorHAnsi" w:cstheme="minorBidi"/>
                <w:noProof/>
                <w:sz w:val="22"/>
                <w:szCs w:val="22"/>
              </w:rPr>
              <w:tab/>
            </w:r>
            <w:r w:rsidR="00CD2C3F" w:rsidRPr="001C1904">
              <w:rPr>
                <w:rStyle w:val="Hyperlink"/>
                <w:noProof/>
                <w:lang w:eastAsia="en-US"/>
              </w:rPr>
              <w:t>Conclusion</w:t>
            </w:r>
            <w:r w:rsidR="00CD2C3F">
              <w:rPr>
                <w:noProof/>
                <w:webHidden/>
              </w:rPr>
              <w:tab/>
            </w:r>
            <w:r w:rsidR="00CD2C3F">
              <w:rPr>
                <w:noProof/>
                <w:webHidden/>
              </w:rPr>
              <w:fldChar w:fldCharType="begin"/>
            </w:r>
            <w:r w:rsidR="00CD2C3F">
              <w:rPr>
                <w:noProof/>
                <w:webHidden/>
              </w:rPr>
              <w:instrText xml:space="preserve"> PAGEREF _Toc92957963 \h </w:instrText>
            </w:r>
            <w:r w:rsidR="00CD2C3F">
              <w:rPr>
                <w:noProof/>
                <w:webHidden/>
              </w:rPr>
            </w:r>
            <w:r w:rsidR="00CD2C3F">
              <w:rPr>
                <w:noProof/>
                <w:webHidden/>
              </w:rPr>
              <w:fldChar w:fldCharType="separate"/>
            </w:r>
            <w:r w:rsidR="00CD2C3F">
              <w:rPr>
                <w:noProof/>
                <w:webHidden/>
              </w:rPr>
              <w:t>25</w:t>
            </w:r>
            <w:r w:rsidR="00CD2C3F">
              <w:rPr>
                <w:noProof/>
                <w:webHidden/>
              </w:rPr>
              <w:fldChar w:fldCharType="end"/>
            </w:r>
          </w:hyperlink>
        </w:p>
        <w:p w14:paraId="591809B0" w14:textId="7E82EAA8" w:rsidR="00CD2C3F" w:rsidRDefault="00BD6CA9" w:rsidP="00CD2C3F">
          <w:pPr>
            <w:pStyle w:val="TOC1"/>
            <w:rPr>
              <w:rFonts w:asciiTheme="minorHAnsi" w:eastAsiaTheme="minorEastAsia" w:hAnsiTheme="minorHAnsi" w:cstheme="minorBidi"/>
              <w:noProof/>
              <w:sz w:val="22"/>
              <w:szCs w:val="22"/>
            </w:rPr>
          </w:pPr>
          <w:hyperlink w:anchor="_Toc92957964" w:history="1">
            <w:r w:rsidR="00CD2C3F" w:rsidRPr="001C1904">
              <w:rPr>
                <w:rStyle w:val="Hyperlink"/>
                <w:noProof/>
                <w:lang w:eastAsia="en-US"/>
              </w:rPr>
              <w:t>5</w:t>
            </w:r>
            <w:r w:rsidR="00CD2C3F">
              <w:rPr>
                <w:rFonts w:asciiTheme="minorHAnsi" w:eastAsiaTheme="minorEastAsia" w:hAnsiTheme="minorHAnsi" w:cstheme="minorBidi"/>
                <w:noProof/>
                <w:sz w:val="22"/>
                <w:szCs w:val="22"/>
              </w:rPr>
              <w:tab/>
            </w:r>
            <w:r w:rsidR="00CD2C3F" w:rsidRPr="001C1904">
              <w:rPr>
                <w:rStyle w:val="Hyperlink"/>
                <w:noProof/>
                <w:lang w:eastAsia="en-US"/>
              </w:rPr>
              <w:t>Appendices</w:t>
            </w:r>
            <w:r w:rsidR="00CD2C3F">
              <w:rPr>
                <w:noProof/>
                <w:webHidden/>
              </w:rPr>
              <w:tab/>
            </w:r>
            <w:r w:rsidR="00CD2C3F">
              <w:rPr>
                <w:noProof/>
                <w:webHidden/>
              </w:rPr>
              <w:fldChar w:fldCharType="begin"/>
            </w:r>
            <w:r w:rsidR="00CD2C3F">
              <w:rPr>
                <w:noProof/>
                <w:webHidden/>
              </w:rPr>
              <w:instrText xml:space="preserve"> PAGEREF _Toc92957964 \h </w:instrText>
            </w:r>
            <w:r w:rsidR="00CD2C3F">
              <w:rPr>
                <w:noProof/>
                <w:webHidden/>
              </w:rPr>
            </w:r>
            <w:r w:rsidR="00CD2C3F">
              <w:rPr>
                <w:noProof/>
                <w:webHidden/>
              </w:rPr>
              <w:fldChar w:fldCharType="separate"/>
            </w:r>
            <w:r w:rsidR="00CD2C3F">
              <w:rPr>
                <w:noProof/>
                <w:webHidden/>
              </w:rPr>
              <w:t>26</w:t>
            </w:r>
            <w:r w:rsidR="00CD2C3F">
              <w:rPr>
                <w:noProof/>
                <w:webHidden/>
              </w:rPr>
              <w:fldChar w:fldCharType="end"/>
            </w:r>
          </w:hyperlink>
        </w:p>
        <w:p w14:paraId="0A389A0E" w14:textId="73C9482D" w:rsidR="00CD2C3F" w:rsidRDefault="00BD6CA9">
          <w:pPr>
            <w:pStyle w:val="TOC2"/>
            <w:tabs>
              <w:tab w:val="left" w:pos="880"/>
              <w:tab w:val="right" w:leader="dot" w:pos="9016"/>
            </w:tabs>
            <w:rPr>
              <w:rFonts w:asciiTheme="minorHAnsi" w:eastAsiaTheme="minorEastAsia" w:hAnsiTheme="minorHAnsi" w:cstheme="minorBidi"/>
              <w:noProof/>
              <w:sz w:val="22"/>
              <w:szCs w:val="22"/>
            </w:rPr>
          </w:pPr>
          <w:hyperlink w:anchor="_Toc92957965" w:history="1">
            <w:r w:rsidR="00CD2C3F" w:rsidRPr="001C1904">
              <w:rPr>
                <w:rStyle w:val="Hyperlink"/>
                <w:noProof/>
              </w:rPr>
              <w:t>5.1</w:t>
            </w:r>
            <w:r w:rsidR="00CD2C3F">
              <w:rPr>
                <w:rFonts w:asciiTheme="minorHAnsi" w:eastAsiaTheme="minorEastAsia" w:hAnsiTheme="minorHAnsi" w:cstheme="minorBidi"/>
                <w:noProof/>
                <w:sz w:val="22"/>
                <w:szCs w:val="22"/>
              </w:rPr>
              <w:tab/>
            </w:r>
            <w:r w:rsidR="00CD2C3F" w:rsidRPr="001C1904">
              <w:rPr>
                <w:rStyle w:val="Hyperlink"/>
                <w:noProof/>
              </w:rPr>
              <w:t>Quantitative results</w:t>
            </w:r>
            <w:r w:rsidR="00CD2C3F">
              <w:rPr>
                <w:noProof/>
                <w:webHidden/>
              </w:rPr>
              <w:tab/>
            </w:r>
            <w:r w:rsidR="00CD2C3F">
              <w:rPr>
                <w:noProof/>
                <w:webHidden/>
              </w:rPr>
              <w:fldChar w:fldCharType="begin"/>
            </w:r>
            <w:r w:rsidR="00CD2C3F">
              <w:rPr>
                <w:noProof/>
                <w:webHidden/>
              </w:rPr>
              <w:instrText xml:space="preserve"> PAGEREF _Toc92957965 \h </w:instrText>
            </w:r>
            <w:r w:rsidR="00CD2C3F">
              <w:rPr>
                <w:noProof/>
                <w:webHidden/>
              </w:rPr>
            </w:r>
            <w:r w:rsidR="00CD2C3F">
              <w:rPr>
                <w:noProof/>
                <w:webHidden/>
              </w:rPr>
              <w:fldChar w:fldCharType="separate"/>
            </w:r>
            <w:r w:rsidR="00CD2C3F">
              <w:rPr>
                <w:noProof/>
                <w:webHidden/>
              </w:rPr>
              <w:t>26</w:t>
            </w:r>
            <w:r w:rsidR="00CD2C3F">
              <w:rPr>
                <w:noProof/>
                <w:webHidden/>
              </w:rPr>
              <w:fldChar w:fldCharType="end"/>
            </w:r>
          </w:hyperlink>
        </w:p>
        <w:p w14:paraId="387ABAE4" w14:textId="05B4A35E" w:rsidR="00CD2C3F" w:rsidRDefault="00BD6CA9">
          <w:pPr>
            <w:pStyle w:val="TOC2"/>
            <w:tabs>
              <w:tab w:val="left" w:pos="880"/>
              <w:tab w:val="right" w:leader="dot" w:pos="9016"/>
            </w:tabs>
            <w:rPr>
              <w:rFonts w:asciiTheme="minorHAnsi" w:eastAsiaTheme="minorEastAsia" w:hAnsiTheme="minorHAnsi" w:cstheme="minorBidi"/>
              <w:noProof/>
              <w:sz w:val="22"/>
              <w:szCs w:val="22"/>
            </w:rPr>
          </w:pPr>
          <w:hyperlink w:anchor="_Toc92957966" w:history="1">
            <w:r w:rsidR="00CD2C3F" w:rsidRPr="001C1904">
              <w:rPr>
                <w:rStyle w:val="Hyperlink"/>
                <w:noProof/>
              </w:rPr>
              <w:t>5.2</w:t>
            </w:r>
            <w:r w:rsidR="00CD2C3F">
              <w:rPr>
                <w:rFonts w:asciiTheme="minorHAnsi" w:eastAsiaTheme="minorEastAsia" w:hAnsiTheme="minorHAnsi" w:cstheme="minorBidi"/>
                <w:noProof/>
                <w:sz w:val="22"/>
                <w:szCs w:val="22"/>
              </w:rPr>
              <w:tab/>
            </w:r>
            <w:r w:rsidR="00CD2C3F" w:rsidRPr="001C1904">
              <w:rPr>
                <w:rStyle w:val="Hyperlink"/>
                <w:noProof/>
              </w:rPr>
              <w:t>Comments on the draft manual</w:t>
            </w:r>
            <w:r w:rsidR="00CD2C3F">
              <w:rPr>
                <w:noProof/>
                <w:webHidden/>
              </w:rPr>
              <w:tab/>
            </w:r>
            <w:r w:rsidR="00CD2C3F">
              <w:rPr>
                <w:noProof/>
                <w:webHidden/>
              </w:rPr>
              <w:fldChar w:fldCharType="begin"/>
            </w:r>
            <w:r w:rsidR="00CD2C3F">
              <w:rPr>
                <w:noProof/>
                <w:webHidden/>
              </w:rPr>
              <w:instrText xml:space="preserve"> PAGEREF _Toc92957966 \h </w:instrText>
            </w:r>
            <w:r w:rsidR="00CD2C3F">
              <w:rPr>
                <w:noProof/>
                <w:webHidden/>
              </w:rPr>
            </w:r>
            <w:r w:rsidR="00CD2C3F">
              <w:rPr>
                <w:noProof/>
                <w:webHidden/>
              </w:rPr>
              <w:fldChar w:fldCharType="separate"/>
            </w:r>
            <w:r w:rsidR="00CD2C3F">
              <w:rPr>
                <w:noProof/>
                <w:webHidden/>
              </w:rPr>
              <w:t>32</w:t>
            </w:r>
            <w:r w:rsidR="00CD2C3F">
              <w:rPr>
                <w:noProof/>
                <w:webHidden/>
              </w:rPr>
              <w:fldChar w:fldCharType="end"/>
            </w:r>
          </w:hyperlink>
        </w:p>
        <w:p w14:paraId="255C408E" w14:textId="57609252" w:rsidR="00EB2546" w:rsidRDefault="00EB2546">
          <w:pPr>
            <w:rPr>
              <w:b/>
              <w:bCs/>
              <w:noProof/>
            </w:rPr>
          </w:pPr>
          <w:r>
            <w:rPr>
              <w:b/>
              <w:bCs/>
              <w:noProof/>
            </w:rPr>
            <w:fldChar w:fldCharType="end"/>
          </w:r>
        </w:p>
      </w:sdtContent>
    </w:sdt>
    <w:p w14:paraId="673E3BD8" w14:textId="77777777" w:rsidR="00353DEE" w:rsidRDefault="00353DEE">
      <w:pPr>
        <w:rPr>
          <w:color w:val="000000" w:themeColor="text1"/>
        </w:rPr>
      </w:pPr>
      <w:r>
        <w:rPr>
          <w:color w:val="000000" w:themeColor="text1"/>
        </w:rPr>
        <w:br w:type="page"/>
      </w:r>
    </w:p>
    <w:p w14:paraId="5459022E" w14:textId="4FCB17F5" w:rsidR="00353DEE" w:rsidRDefault="00353DEE" w:rsidP="00353DEE">
      <w:pPr>
        <w:pStyle w:val="Heading1boardreport"/>
        <w:rPr>
          <w:color w:val="000000" w:themeColor="text1"/>
        </w:rPr>
      </w:pPr>
      <w:bookmarkStart w:id="7" w:name="_Toc92957934"/>
      <w:r w:rsidRPr="00353DEE">
        <w:rPr>
          <w:color w:val="000000" w:themeColor="text1"/>
        </w:rPr>
        <w:lastRenderedPageBreak/>
        <w:t>Tables and Figures</w:t>
      </w:r>
      <w:bookmarkEnd w:id="7"/>
    </w:p>
    <w:p w14:paraId="2B4A3197" w14:textId="63442EB5" w:rsidR="005030FA" w:rsidRPr="005030FA" w:rsidRDefault="005030FA">
      <w:pPr>
        <w:pStyle w:val="TableofFigures"/>
        <w:tabs>
          <w:tab w:val="right" w:leader="dot" w:pos="9016"/>
        </w:tabs>
        <w:rPr>
          <w:rFonts w:ascii="Arial" w:eastAsiaTheme="minorEastAsia" w:hAnsi="Arial" w:cs="Arial"/>
          <w:noProof/>
          <w:sz w:val="22"/>
          <w:szCs w:val="22"/>
        </w:rPr>
      </w:pPr>
      <w:r w:rsidRPr="005030FA">
        <w:rPr>
          <w:rFonts w:ascii="Arial" w:hAnsi="Arial" w:cs="Arial"/>
        </w:rPr>
        <w:fldChar w:fldCharType="begin"/>
      </w:r>
      <w:r w:rsidRPr="005030FA">
        <w:rPr>
          <w:rFonts w:ascii="Arial" w:hAnsi="Arial" w:cs="Arial"/>
        </w:rPr>
        <w:instrText xml:space="preserve"> TOC \h \z \c "Table" </w:instrText>
      </w:r>
      <w:r w:rsidRPr="005030FA">
        <w:rPr>
          <w:rFonts w:ascii="Arial" w:hAnsi="Arial" w:cs="Arial"/>
        </w:rPr>
        <w:fldChar w:fldCharType="separate"/>
      </w:r>
      <w:hyperlink w:anchor="_Toc90560574" w:history="1">
        <w:r w:rsidRPr="005030FA">
          <w:rPr>
            <w:rStyle w:val="Hyperlink"/>
            <w:rFonts w:ascii="Arial" w:hAnsi="Arial" w:cs="Arial"/>
            <w:b/>
            <w:bCs/>
            <w:noProof/>
          </w:rPr>
          <w:t xml:space="preserve">Table 1. </w:t>
        </w:r>
        <w:r w:rsidRPr="005030FA">
          <w:rPr>
            <w:rStyle w:val="Hyperlink"/>
            <w:rFonts w:ascii="Arial" w:hAnsi="Arial" w:cs="Arial"/>
            <w:noProof/>
          </w:rPr>
          <w:t>Consultation responses: breakdown of stakeholders</w:t>
        </w:r>
        <w:r w:rsidRPr="005030FA">
          <w:rPr>
            <w:rFonts w:ascii="Arial" w:hAnsi="Arial" w:cs="Arial"/>
            <w:noProof/>
            <w:webHidden/>
          </w:rPr>
          <w:tab/>
        </w:r>
        <w:r w:rsidRPr="005030FA">
          <w:rPr>
            <w:rFonts w:ascii="Arial" w:hAnsi="Arial" w:cs="Arial"/>
            <w:noProof/>
            <w:webHidden/>
          </w:rPr>
          <w:fldChar w:fldCharType="begin"/>
        </w:r>
        <w:r w:rsidRPr="005030FA">
          <w:rPr>
            <w:rFonts w:ascii="Arial" w:hAnsi="Arial" w:cs="Arial"/>
            <w:noProof/>
            <w:webHidden/>
          </w:rPr>
          <w:instrText xml:space="preserve"> PAGEREF _Toc90560574 \h </w:instrText>
        </w:r>
        <w:r w:rsidRPr="005030FA">
          <w:rPr>
            <w:rFonts w:ascii="Arial" w:hAnsi="Arial" w:cs="Arial"/>
            <w:noProof/>
            <w:webHidden/>
          </w:rPr>
        </w:r>
        <w:r w:rsidRPr="005030FA">
          <w:rPr>
            <w:rFonts w:ascii="Arial" w:hAnsi="Arial" w:cs="Arial"/>
            <w:noProof/>
            <w:webHidden/>
          </w:rPr>
          <w:fldChar w:fldCharType="separate"/>
        </w:r>
        <w:r w:rsidRPr="005030FA">
          <w:rPr>
            <w:rFonts w:ascii="Arial" w:hAnsi="Arial" w:cs="Arial"/>
            <w:noProof/>
            <w:webHidden/>
          </w:rPr>
          <w:t>5</w:t>
        </w:r>
        <w:r w:rsidRPr="005030FA">
          <w:rPr>
            <w:rFonts w:ascii="Arial" w:hAnsi="Arial" w:cs="Arial"/>
            <w:noProof/>
            <w:webHidden/>
          </w:rPr>
          <w:fldChar w:fldCharType="end"/>
        </w:r>
      </w:hyperlink>
    </w:p>
    <w:p w14:paraId="4E1363C6" w14:textId="585D2B98" w:rsidR="005030FA" w:rsidRDefault="005030FA">
      <w:pPr>
        <w:pStyle w:val="TableofFigures"/>
        <w:tabs>
          <w:tab w:val="right" w:leader="dot" w:pos="9016"/>
        </w:tabs>
        <w:rPr>
          <w:rFonts w:ascii="Arial" w:hAnsi="Arial" w:cs="Arial"/>
        </w:rPr>
      </w:pPr>
      <w:r w:rsidRPr="005030FA">
        <w:rPr>
          <w:rFonts w:ascii="Arial" w:hAnsi="Arial" w:cs="Arial"/>
        </w:rPr>
        <w:fldChar w:fldCharType="end"/>
      </w:r>
    </w:p>
    <w:p w14:paraId="1E52DE74" w14:textId="5F966228" w:rsidR="00F52A8B" w:rsidRPr="00F52A8B" w:rsidRDefault="005030FA">
      <w:pPr>
        <w:pStyle w:val="TableofFigures"/>
        <w:tabs>
          <w:tab w:val="right" w:leader="dot" w:pos="9016"/>
        </w:tabs>
        <w:rPr>
          <w:rFonts w:ascii="Arial" w:eastAsiaTheme="minorEastAsia" w:hAnsi="Arial" w:cs="Arial"/>
          <w:noProof/>
          <w:sz w:val="22"/>
          <w:szCs w:val="22"/>
        </w:rPr>
      </w:pPr>
      <w:r w:rsidRPr="005030FA">
        <w:rPr>
          <w:rFonts w:ascii="Arial" w:hAnsi="Arial" w:cs="Arial"/>
        </w:rPr>
        <w:fldChar w:fldCharType="begin"/>
      </w:r>
      <w:r w:rsidRPr="005030FA">
        <w:rPr>
          <w:rFonts w:ascii="Arial" w:hAnsi="Arial" w:cs="Arial"/>
        </w:rPr>
        <w:instrText xml:space="preserve"> TOC \h \z \c "Figure" </w:instrText>
      </w:r>
      <w:r w:rsidRPr="005030FA">
        <w:rPr>
          <w:rFonts w:ascii="Arial" w:hAnsi="Arial" w:cs="Arial"/>
        </w:rPr>
        <w:fldChar w:fldCharType="separate"/>
      </w:r>
      <w:hyperlink w:anchor="_Toc90640851" w:history="1">
        <w:r w:rsidR="00F52A8B" w:rsidRPr="00F52A8B">
          <w:rPr>
            <w:rStyle w:val="Hyperlink"/>
            <w:rFonts w:ascii="Arial" w:hAnsi="Arial" w:cs="Arial"/>
            <w:b/>
            <w:bCs/>
            <w:noProof/>
          </w:rPr>
          <w:t>Figure 1.</w:t>
        </w:r>
        <w:r w:rsidR="00F52A8B" w:rsidRPr="00F52A8B">
          <w:rPr>
            <w:rStyle w:val="Hyperlink"/>
            <w:rFonts w:ascii="Arial" w:hAnsi="Arial" w:cs="Arial"/>
            <w:noProof/>
          </w:rPr>
          <w:t xml:space="preserve"> Overall agreement with proposals</w:t>
        </w:r>
        <w:r w:rsidR="00F52A8B" w:rsidRPr="00F52A8B">
          <w:rPr>
            <w:rFonts w:ascii="Arial" w:hAnsi="Arial" w:cs="Arial"/>
            <w:noProof/>
            <w:webHidden/>
          </w:rPr>
          <w:tab/>
        </w:r>
        <w:r w:rsidR="00F52A8B" w:rsidRPr="00F52A8B">
          <w:rPr>
            <w:rFonts w:ascii="Arial" w:hAnsi="Arial" w:cs="Arial"/>
            <w:noProof/>
            <w:webHidden/>
          </w:rPr>
          <w:fldChar w:fldCharType="begin"/>
        </w:r>
        <w:r w:rsidR="00F52A8B" w:rsidRPr="00F52A8B">
          <w:rPr>
            <w:rFonts w:ascii="Arial" w:hAnsi="Arial" w:cs="Arial"/>
            <w:noProof/>
            <w:webHidden/>
          </w:rPr>
          <w:instrText xml:space="preserve"> PAGEREF _Toc90640851 \h </w:instrText>
        </w:r>
        <w:r w:rsidR="00F52A8B" w:rsidRPr="00F52A8B">
          <w:rPr>
            <w:rFonts w:ascii="Arial" w:hAnsi="Arial" w:cs="Arial"/>
            <w:noProof/>
            <w:webHidden/>
          </w:rPr>
        </w:r>
        <w:r w:rsidR="00F52A8B" w:rsidRPr="00F52A8B">
          <w:rPr>
            <w:rFonts w:ascii="Arial" w:hAnsi="Arial" w:cs="Arial"/>
            <w:noProof/>
            <w:webHidden/>
          </w:rPr>
          <w:fldChar w:fldCharType="separate"/>
        </w:r>
        <w:r w:rsidR="00F52A8B" w:rsidRPr="00F52A8B">
          <w:rPr>
            <w:rFonts w:ascii="Arial" w:hAnsi="Arial" w:cs="Arial"/>
            <w:noProof/>
            <w:webHidden/>
          </w:rPr>
          <w:t>25</w:t>
        </w:r>
        <w:r w:rsidR="00F52A8B" w:rsidRPr="00F52A8B">
          <w:rPr>
            <w:rFonts w:ascii="Arial" w:hAnsi="Arial" w:cs="Arial"/>
            <w:noProof/>
            <w:webHidden/>
          </w:rPr>
          <w:fldChar w:fldCharType="end"/>
        </w:r>
      </w:hyperlink>
    </w:p>
    <w:p w14:paraId="6C2CC4E8" w14:textId="739D73AD" w:rsidR="00F52A8B" w:rsidRPr="00F52A8B" w:rsidRDefault="00BD6CA9">
      <w:pPr>
        <w:pStyle w:val="TableofFigures"/>
        <w:tabs>
          <w:tab w:val="right" w:leader="dot" w:pos="9016"/>
        </w:tabs>
        <w:rPr>
          <w:rFonts w:ascii="Arial" w:eastAsiaTheme="minorEastAsia" w:hAnsi="Arial" w:cs="Arial"/>
          <w:noProof/>
          <w:sz w:val="22"/>
          <w:szCs w:val="22"/>
        </w:rPr>
      </w:pPr>
      <w:hyperlink w:anchor="_Toc90640852" w:history="1">
        <w:r w:rsidR="00F52A8B" w:rsidRPr="00F52A8B">
          <w:rPr>
            <w:rStyle w:val="Hyperlink"/>
            <w:rFonts w:ascii="Arial" w:hAnsi="Arial" w:cs="Arial"/>
            <w:b/>
            <w:bCs/>
            <w:noProof/>
          </w:rPr>
          <w:t>Figure 2.</w:t>
        </w:r>
        <w:r w:rsidR="00F52A8B" w:rsidRPr="00F52A8B">
          <w:rPr>
            <w:rStyle w:val="Hyperlink"/>
            <w:rFonts w:ascii="Arial" w:hAnsi="Arial" w:cs="Arial"/>
            <w:noProof/>
          </w:rPr>
          <w:t xml:space="preserve"> Breakdown of levels of agreement with the proposal for a disease severity modifier by stakeholder group</w:t>
        </w:r>
        <w:r w:rsidR="00F52A8B" w:rsidRPr="00F52A8B">
          <w:rPr>
            <w:rFonts w:ascii="Arial" w:hAnsi="Arial" w:cs="Arial"/>
            <w:noProof/>
            <w:webHidden/>
          </w:rPr>
          <w:tab/>
        </w:r>
        <w:r w:rsidR="00F52A8B" w:rsidRPr="00F52A8B">
          <w:rPr>
            <w:rFonts w:ascii="Arial" w:hAnsi="Arial" w:cs="Arial"/>
            <w:noProof/>
            <w:webHidden/>
          </w:rPr>
          <w:fldChar w:fldCharType="begin"/>
        </w:r>
        <w:r w:rsidR="00F52A8B" w:rsidRPr="00F52A8B">
          <w:rPr>
            <w:rFonts w:ascii="Arial" w:hAnsi="Arial" w:cs="Arial"/>
            <w:noProof/>
            <w:webHidden/>
          </w:rPr>
          <w:instrText xml:space="preserve"> PAGEREF _Toc90640852 \h </w:instrText>
        </w:r>
        <w:r w:rsidR="00F52A8B" w:rsidRPr="00F52A8B">
          <w:rPr>
            <w:rFonts w:ascii="Arial" w:hAnsi="Arial" w:cs="Arial"/>
            <w:noProof/>
            <w:webHidden/>
          </w:rPr>
        </w:r>
        <w:r w:rsidR="00F52A8B" w:rsidRPr="00F52A8B">
          <w:rPr>
            <w:rFonts w:ascii="Arial" w:hAnsi="Arial" w:cs="Arial"/>
            <w:noProof/>
            <w:webHidden/>
          </w:rPr>
          <w:fldChar w:fldCharType="separate"/>
        </w:r>
        <w:r w:rsidR="00F52A8B" w:rsidRPr="00F52A8B">
          <w:rPr>
            <w:rFonts w:ascii="Arial" w:hAnsi="Arial" w:cs="Arial"/>
            <w:noProof/>
            <w:webHidden/>
          </w:rPr>
          <w:t>25</w:t>
        </w:r>
        <w:r w:rsidR="00F52A8B" w:rsidRPr="00F52A8B">
          <w:rPr>
            <w:rFonts w:ascii="Arial" w:hAnsi="Arial" w:cs="Arial"/>
            <w:noProof/>
            <w:webHidden/>
          </w:rPr>
          <w:fldChar w:fldCharType="end"/>
        </w:r>
      </w:hyperlink>
    </w:p>
    <w:p w14:paraId="0C8ADE0A" w14:textId="63D8A60F" w:rsidR="00F52A8B" w:rsidRPr="00F52A8B" w:rsidRDefault="00BD6CA9">
      <w:pPr>
        <w:pStyle w:val="TableofFigures"/>
        <w:tabs>
          <w:tab w:val="right" w:leader="dot" w:pos="9016"/>
        </w:tabs>
        <w:rPr>
          <w:rFonts w:ascii="Arial" w:eastAsiaTheme="minorEastAsia" w:hAnsi="Arial" w:cs="Arial"/>
          <w:noProof/>
          <w:sz w:val="22"/>
          <w:szCs w:val="22"/>
        </w:rPr>
      </w:pPr>
      <w:hyperlink w:anchor="_Toc90640853" w:history="1">
        <w:r w:rsidR="00F52A8B" w:rsidRPr="00F52A8B">
          <w:rPr>
            <w:rStyle w:val="Hyperlink"/>
            <w:rFonts w:ascii="Arial" w:hAnsi="Arial" w:cs="Arial"/>
            <w:b/>
            <w:bCs/>
            <w:noProof/>
          </w:rPr>
          <w:t>Figure 3.</w:t>
        </w:r>
        <w:r w:rsidR="00F52A8B" w:rsidRPr="00F52A8B">
          <w:rPr>
            <w:rStyle w:val="Hyperlink"/>
            <w:rFonts w:ascii="Arial" w:hAnsi="Arial" w:cs="Arial"/>
            <w:noProof/>
          </w:rPr>
          <w:t xml:space="preserve"> Breakdown of choices between severity modifier option 1 and option 2 by stakeholder group</w:t>
        </w:r>
        <w:r w:rsidR="00F52A8B" w:rsidRPr="00F52A8B">
          <w:rPr>
            <w:rFonts w:ascii="Arial" w:hAnsi="Arial" w:cs="Arial"/>
            <w:noProof/>
            <w:webHidden/>
          </w:rPr>
          <w:tab/>
        </w:r>
        <w:r w:rsidR="00F52A8B" w:rsidRPr="00F52A8B">
          <w:rPr>
            <w:rFonts w:ascii="Arial" w:hAnsi="Arial" w:cs="Arial"/>
            <w:noProof/>
            <w:webHidden/>
          </w:rPr>
          <w:fldChar w:fldCharType="begin"/>
        </w:r>
        <w:r w:rsidR="00F52A8B" w:rsidRPr="00F52A8B">
          <w:rPr>
            <w:rFonts w:ascii="Arial" w:hAnsi="Arial" w:cs="Arial"/>
            <w:noProof/>
            <w:webHidden/>
          </w:rPr>
          <w:instrText xml:space="preserve"> PAGEREF _Toc90640853 \h </w:instrText>
        </w:r>
        <w:r w:rsidR="00F52A8B" w:rsidRPr="00F52A8B">
          <w:rPr>
            <w:rFonts w:ascii="Arial" w:hAnsi="Arial" w:cs="Arial"/>
            <w:noProof/>
            <w:webHidden/>
          </w:rPr>
        </w:r>
        <w:r w:rsidR="00F52A8B" w:rsidRPr="00F52A8B">
          <w:rPr>
            <w:rFonts w:ascii="Arial" w:hAnsi="Arial" w:cs="Arial"/>
            <w:noProof/>
            <w:webHidden/>
          </w:rPr>
          <w:fldChar w:fldCharType="separate"/>
        </w:r>
        <w:r w:rsidR="00F52A8B" w:rsidRPr="00F52A8B">
          <w:rPr>
            <w:rFonts w:ascii="Arial" w:hAnsi="Arial" w:cs="Arial"/>
            <w:noProof/>
            <w:webHidden/>
          </w:rPr>
          <w:t>26</w:t>
        </w:r>
        <w:r w:rsidR="00F52A8B" w:rsidRPr="00F52A8B">
          <w:rPr>
            <w:rFonts w:ascii="Arial" w:hAnsi="Arial" w:cs="Arial"/>
            <w:noProof/>
            <w:webHidden/>
          </w:rPr>
          <w:fldChar w:fldCharType="end"/>
        </w:r>
      </w:hyperlink>
    </w:p>
    <w:p w14:paraId="4674CC85" w14:textId="19F5EA7B" w:rsidR="00F52A8B" w:rsidRPr="00F52A8B" w:rsidRDefault="00BD6CA9">
      <w:pPr>
        <w:pStyle w:val="TableofFigures"/>
        <w:tabs>
          <w:tab w:val="right" w:leader="dot" w:pos="9016"/>
        </w:tabs>
        <w:rPr>
          <w:rFonts w:ascii="Arial" w:eastAsiaTheme="minorEastAsia" w:hAnsi="Arial" w:cs="Arial"/>
          <w:noProof/>
          <w:sz w:val="22"/>
          <w:szCs w:val="22"/>
        </w:rPr>
      </w:pPr>
      <w:hyperlink w:anchor="_Toc90640854" w:history="1">
        <w:r w:rsidR="00F52A8B" w:rsidRPr="00F52A8B">
          <w:rPr>
            <w:rStyle w:val="Hyperlink"/>
            <w:rFonts w:ascii="Arial" w:hAnsi="Arial" w:cs="Arial"/>
            <w:b/>
            <w:bCs/>
            <w:noProof/>
          </w:rPr>
          <w:t>Figure 4.</w:t>
        </w:r>
        <w:r w:rsidR="00F52A8B" w:rsidRPr="00F52A8B">
          <w:rPr>
            <w:rStyle w:val="Hyperlink"/>
            <w:rFonts w:ascii="Arial" w:hAnsi="Arial" w:cs="Arial"/>
            <w:noProof/>
          </w:rPr>
          <w:t xml:space="preserve"> Breakdown of level of agreement with the proposal for consideration of uncertainty within decision making</w:t>
        </w:r>
        <w:r w:rsidR="00F52A8B" w:rsidRPr="00F52A8B">
          <w:rPr>
            <w:rFonts w:ascii="Arial" w:hAnsi="Arial" w:cs="Arial"/>
            <w:noProof/>
            <w:webHidden/>
          </w:rPr>
          <w:tab/>
        </w:r>
        <w:r w:rsidR="00F52A8B" w:rsidRPr="00F52A8B">
          <w:rPr>
            <w:rFonts w:ascii="Arial" w:hAnsi="Arial" w:cs="Arial"/>
            <w:noProof/>
            <w:webHidden/>
          </w:rPr>
          <w:fldChar w:fldCharType="begin"/>
        </w:r>
        <w:r w:rsidR="00F52A8B" w:rsidRPr="00F52A8B">
          <w:rPr>
            <w:rFonts w:ascii="Arial" w:hAnsi="Arial" w:cs="Arial"/>
            <w:noProof/>
            <w:webHidden/>
          </w:rPr>
          <w:instrText xml:space="preserve"> PAGEREF _Toc90640854 \h </w:instrText>
        </w:r>
        <w:r w:rsidR="00F52A8B" w:rsidRPr="00F52A8B">
          <w:rPr>
            <w:rFonts w:ascii="Arial" w:hAnsi="Arial" w:cs="Arial"/>
            <w:noProof/>
            <w:webHidden/>
          </w:rPr>
        </w:r>
        <w:r w:rsidR="00F52A8B" w:rsidRPr="00F52A8B">
          <w:rPr>
            <w:rFonts w:ascii="Arial" w:hAnsi="Arial" w:cs="Arial"/>
            <w:noProof/>
            <w:webHidden/>
          </w:rPr>
          <w:fldChar w:fldCharType="separate"/>
        </w:r>
        <w:r w:rsidR="00F52A8B" w:rsidRPr="00F52A8B">
          <w:rPr>
            <w:rFonts w:ascii="Arial" w:hAnsi="Arial" w:cs="Arial"/>
            <w:noProof/>
            <w:webHidden/>
          </w:rPr>
          <w:t>26</w:t>
        </w:r>
        <w:r w:rsidR="00F52A8B" w:rsidRPr="00F52A8B">
          <w:rPr>
            <w:rFonts w:ascii="Arial" w:hAnsi="Arial" w:cs="Arial"/>
            <w:noProof/>
            <w:webHidden/>
          </w:rPr>
          <w:fldChar w:fldCharType="end"/>
        </w:r>
      </w:hyperlink>
    </w:p>
    <w:p w14:paraId="09D6EE93" w14:textId="4D01AB31" w:rsidR="00F52A8B" w:rsidRPr="00F52A8B" w:rsidRDefault="00BD6CA9">
      <w:pPr>
        <w:pStyle w:val="TableofFigures"/>
        <w:tabs>
          <w:tab w:val="right" w:leader="dot" w:pos="9016"/>
        </w:tabs>
        <w:rPr>
          <w:rFonts w:ascii="Arial" w:eastAsiaTheme="minorEastAsia" w:hAnsi="Arial" w:cs="Arial"/>
          <w:noProof/>
          <w:sz w:val="22"/>
          <w:szCs w:val="22"/>
        </w:rPr>
      </w:pPr>
      <w:hyperlink w:anchor="_Toc90640855" w:history="1">
        <w:r w:rsidR="00F52A8B" w:rsidRPr="00F52A8B">
          <w:rPr>
            <w:rStyle w:val="Hyperlink"/>
            <w:rFonts w:ascii="Arial" w:hAnsi="Arial" w:cs="Arial"/>
            <w:b/>
            <w:bCs/>
            <w:noProof/>
          </w:rPr>
          <w:t>Figure 5.</w:t>
        </w:r>
        <w:r w:rsidR="00F52A8B" w:rsidRPr="00F52A8B">
          <w:rPr>
            <w:rStyle w:val="Hyperlink"/>
            <w:rFonts w:ascii="Arial" w:hAnsi="Arial" w:cs="Arial"/>
            <w:noProof/>
          </w:rPr>
          <w:t xml:space="preserve"> Breakdown of level of agreement with the proposal for health inequalities</w:t>
        </w:r>
        <w:r w:rsidR="00F52A8B" w:rsidRPr="00F52A8B">
          <w:rPr>
            <w:rFonts w:ascii="Arial" w:hAnsi="Arial" w:cs="Arial"/>
            <w:noProof/>
            <w:webHidden/>
          </w:rPr>
          <w:tab/>
        </w:r>
        <w:r w:rsidR="00F52A8B" w:rsidRPr="00F52A8B">
          <w:rPr>
            <w:rFonts w:ascii="Arial" w:hAnsi="Arial" w:cs="Arial"/>
            <w:noProof/>
            <w:webHidden/>
          </w:rPr>
          <w:fldChar w:fldCharType="begin"/>
        </w:r>
        <w:r w:rsidR="00F52A8B" w:rsidRPr="00F52A8B">
          <w:rPr>
            <w:rFonts w:ascii="Arial" w:hAnsi="Arial" w:cs="Arial"/>
            <w:noProof/>
            <w:webHidden/>
          </w:rPr>
          <w:instrText xml:space="preserve"> PAGEREF _Toc90640855 \h </w:instrText>
        </w:r>
        <w:r w:rsidR="00F52A8B" w:rsidRPr="00F52A8B">
          <w:rPr>
            <w:rFonts w:ascii="Arial" w:hAnsi="Arial" w:cs="Arial"/>
            <w:noProof/>
            <w:webHidden/>
          </w:rPr>
        </w:r>
        <w:r w:rsidR="00F52A8B" w:rsidRPr="00F52A8B">
          <w:rPr>
            <w:rFonts w:ascii="Arial" w:hAnsi="Arial" w:cs="Arial"/>
            <w:noProof/>
            <w:webHidden/>
          </w:rPr>
          <w:fldChar w:fldCharType="separate"/>
        </w:r>
        <w:r w:rsidR="00F52A8B" w:rsidRPr="00F52A8B">
          <w:rPr>
            <w:rFonts w:ascii="Arial" w:hAnsi="Arial" w:cs="Arial"/>
            <w:noProof/>
            <w:webHidden/>
          </w:rPr>
          <w:t>27</w:t>
        </w:r>
        <w:r w:rsidR="00F52A8B" w:rsidRPr="00F52A8B">
          <w:rPr>
            <w:rFonts w:ascii="Arial" w:hAnsi="Arial" w:cs="Arial"/>
            <w:noProof/>
            <w:webHidden/>
          </w:rPr>
          <w:fldChar w:fldCharType="end"/>
        </w:r>
      </w:hyperlink>
    </w:p>
    <w:p w14:paraId="158B323B" w14:textId="1E4EE456" w:rsidR="00F52A8B" w:rsidRPr="00F52A8B" w:rsidRDefault="00BD6CA9">
      <w:pPr>
        <w:pStyle w:val="TableofFigures"/>
        <w:tabs>
          <w:tab w:val="right" w:leader="dot" w:pos="9016"/>
        </w:tabs>
        <w:rPr>
          <w:rFonts w:ascii="Arial" w:eastAsiaTheme="minorEastAsia" w:hAnsi="Arial" w:cs="Arial"/>
          <w:noProof/>
          <w:sz w:val="22"/>
          <w:szCs w:val="22"/>
        </w:rPr>
      </w:pPr>
      <w:hyperlink w:anchor="_Toc90640856" w:history="1">
        <w:r w:rsidR="00F52A8B" w:rsidRPr="00F52A8B">
          <w:rPr>
            <w:rStyle w:val="Hyperlink"/>
            <w:rFonts w:ascii="Arial" w:hAnsi="Arial" w:cs="Arial"/>
            <w:b/>
            <w:bCs/>
            <w:noProof/>
          </w:rPr>
          <w:t>Figure 6.</w:t>
        </w:r>
        <w:r w:rsidR="00F52A8B" w:rsidRPr="00F52A8B">
          <w:rPr>
            <w:rStyle w:val="Hyperlink"/>
            <w:rFonts w:ascii="Arial" w:hAnsi="Arial" w:cs="Arial"/>
            <w:noProof/>
          </w:rPr>
          <w:t xml:space="preserve"> Breakdown of level of agreement with the proposal for aligning methods across programmes</w:t>
        </w:r>
        <w:r w:rsidR="00F52A8B" w:rsidRPr="00F52A8B">
          <w:rPr>
            <w:rFonts w:ascii="Arial" w:hAnsi="Arial" w:cs="Arial"/>
            <w:noProof/>
            <w:webHidden/>
          </w:rPr>
          <w:tab/>
        </w:r>
        <w:r w:rsidR="00F52A8B" w:rsidRPr="00F52A8B">
          <w:rPr>
            <w:rFonts w:ascii="Arial" w:hAnsi="Arial" w:cs="Arial"/>
            <w:noProof/>
            <w:webHidden/>
          </w:rPr>
          <w:fldChar w:fldCharType="begin"/>
        </w:r>
        <w:r w:rsidR="00F52A8B" w:rsidRPr="00F52A8B">
          <w:rPr>
            <w:rFonts w:ascii="Arial" w:hAnsi="Arial" w:cs="Arial"/>
            <w:noProof/>
            <w:webHidden/>
          </w:rPr>
          <w:instrText xml:space="preserve"> PAGEREF _Toc90640856 \h </w:instrText>
        </w:r>
        <w:r w:rsidR="00F52A8B" w:rsidRPr="00F52A8B">
          <w:rPr>
            <w:rFonts w:ascii="Arial" w:hAnsi="Arial" w:cs="Arial"/>
            <w:noProof/>
            <w:webHidden/>
          </w:rPr>
        </w:r>
        <w:r w:rsidR="00F52A8B" w:rsidRPr="00F52A8B">
          <w:rPr>
            <w:rFonts w:ascii="Arial" w:hAnsi="Arial" w:cs="Arial"/>
            <w:noProof/>
            <w:webHidden/>
          </w:rPr>
          <w:fldChar w:fldCharType="separate"/>
        </w:r>
        <w:r w:rsidR="00F52A8B" w:rsidRPr="00F52A8B">
          <w:rPr>
            <w:rFonts w:ascii="Arial" w:hAnsi="Arial" w:cs="Arial"/>
            <w:noProof/>
            <w:webHidden/>
          </w:rPr>
          <w:t>27</w:t>
        </w:r>
        <w:r w:rsidR="00F52A8B" w:rsidRPr="00F52A8B">
          <w:rPr>
            <w:rFonts w:ascii="Arial" w:hAnsi="Arial" w:cs="Arial"/>
            <w:noProof/>
            <w:webHidden/>
          </w:rPr>
          <w:fldChar w:fldCharType="end"/>
        </w:r>
      </w:hyperlink>
    </w:p>
    <w:p w14:paraId="1812B716" w14:textId="066A5741" w:rsidR="00F52A8B" w:rsidRPr="00F52A8B" w:rsidRDefault="00BD6CA9">
      <w:pPr>
        <w:pStyle w:val="TableofFigures"/>
        <w:tabs>
          <w:tab w:val="right" w:leader="dot" w:pos="9016"/>
        </w:tabs>
        <w:rPr>
          <w:rFonts w:ascii="Arial" w:eastAsiaTheme="minorEastAsia" w:hAnsi="Arial" w:cs="Arial"/>
          <w:noProof/>
          <w:sz w:val="22"/>
          <w:szCs w:val="22"/>
        </w:rPr>
      </w:pPr>
      <w:hyperlink w:anchor="_Toc90640857" w:history="1">
        <w:r w:rsidR="00F52A8B" w:rsidRPr="00F52A8B">
          <w:rPr>
            <w:rStyle w:val="Hyperlink"/>
            <w:rFonts w:ascii="Arial" w:hAnsi="Arial" w:cs="Arial"/>
            <w:b/>
            <w:bCs/>
            <w:noProof/>
          </w:rPr>
          <w:t>Figure 7.</w:t>
        </w:r>
        <w:r w:rsidR="00F52A8B" w:rsidRPr="00F52A8B">
          <w:rPr>
            <w:rStyle w:val="Hyperlink"/>
            <w:rFonts w:ascii="Arial" w:hAnsi="Arial" w:cs="Arial"/>
            <w:noProof/>
          </w:rPr>
          <w:t xml:space="preserve"> Breakdown of level of agreement with the proposal for discounting</w:t>
        </w:r>
        <w:r w:rsidR="00F52A8B" w:rsidRPr="00F52A8B">
          <w:rPr>
            <w:rFonts w:ascii="Arial" w:hAnsi="Arial" w:cs="Arial"/>
            <w:noProof/>
            <w:webHidden/>
          </w:rPr>
          <w:tab/>
        </w:r>
        <w:r w:rsidR="00F52A8B" w:rsidRPr="00F52A8B">
          <w:rPr>
            <w:rFonts w:ascii="Arial" w:hAnsi="Arial" w:cs="Arial"/>
            <w:noProof/>
            <w:webHidden/>
          </w:rPr>
          <w:fldChar w:fldCharType="begin"/>
        </w:r>
        <w:r w:rsidR="00F52A8B" w:rsidRPr="00F52A8B">
          <w:rPr>
            <w:rFonts w:ascii="Arial" w:hAnsi="Arial" w:cs="Arial"/>
            <w:noProof/>
            <w:webHidden/>
          </w:rPr>
          <w:instrText xml:space="preserve"> PAGEREF _Toc90640857 \h </w:instrText>
        </w:r>
        <w:r w:rsidR="00F52A8B" w:rsidRPr="00F52A8B">
          <w:rPr>
            <w:rFonts w:ascii="Arial" w:hAnsi="Arial" w:cs="Arial"/>
            <w:noProof/>
            <w:webHidden/>
          </w:rPr>
        </w:r>
        <w:r w:rsidR="00F52A8B" w:rsidRPr="00F52A8B">
          <w:rPr>
            <w:rFonts w:ascii="Arial" w:hAnsi="Arial" w:cs="Arial"/>
            <w:noProof/>
            <w:webHidden/>
          </w:rPr>
          <w:fldChar w:fldCharType="separate"/>
        </w:r>
        <w:r w:rsidR="00F52A8B" w:rsidRPr="00F52A8B">
          <w:rPr>
            <w:rFonts w:ascii="Arial" w:hAnsi="Arial" w:cs="Arial"/>
            <w:noProof/>
            <w:webHidden/>
          </w:rPr>
          <w:t>28</w:t>
        </w:r>
        <w:r w:rsidR="00F52A8B" w:rsidRPr="00F52A8B">
          <w:rPr>
            <w:rFonts w:ascii="Arial" w:hAnsi="Arial" w:cs="Arial"/>
            <w:noProof/>
            <w:webHidden/>
          </w:rPr>
          <w:fldChar w:fldCharType="end"/>
        </w:r>
      </w:hyperlink>
    </w:p>
    <w:p w14:paraId="21067C91" w14:textId="72A41978" w:rsidR="00F52A8B" w:rsidRDefault="00BD6CA9">
      <w:pPr>
        <w:pStyle w:val="TableofFigures"/>
        <w:tabs>
          <w:tab w:val="right" w:leader="dot" w:pos="9016"/>
        </w:tabs>
        <w:rPr>
          <w:rFonts w:asciiTheme="minorHAnsi" w:eastAsiaTheme="minorEastAsia" w:hAnsiTheme="minorHAnsi" w:cstheme="minorBidi"/>
          <w:noProof/>
          <w:sz w:val="22"/>
          <w:szCs w:val="22"/>
        </w:rPr>
      </w:pPr>
      <w:hyperlink w:anchor="_Toc90640858" w:history="1">
        <w:r w:rsidR="00F52A8B" w:rsidRPr="00F52A8B">
          <w:rPr>
            <w:rStyle w:val="Hyperlink"/>
            <w:rFonts w:ascii="Arial" w:hAnsi="Arial" w:cs="Arial"/>
            <w:b/>
            <w:bCs/>
            <w:noProof/>
          </w:rPr>
          <w:t>Figure 8.</w:t>
        </w:r>
        <w:r w:rsidR="00F52A8B" w:rsidRPr="00F52A8B">
          <w:rPr>
            <w:rStyle w:val="Hyperlink"/>
            <w:rFonts w:ascii="Arial" w:hAnsi="Arial" w:cs="Arial"/>
            <w:noProof/>
          </w:rPr>
          <w:t xml:space="preserve"> Breakdown of level of agreement with the proposal for implementing the proposed cases for change for sourcing, synthesising and presenting evidence, and considering health-related quality of life</w:t>
        </w:r>
        <w:r w:rsidR="00F52A8B" w:rsidRPr="00F52A8B">
          <w:rPr>
            <w:rFonts w:ascii="Arial" w:hAnsi="Arial" w:cs="Arial"/>
            <w:noProof/>
            <w:webHidden/>
          </w:rPr>
          <w:tab/>
        </w:r>
        <w:r w:rsidR="00F52A8B" w:rsidRPr="00F52A8B">
          <w:rPr>
            <w:rFonts w:ascii="Arial" w:hAnsi="Arial" w:cs="Arial"/>
            <w:noProof/>
            <w:webHidden/>
          </w:rPr>
          <w:fldChar w:fldCharType="begin"/>
        </w:r>
        <w:r w:rsidR="00F52A8B" w:rsidRPr="00F52A8B">
          <w:rPr>
            <w:rFonts w:ascii="Arial" w:hAnsi="Arial" w:cs="Arial"/>
            <w:noProof/>
            <w:webHidden/>
          </w:rPr>
          <w:instrText xml:space="preserve"> PAGEREF _Toc90640858 \h </w:instrText>
        </w:r>
        <w:r w:rsidR="00F52A8B" w:rsidRPr="00F52A8B">
          <w:rPr>
            <w:rFonts w:ascii="Arial" w:hAnsi="Arial" w:cs="Arial"/>
            <w:noProof/>
            <w:webHidden/>
          </w:rPr>
        </w:r>
        <w:r w:rsidR="00F52A8B" w:rsidRPr="00F52A8B">
          <w:rPr>
            <w:rFonts w:ascii="Arial" w:hAnsi="Arial" w:cs="Arial"/>
            <w:noProof/>
            <w:webHidden/>
          </w:rPr>
          <w:fldChar w:fldCharType="separate"/>
        </w:r>
        <w:r w:rsidR="00F52A8B" w:rsidRPr="00F52A8B">
          <w:rPr>
            <w:rFonts w:ascii="Arial" w:hAnsi="Arial" w:cs="Arial"/>
            <w:noProof/>
            <w:webHidden/>
          </w:rPr>
          <w:t>28</w:t>
        </w:r>
        <w:r w:rsidR="00F52A8B" w:rsidRPr="00F52A8B">
          <w:rPr>
            <w:rFonts w:ascii="Arial" w:hAnsi="Arial" w:cs="Arial"/>
            <w:noProof/>
            <w:webHidden/>
          </w:rPr>
          <w:fldChar w:fldCharType="end"/>
        </w:r>
      </w:hyperlink>
    </w:p>
    <w:p w14:paraId="5DA83ACF" w14:textId="10E59BA6" w:rsidR="00353DEE" w:rsidRDefault="005030FA" w:rsidP="005030FA">
      <w:pPr>
        <w:pStyle w:val="Paragraph"/>
        <w:numPr>
          <w:ilvl w:val="0"/>
          <w:numId w:val="0"/>
        </w:numPr>
        <w:rPr>
          <w:b/>
          <w:bCs/>
          <w:color w:val="000000" w:themeColor="text1"/>
          <w:kern w:val="32"/>
          <w:sz w:val="36"/>
          <w:szCs w:val="36"/>
        </w:rPr>
      </w:pPr>
      <w:r w:rsidRPr="005030FA">
        <w:rPr>
          <w:rFonts w:cs="Arial"/>
        </w:rPr>
        <w:fldChar w:fldCharType="end"/>
      </w:r>
      <w:r w:rsidR="00353DEE">
        <w:rPr>
          <w:color w:val="000000" w:themeColor="text1"/>
        </w:rPr>
        <w:br w:type="page"/>
      </w:r>
    </w:p>
    <w:p w14:paraId="651FB7A6" w14:textId="043DECB8" w:rsidR="00D65A89" w:rsidRDefault="00D65A89" w:rsidP="0027161E">
      <w:pPr>
        <w:pStyle w:val="Heading1"/>
        <w:spacing w:after="360"/>
        <w:rPr>
          <w:sz w:val="40"/>
          <w:szCs w:val="44"/>
        </w:rPr>
      </w:pPr>
      <w:bookmarkStart w:id="8" w:name="_Toc92957935"/>
      <w:r w:rsidRPr="0027161E">
        <w:rPr>
          <w:sz w:val="40"/>
          <w:szCs w:val="44"/>
        </w:rPr>
        <w:lastRenderedPageBreak/>
        <w:t>1</w:t>
      </w:r>
      <w:r w:rsidRPr="0027161E">
        <w:rPr>
          <w:sz w:val="40"/>
          <w:szCs w:val="44"/>
        </w:rPr>
        <w:tab/>
        <w:t>Background and objectives</w:t>
      </w:r>
      <w:bookmarkEnd w:id="8"/>
    </w:p>
    <w:p w14:paraId="483255C0" w14:textId="77C47EA2" w:rsidR="000D0201" w:rsidRDefault="000D0201" w:rsidP="0029442C">
      <w:pPr>
        <w:pStyle w:val="NICEnormal"/>
      </w:pPr>
      <w:r>
        <w:t>The r</w:t>
      </w:r>
      <w:r w:rsidRPr="000D0201">
        <w:t>eview of</w:t>
      </w:r>
      <w:r>
        <w:t xml:space="preserve"> NICE’s</w:t>
      </w:r>
      <w:r w:rsidRPr="000D0201">
        <w:t xml:space="preserve"> methods</w:t>
      </w:r>
      <w:r>
        <w:t xml:space="preserve">, </w:t>
      </w:r>
      <w:r w:rsidRPr="000D0201">
        <w:t>processes</w:t>
      </w:r>
      <w:r>
        <w:t xml:space="preserve"> and topic selection</w:t>
      </w:r>
      <w:r w:rsidRPr="000D0201">
        <w:t xml:space="preserve"> for health technology evaluation programmes</w:t>
      </w:r>
      <w:r>
        <w:t xml:space="preserve"> aims </w:t>
      </w:r>
      <w:r w:rsidRPr="000D0201">
        <w:t xml:space="preserve">to optimise </w:t>
      </w:r>
      <w:r w:rsidR="009902B4">
        <w:t>them</w:t>
      </w:r>
      <w:r w:rsidRPr="000D0201">
        <w:t xml:space="preserve"> to support the ambition of the NHS to provide </w:t>
      </w:r>
      <w:r w:rsidR="009902B4" w:rsidRPr="000D0201">
        <w:t>high</w:t>
      </w:r>
      <w:r w:rsidR="009902B4">
        <w:t>-</w:t>
      </w:r>
      <w:r w:rsidRPr="000D0201">
        <w:t>quality care that offers good value to patients and to the NHS.</w:t>
      </w:r>
    </w:p>
    <w:p w14:paraId="5F258FF2" w14:textId="0335FD0D" w:rsidR="002D1C43" w:rsidRDefault="000D0201" w:rsidP="0029442C">
      <w:pPr>
        <w:pStyle w:val="NICEnormal"/>
      </w:pPr>
      <w:r>
        <w:t xml:space="preserve">The review and subsequent consultation </w:t>
      </w:r>
      <w:proofErr w:type="gramStart"/>
      <w:r w:rsidR="00850A18">
        <w:t>was</w:t>
      </w:r>
      <w:proofErr w:type="gramEnd"/>
      <w:r>
        <w:t xml:space="preserve"> divided </w:t>
      </w:r>
      <w:r w:rsidR="002D1C43" w:rsidRPr="002D1C43">
        <w:t>into 3 key aspects: one focussing on topic selection, one on processes in general and one on methods.</w:t>
      </w:r>
    </w:p>
    <w:p w14:paraId="7C71669F" w14:textId="7DAFDFB1" w:rsidR="005348B4" w:rsidRDefault="0029442C" w:rsidP="0029442C">
      <w:pPr>
        <w:pStyle w:val="NICEnormal"/>
      </w:pPr>
      <w:r>
        <w:t xml:space="preserve">The consultation paper </w:t>
      </w:r>
      <w:hyperlink r:id="rId8" w:history="1">
        <w:r w:rsidRPr="0029442C">
          <w:rPr>
            <w:rStyle w:val="Hyperlink"/>
          </w:rPr>
          <w:t>Review of methods for health technology evaluation programmes: proposals for change</w:t>
        </w:r>
      </w:hyperlink>
      <w:r>
        <w:t xml:space="preserve"> was published </w:t>
      </w:r>
      <w:r w:rsidR="002E2448">
        <w:t>o</w:t>
      </w:r>
      <w:r>
        <w:t xml:space="preserve">n </w:t>
      </w:r>
      <w:r w:rsidR="002E2448">
        <w:t xml:space="preserve">19 </w:t>
      </w:r>
      <w:r>
        <w:t xml:space="preserve">August 2021, along with a </w:t>
      </w:r>
      <w:hyperlink r:id="rId9" w:history="1">
        <w:r w:rsidRPr="002E2448">
          <w:rPr>
            <w:rStyle w:val="Hyperlink"/>
          </w:rPr>
          <w:t xml:space="preserve">draft </w:t>
        </w:r>
        <w:r w:rsidR="002E2448" w:rsidRPr="002E2448">
          <w:rPr>
            <w:rStyle w:val="Hyperlink"/>
          </w:rPr>
          <w:t>manual for NICE health technology evaluations</w:t>
        </w:r>
      </w:hyperlink>
      <w:r>
        <w:t xml:space="preserve">. </w:t>
      </w:r>
      <w:r w:rsidR="005348B4">
        <w:t xml:space="preserve">Stakeholders were given the opportunity to comment on these documents using </w:t>
      </w:r>
      <w:r w:rsidR="00254F71">
        <w:t>an online</w:t>
      </w:r>
      <w:r w:rsidR="005348B4">
        <w:t xml:space="preserve"> form. This form included quantitative questions to assess agreement with key proposals</w:t>
      </w:r>
      <w:r w:rsidR="00955F81">
        <w:t xml:space="preserve"> on a Likert scale</w:t>
      </w:r>
      <w:r w:rsidR="005348B4">
        <w:t xml:space="preserve">, </w:t>
      </w:r>
      <w:r w:rsidR="00955F81">
        <w:t>from ‘strongly agree’ to ‘strongly disagree’. It also included</w:t>
      </w:r>
      <w:r w:rsidR="005348B4">
        <w:t xml:space="preserve"> free text boxes in which respondents could </w:t>
      </w:r>
      <w:r w:rsidR="00955F81">
        <w:t>share written comments.</w:t>
      </w:r>
    </w:p>
    <w:p w14:paraId="56AEF295" w14:textId="366AD347" w:rsidR="007C38DC" w:rsidRPr="0029442C" w:rsidRDefault="0029442C" w:rsidP="0029442C">
      <w:pPr>
        <w:pStyle w:val="NICEnormal"/>
      </w:pPr>
      <w:r>
        <w:t>This report reviews and summarises the 157 responses</w:t>
      </w:r>
      <w:r w:rsidR="00955F81">
        <w:t xml:space="preserve"> received</w:t>
      </w:r>
      <w:r w:rsidR="000D0201">
        <w:t xml:space="preserve"> on the methods</w:t>
      </w:r>
      <w:r w:rsidR="00850A18">
        <w:t xml:space="preserve"> proposals</w:t>
      </w:r>
      <w:r w:rsidR="00D50787">
        <w:t xml:space="preserve">. This </w:t>
      </w:r>
      <w:r w:rsidR="002E2448">
        <w:t>includ</w:t>
      </w:r>
      <w:r w:rsidR="00D50787">
        <w:t>es</w:t>
      </w:r>
      <w:r w:rsidR="002E2448">
        <w:t xml:space="preserve"> stakeholder agreement</w:t>
      </w:r>
      <w:r w:rsidR="00D50787">
        <w:t>,</w:t>
      </w:r>
      <w:r w:rsidR="002E2448">
        <w:t xml:space="preserve"> concerns</w:t>
      </w:r>
      <w:r w:rsidR="00D50787">
        <w:t>, and any differences in opinion between stakeholder groups</w:t>
      </w:r>
      <w:r w:rsidR="002E2448">
        <w:t>.</w:t>
      </w:r>
      <w:r w:rsidR="00F717FA">
        <w:t xml:space="preserve"> </w:t>
      </w:r>
      <w:r w:rsidR="00930239">
        <w:t>The report</w:t>
      </w:r>
      <w:r w:rsidR="00F717FA">
        <w:t xml:space="preserve"> aims to </w:t>
      </w:r>
      <w:r w:rsidR="006409BC">
        <w:t>indicate where stakeholder feedback suggests that changes to the draft manual</w:t>
      </w:r>
      <w:r w:rsidR="00930239">
        <w:t>,</w:t>
      </w:r>
      <w:r w:rsidR="006409BC">
        <w:t xml:space="preserve"> or further consideration</w:t>
      </w:r>
      <w:r w:rsidR="00930239">
        <w:t>,</w:t>
      </w:r>
      <w:r w:rsidR="006409BC">
        <w:t xml:space="preserve"> may be required.</w:t>
      </w:r>
    </w:p>
    <w:p w14:paraId="5218A23D" w14:textId="01E7A54D" w:rsidR="00D65A89" w:rsidRDefault="00D65A89" w:rsidP="0027161E">
      <w:pPr>
        <w:pStyle w:val="Heading1"/>
        <w:spacing w:after="360"/>
        <w:rPr>
          <w:sz w:val="40"/>
          <w:szCs w:val="44"/>
        </w:rPr>
      </w:pPr>
      <w:bookmarkStart w:id="9" w:name="_Toc92957936"/>
      <w:r w:rsidRPr="0027161E">
        <w:rPr>
          <w:sz w:val="40"/>
          <w:szCs w:val="44"/>
        </w:rPr>
        <w:t>2</w:t>
      </w:r>
      <w:r w:rsidRPr="0027161E">
        <w:rPr>
          <w:sz w:val="40"/>
          <w:szCs w:val="44"/>
        </w:rPr>
        <w:tab/>
      </w:r>
      <w:r w:rsidR="00FF3055">
        <w:rPr>
          <w:sz w:val="40"/>
          <w:szCs w:val="44"/>
        </w:rPr>
        <w:t>Project overview</w:t>
      </w:r>
      <w:bookmarkEnd w:id="9"/>
    </w:p>
    <w:p w14:paraId="698B89D3" w14:textId="3131BC68" w:rsidR="00D65A89" w:rsidRDefault="00955F81" w:rsidP="0093545B">
      <w:pPr>
        <w:pStyle w:val="NICEnormal"/>
      </w:pPr>
      <w:r>
        <w:t xml:space="preserve">The consultation responses were reviewed </w:t>
      </w:r>
      <w:r w:rsidR="00681FA3">
        <w:t xml:space="preserve">in full </w:t>
      </w:r>
      <w:r>
        <w:t xml:space="preserve">by members of the NICE technical team. Responses to the quantitative questions </w:t>
      </w:r>
      <w:r w:rsidR="00194D72">
        <w:t xml:space="preserve">were used to identify where there was greatest </w:t>
      </w:r>
      <w:r w:rsidR="00AB418B">
        <w:t xml:space="preserve">agreement or </w:t>
      </w:r>
      <w:r w:rsidR="00194D72">
        <w:t xml:space="preserve">disagreement with the proposals. Greatest disagreement was </w:t>
      </w:r>
      <w:r w:rsidR="0093545B">
        <w:t>apparent</w:t>
      </w:r>
      <w:r w:rsidR="00194D72">
        <w:t xml:space="preserve"> in relation to the following proposals: discounting (see </w:t>
      </w:r>
      <w:hyperlink w:anchor="_3.2.5_Discounting" w:history="1">
        <w:r w:rsidR="00194D72">
          <w:rPr>
            <w:rStyle w:val="Hyperlink"/>
          </w:rPr>
          <w:t>Section 3.2.5</w:t>
        </w:r>
      </w:hyperlink>
      <w:r w:rsidR="00194D72">
        <w:t xml:space="preserve">), </w:t>
      </w:r>
      <w:r w:rsidR="0093545B">
        <w:t xml:space="preserve">severity of disease (see </w:t>
      </w:r>
      <w:hyperlink w:anchor="_3.2.1_Severity_of" w:history="1">
        <w:r w:rsidR="0093545B">
          <w:rPr>
            <w:rStyle w:val="Hyperlink"/>
          </w:rPr>
          <w:t>Section 3.2.1</w:t>
        </w:r>
      </w:hyperlink>
      <w:r w:rsidR="0093545B">
        <w:t xml:space="preserve">) and costs (see </w:t>
      </w:r>
      <w:hyperlink w:anchor="_3.3.2_Costs" w:history="1">
        <w:r w:rsidR="0093545B">
          <w:rPr>
            <w:rStyle w:val="Hyperlink"/>
          </w:rPr>
          <w:t>Section 3.3.2</w:t>
        </w:r>
      </w:hyperlink>
      <w:r w:rsidR="0093545B">
        <w:t>).</w:t>
      </w:r>
      <w:r w:rsidR="00194D72">
        <w:t xml:space="preserve"> These proposals were prioritised during </w:t>
      </w:r>
      <w:r w:rsidR="0093545B">
        <w:t xml:space="preserve">the analysis of the written comments to ensure that all key themes were identified. The quantitative results are presented in </w:t>
      </w:r>
      <w:hyperlink w:anchor="_5.1_Quantitative_results" w:history="1">
        <w:r w:rsidR="0093545B">
          <w:rPr>
            <w:rStyle w:val="Hyperlink"/>
          </w:rPr>
          <w:t>Appendix 5.1</w:t>
        </w:r>
      </w:hyperlink>
      <w:r w:rsidR="0093545B">
        <w:t>.</w:t>
      </w:r>
    </w:p>
    <w:p w14:paraId="5C15BDA4" w14:textId="09F05759" w:rsidR="00F717FA" w:rsidRPr="0093545B" w:rsidRDefault="004E52E7" w:rsidP="0093545B">
      <w:pPr>
        <w:pStyle w:val="NICEnormal"/>
      </w:pPr>
      <w:r>
        <w:lastRenderedPageBreak/>
        <w:t xml:space="preserve">The </w:t>
      </w:r>
      <w:r w:rsidR="00930239">
        <w:t xml:space="preserve">strength of </w:t>
      </w:r>
      <w:r>
        <w:t xml:space="preserve">reasoning </w:t>
      </w:r>
      <w:r w:rsidR="00930239">
        <w:t>behind</w:t>
      </w:r>
      <w:r>
        <w:t xml:space="preserve"> the arguments in the qualitative responses was </w:t>
      </w:r>
      <w:proofErr w:type="gramStart"/>
      <w:r>
        <w:t>taken into account</w:t>
      </w:r>
      <w:proofErr w:type="gramEnd"/>
      <w:r>
        <w:t xml:space="preserve"> during the analysis</w:t>
      </w:r>
      <w:r w:rsidR="00930239">
        <w:t xml:space="preserve">. </w:t>
      </w:r>
      <w:r w:rsidR="00F717FA">
        <w:t xml:space="preserve">A summary of the qualitative and quantitative analysis was presented to </w:t>
      </w:r>
      <w:r w:rsidR="00930239">
        <w:t>the Working Group to obtain feedback and guide the development of the report.</w:t>
      </w:r>
    </w:p>
    <w:p w14:paraId="42598AC4" w14:textId="482F2999" w:rsidR="00D65A89" w:rsidRPr="0027161E" w:rsidRDefault="00D65A89" w:rsidP="0027161E">
      <w:pPr>
        <w:pStyle w:val="Heading1"/>
        <w:spacing w:after="360"/>
        <w:rPr>
          <w:sz w:val="40"/>
          <w:szCs w:val="44"/>
        </w:rPr>
      </w:pPr>
      <w:bookmarkStart w:id="10" w:name="_Toc92957937"/>
      <w:r w:rsidRPr="0027161E">
        <w:rPr>
          <w:sz w:val="40"/>
          <w:szCs w:val="44"/>
        </w:rPr>
        <w:t>3</w:t>
      </w:r>
      <w:r w:rsidRPr="0027161E">
        <w:rPr>
          <w:sz w:val="40"/>
          <w:szCs w:val="44"/>
        </w:rPr>
        <w:tab/>
        <w:t>Results</w:t>
      </w:r>
      <w:bookmarkEnd w:id="10"/>
    </w:p>
    <w:p w14:paraId="49D41E74" w14:textId="63AD0B76" w:rsidR="00980F17" w:rsidRDefault="0027161E" w:rsidP="00980F17">
      <w:pPr>
        <w:pStyle w:val="Heading2"/>
        <w:rPr>
          <w:szCs w:val="32"/>
        </w:rPr>
      </w:pPr>
      <w:bookmarkStart w:id="11" w:name="_Toc92957938"/>
      <w:r w:rsidRPr="00980F17">
        <w:rPr>
          <w:szCs w:val="32"/>
        </w:rPr>
        <w:t>3.1</w:t>
      </w:r>
      <w:r w:rsidRPr="00980F17">
        <w:rPr>
          <w:szCs w:val="32"/>
        </w:rPr>
        <w:tab/>
        <w:t>General overview</w:t>
      </w:r>
      <w:bookmarkEnd w:id="11"/>
    </w:p>
    <w:p w14:paraId="009DAA2D" w14:textId="7161E24B" w:rsidR="00D72A61" w:rsidRDefault="0093545B" w:rsidP="0093545B">
      <w:pPr>
        <w:pStyle w:val="NICEnormal"/>
      </w:pPr>
      <w:r>
        <w:t>Responses from 157 stakeholders were received, including organisations and individuals ranging from the life</w:t>
      </w:r>
      <w:r w:rsidR="00254F71">
        <w:t xml:space="preserve"> sciences industry </w:t>
      </w:r>
      <w:r w:rsidR="000A0955">
        <w:t xml:space="preserve">(about </w:t>
      </w:r>
      <w:r w:rsidR="006F2B30">
        <w:t>44% of the responses, most of which were from pharmaceutical companies), patient organisations (31%), the NHS, academia and professional organisations (11%), and committee members and NICE staff (4%). See Table 1.</w:t>
      </w:r>
    </w:p>
    <w:p w14:paraId="1FA913F4" w14:textId="241D18C8" w:rsidR="00770B59" w:rsidRPr="00770B59" w:rsidRDefault="00770B59" w:rsidP="00770B59">
      <w:pPr>
        <w:pStyle w:val="Caption"/>
        <w:keepNext/>
        <w:rPr>
          <w:rFonts w:ascii="Arial" w:hAnsi="Arial" w:cs="Arial"/>
          <w:b/>
          <w:bCs/>
          <w:i w:val="0"/>
          <w:iCs w:val="0"/>
          <w:color w:val="000000" w:themeColor="text1"/>
          <w:sz w:val="24"/>
          <w:szCs w:val="24"/>
        </w:rPr>
      </w:pPr>
      <w:bookmarkStart w:id="12" w:name="_Toc90559940"/>
      <w:bookmarkStart w:id="13" w:name="_Toc90560574"/>
      <w:r w:rsidRPr="00770B59">
        <w:rPr>
          <w:rFonts w:ascii="Arial" w:hAnsi="Arial" w:cs="Arial"/>
          <w:b/>
          <w:bCs/>
          <w:i w:val="0"/>
          <w:iCs w:val="0"/>
          <w:color w:val="000000" w:themeColor="text1"/>
          <w:sz w:val="24"/>
          <w:szCs w:val="24"/>
        </w:rPr>
        <w:t xml:space="preserve">Table </w:t>
      </w:r>
      <w:r w:rsidRPr="00770B59">
        <w:rPr>
          <w:rFonts w:ascii="Arial" w:hAnsi="Arial" w:cs="Arial"/>
          <w:b/>
          <w:bCs/>
          <w:i w:val="0"/>
          <w:iCs w:val="0"/>
          <w:color w:val="000000" w:themeColor="text1"/>
          <w:sz w:val="24"/>
          <w:szCs w:val="24"/>
        </w:rPr>
        <w:fldChar w:fldCharType="begin"/>
      </w:r>
      <w:r w:rsidRPr="00770B59">
        <w:rPr>
          <w:rFonts w:ascii="Arial" w:hAnsi="Arial" w:cs="Arial"/>
          <w:b/>
          <w:bCs/>
          <w:i w:val="0"/>
          <w:iCs w:val="0"/>
          <w:color w:val="000000" w:themeColor="text1"/>
          <w:sz w:val="24"/>
          <w:szCs w:val="24"/>
        </w:rPr>
        <w:instrText xml:space="preserve"> SEQ Table \* ARABIC </w:instrText>
      </w:r>
      <w:r w:rsidRPr="00770B59">
        <w:rPr>
          <w:rFonts w:ascii="Arial" w:hAnsi="Arial" w:cs="Arial"/>
          <w:b/>
          <w:bCs/>
          <w:i w:val="0"/>
          <w:iCs w:val="0"/>
          <w:color w:val="000000" w:themeColor="text1"/>
          <w:sz w:val="24"/>
          <w:szCs w:val="24"/>
        </w:rPr>
        <w:fldChar w:fldCharType="separate"/>
      </w:r>
      <w:r w:rsidRPr="00770B59">
        <w:rPr>
          <w:rFonts w:ascii="Arial" w:hAnsi="Arial" w:cs="Arial"/>
          <w:b/>
          <w:bCs/>
          <w:i w:val="0"/>
          <w:iCs w:val="0"/>
          <w:noProof/>
          <w:color w:val="000000" w:themeColor="text1"/>
          <w:sz w:val="24"/>
          <w:szCs w:val="24"/>
        </w:rPr>
        <w:t>1</w:t>
      </w:r>
      <w:r w:rsidRPr="00770B59">
        <w:rPr>
          <w:rFonts w:ascii="Arial" w:hAnsi="Arial" w:cs="Arial"/>
          <w:b/>
          <w:bCs/>
          <w:i w:val="0"/>
          <w:iCs w:val="0"/>
          <w:color w:val="000000" w:themeColor="text1"/>
          <w:sz w:val="24"/>
          <w:szCs w:val="24"/>
        </w:rPr>
        <w:fldChar w:fldCharType="end"/>
      </w:r>
      <w:r w:rsidRPr="00770B59">
        <w:rPr>
          <w:rFonts w:ascii="Arial" w:hAnsi="Arial" w:cs="Arial"/>
          <w:b/>
          <w:bCs/>
          <w:i w:val="0"/>
          <w:iCs w:val="0"/>
          <w:noProof/>
          <w:color w:val="000000" w:themeColor="text1"/>
          <w:sz w:val="24"/>
          <w:szCs w:val="24"/>
        </w:rPr>
        <w:t xml:space="preserve">. </w:t>
      </w:r>
      <w:r w:rsidRPr="005030FA">
        <w:rPr>
          <w:rFonts w:ascii="Arial" w:hAnsi="Arial" w:cs="Arial"/>
          <w:i w:val="0"/>
          <w:iCs w:val="0"/>
          <w:noProof/>
          <w:color w:val="000000" w:themeColor="text1"/>
          <w:sz w:val="24"/>
          <w:szCs w:val="24"/>
        </w:rPr>
        <w:t>Consultation responses: breakdown of stakeholders</w:t>
      </w:r>
      <w:bookmarkEnd w:id="12"/>
      <w:bookmarkEnd w:id="13"/>
    </w:p>
    <w:tbl>
      <w:tblPr>
        <w:tblStyle w:val="TableGrid"/>
        <w:tblW w:w="0" w:type="auto"/>
        <w:tblLayout w:type="fixed"/>
        <w:tblLook w:val="04A0" w:firstRow="1" w:lastRow="0" w:firstColumn="1" w:lastColumn="0" w:noHBand="0" w:noVBand="1"/>
      </w:tblPr>
      <w:tblGrid>
        <w:gridCol w:w="2547"/>
        <w:gridCol w:w="6469"/>
      </w:tblGrid>
      <w:tr w:rsidR="00770B59" w14:paraId="03317ED7" w14:textId="77777777" w:rsidTr="00770B59">
        <w:tc>
          <w:tcPr>
            <w:tcW w:w="2547" w:type="dxa"/>
            <w:vAlign w:val="center"/>
          </w:tcPr>
          <w:p w14:paraId="1986A933" w14:textId="0D39D172" w:rsidR="00770B59" w:rsidRPr="00770B59" w:rsidRDefault="00770B59" w:rsidP="00770B59">
            <w:pPr>
              <w:pStyle w:val="NICEnormal"/>
              <w:spacing w:after="0"/>
              <w:rPr>
                <w:b/>
                <w:bCs/>
              </w:rPr>
            </w:pPr>
            <w:r w:rsidRPr="00770B59">
              <w:rPr>
                <w:b/>
                <w:bCs/>
              </w:rPr>
              <w:t>Stakeholder</w:t>
            </w:r>
          </w:p>
        </w:tc>
        <w:tc>
          <w:tcPr>
            <w:tcW w:w="6469" w:type="dxa"/>
            <w:vAlign w:val="center"/>
          </w:tcPr>
          <w:p w14:paraId="5E15BE46" w14:textId="4C31729C" w:rsidR="00770B59" w:rsidRPr="00770B59" w:rsidRDefault="00770B59" w:rsidP="00770B59">
            <w:pPr>
              <w:pStyle w:val="NICEnormal"/>
              <w:spacing w:after="0"/>
              <w:rPr>
                <w:b/>
                <w:bCs/>
              </w:rPr>
            </w:pPr>
            <w:r w:rsidRPr="00770B59">
              <w:rPr>
                <w:b/>
                <w:bCs/>
              </w:rPr>
              <w:t>Percentage</w:t>
            </w:r>
            <w:r w:rsidR="00895068">
              <w:rPr>
                <w:b/>
                <w:bCs/>
              </w:rPr>
              <w:t>*</w:t>
            </w:r>
          </w:p>
        </w:tc>
      </w:tr>
      <w:tr w:rsidR="00770B59" w14:paraId="586D67CA" w14:textId="77777777" w:rsidTr="00895068">
        <w:tc>
          <w:tcPr>
            <w:tcW w:w="2547" w:type="dxa"/>
          </w:tcPr>
          <w:p w14:paraId="1CDBB7CD" w14:textId="6EC87492" w:rsidR="00770B59" w:rsidRDefault="00770B59" w:rsidP="00770B59">
            <w:pPr>
              <w:pStyle w:val="NICEnormal"/>
              <w:spacing w:after="0"/>
            </w:pPr>
            <w:r>
              <w:t>Industry</w:t>
            </w:r>
          </w:p>
        </w:tc>
        <w:tc>
          <w:tcPr>
            <w:tcW w:w="6469" w:type="dxa"/>
          </w:tcPr>
          <w:p w14:paraId="34270812" w14:textId="223E5436" w:rsidR="00770B59" w:rsidRDefault="00770B59" w:rsidP="00895068">
            <w:pPr>
              <w:pStyle w:val="NICEnormal"/>
              <w:spacing w:after="0"/>
            </w:pPr>
            <w:r>
              <w:t>44% (pharmaceutical industry 27%, device industry 6%, diagnostic industry</w:t>
            </w:r>
            <w:r w:rsidR="00895068">
              <w:t xml:space="preserve"> 3%, industry body 6%, life sciences consultancy, 6%)</w:t>
            </w:r>
          </w:p>
        </w:tc>
      </w:tr>
      <w:tr w:rsidR="00770B59" w14:paraId="611AA781" w14:textId="77777777" w:rsidTr="00895068">
        <w:tc>
          <w:tcPr>
            <w:tcW w:w="2547" w:type="dxa"/>
            <w:vAlign w:val="center"/>
          </w:tcPr>
          <w:p w14:paraId="783394A2" w14:textId="46184398" w:rsidR="00770B59" w:rsidRDefault="00895068" w:rsidP="00770B59">
            <w:pPr>
              <w:pStyle w:val="NICEnormal"/>
              <w:spacing w:after="0"/>
            </w:pPr>
            <w:r>
              <w:t>Patient organisations</w:t>
            </w:r>
          </w:p>
        </w:tc>
        <w:tc>
          <w:tcPr>
            <w:tcW w:w="6469" w:type="dxa"/>
          </w:tcPr>
          <w:p w14:paraId="6DDA0C66" w14:textId="1EC72021" w:rsidR="00770B59" w:rsidRDefault="00895068" w:rsidP="00895068">
            <w:pPr>
              <w:pStyle w:val="NICEnormal"/>
              <w:spacing w:after="0"/>
            </w:pPr>
            <w:r>
              <w:t>31%</w:t>
            </w:r>
          </w:p>
        </w:tc>
      </w:tr>
      <w:tr w:rsidR="00770B59" w14:paraId="2B6BD5DD" w14:textId="77777777" w:rsidTr="00895068">
        <w:tc>
          <w:tcPr>
            <w:tcW w:w="2547" w:type="dxa"/>
            <w:vAlign w:val="center"/>
          </w:tcPr>
          <w:p w14:paraId="5698E2D8" w14:textId="44BA29C2" w:rsidR="00770B59" w:rsidRDefault="00895068" w:rsidP="00770B59">
            <w:pPr>
              <w:pStyle w:val="NICEnormal"/>
              <w:spacing w:after="0"/>
            </w:pPr>
            <w:r>
              <w:t>NHS, academic and professional organisations</w:t>
            </w:r>
          </w:p>
        </w:tc>
        <w:tc>
          <w:tcPr>
            <w:tcW w:w="6469" w:type="dxa"/>
          </w:tcPr>
          <w:p w14:paraId="42435049" w14:textId="65C3DDDF" w:rsidR="00770B59" w:rsidRDefault="00895068" w:rsidP="00895068">
            <w:pPr>
              <w:pStyle w:val="NICEnormal"/>
              <w:spacing w:after="0"/>
            </w:pPr>
            <w:r>
              <w:t>11% (NHS organisations 1%, academia 6%, professional organisations 4%)</w:t>
            </w:r>
          </w:p>
        </w:tc>
      </w:tr>
      <w:tr w:rsidR="00770B59" w14:paraId="75D1933A" w14:textId="77777777" w:rsidTr="00895068">
        <w:tc>
          <w:tcPr>
            <w:tcW w:w="2547" w:type="dxa"/>
            <w:vAlign w:val="center"/>
          </w:tcPr>
          <w:p w14:paraId="62F854DA" w14:textId="4F531C0D" w:rsidR="00770B59" w:rsidRDefault="00790684" w:rsidP="00770B59">
            <w:pPr>
              <w:pStyle w:val="NICEnormal"/>
              <w:spacing w:after="0"/>
            </w:pPr>
            <w:r>
              <w:t>Committee members and NICE staff</w:t>
            </w:r>
          </w:p>
        </w:tc>
        <w:tc>
          <w:tcPr>
            <w:tcW w:w="6469" w:type="dxa"/>
          </w:tcPr>
          <w:p w14:paraId="6BDC19AB" w14:textId="2AA8F31F" w:rsidR="00770B59" w:rsidRDefault="00790684" w:rsidP="00895068">
            <w:pPr>
              <w:pStyle w:val="NICEnormal"/>
              <w:spacing w:after="0"/>
            </w:pPr>
            <w:r>
              <w:t>4%</w:t>
            </w:r>
          </w:p>
        </w:tc>
      </w:tr>
      <w:tr w:rsidR="00770B59" w14:paraId="16528E77" w14:textId="77777777" w:rsidTr="00895068">
        <w:tc>
          <w:tcPr>
            <w:tcW w:w="2547" w:type="dxa"/>
            <w:vAlign w:val="center"/>
          </w:tcPr>
          <w:p w14:paraId="7D6BDEDE" w14:textId="37557926" w:rsidR="00770B59" w:rsidRDefault="00895068" w:rsidP="00770B59">
            <w:pPr>
              <w:pStyle w:val="NICEnormal"/>
              <w:spacing w:after="0"/>
            </w:pPr>
            <w:r>
              <w:t>Members of the public or other stakeholders</w:t>
            </w:r>
          </w:p>
        </w:tc>
        <w:tc>
          <w:tcPr>
            <w:tcW w:w="6469" w:type="dxa"/>
          </w:tcPr>
          <w:p w14:paraId="2E51E1DC" w14:textId="6AC75BFD" w:rsidR="00770B59" w:rsidRDefault="00895068" w:rsidP="00895068">
            <w:pPr>
              <w:pStyle w:val="NICEnormal"/>
              <w:spacing w:after="0"/>
            </w:pPr>
            <w:r>
              <w:t>18%</w:t>
            </w:r>
          </w:p>
        </w:tc>
      </w:tr>
    </w:tbl>
    <w:p w14:paraId="53333E92" w14:textId="678E5B48" w:rsidR="006F2B30" w:rsidRDefault="00895068" w:rsidP="0093545B">
      <w:pPr>
        <w:pStyle w:val="NICEnormal"/>
      </w:pPr>
      <w:r>
        <w:t>* Respondents could select more than 1 option</w:t>
      </w:r>
    </w:p>
    <w:p w14:paraId="5B50BED5" w14:textId="7D5CB02C" w:rsidR="00FE7593" w:rsidRDefault="00F3516C" w:rsidP="0093545B">
      <w:pPr>
        <w:pStyle w:val="NICEnormal"/>
      </w:pPr>
      <w:r>
        <w:t>In general, stakeholders broadly agreed with the principles behind most of the proposals</w:t>
      </w:r>
      <w:r w:rsidR="008C2A13">
        <w:t>. They</w:t>
      </w:r>
      <w:r>
        <w:t xml:space="preserve"> particularly welcomed the proposals around accepting greater uncertainty, </w:t>
      </w:r>
      <w:r w:rsidR="008C2A13">
        <w:t>improving the guidance on real-world evidence</w:t>
      </w:r>
      <w:r w:rsidR="00FF3055">
        <w:t xml:space="preserve"> and using a broader </w:t>
      </w:r>
      <w:r w:rsidR="00FF3055">
        <w:lastRenderedPageBreak/>
        <w:t>evidence base</w:t>
      </w:r>
      <w:r w:rsidR="008C2A13">
        <w:t>, and considering health inequalities.</w:t>
      </w:r>
      <w:r w:rsidR="003D6AE4">
        <w:t xml:space="preserve"> However</w:t>
      </w:r>
      <w:r w:rsidR="0057203E">
        <w:t>,</w:t>
      </w:r>
      <w:r w:rsidR="003D6AE4">
        <w:t xml:space="preserve"> many stakeholders</w:t>
      </w:r>
      <w:r w:rsidR="00F00B94">
        <w:t>, particularly those from industry, considered that the proposals lacked ambition.</w:t>
      </w:r>
      <w:r w:rsidR="003D6AE4">
        <w:t xml:space="preserve"> </w:t>
      </w:r>
      <w:r w:rsidR="00D50787">
        <w:t>Stakeholders broadly disagreed</w:t>
      </w:r>
      <w:r w:rsidR="00F00B94">
        <w:t xml:space="preserve"> with </w:t>
      </w:r>
      <w:r w:rsidR="003D6AE4">
        <w:t xml:space="preserve">retaining the current reference discount rate of 3.5%, as </w:t>
      </w:r>
      <w:r w:rsidR="00AB418B">
        <w:t xml:space="preserve">they argued </w:t>
      </w:r>
      <w:r w:rsidR="003D6AE4">
        <w:t>it would not be aligned with the HM Treasury Green Book and is likely to disadvantage advanced therapy medicinal products (ATMPs). Stakeholders also had some methodological concerns with the proposed severity modifier</w:t>
      </w:r>
      <w:r w:rsidR="00F910ED">
        <w:t xml:space="preserve">. </w:t>
      </w:r>
      <w:r w:rsidR="00ED20B3">
        <w:t xml:space="preserve">They disagreed with the opportunity cost neutral approach to </w:t>
      </w:r>
      <w:r w:rsidR="00FF3055">
        <w:t>its design</w:t>
      </w:r>
      <w:r w:rsidR="00ED20B3">
        <w:t xml:space="preserve">. </w:t>
      </w:r>
      <w:r w:rsidR="00F910ED">
        <w:t xml:space="preserve">They </w:t>
      </w:r>
      <w:r w:rsidR="00ED20B3">
        <w:t xml:space="preserve">also </w:t>
      </w:r>
      <w:r w:rsidR="003D6AE4">
        <w:t>consider</w:t>
      </w:r>
      <w:r w:rsidR="00F910ED">
        <w:t>ed</w:t>
      </w:r>
      <w:r w:rsidR="003D6AE4">
        <w:t xml:space="preserve"> that the severity </w:t>
      </w:r>
      <w:r w:rsidR="00AB418B">
        <w:t xml:space="preserve">cut-offs </w:t>
      </w:r>
      <w:r w:rsidR="003D6AE4">
        <w:t xml:space="preserve">were too high and the maximum </w:t>
      </w:r>
      <w:r w:rsidR="002D391D">
        <w:t>quality-adjusted life year (</w:t>
      </w:r>
      <w:r w:rsidR="003D6AE4">
        <w:t>QALY</w:t>
      </w:r>
      <w:r w:rsidR="002D391D">
        <w:t>)</w:t>
      </w:r>
      <w:r w:rsidR="003D6AE4">
        <w:t xml:space="preserve"> weighting of 1.7 was too low.</w:t>
      </w:r>
    </w:p>
    <w:p w14:paraId="06A1A0E0" w14:textId="2511A1B3" w:rsidR="003D6AE4" w:rsidRDefault="008C2A13" w:rsidP="0093545B">
      <w:pPr>
        <w:pStyle w:val="NICEnormal"/>
      </w:pPr>
      <w:r>
        <w:t xml:space="preserve">Many stakeholders felt that greater clarity or guidance is needed </w:t>
      </w:r>
      <w:r w:rsidR="00ED20B3">
        <w:t>for some proposals</w:t>
      </w:r>
      <w:r>
        <w:t>. These include</w:t>
      </w:r>
      <w:r w:rsidR="003D6AE4">
        <w:t>:</w:t>
      </w:r>
      <w:r>
        <w:t xml:space="preserve"> </w:t>
      </w:r>
    </w:p>
    <w:p w14:paraId="1BA23035" w14:textId="41C8AF72" w:rsidR="003D6AE4" w:rsidRDefault="008C2A13" w:rsidP="003D6AE4">
      <w:pPr>
        <w:pStyle w:val="NICEnormal"/>
        <w:numPr>
          <w:ilvl w:val="0"/>
          <w:numId w:val="32"/>
        </w:numPr>
      </w:pPr>
      <w:r>
        <w:t>how QALY shortfall will be calculated</w:t>
      </w:r>
      <w:r w:rsidR="00ED20B3">
        <w:t xml:space="preserve"> for the severity modifier</w:t>
      </w:r>
    </w:p>
    <w:p w14:paraId="08970C01" w14:textId="77777777" w:rsidR="007E0632" w:rsidRDefault="003D6AE4" w:rsidP="003D6AE4">
      <w:pPr>
        <w:pStyle w:val="NICEnormal"/>
        <w:numPr>
          <w:ilvl w:val="0"/>
          <w:numId w:val="32"/>
        </w:numPr>
      </w:pPr>
      <w:r>
        <w:t>when and how greater uncertainty will be considered in decision making</w:t>
      </w:r>
    </w:p>
    <w:p w14:paraId="575D6446" w14:textId="11E7A565" w:rsidR="008C2A13" w:rsidRDefault="003D6AE4" w:rsidP="0093545B">
      <w:pPr>
        <w:pStyle w:val="NICEnormal"/>
        <w:numPr>
          <w:ilvl w:val="0"/>
          <w:numId w:val="32"/>
        </w:numPr>
      </w:pPr>
      <w:r>
        <w:t>the types of evidence included under real-world evidence</w:t>
      </w:r>
      <w:r w:rsidR="006019D8">
        <w:t xml:space="preserve"> (RWE)</w:t>
      </w:r>
      <w:r>
        <w:t xml:space="preserve"> and the specific situations when this would be accepted</w:t>
      </w:r>
    </w:p>
    <w:p w14:paraId="24E6B56A" w14:textId="0E1B7E23" w:rsidR="007E0632" w:rsidRDefault="007E0632" w:rsidP="0093545B">
      <w:pPr>
        <w:pStyle w:val="NICEnormal"/>
        <w:numPr>
          <w:ilvl w:val="0"/>
          <w:numId w:val="32"/>
        </w:numPr>
      </w:pPr>
      <w:proofErr w:type="gramStart"/>
      <w:r>
        <w:t>how</w:t>
      </w:r>
      <w:proofErr w:type="gramEnd"/>
      <w:r>
        <w:t xml:space="preserve"> surrogate outcomes and other types of evidence (for example, qualitative evidence) will be considered in decision making</w:t>
      </w:r>
    </w:p>
    <w:p w14:paraId="4FC2AB74" w14:textId="05B3C0E1" w:rsidR="007E0632" w:rsidRDefault="007E0632" w:rsidP="0093545B">
      <w:pPr>
        <w:pStyle w:val="NICEnormal"/>
        <w:numPr>
          <w:ilvl w:val="0"/>
          <w:numId w:val="32"/>
        </w:numPr>
      </w:pPr>
      <w:r>
        <w:t>timelines for next steps regarding discounting and the research into societal preferences regarding disease severity</w:t>
      </w:r>
    </w:p>
    <w:p w14:paraId="4809FF23" w14:textId="26C6F5EF" w:rsidR="007E0632" w:rsidRDefault="007E0632" w:rsidP="0093545B">
      <w:pPr>
        <w:pStyle w:val="NICEnormal"/>
        <w:numPr>
          <w:ilvl w:val="0"/>
          <w:numId w:val="32"/>
        </w:numPr>
      </w:pPr>
      <w:r>
        <w:t xml:space="preserve">the health inequalities </w:t>
      </w:r>
      <w:r w:rsidR="006019D8">
        <w:t>modifier</w:t>
      </w:r>
      <w:r>
        <w:t>.</w:t>
      </w:r>
    </w:p>
    <w:p w14:paraId="0E0C8AB9" w14:textId="3071C710" w:rsidR="00A4430A" w:rsidRDefault="001039B7" w:rsidP="007E0632">
      <w:pPr>
        <w:pStyle w:val="NICEnormal"/>
      </w:pPr>
      <w:r>
        <w:t xml:space="preserve">Stakeholders considered that there remains a need for a modifier for rare disease. </w:t>
      </w:r>
      <w:r w:rsidR="00A4430A">
        <w:t xml:space="preserve">They felt that the perceived ‘gap’ between </w:t>
      </w:r>
      <w:r w:rsidR="002D391D">
        <w:t>the technology appraisals (</w:t>
      </w:r>
      <w:r w:rsidR="00A4430A">
        <w:t>TA</w:t>
      </w:r>
      <w:r w:rsidR="002D391D">
        <w:t>)</w:t>
      </w:r>
      <w:r w:rsidR="00A4430A">
        <w:t xml:space="preserve"> and </w:t>
      </w:r>
      <w:r w:rsidR="002D391D">
        <w:t>highly specialised technolog</w:t>
      </w:r>
      <w:r w:rsidR="00AC58F2">
        <w:t>ies</w:t>
      </w:r>
      <w:r w:rsidR="002D391D">
        <w:t xml:space="preserve"> (</w:t>
      </w:r>
      <w:r w:rsidR="00A4430A">
        <w:t>HST</w:t>
      </w:r>
      <w:r w:rsidR="002D391D">
        <w:t>) processes</w:t>
      </w:r>
      <w:r w:rsidR="00A4430A">
        <w:t xml:space="preserve"> remain</w:t>
      </w:r>
      <w:r w:rsidR="004B502E">
        <w:t>s</w:t>
      </w:r>
      <w:r w:rsidR="00A4430A">
        <w:t>, and that the proposals do not go far enough to address the data collection challenges in rare disease.</w:t>
      </w:r>
    </w:p>
    <w:p w14:paraId="3A1B61AC" w14:textId="6E536031" w:rsidR="007E0632" w:rsidRDefault="00ED20B3" w:rsidP="007E0632">
      <w:pPr>
        <w:pStyle w:val="NICEnormal"/>
      </w:pPr>
      <w:r>
        <w:t>Stakeholders noted the importance of</w:t>
      </w:r>
      <w:r w:rsidR="00A4430A">
        <w:t xml:space="preserve"> </w:t>
      </w:r>
      <w:r w:rsidR="00B726CF">
        <w:t xml:space="preserve">committee training </w:t>
      </w:r>
      <w:r w:rsidR="00B726CF" w:rsidRPr="00B726CF">
        <w:t xml:space="preserve">to ensure consistency of decision making in applying </w:t>
      </w:r>
      <w:r w:rsidR="00B726CF">
        <w:t>the updated</w:t>
      </w:r>
      <w:r w:rsidR="00B726CF" w:rsidRPr="00B726CF">
        <w:t xml:space="preserve"> </w:t>
      </w:r>
      <w:r w:rsidR="00B726CF">
        <w:t>methods.</w:t>
      </w:r>
      <w:r w:rsidR="00B726CF" w:rsidRPr="00B726CF">
        <w:t xml:space="preserve"> </w:t>
      </w:r>
      <w:r w:rsidR="00353231">
        <w:t>They stated that a</w:t>
      </w:r>
      <w:r w:rsidR="00353231" w:rsidRPr="00B726CF">
        <w:t xml:space="preserve">dherence </w:t>
      </w:r>
      <w:r w:rsidR="00B726CF" w:rsidRPr="00B726CF">
        <w:t xml:space="preserve">to </w:t>
      </w:r>
      <w:r w:rsidR="00B726CF">
        <w:t xml:space="preserve">the </w:t>
      </w:r>
      <w:r w:rsidR="00B726CF" w:rsidRPr="00B726CF">
        <w:t>new methods should be monitored</w:t>
      </w:r>
      <w:r w:rsidR="00B726CF">
        <w:t xml:space="preserve"> over time</w:t>
      </w:r>
      <w:r w:rsidR="00B726CF" w:rsidRPr="00B726CF">
        <w:t xml:space="preserve">. </w:t>
      </w:r>
      <w:r w:rsidR="00B726CF">
        <w:t>Stakeholders considered that</w:t>
      </w:r>
      <w:r w:rsidR="00B726CF" w:rsidRPr="00B726CF">
        <w:t xml:space="preserve"> </w:t>
      </w:r>
      <w:r w:rsidR="00B726CF" w:rsidRPr="00B726CF">
        <w:lastRenderedPageBreak/>
        <w:t>committee</w:t>
      </w:r>
      <w:r w:rsidR="00B726CF">
        <w:t>s</w:t>
      </w:r>
      <w:r w:rsidR="00B726CF" w:rsidRPr="00B726CF">
        <w:t xml:space="preserve"> </w:t>
      </w:r>
      <w:r w:rsidR="00B726CF">
        <w:t>are</w:t>
      </w:r>
      <w:r w:rsidR="00B726CF" w:rsidRPr="00B726CF">
        <w:t xml:space="preserve"> risk-averse and that a culture change may be needed in accepting</w:t>
      </w:r>
      <w:r w:rsidR="00B726CF">
        <w:t xml:space="preserve"> </w:t>
      </w:r>
      <w:r w:rsidR="00B726CF" w:rsidRPr="00B726CF">
        <w:t>RWE</w:t>
      </w:r>
      <w:r w:rsidR="00B726CF">
        <w:t xml:space="preserve"> and</w:t>
      </w:r>
      <w:r w:rsidR="00B726CF" w:rsidRPr="00B726CF">
        <w:t xml:space="preserve"> surrogate outcomes</w:t>
      </w:r>
      <w:r w:rsidR="00B726CF">
        <w:t>,</w:t>
      </w:r>
      <w:r w:rsidR="00B726CF" w:rsidRPr="00B726CF">
        <w:t xml:space="preserve"> </w:t>
      </w:r>
      <w:r w:rsidR="00B726CF">
        <w:t>as well as</w:t>
      </w:r>
      <w:r w:rsidR="00B726CF" w:rsidRPr="00B726CF">
        <w:t xml:space="preserve"> greater uncertainty</w:t>
      </w:r>
      <w:r w:rsidR="00B726CF">
        <w:t>.</w:t>
      </w:r>
    </w:p>
    <w:p w14:paraId="13FCA27A" w14:textId="123122AD" w:rsidR="00B726CF" w:rsidRPr="0093545B" w:rsidRDefault="00F910ED" w:rsidP="007E0632">
      <w:pPr>
        <w:pStyle w:val="NICEnormal"/>
      </w:pPr>
      <w:r>
        <w:t xml:space="preserve">Further </w:t>
      </w:r>
      <w:r w:rsidR="00B54432">
        <w:t xml:space="preserve">engagement </w:t>
      </w:r>
      <w:r>
        <w:t>with stakeholders was stated to be</w:t>
      </w:r>
      <w:r w:rsidR="00B726CF" w:rsidRPr="00B726CF">
        <w:t xml:space="preserve"> important</w:t>
      </w:r>
      <w:r>
        <w:t>.</w:t>
      </w:r>
      <w:r w:rsidR="00B726CF" w:rsidRPr="00B726CF">
        <w:t xml:space="preserve"> </w:t>
      </w:r>
      <w:r>
        <w:t>For example</w:t>
      </w:r>
      <w:r w:rsidR="00B726CF" w:rsidRPr="00B726CF">
        <w:t xml:space="preserve">, in the development of the visualisation framework and in relation to the health inequalities </w:t>
      </w:r>
      <w:r w:rsidR="006019D8">
        <w:t>modifier</w:t>
      </w:r>
      <w:r w:rsidR="00B726CF" w:rsidRPr="00B726CF">
        <w:t>.</w:t>
      </w:r>
    </w:p>
    <w:p w14:paraId="79771184" w14:textId="0E337511" w:rsidR="00D72A61" w:rsidRPr="00D72A61" w:rsidRDefault="00980F17" w:rsidP="00DA7D2E">
      <w:pPr>
        <w:pStyle w:val="Heading2"/>
      </w:pPr>
      <w:bookmarkStart w:id="14" w:name="_Toc92957939"/>
      <w:r>
        <w:t>3.2</w:t>
      </w:r>
      <w:r>
        <w:tab/>
      </w:r>
      <w:r w:rsidR="00D72A61">
        <w:t>Valuing the benefits of health technologies</w:t>
      </w:r>
      <w:bookmarkEnd w:id="14"/>
    </w:p>
    <w:p w14:paraId="02D9E5CC" w14:textId="42864825" w:rsidR="00D72A61" w:rsidRDefault="00D72A61" w:rsidP="00D72A61">
      <w:pPr>
        <w:pStyle w:val="Heading3"/>
        <w:rPr>
          <w:lang w:eastAsia="en-US"/>
        </w:rPr>
      </w:pPr>
      <w:bookmarkStart w:id="15" w:name="_3.2.1_Severity_of"/>
      <w:bookmarkStart w:id="16" w:name="_Toc92957940"/>
      <w:bookmarkEnd w:id="15"/>
      <w:r>
        <w:rPr>
          <w:lang w:eastAsia="en-US"/>
        </w:rPr>
        <w:t>3.2.1</w:t>
      </w:r>
      <w:r>
        <w:rPr>
          <w:lang w:eastAsia="en-US"/>
        </w:rPr>
        <w:tab/>
        <w:t>Severity of disease</w:t>
      </w:r>
      <w:bookmarkEnd w:id="16"/>
    </w:p>
    <w:p w14:paraId="6C4D0499" w14:textId="03C4C3A0" w:rsidR="007E1A7E" w:rsidRDefault="00E15EFB" w:rsidP="00CF3BAF">
      <w:pPr>
        <w:pStyle w:val="NICEnormal"/>
      </w:pPr>
      <w:r w:rsidRPr="00190539">
        <w:t xml:space="preserve">Stakeholders broadly supported the </w:t>
      </w:r>
      <w:r w:rsidR="00CB20B6">
        <w:t>concept</w:t>
      </w:r>
      <w:r w:rsidRPr="00190539">
        <w:t xml:space="preserve"> of </w:t>
      </w:r>
      <w:r w:rsidR="00B405C0">
        <w:t xml:space="preserve">a </w:t>
      </w:r>
      <w:r w:rsidRPr="00190539">
        <w:t>severity modifier</w:t>
      </w:r>
      <w:r w:rsidR="00CF3BAF">
        <w:t xml:space="preserve">. This was because they considered it to be fairer </w:t>
      </w:r>
      <w:r w:rsidR="00414088">
        <w:t>than the current end of life criteria as it would apply to more disease areas</w:t>
      </w:r>
      <w:r w:rsidR="00CF3BAF">
        <w:t xml:space="preserve">. </w:t>
      </w:r>
      <w:r w:rsidR="00934A83">
        <w:t>They also broadly agreed</w:t>
      </w:r>
      <w:r w:rsidR="00CF3BAF">
        <w:t xml:space="preserve"> with defining disease severity using both absolute shortfall and proportional shortfall.</w:t>
      </w:r>
      <w:r w:rsidR="007E1A7E">
        <w:t xml:space="preserve"> </w:t>
      </w:r>
      <w:r w:rsidR="00934A83">
        <w:t>Stakeholders</w:t>
      </w:r>
      <w:r w:rsidR="007E1A7E" w:rsidRPr="007E1A7E">
        <w:t xml:space="preserve"> mentioned that committee training would be important </w:t>
      </w:r>
      <w:r w:rsidR="007E1A7E">
        <w:t>for the modifier</w:t>
      </w:r>
      <w:r w:rsidR="007E1A7E" w:rsidRPr="007E1A7E">
        <w:t xml:space="preserve"> to be implemented </w:t>
      </w:r>
      <w:r w:rsidR="00BF0D10">
        <w:t>accurately and consistently.</w:t>
      </w:r>
    </w:p>
    <w:p w14:paraId="79F59C2E" w14:textId="4DE8923D" w:rsidR="00EC155D" w:rsidRDefault="00E252C0" w:rsidP="00E15EFB">
      <w:pPr>
        <w:pStyle w:val="NICEnormal"/>
      </w:pPr>
      <w:r>
        <w:t>However, stakeholders stated</w:t>
      </w:r>
      <w:r w:rsidR="00E15EFB" w:rsidRPr="00190539">
        <w:t xml:space="preserve"> that </w:t>
      </w:r>
      <w:r w:rsidR="00E15EFB">
        <w:t xml:space="preserve">the proposed </w:t>
      </w:r>
      <w:r>
        <w:t xml:space="preserve">severity </w:t>
      </w:r>
      <w:r w:rsidR="00ED20B3">
        <w:t xml:space="preserve">cut-offs </w:t>
      </w:r>
      <w:r w:rsidR="002B063C">
        <w:t>were</w:t>
      </w:r>
      <w:r w:rsidR="00EC155D">
        <w:t xml:space="preserve"> too high. Stakeholders considered that they provide </w:t>
      </w:r>
      <w:r w:rsidR="00EC155D" w:rsidRPr="00190539">
        <w:t>an extreme definition of severe disease</w:t>
      </w:r>
      <w:r w:rsidR="00EC155D">
        <w:t xml:space="preserve">, meaning that few technologies will qualify for the most severe category and the highest QALY weighting. </w:t>
      </w:r>
      <w:r w:rsidR="00B54432">
        <w:t>They stated that m</w:t>
      </w:r>
      <w:r>
        <w:t>ost technologies w</w:t>
      </w:r>
      <w:r w:rsidR="000014E5">
        <w:t>ill likely</w:t>
      </w:r>
      <w:r>
        <w:t xml:space="preserve"> only achieve the lower QALY weighting, which </w:t>
      </w:r>
      <w:r w:rsidR="00847137">
        <w:t>would not</w:t>
      </w:r>
      <w:r>
        <w:t xml:space="preserve"> be high enough to have a significant impact on decision making. </w:t>
      </w:r>
      <w:r w:rsidR="001F0E8C">
        <w:t>Some stakeholders</w:t>
      </w:r>
      <w:r>
        <w:t xml:space="preserve"> noted that</w:t>
      </w:r>
      <w:r w:rsidR="00BC38B5">
        <w:t xml:space="preserve"> </w:t>
      </w:r>
      <w:r>
        <w:t>in the Netherlands a proportional shortfall of 0.7 is used to define the most severe disease</w:t>
      </w:r>
      <w:r w:rsidR="00F640EA">
        <w:t>. This is</w:t>
      </w:r>
      <w:r w:rsidR="000014E5">
        <w:t xml:space="preserve"> </w:t>
      </w:r>
      <w:r>
        <w:t xml:space="preserve">compared with 0.95 for the highest severity tier in the </w:t>
      </w:r>
      <w:r w:rsidR="000014E5">
        <w:t xml:space="preserve">NICE </w:t>
      </w:r>
      <w:r>
        <w:t>proposal</w:t>
      </w:r>
      <w:r w:rsidR="000014E5">
        <w:t xml:space="preserve"> paper. </w:t>
      </w:r>
      <w:r w:rsidR="001F0E8C">
        <w:t xml:space="preserve">They </w:t>
      </w:r>
      <w:r w:rsidR="000014E5">
        <w:t xml:space="preserve">suggested that </w:t>
      </w:r>
      <w:r w:rsidR="00F640EA">
        <w:t>NICE could take a</w:t>
      </w:r>
      <w:r w:rsidR="000014E5">
        <w:t xml:space="preserve"> proportional shortfall of 0.7 as an interim position </w:t>
      </w:r>
      <w:r w:rsidR="00F640EA">
        <w:t xml:space="preserve">to define severe disease </w:t>
      </w:r>
      <w:r w:rsidR="000014E5">
        <w:t>while further research into societal preferences is undertaken.</w:t>
      </w:r>
    </w:p>
    <w:p w14:paraId="7C7ADBE3" w14:textId="14F3E923" w:rsidR="000002AC" w:rsidRDefault="00476DBC" w:rsidP="00E15EFB">
      <w:pPr>
        <w:pStyle w:val="NICEnormal"/>
      </w:pPr>
      <w:r>
        <w:t>Two QALY weight approaches were propo</w:t>
      </w:r>
      <w:r w:rsidR="00232880">
        <w:t>sed in NICE’s consultation paper. O</w:t>
      </w:r>
      <w:r w:rsidRPr="00476DBC">
        <w:t>ption 1</w:t>
      </w:r>
      <w:r w:rsidR="00232880">
        <w:t xml:space="preserve"> had</w:t>
      </w:r>
      <w:r w:rsidRPr="00476DBC">
        <w:t xml:space="preserve"> a medium severity weight of 1.2 and </w:t>
      </w:r>
      <w:proofErr w:type="gramStart"/>
      <w:r w:rsidRPr="00476DBC">
        <w:t>a</w:t>
      </w:r>
      <w:proofErr w:type="gramEnd"/>
      <w:r w:rsidRPr="00476DBC">
        <w:t xml:space="preserve"> highest severity weight of 1.7. </w:t>
      </w:r>
      <w:r w:rsidR="00232880">
        <w:t>O</w:t>
      </w:r>
      <w:r w:rsidRPr="00476DBC">
        <w:t>ption 2</w:t>
      </w:r>
      <w:r w:rsidR="00232880">
        <w:t xml:space="preserve"> had</w:t>
      </w:r>
      <w:r w:rsidRPr="00476DBC">
        <w:t xml:space="preserve"> a medium severity weight of 1.25 and </w:t>
      </w:r>
      <w:proofErr w:type="gramStart"/>
      <w:r w:rsidRPr="00476DBC">
        <w:t>a</w:t>
      </w:r>
      <w:proofErr w:type="gramEnd"/>
      <w:r w:rsidRPr="00476DBC">
        <w:t xml:space="preserve"> highest severity weight of 1.5.</w:t>
      </w:r>
      <w:r>
        <w:t xml:space="preserve"> </w:t>
      </w:r>
      <w:r w:rsidR="00232880">
        <w:t>Stakeholders felt that t</w:t>
      </w:r>
      <w:r w:rsidR="000014E5">
        <w:t xml:space="preserve">he QALY weights </w:t>
      </w:r>
      <w:r w:rsidR="00ED20B3">
        <w:t xml:space="preserve">for both </w:t>
      </w:r>
      <w:r w:rsidR="00934A83">
        <w:t xml:space="preserve">proposed options </w:t>
      </w:r>
      <w:r w:rsidR="00232880">
        <w:t xml:space="preserve">were </w:t>
      </w:r>
      <w:r w:rsidR="000014E5">
        <w:t>too low</w:t>
      </w:r>
      <w:r>
        <w:t xml:space="preserve">, </w:t>
      </w:r>
      <w:r w:rsidR="00BC38B5">
        <w:t xml:space="preserve">particularly the maximum proposed weight </w:t>
      </w:r>
      <w:r w:rsidR="00232880">
        <w:t xml:space="preserve">for either option </w:t>
      </w:r>
      <w:r w:rsidR="00BC38B5">
        <w:t>of 1.7</w:t>
      </w:r>
      <w:r w:rsidR="00E06E81">
        <w:t xml:space="preserve">. </w:t>
      </w:r>
      <w:r w:rsidR="002A0907">
        <w:t>S</w:t>
      </w:r>
      <w:r w:rsidR="00232880">
        <w:t xml:space="preserve">takeholders from </w:t>
      </w:r>
      <w:r w:rsidR="00232880">
        <w:lastRenderedPageBreak/>
        <w:t xml:space="preserve">industry and patient organisations </w:t>
      </w:r>
      <w:r w:rsidR="002A0907">
        <w:t xml:space="preserve">tended to </w:t>
      </w:r>
      <w:r w:rsidR="00232880">
        <w:t xml:space="preserve">prefer Option 1 </w:t>
      </w:r>
      <w:r w:rsidR="002A0907">
        <w:t xml:space="preserve">over Option 2 as it had a higher maximum weight, but generally considered both options inadequate. </w:t>
      </w:r>
      <w:r>
        <w:t>Stakeholders</w:t>
      </w:r>
      <w:r w:rsidR="00934A83">
        <w:t xml:space="preserve"> </w:t>
      </w:r>
      <w:r w:rsidR="002A0907">
        <w:t>felt</w:t>
      </w:r>
      <w:r w:rsidR="00E06E81">
        <w:t xml:space="preserve"> that </w:t>
      </w:r>
      <w:r w:rsidR="00934A83">
        <w:t xml:space="preserve">the QALY weights </w:t>
      </w:r>
      <w:r w:rsidR="00E06E81" w:rsidRPr="00E06E81">
        <w:t xml:space="preserve">would </w:t>
      </w:r>
      <w:r w:rsidR="00B70A8E">
        <w:t>be insufficient</w:t>
      </w:r>
      <w:r w:rsidR="00E06E81" w:rsidRPr="00E06E81">
        <w:t xml:space="preserve"> to bridge the </w:t>
      </w:r>
      <w:r w:rsidR="00E06E81">
        <w:t xml:space="preserve">perceived </w:t>
      </w:r>
      <w:r w:rsidR="00B70A8E">
        <w:t>‘</w:t>
      </w:r>
      <w:r w:rsidR="00E06E81" w:rsidRPr="00E06E81">
        <w:t>gap</w:t>
      </w:r>
      <w:r w:rsidR="00B70A8E">
        <w:t>’</w:t>
      </w:r>
      <w:r w:rsidR="00E06E81">
        <w:t xml:space="preserve"> between TA and HST</w:t>
      </w:r>
      <w:r w:rsidR="00B70A8E">
        <w:t xml:space="preserve">, </w:t>
      </w:r>
      <w:r w:rsidR="00E06E81" w:rsidRPr="00E06E81">
        <w:t>there</w:t>
      </w:r>
      <w:r w:rsidR="00BC38B5">
        <w:t>by</w:t>
      </w:r>
      <w:r w:rsidR="00E06E81" w:rsidRPr="00E06E81">
        <w:t xml:space="preserve"> </w:t>
      </w:r>
      <w:r w:rsidR="00BC38B5">
        <w:t>discouraging</w:t>
      </w:r>
      <w:r w:rsidR="00E06E81" w:rsidRPr="00E06E81">
        <w:t xml:space="preserve"> innovation.</w:t>
      </w:r>
      <w:r w:rsidR="000014E5">
        <w:t xml:space="preserve"> </w:t>
      </w:r>
      <w:r w:rsidR="00B70A8E">
        <w:t>It was noted that in NICE’s 2014 consultation on the Value Based Assessment of Health Technologies, most respondents said that a maximum QALY weight of 2.5 (applied to a threshold of £20,000 per QALY) was not reasonable.</w:t>
      </w:r>
    </w:p>
    <w:p w14:paraId="514470DF" w14:textId="3A94FC4F" w:rsidR="000014E5" w:rsidRDefault="00BC38B5" w:rsidP="00E15EFB">
      <w:pPr>
        <w:pStyle w:val="NICEnormal"/>
      </w:pPr>
      <w:r>
        <w:t xml:space="preserve">Stakeholders suggested that NICE should consider implementing a scaled approach to the modifier, or an additional tier. </w:t>
      </w:r>
      <w:r w:rsidR="00934A83">
        <w:t>They had</w:t>
      </w:r>
      <w:r>
        <w:t xml:space="preserve"> some concern that technologies that would be recommended based on the </w:t>
      </w:r>
      <w:proofErr w:type="gramStart"/>
      <w:r>
        <w:t>end of life</w:t>
      </w:r>
      <w:proofErr w:type="gramEnd"/>
      <w:r>
        <w:t xml:space="preserve"> modifier would not be recommended based on the proposed severity modifier, negatively impacting patient access.</w:t>
      </w:r>
    </w:p>
    <w:p w14:paraId="0892DC60" w14:textId="22AEC43B" w:rsidR="007E1A7E" w:rsidRDefault="007E1A7E" w:rsidP="00581F76">
      <w:pPr>
        <w:pStyle w:val="NICEnormal"/>
      </w:pPr>
      <w:r>
        <w:t>Stakeholders also raised concerns about the potential double counting of QALYs,</w:t>
      </w:r>
      <w:r w:rsidRPr="00D53630">
        <w:t xml:space="preserve"> </w:t>
      </w:r>
      <w:r>
        <w:t>and</w:t>
      </w:r>
      <w:r w:rsidRPr="00D53630">
        <w:t xml:space="preserve"> </w:t>
      </w:r>
      <w:r>
        <w:t xml:space="preserve">the </w:t>
      </w:r>
      <w:r w:rsidRPr="00D53630">
        <w:t xml:space="preserve">impact of </w:t>
      </w:r>
      <w:r>
        <w:t xml:space="preserve">the </w:t>
      </w:r>
      <w:r w:rsidRPr="00D53630">
        <w:t xml:space="preserve">severity modifier on equalities, </w:t>
      </w:r>
      <w:r>
        <w:t>particularly age</w:t>
      </w:r>
      <w:r w:rsidRPr="00D53630">
        <w:t xml:space="preserve">. It was noted that the proposed severity modifier may </w:t>
      </w:r>
      <w:r>
        <w:t>discriminate against the elderly, because few diseases affecting people aged 75 or older would qualify for it.</w:t>
      </w:r>
    </w:p>
    <w:p w14:paraId="394AE642" w14:textId="17AAA544" w:rsidR="00581F76" w:rsidRDefault="00581F76" w:rsidP="00581F76">
      <w:pPr>
        <w:pStyle w:val="NICEnormal"/>
      </w:pPr>
      <w:r>
        <w:t>Stakeholders requested greater clarity be provided on certain aspects of the proposal, including:</w:t>
      </w:r>
    </w:p>
    <w:p w14:paraId="0B9A6672" w14:textId="255A2AEE" w:rsidR="00581F76" w:rsidRDefault="00581F76" w:rsidP="00581F76">
      <w:pPr>
        <w:pStyle w:val="NICEnormal"/>
        <w:numPr>
          <w:ilvl w:val="0"/>
          <w:numId w:val="44"/>
        </w:numPr>
      </w:pPr>
      <w:r>
        <w:t>H</w:t>
      </w:r>
      <w:r w:rsidRPr="00581F76">
        <w:t xml:space="preserve">ow </w:t>
      </w:r>
      <w:r>
        <w:t>absolute and proportional shortfall</w:t>
      </w:r>
      <w:r w:rsidRPr="00581F76">
        <w:t xml:space="preserve"> are to be calculated</w:t>
      </w:r>
      <w:r>
        <w:t>.</w:t>
      </w:r>
      <w:r w:rsidRPr="00581F76">
        <w:t xml:space="preserve"> </w:t>
      </w:r>
      <w:r>
        <w:t>T</w:t>
      </w:r>
      <w:r w:rsidRPr="00581F76">
        <w:t xml:space="preserve">he provision of </w:t>
      </w:r>
      <w:r w:rsidR="00CB20B6">
        <w:t xml:space="preserve">a </w:t>
      </w:r>
      <w:r w:rsidRPr="00581F76">
        <w:t xml:space="preserve">tool to calculate these was </w:t>
      </w:r>
      <w:r>
        <w:t>suggested.</w:t>
      </w:r>
    </w:p>
    <w:p w14:paraId="05A1246F" w14:textId="29A478BA" w:rsidR="00581F76" w:rsidRDefault="00581F76" w:rsidP="00581F76">
      <w:pPr>
        <w:pStyle w:val="NICEnormal"/>
        <w:numPr>
          <w:ilvl w:val="0"/>
          <w:numId w:val="44"/>
        </w:numPr>
      </w:pPr>
      <w:r>
        <w:t>Whether QALY shortfall would need to be calculated for subgroups.</w:t>
      </w:r>
    </w:p>
    <w:p w14:paraId="25B8529C" w14:textId="0F9F34EA" w:rsidR="00581F76" w:rsidRDefault="00CB20B6" w:rsidP="00581F76">
      <w:pPr>
        <w:pStyle w:val="NICEnormal"/>
        <w:numPr>
          <w:ilvl w:val="0"/>
          <w:numId w:val="44"/>
        </w:numPr>
      </w:pPr>
      <w:r>
        <w:t>What should be done if QALY shortfall cannot be calculated, particularly for rare diseases. Stakeholders noted that the evidence requirements to demonstrate disease severity are likely to be harder to meet for rare disease.</w:t>
      </w:r>
    </w:p>
    <w:p w14:paraId="5EA7199B" w14:textId="79121DC8" w:rsidR="00CB20B6" w:rsidRDefault="00CB20B6" w:rsidP="00D53630">
      <w:pPr>
        <w:pStyle w:val="NICEnormal"/>
        <w:numPr>
          <w:ilvl w:val="0"/>
          <w:numId w:val="44"/>
        </w:numPr>
      </w:pPr>
      <w:r>
        <w:t xml:space="preserve">What approach should be taken in situations where there are multiple standards of care. </w:t>
      </w:r>
      <w:r w:rsidR="008C1B93">
        <w:t>Stakeholders</w:t>
      </w:r>
      <w:r>
        <w:t xml:space="preserve"> suggested that potentially a weighted comparator could be used.</w:t>
      </w:r>
    </w:p>
    <w:p w14:paraId="5D73F438" w14:textId="00A293AE" w:rsidR="00581F76" w:rsidRDefault="00D53630" w:rsidP="00E15EFB">
      <w:pPr>
        <w:pStyle w:val="NICEnormal"/>
      </w:pPr>
      <w:r w:rsidRPr="00D53630">
        <w:lastRenderedPageBreak/>
        <w:t xml:space="preserve">Stakeholders from industry </w:t>
      </w:r>
      <w:proofErr w:type="gramStart"/>
      <w:r w:rsidRPr="00D53630">
        <w:t>in particular were</w:t>
      </w:r>
      <w:proofErr w:type="gramEnd"/>
      <w:r w:rsidRPr="00D53630">
        <w:t xml:space="preserve"> opposed to the proposed severity modifier not being applied similarly for the </w:t>
      </w:r>
      <w:r w:rsidR="002D391D" w:rsidRPr="002D391D">
        <w:t>Medical Technologies Evaluation Programme</w:t>
      </w:r>
      <w:r w:rsidR="002D391D">
        <w:t xml:space="preserve"> (</w:t>
      </w:r>
      <w:r w:rsidRPr="00D53630">
        <w:t>MTEP</w:t>
      </w:r>
      <w:r w:rsidR="002D391D">
        <w:t>)</w:t>
      </w:r>
      <w:r w:rsidRPr="00D53630">
        <w:t xml:space="preserve"> or </w:t>
      </w:r>
      <w:r w:rsidR="002D391D" w:rsidRPr="002D391D">
        <w:t>Diagnostics Assessment Programme</w:t>
      </w:r>
      <w:r w:rsidR="002D391D">
        <w:t xml:space="preserve"> (</w:t>
      </w:r>
      <w:r w:rsidRPr="00D53630">
        <w:t>DAP</w:t>
      </w:r>
      <w:r w:rsidR="002D391D">
        <w:t>)</w:t>
      </w:r>
      <w:r w:rsidRPr="00D53630">
        <w:t xml:space="preserve"> </w:t>
      </w:r>
      <w:r w:rsidR="007E1A7E">
        <w:t xml:space="preserve">(see </w:t>
      </w:r>
      <w:hyperlink w:anchor="_3.6_Aligning_methods" w:history="1">
        <w:r w:rsidR="007E1A7E">
          <w:rPr>
            <w:rStyle w:val="Hyperlink"/>
          </w:rPr>
          <w:t>Section 3.6</w:t>
        </w:r>
      </w:hyperlink>
      <w:r w:rsidR="007E1A7E">
        <w:t>)</w:t>
      </w:r>
      <w:r w:rsidRPr="00D53630">
        <w:t>.</w:t>
      </w:r>
    </w:p>
    <w:p w14:paraId="35E0A4D5" w14:textId="37ADDBB8" w:rsidR="00904BC7" w:rsidRDefault="00E15EFB" w:rsidP="00F35A8D">
      <w:pPr>
        <w:pStyle w:val="NICEnormal"/>
      </w:pPr>
      <w:r>
        <w:t xml:space="preserve">There was almost unanimous </w:t>
      </w:r>
      <w:r w:rsidR="007E1A7E">
        <w:t>disagreement</w:t>
      </w:r>
      <w:r w:rsidRPr="00190539">
        <w:t xml:space="preserve"> </w:t>
      </w:r>
      <w:r w:rsidR="008C1B93" w:rsidRPr="00190539">
        <w:t xml:space="preserve">amongst </w:t>
      </w:r>
      <w:r w:rsidR="008C1B93">
        <w:t>stakeholders from industry</w:t>
      </w:r>
      <w:r w:rsidR="008C1B93" w:rsidRPr="00190539">
        <w:t xml:space="preserve"> </w:t>
      </w:r>
      <w:r w:rsidRPr="00190539">
        <w:t xml:space="preserve">with </w:t>
      </w:r>
      <w:r w:rsidR="007E1A7E">
        <w:t xml:space="preserve">the </w:t>
      </w:r>
      <w:r w:rsidR="00943245">
        <w:t xml:space="preserve">opportunity </w:t>
      </w:r>
      <w:r w:rsidRPr="00190539">
        <w:t>cost</w:t>
      </w:r>
      <w:r w:rsidR="007E1A7E">
        <w:t>-</w:t>
      </w:r>
      <w:r w:rsidRPr="00190539">
        <w:t xml:space="preserve">neutral approach </w:t>
      </w:r>
      <w:r w:rsidR="007E1A7E">
        <w:t xml:space="preserve">taken to designing the </w:t>
      </w:r>
      <w:r w:rsidR="008C1B93">
        <w:t xml:space="preserve">severity </w:t>
      </w:r>
      <w:r w:rsidR="007E1A7E">
        <w:t xml:space="preserve">modifier. </w:t>
      </w:r>
      <w:r w:rsidR="00BF0D10">
        <w:t>This was because</w:t>
      </w:r>
      <w:r w:rsidR="00943245">
        <w:t xml:space="preserve">, they argued, </w:t>
      </w:r>
      <w:r w:rsidR="00BF0D10">
        <w:t xml:space="preserve">the 2019 </w:t>
      </w:r>
      <w:r w:rsidR="002D391D">
        <w:t>V</w:t>
      </w:r>
      <w:r w:rsidR="00BF0D10">
        <w:t xml:space="preserve">oluntary </w:t>
      </w:r>
      <w:r w:rsidR="002D391D">
        <w:t>S</w:t>
      </w:r>
      <w:r w:rsidR="00BF0D10">
        <w:t xml:space="preserve">cheme for </w:t>
      </w:r>
      <w:r w:rsidR="002D391D">
        <w:t>B</w:t>
      </w:r>
      <w:r w:rsidR="00BF0D10">
        <w:t xml:space="preserve">randed </w:t>
      </w:r>
      <w:r w:rsidR="002D391D">
        <w:t>M</w:t>
      </w:r>
      <w:r w:rsidR="00BF0D10">
        <w:t xml:space="preserve">edicines </w:t>
      </w:r>
      <w:r w:rsidR="002D391D">
        <w:t>P</w:t>
      </w:r>
      <w:r w:rsidR="00BF0D10">
        <w:t xml:space="preserve">ricing and </w:t>
      </w:r>
      <w:r w:rsidR="002D391D">
        <w:t>A</w:t>
      </w:r>
      <w:r w:rsidR="00BF0D10">
        <w:t>ccess</w:t>
      </w:r>
      <w:r w:rsidR="002D391D">
        <w:t xml:space="preserve"> (</w:t>
      </w:r>
      <w:r w:rsidR="00943245">
        <w:t>2019 Voluntary Scheme</w:t>
      </w:r>
      <w:r w:rsidR="002D391D">
        <w:t>)</w:t>
      </w:r>
      <w:r w:rsidR="00BF0D10">
        <w:t xml:space="preserve"> limits </w:t>
      </w:r>
      <w:r w:rsidR="00943245">
        <w:t>NHS spending on branded medicines</w:t>
      </w:r>
      <w:r w:rsidR="00BF0D10">
        <w:t xml:space="preserve">, so there is no need for </w:t>
      </w:r>
      <w:r w:rsidR="00F35A8D">
        <w:t>an approach</w:t>
      </w:r>
      <w:r w:rsidR="00943245">
        <w:t xml:space="preserve"> that they</w:t>
      </w:r>
      <w:r w:rsidR="00F35A8D">
        <w:t xml:space="preserve"> considered to be budget-driven. Stakeholders were concerned that this may reduce patient access to innovative technologies.</w:t>
      </w:r>
    </w:p>
    <w:p w14:paraId="5F017290" w14:textId="24A74634" w:rsidR="00C94E12" w:rsidRPr="00F35A8D" w:rsidRDefault="00C94E12" w:rsidP="00F35A8D">
      <w:pPr>
        <w:pStyle w:val="NICEnormal"/>
      </w:pPr>
      <w:r>
        <w:t>Stakeholders also considered that the retrospective review of absolute and proportional QALY shortfall described in the proposal paper should have been done from the start of when the end-of-life modifier was introduced, rather than an apparently arbitrary timepoint.</w:t>
      </w:r>
    </w:p>
    <w:p w14:paraId="5D189027" w14:textId="7E887141" w:rsidR="00D72A61" w:rsidRPr="00D72A61" w:rsidRDefault="00D72A61" w:rsidP="00D72A61">
      <w:pPr>
        <w:pStyle w:val="Heading3"/>
        <w:rPr>
          <w:lang w:eastAsia="en-US"/>
        </w:rPr>
      </w:pPr>
      <w:bookmarkStart w:id="17" w:name="_Toc92957941"/>
      <w:r>
        <w:rPr>
          <w:lang w:eastAsia="en-US"/>
        </w:rPr>
        <w:t>3.2.2</w:t>
      </w:r>
      <w:r>
        <w:rPr>
          <w:lang w:eastAsia="en-US"/>
        </w:rPr>
        <w:tab/>
        <w:t>Consideration of uncertainty</w:t>
      </w:r>
      <w:bookmarkEnd w:id="17"/>
    </w:p>
    <w:p w14:paraId="2F234F82" w14:textId="668E4C41" w:rsidR="00EF606F" w:rsidRDefault="00DA7D2E" w:rsidP="00DA7D2E">
      <w:pPr>
        <w:pStyle w:val="NICEnormal"/>
      </w:pPr>
      <w:r>
        <w:t xml:space="preserve">Stakeholders supported the </w:t>
      </w:r>
      <w:r w:rsidR="00D567C7">
        <w:t xml:space="preserve">concept of </w:t>
      </w:r>
      <w:r w:rsidR="00DD3D0C">
        <w:t>c</w:t>
      </w:r>
      <w:r w:rsidR="00D567C7">
        <w:t xml:space="preserve">ommittees accepting a higher degree of uncertainty in situations in which evidence generation is particularly difficult. However, </w:t>
      </w:r>
      <w:r w:rsidR="003D0135">
        <w:t>they had</w:t>
      </w:r>
      <w:r w:rsidR="00D567C7">
        <w:t xml:space="preserve"> some concern that the proposals do not go far enough in </w:t>
      </w:r>
      <w:r w:rsidR="00D567C7" w:rsidRPr="00D567C7">
        <w:t>outlining the circumstances in which uncertainty will be accepted, and how this will be applied in practice</w:t>
      </w:r>
      <w:r w:rsidR="00D567C7">
        <w:t>. Stakeholders felt that the u</w:t>
      </w:r>
      <w:r w:rsidR="00D567C7" w:rsidRPr="00D567C7">
        <w:t>pdated manual should explicitly state the circumstances in which greater uncertainty will be accepted</w:t>
      </w:r>
      <w:r w:rsidR="00D567C7">
        <w:t xml:space="preserve">. For example, </w:t>
      </w:r>
      <w:r w:rsidR="003D0135">
        <w:t>they were</w:t>
      </w:r>
      <w:r w:rsidR="00D567C7">
        <w:t xml:space="preserve"> unclear </w:t>
      </w:r>
      <w:r w:rsidR="00D567C7" w:rsidRPr="00D567C7">
        <w:t>how ‘innovative and complex</w:t>
      </w:r>
      <w:r w:rsidR="00D567C7">
        <w:t xml:space="preserve"> technologies’</w:t>
      </w:r>
      <w:r w:rsidR="00D567C7" w:rsidRPr="00D567C7">
        <w:t xml:space="preserve"> </w:t>
      </w:r>
      <w:r w:rsidR="00D567C7">
        <w:t xml:space="preserve">would be </w:t>
      </w:r>
      <w:r w:rsidR="00D567C7" w:rsidRPr="00D567C7">
        <w:t xml:space="preserve">defined, and which system partner designations </w:t>
      </w:r>
      <w:r w:rsidR="00541D44">
        <w:t xml:space="preserve">of rarity or innovation </w:t>
      </w:r>
      <w:r w:rsidR="00D567C7" w:rsidRPr="00D567C7">
        <w:t>w</w:t>
      </w:r>
      <w:r w:rsidR="00541D44">
        <w:t>ill</w:t>
      </w:r>
      <w:r w:rsidR="00D567C7" w:rsidRPr="00D567C7">
        <w:t xml:space="preserve"> be accepted</w:t>
      </w:r>
      <w:r w:rsidR="00541D44">
        <w:t xml:space="preserve">. </w:t>
      </w:r>
    </w:p>
    <w:p w14:paraId="1655DD29" w14:textId="50823B21" w:rsidR="00D72A61" w:rsidRDefault="00541D44" w:rsidP="00DA7D2E">
      <w:pPr>
        <w:pStyle w:val="NICEnormal"/>
      </w:pPr>
      <w:r>
        <w:t xml:space="preserve">Stakeholders suggested </w:t>
      </w:r>
      <w:r w:rsidR="00D567C7" w:rsidRPr="00D567C7">
        <w:t xml:space="preserve">incorporating </w:t>
      </w:r>
      <w:r>
        <w:t xml:space="preserve">the degree of </w:t>
      </w:r>
      <w:r w:rsidR="00D567C7" w:rsidRPr="00D567C7">
        <w:t>unmet need</w:t>
      </w:r>
      <w:r>
        <w:t xml:space="preserve"> </w:t>
      </w:r>
      <w:r w:rsidR="00D567C7" w:rsidRPr="00D567C7">
        <w:t xml:space="preserve">as </w:t>
      </w:r>
      <w:r>
        <w:t xml:space="preserve">a </w:t>
      </w:r>
      <w:r w:rsidR="00D567C7" w:rsidRPr="00D567C7">
        <w:t>criteri</w:t>
      </w:r>
      <w:r>
        <w:t>on</w:t>
      </w:r>
      <w:r w:rsidR="00D567C7" w:rsidRPr="00D567C7">
        <w:t xml:space="preserve"> for defining when greater uncertainty can be accepted</w:t>
      </w:r>
      <w:r>
        <w:t>, with patient groups noting that patient input should be factored into this. Patient groups also considered that the proposals do not go far enough to address data collection challenges in rare diseases.</w:t>
      </w:r>
    </w:p>
    <w:p w14:paraId="0C290DA5" w14:textId="203C6F1D" w:rsidR="00541D44" w:rsidRDefault="00541D44" w:rsidP="00DA7D2E">
      <w:pPr>
        <w:pStyle w:val="NICEnormal"/>
      </w:pPr>
      <w:r>
        <w:lastRenderedPageBreak/>
        <w:t xml:space="preserve">Consistency in </w:t>
      </w:r>
      <w:r w:rsidR="00AA6BFB">
        <w:t xml:space="preserve">implementation across </w:t>
      </w:r>
      <w:r w:rsidR="00DD3D0C">
        <w:t>c</w:t>
      </w:r>
      <w:r w:rsidR="00AA6BFB">
        <w:t xml:space="preserve">ommittees was a concern for stakeholders. </w:t>
      </w:r>
      <w:r w:rsidR="003D0135">
        <w:t>They</w:t>
      </w:r>
      <w:r w:rsidR="00AA6BFB">
        <w:t xml:space="preserve"> requested that </w:t>
      </w:r>
      <w:r w:rsidR="00DD3D0C">
        <w:t>c</w:t>
      </w:r>
      <w:r w:rsidR="00AA6BFB" w:rsidRPr="00AA6BFB">
        <w:t xml:space="preserve">ommittee training and governance measures be implemented to ensure consistency in decision making. </w:t>
      </w:r>
      <w:r w:rsidR="008C1B93">
        <w:t>They also felt that g</w:t>
      </w:r>
      <w:r w:rsidR="00AA6BFB">
        <w:t>uidance documents should clearly detail the way in which uncertainty has been factored into decision making, and the i</w:t>
      </w:r>
      <w:r w:rsidR="00AA6BFB" w:rsidRPr="00AA6BFB">
        <w:t xml:space="preserve">mpact of </w:t>
      </w:r>
      <w:r w:rsidR="00AA6BFB">
        <w:t xml:space="preserve">the </w:t>
      </w:r>
      <w:r w:rsidR="00AA6BFB" w:rsidRPr="00AA6BFB">
        <w:t xml:space="preserve">proposal on decision making should be </w:t>
      </w:r>
      <w:r w:rsidR="00AA6BFB">
        <w:t>monitored.</w:t>
      </w:r>
    </w:p>
    <w:p w14:paraId="2E6FEB8C" w14:textId="560C504A" w:rsidR="00902518" w:rsidRDefault="00902518" w:rsidP="00DA7D2E">
      <w:pPr>
        <w:pStyle w:val="NICEnormal"/>
      </w:pPr>
      <w:r>
        <w:t>Stakeholders generally disagreed with the proposal that uncertainty should not overlap with other modifiers to create ‘double counting’.</w:t>
      </w:r>
    </w:p>
    <w:p w14:paraId="317107FE" w14:textId="11E7B3DF" w:rsidR="00902518" w:rsidRDefault="00902518" w:rsidP="009B052B">
      <w:pPr>
        <w:pStyle w:val="NICEnormal"/>
      </w:pPr>
      <w:r>
        <w:t xml:space="preserve">Some specific concerns were raised </w:t>
      </w:r>
      <w:r w:rsidR="003D0135">
        <w:t xml:space="preserve">by stakeholders </w:t>
      </w:r>
      <w:r>
        <w:t xml:space="preserve">for diagnostics in relation to this proposal. </w:t>
      </w:r>
      <w:r w:rsidR="003D0135">
        <w:t xml:space="preserve">They </w:t>
      </w:r>
      <w:r w:rsidR="009B052B">
        <w:t xml:space="preserve">felt that </w:t>
      </w:r>
      <w:r w:rsidR="00DD3D0C">
        <w:t>c</w:t>
      </w:r>
      <w:r w:rsidR="009B052B" w:rsidRPr="009B052B">
        <w:t>ommittee members may be less accepting of uncertainty if they are unfamiliar with the technology</w:t>
      </w:r>
      <w:r w:rsidR="009A329F">
        <w:t>.</w:t>
      </w:r>
      <w:r w:rsidR="009A329F" w:rsidRPr="009B052B">
        <w:t xml:space="preserve"> </w:t>
      </w:r>
      <w:r w:rsidR="003D0135">
        <w:t xml:space="preserve">This </w:t>
      </w:r>
      <w:r w:rsidR="000002AC">
        <w:t xml:space="preserve">was </w:t>
      </w:r>
      <w:r w:rsidR="003D0135">
        <w:t xml:space="preserve">considered </w:t>
      </w:r>
      <w:r w:rsidR="000002AC">
        <w:t>likely to be</w:t>
      </w:r>
      <w:r w:rsidR="009B052B" w:rsidRPr="009B052B">
        <w:t xml:space="preserve"> more common for </w:t>
      </w:r>
      <w:r w:rsidR="003D0135">
        <w:t>diagnostics</w:t>
      </w:r>
      <w:r w:rsidR="009B052B">
        <w:t xml:space="preserve">. The following specific considerations were noted </w:t>
      </w:r>
      <w:r w:rsidR="008C1B93">
        <w:t xml:space="preserve">by one stakeholder </w:t>
      </w:r>
      <w:proofErr w:type="gramStart"/>
      <w:r w:rsidR="009B052B">
        <w:t>with regard to</w:t>
      </w:r>
      <w:proofErr w:type="gramEnd"/>
      <w:r w:rsidR="009B052B">
        <w:t xml:space="preserve"> uncertainty in diagnostics evaluations: imprecision in estimating diagnostic accuracy; the influence of prevalence</w:t>
      </w:r>
      <w:r w:rsidR="00D36407">
        <w:t xml:space="preserve">, </w:t>
      </w:r>
      <w:r w:rsidR="009B052B">
        <w:t>skill</w:t>
      </w:r>
      <w:r w:rsidR="00D36407">
        <w:t>s</w:t>
      </w:r>
      <w:r w:rsidR="009B052B">
        <w:t>et</w:t>
      </w:r>
      <w:r w:rsidR="00D36407">
        <w:t xml:space="preserve"> or</w:t>
      </w:r>
      <w:r w:rsidR="009B052B">
        <w:t xml:space="preserve"> local infrastructure on accuracy</w:t>
      </w:r>
      <w:r w:rsidR="00D36407">
        <w:t xml:space="preserve">; </w:t>
      </w:r>
      <w:r w:rsidR="009B052B">
        <w:t>imperfect reference standards</w:t>
      </w:r>
      <w:r w:rsidR="00D36407">
        <w:t xml:space="preserve">; and the </w:t>
      </w:r>
      <w:r w:rsidR="009B052B">
        <w:t>imperfect application of novel care pathways when using observational data</w:t>
      </w:r>
      <w:r w:rsidR="00D36407">
        <w:t>.</w:t>
      </w:r>
    </w:p>
    <w:p w14:paraId="4A502590" w14:textId="6DA3978F" w:rsidR="00D72A61" w:rsidRDefault="00D72A61" w:rsidP="00D72A61">
      <w:pPr>
        <w:pStyle w:val="Heading3"/>
        <w:rPr>
          <w:lang w:eastAsia="en-US"/>
        </w:rPr>
      </w:pPr>
      <w:bookmarkStart w:id="18" w:name="_3.2.3_Health_inequalities"/>
      <w:bookmarkStart w:id="19" w:name="_Toc92957942"/>
      <w:bookmarkEnd w:id="18"/>
      <w:r>
        <w:rPr>
          <w:lang w:eastAsia="en-US"/>
        </w:rPr>
        <w:t>3.</w:t>
      </w:r>
      <w:r w:rsidR="003503EB">
        <w:rPr>
          <w:lang w:eastAsia="en-US"/>
        </w:rPr>
        <w:t>2</w:t>
      </w:r>
      <w:r>
        <w:rPr>
          <w:lang w:eastAsia="en-US"/>
        </w:rPr>
        <w:t>.3</w:t>
      </w:r>
      <w:r>
        <w:rPr>
          <w:lang w:eastAsia="en-US"/>
        </w:rPr>
        <w:tab/>
        <w:t>Health inequalities</w:t>
      </w:r>
      <w:bookmarkEnd w:id="19"/>
    </w:p>
    <w:p w14:paraId="25F07582" w14:textId="2867993C" w:rsidR="00533FBE" w:rsidRDefault="00E15EFB" w:rsidP="00E15EFB">
      <w:pPr>
        <w:pStyle w:val="NICEnormal"/>
      </w:pPr>
      <w:r>
        <w:t xml:space="preserve">There was </w:t>
      </w:r>
      <w:r w:rsidR="0052520A">
        <w:t xml:space="preserve">generally </w:t>
      </w:r>
      <w:r>
        <w:t>a positive consensus amongst stakeholders that NICE is addressing health inequalities</w:t>
      </w:r>
      <w:r w:rsidR="00533FBE">
        <w:t xml:space="preserve">. However, stakeholders felt that there was a lack of detail in the proposals that made them challenging to comment on. </w:t>
      </w:r>
      <w:r w:rsidR="00F6499B">
        <w:t xml:space="preserve">For example, </w:t>
      </w:r>
      <w:r w:rsidR="004C7F77">
        <w:t xml:space="preserve">they noted that </w:t>
      </w:r>
      <w:r w:rsidR="00F6499B">
        <w:t xml:space="preserve">it </w:t>
      </w:r>
      <w:r w:rsidR="006019D8">
        <w:t>is</w:t>
      </w:r>
      <w:r w:rsidR="00F6499B">
        <w:t xml:space="preserve"> unclear how health inequalities </w:t>
      </w:r>
      <w:r w:rsidR="006019D8">
        <w:t>a</w:t>
      </w:r>
      <w:r w:rsidR="002F1CEF">
        <w:t>re</w:t>
      </w:r>
      <w:r w:rsidR="00F6499B">
        <w:t xml:space="preserve"> being defined and how a modifier </w:t>
      </w:r>
      <w:r w:rsidR="006019D8">
        <w:t>i</w:t>
      </w:r>
      <w:r w:rsidR="00F6499B">
        <w:t>s expected to work in practice. Stakeholders</w:t>
      </w:r>
      <w:r w:rsidR="00533FBE">
        <w:t xml:space="preserve"> </w:t>
      </w:r>
      <w:r w:rsidR="00533FBE" w:rsidRPr="00533FBE">
        <w:t xml:space="preserve">acknowledged that research into this area needs to be conducted </w:t>
      </w:r>
      <w:r w:rsidR="002049AB" w:rsidRPr="00533FBE">
        <w:t>thoroughly and</w:t>
      </w:r>
      <w:r w:rsidR="00533FBE" w:rsidRPr="00533FBE">
        <w:t xml:space="preserve"> urged for NICE to not rush this research. However, stakeholders </w:t>
      </w:r>
      <w:r w:rsidR="006019D8">
        <w:t>a</w:t>
      </w:r>
      <w:r w:rsidR="00533FBE" w:rsidRPr="00533FBE">
        <w:t xml:space="preserve">re keen to receive an update as soon as possible on when the proposed changes would be implemented and what they will involve. </w:t>
      </w:r>
      <w:r w:rsidR="003D0135">
        <w:t>They see this</w:t>
      </w:r>
      <w:r w:rsidR="00533FBE" w:rsidRPr="00533FBE">
        <w:t xml:space="preserve"> as a matter of urgency to prevent further health inequalities.</w:t>
      </w:r>
    </w:p>
    <w:p w14:paraId="44E1F2B0" w14:textId="48F0BFEE" w:rsidR="0052520A" w:rsidRDefault="0052520A" w:rsidP="00E15EFB">
      <w:pPr>
        <w:pStyle w:val="NICEnormal"/>
      </w:pPr>
      <w:r>
        <w:t xml:space="preserve">One </w:t>
      </w:r>
      <w:r w:rsidR="003D0135">
        <w:t xml:space="preserve">committee member </w:t>
      </w:r>
      <w:r>
        <w:t xml:space="preserve">disagreed with the concept of a health inequalities modifier, as they considered that it is not the role of NICE to introduce such a modifier independently. This would undermine the credibility of the process, and it may be better to use a flexible, case-by-case approach rather than a more formal modifier. </w:t>
      </w:r>
      <w:r>
        <w:lastRenderedPageBreak/>
        <w:t xml:space="preserve">Other stakeholders agreed that it is important to distinguish health inequalities relevant to health technology assessment when introducing </w:t>
      </w:r>
      <w:r w:rsidR="007E7A0B">
        <w:t>the modifier.</w:t>
      </w:r>
    </w:p>
    <w:p w14:paraId="248E093C" w14:textId="665C1832" w:rsidR="00F32761" w:rsidRDefault="002F1CEF" w:rsidP="00E15EFB">
      <w:pPr>
        <w:pStyle w:val="NICEnormal"/>
      </w:pPr>
      <w:r w:rsidRPr="002F1CEF">
        <w:t xml:space="preserve">Rarity was thought by stakeholders to be a significant </w:t>
      </w:r>
      <w:r>
        <w:t>factor that</w:t>
      </w:r>
      <w:r w:rsidRPr="002F1CEF">
        <w:t xml:space="preserve"> need</w:t>
      </w:r>
      <w:r w:rsidR="0052520A">
        <w:t>s</w:t>
      </w:r>
      <w:r w:rsidRPr="002F1CEF">
        <w:t xml:space="preserve"> to be considered</w:t>
      </w:r>
      <w:r>
        <w:t xml:space="preserve"> within the context of a health inequalities modifier</w:t>
      </w:r>
      <w:r w:rsidRPr="002F1CEF">
        <w:t xml:space="preserve">. </w:t>
      </w:r>
      <w:r w:rsidR="0097748C">
        <w:t xml:space="preserve">There was some disagreement </w:t>
      </w:r>
      <w:r w:rsidR="003D0135">
        <w:t xml:space="preserve">among stakeholders </w:t>
      </w:r>
      <w:r w:rsidR="0097748C">
        <w:t xml:space="preserve">with the claim that society does not value </w:t>
      </w:r>
      <w:r w:rsidR="000944F1">
        <w:t xml:space="preserve">rarity in decision making. </w:t>
      </w:r>
      <w:r w:rsidR="0091174E">
        <w:t>They therefore welcomed expanding</w:t>
      </w:r>
      <w:r w:rsidRPr="002F1CEF">
        <w:t xml:space="preserve"> </w:t>
      </w:r>
      <w:r>
        <w:t>the</w:t>
      </w:r>
      <w:r w:rsidRPr="002F1CEF">
        <w:t xml:space="preserve"> definition of health inequalities </w:t>
      </w:r>
      <w:r>
        <w:t xml:space="preserve">beyond socioeconomic factors </w:t>
      </w:r>
      <w:r w:rsidRPr="002F1CEF">
        <w:t>as it meant that rare diseases could be considered</w:t>
      </w:r>
      <w:r>
        <w:t xml:space="preserve"> within it</w:t>
      </w:r>
      <w:r w:rsidRPr="002F1CEF">
        <w:t xml:space="preserve">. </w:t>
      </w:r>
      <w:r>
        <w:t>S</w:t>
      </w:r>
      <w:r w:rsidRPr="002F1CEF">
        <w:t>takeholders</w:t>
      </w:r>
      <w:r>
        <w:t xml:space="preserve"> from pharmaceutical companies</w:t>
      </w:r>
      <w:r w:rsidRPr="002F1CEF">
        <w:t xml:space="preserve"> </w:t>
      </w:r>
      <w:r>
        <w:t>considered</w:t>
      </w:r>
      <w:r w:rsidRPr="002F1CEF">
        <w:t xml:space="preserve"> that </w:t>
      </w:r>
      <w:r>
        <w:t xml:space="preserve">the </w:t>
      </w:r>
      <w:r w:rsidRPr="002F1CEF">
        <w:t xml:space="preserve">current </w:t>
      </w:r>
      <w:r w:rsidR="00D57210">
        <w:t>TA</w:t>
      </w:r>
      <w:r w:rsidRPr="002F1CEF">
        <w:t xml:space="preserve"> process do</w:t>
      </w:r>
      <w:r>
        <w:t>es</w:t>
      </w:r>
      <w:r w:rsidRPr="002F1CEF">
        <w:t xml:space="preserve"> not allow </w:t>
      </w:r>
      <w:r w:rsidR="00D57210">
        <w:t xml:space="preserve">technologies for </w:t>
      </w:r>
      <w:r w:rsidRPr="002F1CEF">
        <w:t xml:space="preserve">rare diseases to be evaluated </w:t>
      </w:r>
      <w:r w:rsidR="00D57210">
        <w:t>satisfactorily</w:t>
      </w:r>
      <w:r w:rsidRPr="002F1CEF">
        <w:t xml:space="preserve">. </w:t>
      </w:r>
      <w:r w:rsidR="0091174E">
        <w:t>They</w:t>
      </w:r>
      <w:r w:rsidR="00D57210">
        <w:t xml:space="preserve"> </w:t>
      </w:r>
      <w:r w:rsidRPr="002F1CEF">
        <w:t xml:space="preserve">provided </w:t>
      </w:r>
      <w:r w:rsidR="0091174E">
        <w:t xml:space="preserve">evidence </w:t>
      </w:r>
      <w:r w:rsidR="00B47D53">
        <w:t>t</w:t>
      </w:r>
      <w:r w:rsidRPr="002F1CEF">
        <w:t xml:space="preserve">hat orphan medicines spend longer in </w:t>
      </w:r>
      <w:r w:rsidR="00D57210">
        <w:t>the NICE</w:t>
      </w:r>
      <w:r w:rsidRPr="002F1CEF">
        <w:t xml:space="preserve"> process</w:t>
      </w:r>
      <w:r w:rsidR="00D57210">
        <w:t xml:space="preserve"> than non-orphan medicines</w:t>
      </w:r>
      <w:r w:rsidR="009A329F">
        <w:t>.</w:t>
      </w:r>
      <w:r w:rsidRPr="002F1CEF">
        <w:t xml:space="preserve"> There was a view that </w:t>
      </w:r>
      <w:r w:rsidR="00D57210">
        <w:t xml:space="preserve">the addition of </w:t>
      </w:r>
      <w:r w:rsidRPr="002F1CEF">
        <w:t xml:space="preserve">a rarity modifier will help bridge the </w:t>
      </w:r>
      <w:r w:rsidR="00FA355F">
        <w:t>perceived ‘</w:t>
      </w:r>
      <w:r w:rsidRPr="002F1CEF">
        <w:t>gap</w:t>
      </w:r>
      <w:r w:rsidR="00FA355F">
        <w:t>’</w:t>
      </w:r>
      <w:r w:rsidRPr="002F1CEF">
        <w:t xml:space="preserve"> between </w:t>
      </w:r>
      <w:r w:rsidR="00FA355F">
        <w:t xml:space="preserve">the TA and </w:t>
      </w:r>
      <w:r w:rsidRPr="002F1CEF">
        <w:t>HST processes.</w:t>
      </w:r>
    </w:p>
    <w:p w14:paraId="0FE05C97" w14:textId="03A15F44" w:rsidR="00404AD3" w:rsidRDefault="00404AD3" w:rsidP="00404AD3">
      <w:pPr>
        <w:pStyle w:val="NICEnormal"/>
      </w:pPr>
      <w:r>
        <w:t xml:space="preserve">All stakeholder groups </w:t>
      </w:r>
      <w:r w:rsidR="009A329F">
        <w:t>requested that they be involved</w:t>
      </w:r>
      <w:r>
        <w:t xml:space="preserve"> in further research to inform the modifier, and there was consensus that sufficient </w:t>
      </w:r>
      <w:r w:rsidR="00077121">
        <w:t xml:space="preserve">engagement </w:t>
      </w:r>
      <w:r w:rsidR="009A329F">
        <w:t>is needed</w:t>
      </w:r>
      <w:r>
        <w:t xml:space="preserve"> with relevant stakeholders. </w:t>
      </w:r>
      <w:r w:rsidRPr="00404AD3">
        <w:t xml:space="preserve">NICE Listens was identified as an important </w:t>
      </w:r>
      <w:r w:rsidR="001179F9">
        <w:t xml:space="preserve">mechanism to </w:t>
      </w:r>
      <w:r w:rsidR="008644B7">
        <w:t>obtain stakeholder views</w:t>
      </w:r>
      <w:r>
        <w:t>.</w:t>
      </w:r>
    </w:p>
    <w:p w14:paraId="654DE7F8" w14:textId="3C9457B2" w:rsidR="00404AD3" w:rsidRDefault="00936648" w:rsidP="00404AD3">
      <w:pPr>
        <w:pStyle w:val="NICEnormal"/>
      </w:pPr>
      <w:r w:rsidRPr="00936648">
        <w:t>Academia and public</w:t>
      </w:r>
      <w:r>
        <w:t xml:space="preserve"> or </w:t>
      </w:r>
      <w:r w:rsidRPr="00936648">
        <w:t xml:space="preserve">individual stakeholders highlighted a preference </w:t>
      </w:r>
      <w:r>
        <w:t xml:space="preserve">for </w:t>
      </w:r>
      <w:r w:rsidRPr="00936648">
        <w:t xml:space="preserve">a quantitative approach to </w:t>
      </w:r>
      <w:r>
        <w:t>the</w:t>
      </w:r>
      <w:r w:rsidRPr="00936648">
        <w:t xml:space="preserve"> health inequalities modifier, as </w:t>
      </w:r>
      <w:r>
        <w:t>this would</w:t>
      </w:r>
      <w:r w:rsidRPr="00936648">
        <w:t xml:space="preserve"> be more objective and allow </w:t>
      </w:r>
      <w:r>
        <w:t xml:space="preserve">greater </w:t>
      </w:r>
      <w:r w:rsidRPr="00936648">
        <w:t>consistency across appraisals.</w:t>
      </w:r>
      <w:r>
        <w:t xml:space="preserve"> Stakeholders from pharmaceutical companies proposed a</w:t>
      </w:r>
      <w:r w:rsidRPr="00936648">
        <w:t xml:space="preserve">n interim </w:t>
      </w:r>
      <w:r w:rsidR="001179F9">
        <w:t xml:space="preserve">health inequalities </w:t>
      </w:r>
      <w:r w:rsidRPr="00936648">
        <w:t xml:space="preserve">modifier, which can be updated in the proposed </w:t>
      </w:r>
      <w:r>
        <w:t xml:space="preserve">future </w:t>
      </w:r>
      <w:r w:rsidRPr="00936648">
        <w:t xml:space="preserve">modular updates. </w:t>
      </w:r>
      <w:r w:rsidR="008644B7">
        <w:t>They</w:t>
      </w:r>
      <w:r w:rsidRPr="00936648">
        <w:t xml:space="preserve"> suggested </w:t>
      </w:r>
      <w:r w:rsidR="008644B7">
        <w:t>this</w:t>
      </w:r>
      <w:r w:rsidR="002054F3">
        <w:t xml:space="preserve"> </w:t>
      </w:r>
      <w:r w:rsidRPr="00936648">
        <w:t xml:space="preserve">for </w:t>
      </w:r>
      <w:r>
        <w:t>factors</w:t>
      </w:r>
      <w:r w:rsidRPr="00936648">
        <w:t xml:space="preserve"> such as sex and race.</w:t>
      </w:r>
    </w:p>
    <w:p w14:paraId="327B4C20" w14:textId="15262DC0" w:rsidR="00D72A61" w:rsidRDefault="00B451F9" w:rsidP="00D72A61">
      <w:pPr>
        <w:pStyle w:val="Heading3"/>
        <w:rPr>
          <w:lang w:eastAsia="en-US"/>
        </w:rPr>
      </w:pPr>
      <w:bookmarkStart w:id="20" w:name="_Toc92957943"/>
      <w:r>
        <w:rPr>
          <w:lang w:eastAsia="en-US"/>
        </w:rPr>
        <w:t>3.</w:t>
      </w:r>
      <w:r w:rsidR="003503EB">
        <w:rPr>
          <w:lang w:eastAsia="en-US"/>
        </w:rPr>
        <w:t>2</w:t>
      </w:r>
      <w:r>
        <w:rPr>
          <w:lang w:eastAsia="en-US"/>
        </w:rPr>
        <w:t>.4</w:t>
      </w:r>
      <w:r>
        <w:rPr>
          <w:lang w:eastAsia="en-US"/>
        </w:rPr>
        <w:tab/>
        <w:t>Highly specialised technologies</w:t>
      </w:r>
      <w:bookmarkEnd w:id="20"/>
    </w:p>
    <w:p w14:paraId="27992733" w14:textId="182FA1E9" w:rsidR="00671A71" w:rsidRDefault="008644B7" w:rsidP="00671A71">
      <w:pPr>
        <w:pStyle w:val="NICEnormal"/>
      </w:pPr>
      <w:bookmarkStart w:id="21" w:name="_3.2.5_Discounting"/>
      <w:bookmarkEnd w:id="21"/>
      <w:r>
        <w:t>Stakeholders generally considered</w:t>
      </w:r>
      <w:r w:rsidR="00671A71">
        <w:t xml:space="preserve"> that the proposals do not do enough to align the</w:t>
      </w:r>
      <w:r w:rsidR="002D391D">
        <w:t xml:space="preserve"> </w:t>
      </w:r>
      <w:r w:rsidR="00671A71">
        <w:t xml:space="preserve">HST and </w:t>
      </w:r>
      <w:r w:rsidR="002D391D">
        <w:t>TA</w:t>
      </w:r>
      <w:r w:rsidR="00671A71">
        <w:t xml:space="preserve"> processes. For instance, stakeholders suggest</w:t>
      </w:r>
      <w:r w:rsidR="00692F90">
        <w:t>ed</w:t>
      </w:r>
      <w:r w:rsidR="00671A71">
        <w:t xml:space="preserve"> that the proposals </w:t>
      </w:r>
      <w:r w:rsidR="00692F90">
        <w:t xml:space="preserve">around accepting greater uncertainty should </w:t>
      </w:r>
      <w:r w:rsidR="00671A71">
        <w:t>be applied to the HST process</w:t>
      </w:r>
      <w:r w:rsidR="00692F90">
        <w:t>,</w:t>
      </w:r>
      <w:r w:rsidR="00671A71">
        <w:t xml:space="preserve"> and the scope for aligning uncertainty between the HST </w:t>
      </w:r>
      <w:r w:rsidR="00671A71" w:rsidRPr="004C7F77">
        <w:t xml:space="preserve">and TA processes </w:t>
      </w:r>
      <w:r w:rsidR="002054F3">
        <w:t xml:space="preserve">should </w:t>
      </w:r>
      <w:r w:rsidR="00671A71" w:rsidRPr="004C7F77">
        <w:t xml:space="preserve">be broadened. Stakeholders </w:t>
      </w:r>
      <w:r w:rsidR="00692F90" w:rsidRPr="004C7F77">
        <w:t xml:space="preserve">felt </w:t>
      </w:r>
      <w:r w:rsidR="00671A71" w:rsidRPr="004C7F77">
        <w:t>that the proposals maintain and potentially increase the</w:t>
      </w:r>
      <w:r w:rsidR="00692F90" w:rsidRPr="004C7F77">
        <w:t xml:space="preserve"> perceived</w:t>
      </w:r>
      <w:r w:rsidR="00671A71" w:rsidRPr="004C7F77">
        <w:t xml:space="preserve"> </w:t>
      </w:r>
      <w:r w:rsidR="00671A71" w:rsidRPr="004C7F77">
        <w:rPr>
          <w:rFonts w:cs="Arial"/>
        </w:rPr>
        <w:t xml:space="preserve">‘gap’ between the HST and TA programmes by ‘unfairly’ routing </w:t>
      </w:r>
      <w:r w:rsidR="00671A71" w:rsidRPr="004C7F77">
        <w:rPr>
          <w:rFonts w:cs="Arial"/>
        </w:rPr>
        <w:lastRenderedPageBreak/>
        <w:t>technologies</w:t>
      </w:r>
      <w:r w:rsidR="00BD1708" w:rsidRPr="004C7F77">
        <w:rPr>
          <w:rFonts w:cs="Arial"/>
        </w:rPr>
        <w:t xml:space="preserve"> to TA. This is</w:t>
      </w:r>
      <w:r w:rsidR="00671A71" w:rsidRPr="004C7F77">
        <w:rPr>
          <w:rFonts w:cs="Arial"/>
        </w:rPr>
        <w:t xml:space="preserve"> particularly </w:t>
      </w:r>
      <w:r w:rsidR="00BD1708" w:rsidRPr="004C7F77">
        <w:rPr>
          <w:rFonts w:cs="Arial"/>
        </w:rPr>
        <w:t xml:space="preserve">the case </w:t>
      </w:r>
      <w:r w:rsidR="00671A71" w:rsidRPr="004C7F77">
        <w:rPr>
          <w:rFonts w:cs="Arial"/>
        </w:rPr>
        <w:t xml:space="preserve">for rare and/or severe diseases that </w:t>
      </w:r>
      <w:r w:rsidR="002054F3">
        <w:rPr>
          <w:rFonts w:cs="Arial"/>
        </w:rPr>
        <w:t>do not</w:t>
      </w:r>
      <w:r w:rsidR="002054F3" w:rsidRPr="004C7F77">
        <w:rPr>
          <w:rFonts w:cs="Arial"/>
        </w:rPr>
        <w:t xml:space="preserve"> </w:t>
      </w:r>
      <w:r w:rsidR="00671A71" w:rsidRPr="004C7F77">
        <w:rPr>
          <w:rFonts w:cs="Arial"/>
        </w:rPr>
        <w:t xml:space="preserve">meet the HST criteria. This is because of the proposed </w:t>
      </w:r>
      <w:r>
        <w:rPr>
          <w:rFonts w:cs="Arial"/>
        </w:rPr>
        <w:t>changes</w:t>
      </w:r>
      <w:r w:rsidRPr="004C7F77">
        <w:rPr>
          <w:rFonts w:cs="Arial"/>
        </w:rPr>
        <w:t xml:space="preserve"> </w:t>
      </w:r>
      <w:r w:rsidR="00D81379" w:rsidRPr="004C7F77">
        <w:rPr>
          <w:rFonts w:cs="Arial"/>
        </w:rPr>
        <w:t xml:space="preserve">to </w:t>
      </w:r>
      <w:r w:rsidR="00692F90" w:rsidRPr="004C7F77">
        <w:rPr>
          <w:rFonts w:cs="Arial"/>
        </w:rPr>
        <w:t xml:space="preserve">the </w:t>
      </w:r>
      <w:r w:rsidR="00671A71" w:rsidRPr="004C7F77">
        <w:rPr>
          <w:rFonts w:cs="Arial"/>
        </w:rPr>
        <w:t xml:space="preserve">HST criteria and the limitations of </w:t>
      </w:r>
      <w:r w:rsidR="00692F90" w:rsidRPr="004C7F77">
        <w:rPr>
          <w:rFonts w:cs="Arial"/>
        </w:rPr>
        <w:t xml:space="preserve">using </w:t>
      </w:r>
      <w:r w:rsidR="00671A71" w:rsidRPr="004C7F77">
        <w:rPr>
          <w:rFonts w:cs="Arial"/>
        </w:rPr>
        <w:t>a</w:t>
      </w:r>
      <w:r w:rsidR="003049F8" w:rsidRPr="004C7F77">
        <w:rPr>
          <w:rFonts w:cs="Arial"/>
        </w:rPr>
        <w:t>n opportunity</w:t>
      </w:r>
      <w:r w:rsidR="00671A71" w:rsidRPr="004C7F77">
        <w:rPr>
          <w:rFonts w:cs="Arial"/>
        </w:rPr>
        <w:t xml:space="preserve"> cost neutral approach </w:t>
      </w:r>
      <w:r w:rsidR="00692F90" w:rsidRPr="004C7F77">
        <w:rPr>
          <w:rFonts w:cs="Arial"/>
        </w:rPr>
        <w:t xml:space="preserve">to </w:t>
      </w:r>
      <w:r w:rsidR="00AC58F2" w:rsidRPr="004C7F77">
        <w:rPr>
          <w:rFonts w:cs="Arial"/>
        </w:rPr>
        <w:t>designing</w:t>
      </w:r>
      <w:r w:rsidR="00BD1708" w:rsidRPr="004C7F77">
        <w:rPr>
          <w:rFonts w:cs="Arial"/>
        </w:rPr>
        <w:t xml:space="preserve"> </w:t>
      </w:r>
      <w:r w:rsidR="00671A71" w:rsidRPr="004C7F77">
        <w:rPr>
          <w:rFonts w:cs="Arial"/>
        </w:rPr>
        <w:t xml:space="preserve">the severity modifier </w:t>
      </w:r>
      <w:r w:rsidR="00BD1708" w:rsidRPr="004C7F77">
        <w:rPr>
          <w:rFonts w:cs="Arial"/>
        </w:rPr>
        <w:t>for TA</w:t>
      </w:r>
      <w:r w:rsidR="00671A71" w:rsidRPr="004C7F77">
        <w:rPr>
          <w:rFonts w:cs="Arial"/>
        </w:rPr>
        <w:t>. Additionally</w:t>
      </w:r>
      <w:r w:rsidR="00671A71" w:rsidRPr="004C7F77">
        <w:t>, stakeholders highlight</w:t>
      </w:r>
      <w:r w:rsidR="00692F90" w:rsidRPr="004C7F77">
        <w:t>ed</w:t>
      </w:r>
      <w:r w:rsidR="00671A71" w:rsidRPr="004C7F77">
        <w:t xml:space="preserve"> that the proposed </w:t>
      </w:r>
      <w:r w:rsidR="00692F90" w:rsidRPr="004C7F77">
        <w:t xml:space="preserve">maximum </w:t>
      </w:r>
      <w:r w:rsidR="00671A71" w:rsidRPr="004C7F77">
        <w:t>QALY weighting of 1.7 for very severe disease corresponds</w:t>
      </w:r>
      <w:r w:rsidR="00671A71" w:rsidRPr="008D62C0">
        <w:t xml:space="preserve"> to a cost-effectiveness threshold of £50,000 per QALY gained</w:t>
      </w:r>
      <w:r w:rsidR="00692F90">
        <w:t xml:space="preserve">. This </w:t>
      </w:r>
      <w:r w:rsidR="00671A71" w:rsidRPr="008D62C0">
        <w:t>is low</w:t>
      </w:r>
      <w:r w:rsidR="00671A71">
        <w:t>er</w:t>
      </w:r>
      <w:r w:rsidR="00671A71" w:rsidRPr="008D62C0">
        <w:t xml:space="preserve"> </w:t>
      </w:r>
      <w:r w:rsidR="00692F90">
        <w:t>than</w:t>
      </w:r>
      <w:r w:rsidR="00671A71" w:rsidRPr="008D62C0">
        <w:t xml:space="preserve"> the £100</w:t>
      </w:r>
      <w:r w:rsidR="00671A71">
        <w:t>,000 to £</w:t>
      </w:r>
      <w:r w:rsidR="00671A71" w:rsidRPr="008D62C0">
        <w:t>300,000 threshold for therapies that are routed through HST</w:t>
      </w:r>
      <w:r w:rsidR="00671A71">
        <w:t xml:space="preserve">. As such, stakeholders </w:t>
      </w:r>
      <w:r w:rsidR="00D81379">
        <w:t xml:space="preserve">felt </w:t>
      </w:r>
      <w:r w:rsidR="00671A71">
        <w:t>that this could hinder patient access to new medicines</w:t>
      </w:r>
      <w:r w:rsidR="002B063C">
        <w:t xml:space="preserve"> for rare disease that do not meet the HST criteria</w:t>
      </w:r>
      <w:r w:rsidR="00671A71">
        <w:t>.</w:t>
      </w:r>
      <w:r w:rsidR="00AC58F2">
        <w:t xml:space="preserve"> </w:t>
      </w:r>
      <w:r w:rsidR="00671A71">
        <w:t>Stakeholders consider</w:t>
      </w:r>
      <w:r w:rsidR="00692F90">
        <w:t>ed</w:t>
      </w:r>
      <w:r w:rsidR="00671A71">
        <w:t xml:space="preserve"> that there is still a need for </w:t>
      </w:r>
      <w:r w:rsidR="00692F90">
        <w:t xml:space="preserve">a </w:t>
      </w:r>
      <w:r w:rsidR="00671A71">
        <w:t>‘rarity’ modifier</w:t>
      </w:r>
      <w:r w:rsidR="00BD1708">
        <w:t xml:space="preserve"> (see </w:t>
      </w:r>
      <w:hyperlink w:anchor="_3.2.3_Health_inequalities" w:history="1">
        <w:r w:rsidR="00BD1708" w:rsidRPr="00BD1708">
          <w:rPr>
            <w:rStyle w:val="Hyperlink"/>
          </w:rPr>
          <w:t>Section 3.2.3</w:t>
        </w:r>
      </w:hyperlink>
      <w:r w:rsidR="00BD1708">
        <w:t>)</w:t>
      </w:r>
      <w:r w:rsidR="00671A71">
        <w:t>.</w:t>
      </w:r>
    </w:p>
    <w:p w14:paraId="398190F1" w14:textId="7888648E" w:rsidR="00671A71" w:rsidRPr="00B14EA1" w:rsidRDefault="00671A71" w:rsidP="00671A71">
      <w:pPr>
        <w:pStyle w:val="NICEnormal"/>
      </w:pPr>
      <w:r>
        <w:t xml:space="preserve">Some stakeholders </w:t>
      </w:r>
      <w:r w:rsidR="002D391D">
        <w:t xml:space="preserve">were </w:t>
      </w:r>
      <w:r>
        <w:t xml:space="preserve">concerned that </w:t>
      </w:r>
      <w:r w:rsidRPr="00583497">
        <w:t>the HST methods are not clear enough</w:t>
      </w:r>
      <w:r>
        <w:t>, with some patient groups suggesting there is a lack of understanding about rare diseases</w:t>
      </w:r>
      <w:r w:rsidRPr="00583497">
        <w:t>.</w:t>
      </w:r>
      <w:r>
        <w:t xml:space="preserve"> </w:t>
      </w:r>
      <w:proofErr w:type="gramStart"/>
      <w:r>
        <w:t>In particular, stakeholders</w:t>
      </w:r>
      <w:proofErr w:type="gramEnd"/>
      <w:r>
        <w:t xml:space="preserve"> </w:t>
      </w:r>
      <w:r w:rsidR="00BD1708">
        <w:t xml:space="preserve">felt </w:t>
      </w:r>
      <w:r>
        <w:t xml:space="preserve">that simply stating that the </w:t>
      </w:r>
      <w:r w:rsidR="00BD1708">
        <w:t>proposed update</w:t>
      </w:r>
      <w:r w:rsidR="00AC58F2">
        <w:t>s</w:t>
      </w:r>
      <w:r w:rsidR="00BD1708">
        <w:t xml:space="preserve"> to the TA </w:t>
      </w:r>
      <w:r>
        <w:t xml:space="preserve">methods are implicitly </w:t>
      </w:r>
      <w:r w:rsidR="00BD1708">
        <w:t>captured in HST</w:t>
      </w:r>
      <w:r>
        <w:t xml:space="preserve"> is too informal</w:t>
      </w:r>
      <w:r w:rsidR="00BD1708">
        <w:t>,</w:t>
      </w:r>
      <w:r>
        <w:t xml:space="preserve"> and insufficient in formally aligning the process for handling uncertainties between </w:t>
      </w:r>
      <w:r w:rsidR="00D81379">
        <w:t xml:space="preserve">TA </w:t>
      </w:r>
      <w:r>
        <w:t>and HST. Additionally, they suggest</w:t>
      </w:r>
      <w:r w:rsidR="00D81379">
        <w:t>ed</w:t>
      </w:r>
      <w:r>
        <w:t xml:space="preserve"> that more explicit explanations and acknowledgements </w:t>
      </w:r>
      <w:r w:rsidR="00D81379">
        <w:t xml:space="preserve">should be </w:t>
      </w:r>
      <w:r>
        <w:t xml:space="preserve">provided in the manual about </w:t>
      </w:r>
      <w:r w:rsidRPr="008713CA">
        <w:t>what the ‘different ethical and normative princip</w:t>
      </w:r>
      <w:r>
        <w:t>les</w:t>
      </w:r>
      <w:r w:rsidRPr="008713CA">
        <w:t>’ used for HST</w:t>
      </w:r>
      <w:r>
        <w:t xml:space="preserve"> are and the data collection </w:t>
      </w:r>
      <w:r w:rsidR="00D81379">
        <w:t xml:space="preserve">challenges </w:t>
      </w:r>
      <w:r>
        <w:t xml:space="preserve">in HST for rare and complex conditions, respectively. </w:t>
      </w:r>
    </w:p>
    <w:p w14:paraId="6BF1E68E" w14:textId="021D40E8" w:rsidR="00B451F9" w:rsidRDefault="00B451F9" w:rsidP="00B451F9">
      <w:pPr>
        <w:pStyle w:val="Heading3"/>
        <w:rPr>
          <w:lang w:eastAsia="en-US"/>
        </w:rPr>
      </w:pPr>
      <w:bookmarkStart w:id="22" w:name="_Toc92957944"/>
      <w:r>
        <w:rPr>
          <w:lang w:eastAsia="en-US"/>
        </w:rPr>
        <w:t>3.</w:t>
      </w:r>
      <w:r w:rsidR="003503EB">
        <w:rPr>
          <w:lang w:eastAsia="en-US"/>
        </w:rPr>
        <w:t>2</w:t>
      </w:r>
      <w:r>
        <w:rPr>
          <w:lang w:eastAsia="en-US"/>
        </w:rPr>
        <w:t>.5</w:t>
      </w:r>
      <w:r>
        <w:rPr>
          <w:lang w:eastAsia="en-US"/>
        </w:rPr>
        <w:tab/>
        <w:t>Discounting</w:t>
      </w:r>
      <w:bookmarkEnd w:id="22"/>
    </w:p>
    <w:p w14:paraId="112F239F" w14:textId="47293F1E" w:rsidR="00671A71" w:rsidRDefault="00671A71" w:rsidP="00671A71">
      <w:pPr>
        <w:pStyle w:val="NICEnormal"/>
      </w:pPr>
      <w:r>
        <w:t xml:space="preserve">Support for the proposal </w:t>
      </w:r>
      <w:r w:rsidR="00081A33">
        <w:t xml:space="preserve">was </w:t>
      </w:r>
      <w:r>
        <w:t xml:space="preserve">split across </w:t>
      </w:r>
      <w:r w:rsidR="00081A33">
        <w:t>stakeholder groups</w:t>
      </w:r>
      <w:r>
        <w:t xml:space="preserve">, with strong disagreement from industry, patient organisations and the public. </w:t>
      </w:r>
      <w:r w:rsidR="00D62B0F">
        <w:t>Stakeholders noted that</w:t>
      </w:r>
      <w:r>
        <w:t xml:space="preserve"> </w:t>
      </w:r>
      <w:r w:rsidR="00081A33">
        <w:t>reducing</w:t>
      </w:r>
      <w:r>
        <w:t xml:space="preserve"> the discount rate to 1.5% per year is supported by evidence and appears justified; however, no details, timelines or clear steps were made available for when the change would be implemented. </w:t>
      </w:r>
      <w:r w:rsidR="00650384">
        <w:t xml:space="preserve">Stakeholders also raised concerns that retaining the discount rate of 3.5% per year is misaligned with the recommendations of the HM Treasury Green Book. </w:t>
      </w:r>
      <w:r>
        <w:t>Stakeholders suggested that NICE start the discussions on changing the discount rate to 1.5% as soon as possible so that an approach can be agreed and incorporate</w:t>
      </w:r>
      <w:r w:rsidR="00081A33">
        <w:t>d</w:t>
      </w:r>
      <w:r>
        <w:t xml:space="preserve"> into the next Voluntary Scheme </w:t>
      </w:r>
      <w:r w:rsidR="005009F5">
        <w:t xml:space="preserve">for </w:t>
      </w:r>
      <w:r w:rsidR="005009F5" w:rsidRPr="005009F5">
        <w:t>Branded Medicines Pricing and Access</w:t>
      </w:r>
      <w:r w:rsidR="005009F5">
        <w:t xml:space="preserve"> (</w:t>
      </w:r>
      <w:r w:rsidR="003049F8">
        <w:t>Voluntary Scheme</w:t>
      </w:r>
      <w:r w:rsidR="005009F5">
        <w:t xml:space="preserve">) </w:t>
      </w:r>
      <w:r>
        <w:t>in 2024</w:t>
      </w:r>
      <w:r w:rsidR="00081A33">
        <w:t>. This would</w:t>
      </w:r>
      <w:r>
        <w:t xml:space="preserve"> avoid further delays by waiting to start discussion until the next </w:t>
      </w:r>
      <w:r w:rsidR="00D62B0F">
        <w:t>Voluntary Scheme</w:t>
      </w:r>
      <w:r>
        <w:t xml:space="preserve">. In </w:t>
      </w:r>
      <w:r>
        <w:lastRenderedPageBreak/>
        <w:t xml:space="preserve">addition, </w:t>
      </w:r>
      <w:r w:rsidR="002054F3">
        <w:t xml:space="preserve">stakeholders </w:t>
      </w:r>
      <w:r>
        <w:t xml:space="preserve">highlighted that reducing the discount rate would increase the attractiveness </w:t>
      </w:r>
      <w:r w:rsidR="00081A33">
        <w:t xml:space="preserve">of England and Wales </w:t>
      </w:r>
      <w:r>
        <w:t>as an early launch market for new medicines</w:t>
      </w:r>
      <w:r w:rsidR="005009F5">
        <w:t>. It would also</w:t>
      </w:r>
      <w:r>
        <w:t xml:space="preserve"> improve its image as a world leader in providing access to </w:t>
      </w:r>
      <w:r w:rsidRPr="007F61D5">
        <w:t xml:space="preserve">preventative medicines and </w:t>
      </w:r>
      <w:r w:rsidR="00BC25A5">
        <w:t>ATMPs</w:t>
      </w:r>
      <w:r w:rsidR="005009F5">
        <w:t>,</w:t>
      </w:r>
      <w:r w:rsidRPr="007F61D5">
        <w:t xml:space="preserve"> </w:t>
      </w:r>
      <w:r>
        <w:t xml:space="preserve">and improve the </w:t>
      </w:r>
      <w:r w:rsidR="005009F5">
        <w:t xml:space="preserve">ability of the </w:t>
      </w:r>
      <w:r w:rsidR="00AC58F2">
        <w:t>TA</w:t>
      </w:r>
      <w:r>
        <w:t xml:space="preserve"> process </w:t>
      </w:r>
      <w:r w:rsidR="005009F5">
        <w:t>to assess</w:t>
      </w:r>
      <w:r>
        <w:t xml:space="preserve"> a</w:t>
      </w:r>
      <w:r w:rsidRPr="00CC117F">
        <w:t>dvanced therapy medicinal products</w:t>
      </w:r>
      <w:r>
        <w:t>. However, academic stakeholders, NHS organisation</w:t>
      </w:r>
      <w:r w:rsidR="002054F3">
        <w:t>s</w:t>
      </w:r>
      <w:r>
        <w:t xml:space="preserve"> and committee members </w:t>
      </w:r>
      <w:r w:rsidR="00081A33">
        <w:t>were more supportive</w:t>
      </w:r>
      <w:r>
        <w:t xml:space="preserve"> of </w:t>
      </w:r>
      <w:r w:rsidR="00081A33">
        <w:t xml:space="preserve">retaining the current discount rate. They </w:t>
      </w:r>
      <w:r>
        <w:t xml:space="preserve">acknowledged the need for further work, consultation, and coordination with other health bodies to understand the impact on the overall healthcare system. They pointed out that discount rates and </w:t>
      </w:r>
      <w:r w:rsidR="00081A33">
        <w:t xml:space="preserve">the </w:t>
      </w:r>
      <w:r>
        <w:t>cost-effectiveness threshold are linked</w:t>
      </w:r>
      <w:r w:rsidR="005009F5">
        <w:t>.</w:t>
      </w:r>
      <w:r>
        <w:t xml:space="preserve"> </w:t>
      </w:r>
      <w:r w:rsidR="005009F5">
        <w:t>S</w:t>
      </w:r>
      <w:r w:rsidR="005009F5" w:rsidRPr="00543953">
        <w:t>o</w:t>
      </w:r>
      <w:r w:rsidR="005009F5">
        <w:t>,</w:t>
      </w:r>
      <w:r w:rsidR="005009F5" w:rsidRPr="00543953">
        <w:t xml:space="preserve"> </w:t>
      </w:r>
      <w:r w:rsidRPr="00543953">
        <w:t>NICE</w:t>
      </w:r>
      <w:r w:rsidR="005009F5">
        <w:t>’s cost-effectiveness</w:t>
      </w:r>
      <w:r w:rsidRPr="00543953">
        <w:t xml:space="preserve"> threshold </w:t>
      </w:r>
      <w:r w:rsidR="00FA32C7">
        <w:t>may</w:t>
      </w:r>
      <w:r w:rsidR="00FA32C7" w:rsidRPr="00543953">
        <w:t xml:space="preserve"> </w:t>
      </w:r>
      <w:r w:rsidRPr="00543953">
        <w:t xml:space="preserve">need to be reconsidered </w:t>
      </w:r>
      <w:proofErr w:type="gramStart"/>
      <w:r w:rsidRPr="00543953">
        <w:t>in light of</w:t>
      </w:r>
      <w:proofErr w:type="gramEnd"/>
      <w:r w:rsidRPr="00543953">
        <w:t xml:space="preserve"> changing the discount rate</w:t>
      </w:r>
      <w:r>
        <w:t xml:space="preserve"> and in coordination with other health bodies.</w:t>
      </w:r>
    </w:p>
    <w:p w14:paraId="58763818" w14:textId="233421B6" w:rsidR="00671A71" w:rsidRDefault="00650384" w:rsidP="00671A71">
      <w:pPr>
        <w:pStyle w:val="NICEnormal"/>
        <w:rPr>
          <w:rFonts w:cs="Arial"/>
          <w:color w:val="000000"/>
        </w:rPr>
      </w:pPr>
      <w:r>
        <w:t xml:space="preserve">Stakeholders felt that retaining the current reference case discount rate </w:t>
      </w:r>
      <w:r w:rsidR="00671A71">
        <w:t xml:space="preserve">is likely to hinder </w:t>
      </w:r>
      <w:r w:rsidR="00671A71" w:rsidRPr="00CC117F">
        <w:t xml:space="preserve">innovation and delivery of health outcomes in key disease areas, specifically for treatments with high upfront one-off costs and </w:t>
      </w:r>
      <w:r w:rsidR="00671A71">
        <w:t>long-term</w:t>
      </w:r>
      <w:r w:rsidR="00671A71" w:rsidRPr="00CC117F">
        <w:t xml:space="preserve"> benefits such as cell and gene therapies</w:t>
      </w:r>
      <w:r w:rsidR="00671A71">
        <w:t xml:space="preserve"> and other </w:t>
      </w:r>
      <w:r w:rsidR="00BC25A5">
        <w:t>ATMPs</w:t>
      </w:r>
      <w:r w:rsidR="00671A71">
        <w:t xml:space="preserve">. Additionally, some stakeholders indicated that having 2 discount rates </w:t>
      </w:r>
      <w:r>
        <w:t xml:space="preserve">(a reference case discount rate of 3.5% and a non-reference case discount rate of 1.5%) </w:t>
      </w:r>
      <w:r w:rsidR="00671A71">
        <w:t>is l</w:t>
      </w:r>
      <w:r w:rsidR="00671A71" w:rsidRPr="008E32BD">
        <w:rPr>
          <w:rFonts w:cs="Arial"/>
          <w:color w:val="000000"/>
        </w:rPr>
        <w:t xml:space="preserve">ikely to lead to vastly different </w:t>
      </w:r>
      <w:r w:rsidR="00BC25A5">
        <w:rPr>
          <w:rFonts w:cs="Arial"/>
          <w:color w:val="000000"/>
        </w:rPr>
        <w:t>incremental cost-effectiveness ratios (</w:t>
      </w:r>
      <w:r w:rsidR="00671A71" w:rsidRPr="008E32BD">
        <w:rPr>
          <w:rFonts w:cs="Arial"/>
          <w:color w:val="000000"/>
        </w:rPr>
        <w:t>ICERs</w:t>
      </w:r>
      <w:r w:rsidR="00BC25A5">
        <w:rPr>
          <w:rFonts w:cs="Arial"/>
          <w:color w:val="000000"/>
        </w:rPr>
        <w:t>)</w:t>
      </w:r>
      <w:r w:rsidR="00671A71" w:rsidRPr="008E32BD">
        <w:rPr>
          <w:rFonts w:cs="Arial"/>
          <w:color w:val="000000"/>
        </w:rPr>
        <w:t xml:space="preserve"> and avoidable unfairness in borderline cases</w:t>
      </w:r>
      <w:r w:rsidR="00671A71">
        <w:rPr>
          <w:rFonts w:cs="Arial"/>
          <w:color w:val="000000"/>
        </w:rPr>
        <w:t>.</w:t>
      </w:r>
    </w:p>
    <w:p w14:paraId="0F85DB89" w14:textId="57F47B69" w:rsidR="00DF5CDC" w:rsidRDefault="00671A71" w:rsidP="00671A71">
      <w:pPr>
        <w:pStyle w:val="NICEnormal"/>
      </w:pPr>
      <w:r>
        <w:t>Some stakeholders suggested alternative approaches to NICE’s proposal</w:t>
      </w:r>
      <w:r w:rsidR="00DF5CDC">
        <w:t>.</w:t>
      </w:r>
      <w:r>
        <w:t xml:space="preserve"> </w:t>
      </w:r>
      <w:r w:rsidR="00DF5CDC">
        <w:t>These include:</w:t>
      </w:r>
      <w:r>
        <w:t xml:space="preserve"> </w:t>
      </w:r>
    </w:p>
    <w:p w14:paraId="5F6BD56A" w14:textId="1C00AF1B" w:rsidR="00DF5CDC" w:rsidRDefault="00DF5CDC" w:rsidP="00DF5CDC">
      <w:pPr>
        <w:pStyle w:val="NICEnormal"/>
        <w:numPr>
          <w:ilvl w:val="0"/>
          <w:numId w:val="47"/>
        </w:numPr>
      </w:pPr>
      <w:r>
        <w:t xml:space="preserve">Reducing </w:t>
      </w:r>
      <w:r w:rsidR="00671A71">
        <w:t xml:space="preserve">the reference case discount rate to 1.5% for </w:t>
      </w:r>
      <w:r w:rsidR="00671A71" w:rsidRPr="00D01612">
        <w:t>treatments which impact manifestations of rare and severe conditions</w:t>
      </w:r>
      <w:r w:rsidR="00BC25A5">
        <w:t>,</w:t>
      </w:r>
      <w:r w:rsidR="00671A71" w:rsidRPr="00D01612">
        <w:t xml:space="preserve"> or treatments for chronic conditions</w:t>
      </w:r>
      <w:r>
        <w:t xml:space="preserve">. </w:t>
      </w:r>
    </w:p>
    <w:p w14:paraId="34639582" w14:textId="413EEA45" w:rsidR="00DF5CDC" w:rsidRDefault="00DF5CDC" w:rsidP="00DF5CDC">
      <w:pPr>
        <w:pStyle w:val="NICEnormal"/>
        <w:numPr>
          <w:ilvl w:val="0"/>
          <w:numId w:val="47"/>
        </w:numPr>
      </w:pPr>
      <w:r>
        <w:t>U</w:t>
      </w:r>
      <w:r w:rsidR="00671A71">
        <w:t>sing a ‘cure’ modifier to support the value of some technologies</w:t>
      </w:r>
      <w:r>
        <w:t>.</w:t>
      </w:r>
    </w:p>
    <w:p w14:paraId="4A52C670" w14:textId="614A568E" w:rsidR="00671A71" w:rsidRDefault="00DF5CDC" w:rsidP="003276C7">
      <w:pPr>
        <w:pStyle w:val="NICEnormal"/>
        <w:numPr>
          <w:ilvl w:val="0"/>
          <w:numId w:val="47"/>
        </w:numPr>
      </w:pPr>
      <w:r>
        <w:t xml:space="preserve">Allowing </w:t>
      </w:r>
      <w:r w:rsidR="00671A71">
        <w:t>for an</w:t>
      </w:r>
      <w:r w:rsidR="00671A71" w:rsidRPr="00213E5E">
        <w:t xml:space="preserve"> incremental added value or maintenance of a steady state situation when considering technologies with long-term benefits</w:t>
      </w:r>
      <w:r w:rsidR="00671A71">
        <w:t>.</w:t>
      </w:r>
    </w:p>
    <w:p w14:paraId="649388BB" w14:textId="1C63F405" w:rsidR="00671A71" w:rsidRDefault="00650384" w:rsidP="00671A71">
      <w:pPr>
        <w:pStyle w:val="NICEnormal"/>
      </w:pPr>
      <w:r>
        <w:t xml:space="preserve">Stakeholders considered that </w:t>
      </w:r>
      <w:r w:rsidR="00671A71">
        <w:t>clarity is needed on</w:t>
      </w:r>
      <w:r w:rsidR="00671A71" w:rsidRPr="00DF2F5E">
        <w:t xml:space="preserve"> the appropriate circumstances to use the non-reference discount rate</w:t>
      </w:r>
      <w:r w:rsidR="00DF5CDC">
        <w:t>,</w:t>
      </w:r>
      <w:r w:rsidR="00671A71" w:rsidRPr="00DF2F5E">
        <w:t xml:space="preserve"> and </w:t>
      </w:r>
      <w:r w:rsidR="00DF5CDC">
        <w:t>how to meet</w:t>
      </w:r>
      <w:r w:rsidR="00DF5CDC" w:rsidRPr="00DF2F5E">
        <w:t xml:space="preserve"> </w:t>
      </w:r>
      <w:r w:rsidR="00671A71" w:rsidRPr="00DF2F5E">
        <w:t>the criteria for using the non-</w:t>
      </w:r>
      <w:r w:rsidR="00671A71" w:rsidRPr="00DF2F5E">
        <w:lastRenderedPageBreak/>
        <w:t>reference discount rat</w:t>
      </w:r>
      <w:r w:rsidR="00671A71">
        <w:t>e</w:t>
      </w:r>
      <w:r w:rsidR="00DF5CDC">
        <w:t>.</w:t>
      </w:r>
      <w:r w:rsidR="00671A71">
        <w:t xml:space="preserve"> </w:t>
      </w:r>
      <w:r w:rsidR="00DF5CDC">
        <w:t>These include</w:t>
      </w:r>
      <w:r w:rsidR="00671A71">
        <w:t xml:space="preserve"> how to demonstrate long-term benefits, what constitutes a </w:t>
      </w:r>
      <w:r w:rsidR="00BC25A5">
        <w:t>‘</w:t>
      </w:r>
      <w:r w:rsidR="00671A71">
        <w:t>very long period</w:t>
      </w:r>
      <w:r w:rsidR="00BC25A5">
        <w:t>’</w:t>
      </w:r>
      <w:r w:rsidR="00671A71">
        <w:t xml:space="preserve"> or an appropriate time horizon</w:t>
      </w:r>
      <w:r w:rsidR="00DF5CDC">
        <w:t>,</w:t>
      </w:r>
      <w:r w:rsidR="00671A71">
        <w:t xml:space="preserve"> and how committees can use the non-reference case discount appropriately and effectively.</w:t>
      </w:r>
    </w:p>
    <w:p w14:paraId="738853FB" w14:textId="671EB7CF" w:rsidR="003503EB" w:rsidRPr="003503EB" w:rsidRDefault="00B451F9" w:rsidP="00DA7D2E">
      <w:pPr>
        <w:pStyle w:val="Heading2"/>
      </w:pPr>
      <w:bookmarkStart w:id="23" w:name="_Toc92957945"/>
      <w:r>
        <w:t>3.3</w:t>
      </w:r>
      <w:r>
        <w:tab/>
        <w:t>Understanding and improving the evidence base</w:t>
      </w:r>
      <w:bookmarkEnd w:id="23"/>
    </w:p>
    <w:p w14:paraId="26A1474E" w14:textId="461380CF" w:rsidR="00B451F9" w:rsidRDefault="003503EB" w:rsidP="003503EB">
      <w:pPr>
        <w:pStyle w:val="Heading3"/>
      </w:pPr>
      <w:bookmarkStart w:id="24" w:name="_Toc92957946"/>
      <w:r>
        <w:t>3.3.1</w:t>
      </w:r>
      <w:r>
        <w:tab/>
        <w:t>Guidance on the use of real-world evidence</w:t>
      </w:r>
      <w:bookmarkEnd w:id="24"/>
    </w:p>
    <w:p w14:paraId="32A3A4BA" w14:textId="29819155" w:rsidR="003912FE" w:rsidRDefault="00E15EFB" w:rsidP="00E15EFB">
      <w:pPr>
        <w:pStyle w:val="NICEnormal"/>
      </w:pPr>
      <w:bookmarkStart w:id="25" w:name="_3.3.2_Costs"/>
      <w:bookmarkEnd w:id="25"/>
      <w:r>
        <w:t>The proposal was b</w:t>
      </w:r>
      <w:r w:rsidRPr="001D0238">
        <w:t>roadly supported</w:t>
      </w:r>
      <w:r>
        <w:t xml:space="preserve"> by stakeholders</w:t>
      </w:r>
      <w:r w:rsidRPr="001D0238">
        <w:t xml:space="preserve">, particularly for rare diseases </w:t>
      </w:r>
      <w:r w:rsidR="0016123E">
        <w:t xml:space="preserve">and </w:t>
      </w:r>
      <w:r w:rsidRPr="001D0238">
        <w:t>medical devices</w:t>
      </w:r>
      <w:r w:rsidR="0016123E">
        <w:t xml:space="preserve"> where randomised controlled trials (RCTs) may not always be feasible.</w:t>
      </w:r>
      <w:r w:rsidR="00DF5C32">
        <w:t xml:space="preserve"> Stakeholders also mentioned the potential benefits of RWE in exploring biological sex-driven differences and other </w:t>
      </w:r>
      <w:r w:rsidR="002D5989">
        <w:t xml:space="preserve">potential </w:t>
      </w:r>
      <w:r w:rsidR="00DF5C32">
        <w:t>heath inequalities. However, they cautioned against using RWE to replace RCTs</w:t>
      </w:r>
      <w:r w:rsidR="00B24B86">
        <w:t xml:space="preserve"> due to the risk of bias</w:t>
      </w:r>
      <w:r w:rsidR="00DF5C32">
        <w:t xml:space="preserve">, noting that RWE </w:t>
      </w:r>
      <w:r w:rsidR="00B24B86">
        <w:t>and RCT evidence should never be naively compared.</w:t>
      </w:r>
    </w:p>
    <w:p w14:paraId="0D3932B9" w14:textId="0E28CC3A" w:rsidR="004345FB" w:rsidRDefault="00B24B86" w:rsidP="00E15EFB">
      <w:pPr>
        <w:pStyle w:val="NICEnormal"/>
      </w:pPr>
      <w:r>
        <w:t>S</w:t>
      </w:r>
      <w:r w:rsidR="004D0AA1">
        <w:t>takeholders</w:t>
      </w:r>
      <w:r w:rsidR="004D0AA1" w:rsidRPr="004D0AA1">
        <w:t xml:space="preserve"> felt that there has previously been little acceptance RWE by committees to demonstrate treatment effects and that a culture change is needed, perhaps through training or education. Stakeholders mentioned that the RWE Framework is focused on study design. While committees can assess evidence against these criteria to decide if the data is credible, </w:t>
      </w:r>
      <w:r w:rsidR="00650384">
        <w:t>stakeholders remain concerned</w:t>
      </w:r>
      <w:r w:rsidR="004D0AA1" w:rsidRPr="004D0AA1">
        <w:t xml:space="preserve"> that committees will view RWE inconsistently.</w:t>
      </w:r>
      <w:r w:rsidR="004345FB">
        <w:t xml:space="preserve"> </w:t>
      </w:r>
      <w:r w:rsidR="00650384">
        <w:t>They</w:t>
      </w:r>
      <w:r w:rsidR="004345FB" w:rsidRPr="004345FB">
        <w:t xml:space="preserve"> </w:t>
      </w:r>
      <w:r w:rsidR="005A6444">
        <w:t xml:space="preserve">suggested that the language in the updated manual should be strengthened to ensure that committees take RWE into account, particularly for ATMPs. </w:t>
      </w:r>
      <w:r w:rsidR="00CF28A6">
        <w:t>Stakeholders</w:t>
      </w:r>
      <w:r w:rsidR="005A6444">
        <w:t xml:space="preserve"> also </w:t>
      </w:r>
      <w:r w:rsidR="004345FB" w:rsidRPr="004345FB">
        <w:t xml:space="preserve">requested that </w:t>
      </w:r>
      <w:r w:rsidR="00432A1A">
        <w:t>the way</w:t>
      </w:r>
      <w:r w:rsidR="004345FB">
        <w:t xml:space="preserve"> committee</w:t>
      </w:r>
      <w:r w:rsidR="00432A1A">
        <w:t xml:space="preserve">s have interpreted and weighted differing findings from RCTs and RWE, and </w:t>
      </w:r>
      <w:r w:rsidR="003912FE">
        <w:t>the</w:t>
      </w:r>
      <w:r w:rsidR="00432A1A">
        <w:t xml:space="preserve"> impact </w:t>
      </w:r>
      <w:r w:rsidR="003912FE">
        <w:t xml:space="preserve">of RWE </w:t>
      </w:r>
      <w:r w:rsidR="00432A1A">
        <w:t>on decision making, should be clearly communicated.</w:t>
      </w:r>
    </w:p>
    <w:p w14:paraId="3BBB7D05" w14:textId="39214B19" w:rsidR="004D0AA1" w:rsidRDefault="004D0AA1" w:rsidP="00E15EFB">
      <w:pPr>
        <w:pStyle w:val="NICEnormal"/>
      </w:pPr>
      <w:r>
        <w:t>Stakeholders agreed that clarification</w:t>
      </w:r>
      <w:r w:rsidR="00432A1A">
        <w:t xml:space="preserve"> and further guidance</w:t>
      </w:r>
      <w:r>
        <w:t xml:space="preserve"> is needed regarding:</w:t>
      </w:r>
    </w:p>
    <w:p w14:paraId="3CE299FA" w14:textId="762E31B7" w:rsidR="004D0AA1" w:rsidRDefault="004D0AA1" w:rsidP="004D0AA1">
      <w:pPr>
        <w:pStyle w:val="NICEnormal"/>
        <w:numPr>
          <w:ilvl w:val="0"/>
          <w:numId w:val="45"/>
        </w:numPr>
      </w:pPr>
      <w:r>
        <w:t>T</w:t>
      </w:r>
      <w:r w:rsidRPr="004D0AA1">
        <w:t xml:space="preserve">he kinds of evidence included under RWE. For example, </w:t>
      </w:r>
      <w:r w:rsidR="0016123E">
        <w:t xml:space="preserve">retrospective versus prospective data, </w:t>
      </w:r>
      <w:r w:rsidR="00B24B86">
        <w:t xml:space="preserve">and </w:t>
      </w:r>
      <w:r w:rsidRPr="004D0AA1">
        <w:t>the role of patient experience data and data from other countries.</w:t>
      </w:r>
    </w:p>
    <w:p w14:paraId="0EE0DF82" w14:textId="77777777" w:rsidR="003912FE" w:rsidRDefault="004345FB" w:rsidP="004D0AA1">
      <w:pPr>
        <w:pStyle w:val="NICEnormal"/>
        <w:numPr>
          <w:ilvl w:val="0"/>
          <w:numId w:val="45"/>
        </w:numPr>
      </w:pPr>
      <w:r>
        <w:t>The d</w:t>
      </w:r>
      <w:r w:rsidR="004D0AA1" w:rsidRPr="004D0AA1">
        <w:t>ifferent levels of RWE</w:t>
      </w:r>
      <w:r w:rsidR="004D0AA1">
        <w:t>,</w:t>
      </w:r>
      <w:r w:rsidR="004D0AA1" w:rsidRPr="004D0AA1">
        <w:t xml:space="preserve"> and what constitutes sufficient quality evidence by what it is being used to demonstrate (</w:t>
      </w:r>
      <w:r w:rsidR="004D0AA1">
        <w:t>for example,</w:t>
      </w:r>
      <w:r w:rsidR="004D0AA1" w:rsidRPr="004D0AA1">
        <w:t xml:space="preserve"> comparative effectiveness </w:t>
      </w:r>
      <w:r>
        <w:t>compared with</w:t>
      </w:r>
      <w:r w:rsidR="004D0AA1" w:rsidRPr="004D0AA1">
        <w:t xml:space="preserve"> contextualisation)</w:t>
      </w:r>
      <w:r>
        <w:t>.</w:t>
      </w:r>
    </w:p>
    <w:p w14:paraId="1C32E64C" w14:textId="2F313C3E" w:rsidR="004D0AA1" w:rsidRDefault="004345FB" w:rsidP="004D0AA1">
      <w:pPr>
        <w:pStyle w:val="NICEnormal"/>
        <w:numPr>
          <w:ilvl w:val="0"/>
          <w:numId w:val="45"/>
        </w:numPr>
      </w:pPr>
      <w:r>
        <w:lastRenderedPageBreak/>
        <w:t>W</w:t>
      </w:r>
      <w:r w:rsidR="004D0AA1" w:rsidRPr="004D0AA1">
        <w:t>hat would be considered ‘high-quality RWE’ by technology type.</w:t>
      </w:r>
    </w:p>
    <w:p w14:paraId="0E344267" w14:textId="08CA5FE6" w:rsidR="00432A1A" w:rsidRDefault="00432A1A" w:rsidP="004D0AA1">
      <w:pPr>
        <w:pStyle w:val="NICEnormal"/>
        <w:numPr>
          <w:ilvl w:val="0"/>
          <w:numId w:val="45"/>
        </w:numPr>
      </w:pPr>
      <w:r>
        <w:t>U</w:t>
      </w:r>
      <w:r w:rsidRPr="00432A1A">
        <w:t>se cases, data standards, study design, statistical analysis including sensitivity analysis, evidence synthesis, and research governance</w:t>
      </w:r>
      <w:r>
        <w:t xml:space="preserve"> with respect to RWE</w:t>
      </w:r>
      <w:r w:rsidRPr="00432A1A">
        <w:t>.</w:t>
      </w:r>
      <w:r w:rsidR="003912FE">
        <w:t xml:space="preserve"> There was a suggestion that NICE could reference the </w:t>
      </w:r>
      <w:r w:rsidR="00BC25A5">
        <w:t>Food and Drug Administration (</w:t>
      </w:r>
      <w:r w:rsidR="00BC0902">
        <w:t>FDA</w:t>
      </w:r>
      <w:r w:rsidR="00BC25A5">
        <w:t>)</w:t>
      </w:r>
      <w:r w:rsidR="00BC0902">
        <w:t xml:space="preserve"> guidance on the use of RWE for how best to present this content.</w:t>
      </w:r>
    </w:p>
    <w:p w14:paraId="4932D01A" w14:textId="3CB468E9" w:rsidR="004345FB" w:rsidRDefault="00432A1A" w:rsidP="00E15EFB">
      <w:pPr>
        <w:pStyle w:val="NICEnormal"/>
        <w:numPr>
          <w:ilvl w:val="0"/>
          <w:numId w:val="45"/>
        </w:numPr>
      </w:pPr>
      <w:r>
        <w:t>T</w:t>
      </w:r>
      <w:r w:rsidRPr="00432A1A">
        <w:t xml:space="preserve">he circumstances when </w:t>
      </w:r>
      <w:r w:rsidR="003912FE">
        <w:t xml:space="preserve">the </w:t>
      </w:r>
      <w:r w:rsidRPr="00432A1A">
        <w:t>inclusion of non-RCT evidence in company submissions and</w:t>
      </w:r>
      <w:r w:rsidR="003912FE">
        <w:t>/or</w:t>
      </w:r>
      <w:r w:rsidRPr="00432A1A">
        <w:t xml:space="preserve"> evidence review group reports is warranted</w:t>
      </w:r>
      <w:r w:rsidR="00DF5C32">
        <w:t>, and the timeframe for this</w:t>
      </w:r>
      <w:r w:rsidRPr="00432A1A">
        <w:t>.</w:t>
      </w:r>
    </w:p>
    <w:p w14:paraId="61C1BEB5" w14:textId="08585AB5" w:rsidR="00E15EFB" w:rsidRDefault="00E15EFB" w:rsidP="00E15EFB">
      <w:pPr>
        <w:pStyle w:val="NICEnormal"/>
      </w:pPr>
      <w:r>
        <w:t>In addition to this</w:t>
      </w:r>
      <w:r w:rsidR="002A56BA">
        <w:t>, stakeholders considered that</w:t>
      </w:r>
      <w:r>
        <w:t xml:space="preserve"> t</w:t>
      </w:r>
      <w:r w:rsidRPr="001D0238">
        <w:t>he guidance on the use of different types of evidence must be clear</w:t>
      </w:r>
      <w:r w:rsidR="00B24B86">
        <w:t>,</w:t>
      </w:r>
      <w:r w:rsidRPr="001D0238">
        <w:t xml:space="preserve"> and robustly followed at all stages of decision making</w:t>
      </w:r>
      <w:r w:rsidR="00B24B86">
        <w:t>. This is</w:t>
      </w:r>
      <w:r w:rsidRPr="001D0238">
        <w:t xml:space="preserve"> from </w:t>
      </w:r>
      <w:r>
        <w:t>t</w:t>
      </w:r>
      <w:r w:rsidRPr="001D0238">
        <w:t xml:space="preserve">opic selection through to </w:t>
      </w:r>
      <w:r>
        <w:t>g</w:t>
      </w:r>
      <w:r w:rsidRPr="001D0238">
        <w:t>uidance development</w:t>
      </w:r>
      <w:r w:rsidR="003912FE">
        <w:t>.</w:t>
      </w:r>
    </w:p>
    <w:p w14:paraId="7370081F" w14:textId="59F4A071" w:rsidR="0016123E" w:rsidRDefault="0016123E" w:rsidP="00E15EFB">
      <w:pPr>
        <w:pStyle w:val="NICEnormal"/>
      </w:pPr>
      <w:r>
        <w:t xml:space="preserve">Some stakeholders, particularly </w:t>
      </w:r>
      <w:r w:rsidR="00DF5C32">
        <w:t>diagnostics companies and patient organisations, requested support from NICE in generating and/or gaining access to RWE.</w:t>
      </w:r>
    </w:p>
    <w:p w14:paraId="6F9690E1" w14:textId="5C706E35" w:rsidR="003503EB" w:rsidRDefault="003503EB" w:rsidP="003503EB">
      <w:pPr>
        <w:pStyle w:val="Heading3"/>
      </w:pPr>
      <w:bookmarkStart w:id="26" w:name="_Toc92957947"/>
      <w:r>
        <w:t>3.3.2</w:t>
      </w:r>
      <w:r>
        <w:tab/>
        <w:t>Costs</w:t>
      </w:r>
      <w:bookmarkEnd w:id="26"/>
    </w:p>
    <w:p w14:paraId="421BCCE1" w14:textId="14394887" w:rsidR="005B5444" w:rsidRDefault="007F658A" w:rsidP="007F658A">
      <w:pPr>
        <w:pStyle w:val="NICEnormal"/>
      </w:pPr>
      <w:r>
        <w:t>Feedback on th</w:t>
      </w:r>
      <w:r w:rsidR="00C9311D">
        <w:t>ese</w:t>
      </w:r>
      <w:r>
        <w:t xml:space="preserve"> proposal</w:t>
      </w:r>
      <w:r w:rsidR="00C9311D">
        <w:t>s</w:t>
      </w:r>
      <w:r>
        <w:t xml:space="preserve"> was generally neutral across stakeholder groups. Stakeholders supported the concept that prices should reflect as closely as possible that are paid in the NHS. </w:t>
      </w:r>
      <w:r w:rsidR="005B5444">
        <w:t>However</w:t>
      </w:r>
      <w:r w:rsidR="00384A00">
        <w:t>,</w:t>
      </w:r>
      <w:r w:rsidR="005B5444">
        <w:t xml:space="preserve"> there were concerns, particularly from stakeholders from industry, that this would result in a lack of transparency. </w:t>
      </w:r>
      <w:r w:rsidR="00CF28A6">
        <w:t>Stakeholders</w:t>
      </w:r>
      <w:r w:rsidR="005B5444">
        <w:t xml:space="preserve"> felt that prices should be nationally available, </w:t>
      </w:r>
      <w:r w:rsidR="00DE7818">
        <w:t xml:space="preserve">sufficiently </w:t>
      </w:r>
      <w:r w:rsidR="005B5444">
        <w:t>stable</w:t>
      </w:r>
      <w:r w:rsidR="00DE7818">
        <w:t xml:space="preserve"> over time, and should not change throughout the course of an appraisal. </w:t>
      </w:r>
      <w:r w:rsidR="00CF28A6">
        <w:t xml:space="preserve">They </w:t>
      </w:r>
      <w:r w:rsidR="009D4348">
        <w:t xml:space="preserve">requested that companies be provided with as much guidance as possible when confidential comparator prices are </w:t>
      </w:r>
      <w:proofErr w:type="gramStart"/>
      <w:r w:rsidR="009D4348">
        <w:t>taken into account</w:t>
      </w:r>
      <w:proofErr w:type="gramEnd"/>
      <w:r w:rsidR="00C9311D">
        <w:t xml:space="preserve"> in an appraisal</w:t>
      </w:r>
      <w:r w:rsidR="009D4348">
        <w:t xml:space="preserve">. </w:t>
      </w:r>
      <w:r w:rsidR="00DE7818">
        <w:t xml:space="preserve">There was general disagreement </w:t>
      </w:r>
      <w:r w:rsidR="00CF28A6">
        <w:t xml:space="preserve">among stakeholders </w:t>
      </w:r>
      <w:r w:rsidR="00DE7818">
        <w:t>with considering analyses based on the lowest and highest available</w:t>
      </w:r>
      <w:r w:rsidR="00BC25A5">
        <w:t xml:space="preserve"> Commercial Medicines Unit (</w:t>
      </w:r>
      <w:r w:rsidR="00DE7818">
        <w:t>CMU</w:t>
      </w:r>
      <w:r w:rsidR="00BC25A5">
        <w:t>)</w:t>
      </w:r>
      <w:r w:rsidR="00DE7818">
        <w:t xml:space="preserve"> prices, as it may inaccurately </w:t>
      </w:r>
      <w:r w:rsidR="00AF13DF">
        <w:t>bias</w:t>
      </w:r>
      <w:r w:rsidR="00DE7818">
        <w:t xml:space="preserve"> the cost-effectiveness results. </w:t>
      </w:r>
      <w:r w:rsidR="00C9311D">
        <w:t xml:space="preserve">If this is to be included, </w:t>
      </w:r>
      <w:r w:rsidR="001D147A">
        <w:t>stakeholders</w:t>
      </w:r>
      <w:r w:rsidR="00CF28A6">
        <w:t xml:space="preserve"> </w:t>
      </w:r>
      <w:r w:rsidR="00C9311D">
        <w:t xml:space="preserve">requested that an analysis of price distributions be done to assess the potential for bias. </w:t>
      </w:r>
      <w:r w:rsidR="00DE7818">
        <w:t xml:space="preserve">Stakeholders considered that the prices used should reflect known pricing </w:t>
      </w:r>
      <w:proofErr w:type="gramStart"/>
      <w:r w:rsidR="00DE7818">
        <w:t>dynamics;</w:t>
      </w:r>
      <w:proofErr w:type="gramEnd"/>
      <w:r w:rsidR="00DE7818">
        <w:t xml:space="preserve"> for example, loss of exclusivity. </w:t>
      </w:r>
      <w:r w:rsidR="009D4348">
        <w:t xml:space="preserve">There were also some comments on the </w:t>
      </w:r>
      <w:r w:rsidR="009D4348">
        <w:lastRenderedPageBreak/>
        <w:t xml:space="preserve">specific price sources mentioned in the draft manual. </w:t>
      </w:r>
      <w:proofErr w:type="gramStart"/>
      <w:r w:rsidR="009D4348">
        <w:t xml:space="preserve">In particular, </w:t>
      </w:r>
      <w:r w:rsidR="00CF28A6">
        <w:t>these</w:t>
      </w:r>
      <w:proofErr w:type="gramEnd"/>
      <w:r w:rsidR="00C9311D">
        <w:t xml:space="preserve"> noted that NICE should consider using </w:t>
      </w:r>
      <w:r w:rsidR="00BC25A5">
        <w:t>British National Formulary (</w:t>
      </w:r>
      <w:r w:rsidR="00C9311D">
        <w:t>BNF</w:t>
      </w:r>
      <w:r w:rsidR="00BC25A5">
        <w:t>)</w:t>
      </w:r>
      <w:r w:rsidR="00C9311D">
        <w:t xml:space="preserve"> or </w:t>
      </w:r>
      <w:r w:rsidR="00BC25A5" w:rsidRPr="00BC25A5">
        <w:t xml:space="preserve">Drugs and </w:t>
      </w:r>
      <w:r w:rsidR="00C8644A">
        <w:t>P</w:t>
      </w:r>
      <w:r w:rsidR="00BC25A5" w:rsidRPr="00BC25A5">
        <w:t xml:space="preserve">harmaceutical </w:t>
      </w:r>
      <w:r w:rsidR="00C8644A">
        <w:t>E</w:t>
      </w:r>
      <w:r w:rsidR="00BC25A5" w:rsidRPr="00BC25A5">
        <w:t xml:space="preserve">lectronic </w:t>
      </w:r>
      <w:r w:rsidR="00C8644A">
        <w:t>M</w:t>
      </w:r>
      <w:r w:rsidR="00BC25A5" w:rsidRPr="00BC25A5">
        <w:t xml:space="preserve">arket </w:t>
      </w:r>
      <w:r w:rsidR="00C8644A">
        <w:t>I</w:t>
      </w:r>
      <w:r w:rsidR="00BC25A5" w:rsidRPr="00BC25A5">
        <w:t xml:space="preserve">nformation </w:t>
      </w:r>
      <w:r w:rsidR="00C8644A">
        <w:t>T</w:t>
      </w:r>
      <w:r w:rsidR="00BC25A5" w:rsidRPr="00BC25A5">
        <w:t xml:space="preserve">ool </w:t>
      </w:r>
      <w:r w:rsidR="00BC25A5">
        <w:t>(</w:t>
      </w:r>
      <w:proofErr w:type="spellStart"/>
      <w:r w:rsidR="00C9311D">
        <w:t>eMIT</w:t>
      </w:r>
      <w:proofErr w:type="spellEnd"/>
      <w:r w:rsidR="00BC25A5">
        <w:t>)</w:t>
      </w:r>
      <w:r w:rsidR="00C9311D">
        <w:t xml:space="preserve"> prices rather than Drug Tariff prices for primary care drugs.</w:t>
      </w:r>
      <w:r w:rsidR="00F7223E">
        <w:t xml:space="preserve"> Stakeholders </w:t>
      </w:r>
      <w:r w:rsidR="001D147A">
        <w:t xml:space="preserve">also </w:t>
      </w:r>
      <w:r w:rsidR="00F7223E">
        <w:t>requested that guidance be provided to assist companies in identifying and prioritising the price sources to be used in submissions.</w:t>
      </w:r>
    </w:p>
    <w:p w14:paraId="6779F017" w14:textId="7AF38029" w:rsidR="00343D75" w:rsidRDefault="009D4348" w:rsidP="007F658A">
      <w:pPr>
        <w:pStyle w:val="NICEnormal"/>
      </w:pPr>
      <w:r>
        <w:t>Stakeholders</w:t>
      </w:r>
      <w:r w:rsidR="00343D75">
        <w:t xml:space="preserve"> agreed that there should be circumstances in which a particular cost is apportioned or adjusted. However, they felt that this should be part of the reference case in certain circumstances, such as for highly innovative or first-in-class technologies.</w:t>
      </w:r>
      <w:r w:rsidR="00A4430A">
        <w:t xml:space="preserve"> This was because they considered that committees rarely take non-reference case analyses into account during decision making.</w:t>
      </w:r>
    </w:p>
    <w:p w14:paraId="6040C8F5" w14:textId="2933813B" w:rsidR="003503EB" w:rsidRDefault="00CF28A6" w:rsidP="007F658A">
      <w:pPr>
        <w:pStyle w:val="NICEnormal"/>
      </w:pPr>
      <w:r>
        <w:t>Stakeholders requested clarity</w:t>
      </w:r>
      <w:r w:rsidR="00C9311D">
        <w:t xml:space="preserve"> on some aspects of the proposals. </w:t>
      </w:r>
      <w:r w:rsidR="00F7223E">
        <w:t xml:space="preserve">These </w:t>
      </w:r>
      <w:proofErr w:type="gramStart"/>
      <w:r w:rsidR="00F7223E">
        <w:t>include</w:t>
      </w:r>
      <w:r w:rsidR="00AF2BEE">
        <w:t>:</w:t>
      </w:r>
      <w:proofErr w:type="gramEnd"/>
      <w:r w:rsidR="00AF2BEE">
        <w:t xml:space="preserve"> what costs are included under </w:t>
      </w:r>
      <w:r w:rsidR="00C8644A">
        <w:t>Personal Social Services (</w:t>
      </w:r>
      <w:r w:rsidR="00AF2BEE">
        <w:t>PSS</w:t>
      </w:r>
      <w:r w:rsidR="00C8644A">
        <w:t>)</w:t>
      </w:r>
      <w:r w:rsidR="00AF2BEE">
        <w:t>;</w:t>
      </w:r>
      <w:r w:rsidR="00F7223E">
        <w:t xml:space="preserve"> how costs incurred outside of the </w:t>
      </w:r>
      <w:r w:rsidR="00C8644A">
        <w:t>National Health Service (</w:t>
      </w:r>
      <w:r w:rsidR="00F7223E">
        <w:t>NHS</w:t>
      </w:r>
      <w:r w:rsidR="00C8644A">
        <w:t>)</w:t>
      </w:r>
      <w:r w:rsidR="00F7223E">
        <w:t xml:space="preserve"> or PSS will factor into decision making</w:t>
      </w:r>
      <w:r w:rsidR="00AF2BEE">
        <w:t>;</w:t>
      </w:r>
      <w:r w:rsidR="00F7223E">
        <w:t xml:space="preserve"> and whether a submission would need a separate systematic review of costs. Stakeholders suggested that </w:t>
      </w:r>
      <w:r w:rsidR="00225F95">
        <w:t xml:space="preserve">non-reference case analyses that include costs outside of the NHS or PSS should be possible without necessarily needing agreement from the </w:t>
      </w:r>
      <w:r w:rsidR="00C8644A" w:rsidRPr="00C8644A">
        <w:t xml:space="preserve">Department of Health and Social Care </w:t>
      </w:r>
      <w:r w:rsidR="00C8644A">
        <w:t>(</w:t>
      </w:r>
      <w:r w:rsidR="00225F95">
        <w:t>DHSC</w:t>
      </w:r>
      <w:r w:rsidR="00C8644A">
        <w:t>)</w:t>
      </w:r>
      <w:r w:rsidR="00225F95">
        <w:t>.</w:t>
      </w:r>
      <w:r w:rsidR="00AF13DF">
        <w:t xml:space="preserve"> Stakeholders were also unclear why </w:t>
      </w:r>
      <w:r w:rsidR="00C8644A">
        <w:t>value-added tax (</w:t>
      </w:r>
      <w:r w:rsidR="00AF13DF">
        <w:t>VAT</w:t>
      </w:r>
      <w:r w:rsidR="00C8644A">
        <w:t>)</w:t>
      </w:r>
      <w:r w:rsidR="00AF13DF">
        <w:t xml:space="preserve"> should be excluded from economic evaluations</w:t>
      </w:r>
      <w:r w:rsidR="00A4430A">
        <w:t>.</w:t>
      </w:r>
      <w:r w:rsidR="00AF13DF">
        <w:t xml:space="preserve"> </w:t>
      </w:r>
      <w:r w:rsidR="00EF606F">
        <w:t xml:space="preserve">They noted that this </w:t>
      </w:r>
      <w:r w:rsidR="00AF13DF">
        <w:t xml:space="preserve">appears to contradict the aim of using prices reflecting those paid by the NHS, where VAT is often incurred. </w:t>
      </w:r>
    </w:p>
    <w:p w14:paraId="7DF983B1" w14:textId="2D80D0EB" w:rsidR="005C0CC8" w:rsidRPr="007F658A" w:rsidRDefault="00EF606F" w:rsidP="007F658A">
      <w:pPr>
        <w:pStyle w:val="NICEnormal"/>
      </w:pPr>
      <w:r>
        <w:t>S</w:t>
      </w:r>
      <w:r w:rsidR="005C0CC8">
        <w:t>ome comments relat</w:t>
      </w:r>
      <w:r>
        <w:t>ed</w:t>
      </w:r>
      <w:r w:rsidR="005C0CC8">
        <w:t xml:space="preserve"> specifically to diagnostics. </w:t>
      </w:r>
      <w:r>
        <w:t>Stakeholders</w:t>
      </w:r>
      <w:r w:rsidR="005C0CC8">
        <w:t xml:space="preserve"> noted that </w:t>
      </w:r>
      <w:r w:rsidR="00B85202">
        <w:t xml:space="preserve">further guidance </w:t>
      </w:r>
      <w:r w:rsidR="00A4430A">
        <w:t>i</w:t>
      </w:r>
      <w:r w:rsidR="00B85202">
        <w:t>s needed on how to include the costs of high-cost drugs recommended via a technology appraisal in the context of a diagnostic evaluation. The</w:t>
      </w:r>
      <w:r>
        <w:t>y also noted</w:t>
      </w:r>
      <w:r w:rsidR="00B85202">
        <w:t xml:space="preserve"> concern with using the prices submitted by the company in the absence of a published list price and price agreed by a national institution, because this may create inconsistencies. </w:t>
      </w:r>
      <w:r w:rsidR="00AF13DF">
        <w:t xml:space="preserve">Instead, </w:t>
      </w:r>
      <w:r>
        <w:t xml:space="preserve">they suggested </w:t>
      </w:r>
      <w:r w:rsidR="00B85202">
        <w:t>NICE should consider using the average cost per reportable test from a survey of laboratories.</w:t>
      </w:r>
    </w:p>
    <w:p w14:paraId="796F9DED" w14:textId="65B7557D" w:rsidR="003503EB" w:rsidRDefault="003503EB" w:rsidP="003503EB">
      <w:pPr>
        <w:pStyle w:val="Heading3"/>
      </w:pPr>
      <w:bookmarkStart w:id="27" w:name="_Toc92957948"/>
      <w:r>
        <w:lastRenderedPageBreak/>
        <w:t>3.3.3</w:t>
      </w:r>
      <w:r>
        <w:tab/>
        <w:t>Understanding and presenting uncertainty</w:t>
      </w:r>
      <w:bookmarkEnd w:id="27"/>
    </w:p>
    <w:p w14:paraId="30627E38" w14:textId="37DEB65C" w:rsidR="00B726BC" w:rsidRDefault="009846AD" w:rsidP="00B726BC">
      <w:pPr>
        <w:pStyle w:val="NICEnormal"/>
      </w:pPr>
      <w:r>
        <w:t xml:space="preserve">Most stakeholders supported </w:t>
      </w:r>
      <w:r w:rsidR="00C154B0">
        <w:t xml:space="preserve">these </w:t>
      </w:r>
      <w:r>
        <w:t>proposal</w:t>
      </w:r>
      <w:r w:rsidR="00C154B0">
        <w:t>s</w:t>
      </w:r>
      <w:r>
        <w:t>. The propos</w:t>
      </w:r>
      <w:r w:rsidR="00783DC0">
        <w:t xml:space="preserve">al to develop a </w:t>
      </w:r>
      <w:r>
        <w:t>visualisation framework was welcomed</w:t>
      </w:r>
      <w:r w:rsidR="00CF28A6">
        <w:t xml:space="preserve"> by stakeholders</w:t>
      </w:r>
      <w:r>
        <w:t xml:space="preserve">, and it was felt that incorporating stakeholder input into its design would be important. </w:t>
      </w:r>
      <w:r w:rsidR="009960D0">
        <w:t xml:space="preserve">Stakeholders requested that the </w:t>
      </w:r>
      <w:r w:rsidR="009960D0" w:rsidRPr="009960D0">
        <w:t>visualisation framework submission templates be ready at the same time as the updated manual</w:t>
      </w:r>
      <w:r w:rsidR="009960D0">
        <w:t>.</w:t>
      </w:r>
      <w:r w:rsidR="007E15BF">
        <w:t xml:space="preserve"> They also noted that </w:t>
      </w:r>
      <w:r w:rsidR="007E15BF" w:rsidRPr="007E15BF">
        <w:t>the visualisation framework should clearly group different types of uncertainty</w:t>
      </w:r>
      <w:r w:rsidR="002778D7">
        <w:t>. For example,</w:t>
      </w:r>
      <w:r w:rsidR="007E15BF" w:rsidRPr="007E15BF">
        <w:t xml:space="preserve"> those </w:t>
      </w:r>
      <w:r w:rsidR="002778D7">
        <w:t>that</w:t>
      </w:r>
      <w:r w:rsidR="007E15BF" w:rsidRPr="007E15BF">
        <w:t xml:space="preserve"> are inherent to </w:t>
      </w:r>
      <w:r w:rsidR="002778D7">
        <w:t>the technology</w:t>
      </w:r>
      <w:r w:rsidR="007E15BF" w:rsidRPr="007E15BF">
        <w:t xml:space="preserve"> or </w:t>
      </w:r>
      <w:r w:rsidR="002778D7">
        <w:t>are</w:t>
      </w:r>
      <w:r w:rsidR="007E15BF" w:rsidRPr="007E15BF">
        <w:t xml:space="preserve"> unavoidable, and </w:t>
      </w:r>
      <w:r w:rsidR="002778D7">
        <w:t>those that can be resolved.</w:t>
      </w:r>
    </w:p>
    <w:p w14:paraId="4557914C" w14:textId="465663CB" w:rsidR="00B726BC" w:rsidRDefault="00B726BC" w:rsidP="00B726BC">
      <w:pPr>
        <w:pStyle w:val="NICEnormal"/>
      </w:pPr>
      <w:r>
        <w:t xml:space="preserve">Stakeholders suggested that </w:t>
      </w:r>
      <w:r w:rsidR="009A30F9">
        <w:t>c</w:t>
      </w:r>
      <w:r>
        <w:t xml:space="preserve">ommittees </w:t>
      </w:r>
      <w:r w:rsidRPr="00184608">
        <w:t xml:space="preserve">should focus only on the key uncertainties driving the ICER, using clinically plausible estimates informed by clinical input. </w:t>
      </w:r>
      <w:r>
        <w:t>Stakeholders from i</w:t>
      </w:r>
      <w:r w:rsidRPr="00184608">
        <w:t>ndustry</w:t>
      </w:r>
      <w:r>
        <w:t xml:space="preserve"> </w:t>
      </w:r>
      <w:r w:rsidRPr="00184608">
        <w:t>highlighted the need for a more risk-neutral mindset</w:t>
      </w:r>
      <w:r>
        <w:t xml:space="preserve">, </w:t>
      </w:r>
      <w:r w:rsidRPr="00B726BC">
        <w:t>focusing on mid-point ICERs for decision making to split decision risk between the company and the NHS</w:t>
      </w:r>
      <w:r>
        <w:t xml:space="preserve">. </w:t>
      </w:r>
      <w:r w:rsidR="007F1A5E">
        <w:t>Stakeholders noted that t</w:t>
      </w:r>
      <w:r>
        <w:t xml:space="preserve">he 2019 </w:t>
      </w:r>
      <w:r w:rsidR="00783DC0">
        <w:t xml:space="preserve">Voluntary Scheme </w:t>
      </w:r>
      <w:r>
        <w:t>mitigates budget impact risk to the NHS, which should allow for greater emphasis on ‘best-case’ rather than ‘wors</w:t>
      </w:r>
      <w:r w:rsidR="00A4430A">
        <w:t>t</w:t>
      </w:r>
      <w:r>
        <w:t xml:space="preserve">-case’ scenarios. There was concern </w:t>
      </w:r>
      <w:r w:rsidR="00CF28A6">
        <w:t xml:space="preserve">among stakeholders </w:t>
      </w:r>
      <w:r>
        <w:t>that the methods as proposed may not encourage a risk-neutral mindset as they encourage exploration of all conceivable uncertainties.</w:t>
      </w:r>
      <w:r w:rsidR="00356FBB">
        <w:t xml:space="preserve"> </w:t>
      </w:r>
      <w:r w:rsidR="001D147A">
        <w:t>Stakeholders</w:t>
      </w:r>
      <w:r w:rsidR="00CF28A6">
        <w:t xml:space="preserve"> were also concerned</w:t>
      </w:r>
      <w:r w:rsidR="00356FBB">
        <w:t xml:space="preserve"> that the requested scenarios around duration of treatment effects may lead to unrealistic scenarios being presented to committee.</w:t>
      </w:r>
    </w:p>
    <w:p w14:paraId="56A71956" w14:textId="6CF0F275" w:rsidR="007E15BF" w:rsidRDefault="002778D7" w:rsidP="00B726BC">
      <w:pPr>
        <w:pStyle w:val="NICEnormal"/>
      </w:pPr>
      <w:r>
        <w:t>Stakeholders from industry</w:t>
      </w:r>
      <w:r w:rsidRPr="002778D7">
        <w:t xml:space="preserve"> highlighted the need to be pragmatic, and that running </w:t>
      </w:r>
      <w:r>
        <w:t>probabilistic sensitivity analyses</w:t>
      </w:r>
      <w:r w:rsidRPr="002778D7">
        <w:t xml:space="preserve"> for every scenario</w:t>
      </w:r>
      <w:r>
        <w:t xml:space="preserve"> or </w:t>
      </w:r>
      <w:r w:rsidRPr="002778D7">
        <w:t xml:space="preserve">uncertainty would be resource-intensive and potentially add little value. </w:t>
      </w:r>
      <w:r w:rsidR="006277DC">
        <w:t>They were concerned</w:t>
      </w:r>
      <w:r w:rsidRPr="002778D7">
        <w:t xml:space="preserve"> that this would contradict the proposal </w:t>
      </w:r>
      <w:r>
        <w:t>to accept</w:t>
      </w:r>
      <w:r w:rsidRPr="002778D7">
        <w:t xml:space="preserve"> greater uncertainty</w:t>
      </w:r>
      <w:r>
        <w:t xml:space="preserve"> in defined circumstances</w:t>
      </w:r>
      <w:r w:rsidRPr="002778D7">
        <w:t>, as probabilistic ICERs</w:t>
      </w:r>
      <w:r>
        <w:t xml:space="preserve"> are likely to be higher where there is greater uncertainty</w:t>
      </w:r>
      <w:r w:rsidRPr="002778D7">
        <w:t>.</w:t>
      </w:r>
      <w:r>
        <w:t xml:space="preserve"> </w:t>
      </w:r>
      <w:r w:rsidRPr="002778D7">
        <w:t>Academic</w:t>
      </w:r>
      <w:r>
        <w:t xml:space="preserve"> stakeholders</w:t>
      </w:r>
      <w:r w:rsidRPr="002778D7">
        <w:t xml:space="preserve"> cautioned that probabilistic sensitivity analyses ha</w:t>
      </w:r>
      <w:r>
        <w:t>ve</w:t>
      </w:r>
      <w:r w:rsidRPr="002778D7">
        <w:t xml:space="preserve"> limitations and can produce misleading results. </w:t>
      </w:r>
      <w:r w:rsidR="006277DC">
        <w:t>They advised that c</w:t>
      </w:r>
      <w:r w:rsidRPr="002778D7">
        <w:t xml:space="preserve">ommittee members should be given training in how to interpret these analyses, and additional guidance for model developers </w:t>
      </w:r>
      <w:r>
        <w:t xml:space="preserve">should be </w:t>
      </w:r>
      <w:r w:rsidRPr="002778D7">
        <w:t>provided</w:t>
      </w:r>
      <w:r>
        <w:t>.</w:t>
      </w:r>
    </w:p>
    <w:p w14:paraId="06516DE1" w14:textId="72926870" w:rsidR="005D0BFD" w:rsidRDefault="009960D0" w:rsidP="007E15BF">
      <w:pPr>
        <w:pStyle w:val="NICEnormal"/>
      </w:pPr>
      <w:r>
        <w:t>In general</w:t>
      </w:r>
      <w:r w:rsidR="002776CA">
        <w:t>,</w:t>
      </w:r>
      <w:r>
        <w:t xml:space="preserve"> </w:t>
      </w:r>
      <w:r w:rsidR="006277DC">
        <w:t>stakeholders agreed</w:t>
      </w:r>
      <w:r>
        <w:t xml:space="preserve"> with not adopting Expected Value of Perfect Information (EVPI) into the NICE methods.</w:t>
      </w:r>
    </w:p>
    <w:p w14:paraId="63C51F26" w14:textId="207E679A" w:rsidR="005D0BFD" w:rsidRDefault="005D0BFD" w:rsidP="00DA7D2E">
      <w:pPr>
        <w:pStyle w:val="Heading2"/>
      </w:pPr>
      <w:bookmarkStart w:id="28" w:name="_Toc92957949"/>
      <w:r>
        <w:lastRenderedPageBreak/>
        <w:t>3.4</w:t>
      </w:r>
      <w:r>
        <w:tab/>
        <w:t>Structured decision-making</w:t>
      </w:r>
      <w:bookmarkEnd w:id="28"/>
    </w:p>
    <w:p w14:paraId="2D3EB869" w14:textId="5210EF1E" w:rsidR="005D0BFD" w:rsidRDefault="005D0BFD" w:rsidP="005D0BFD">
      <w:pPr>
        <w:pStyle w:val="Heading3"/>
      </w:pPr>
      <w:bookmarkStart w:id="29" w:name="_Toc92957950"/>
      <w:r>
        <w:t>3.4.1</w:t>
      </w:r>
      <w:r>
        <w:tab/>
        <w:t>Net benefit approaches</w:t>
      </w:r>
      <w:bookmarkEnd w:id="29"/>
    </w:p>
    <w:p w14:paraId="34B2E9DC" w14:textId="7EF38255" w:rsidR="005D0BFD" w:rsidRPr="00F951EF" w:rsidRDefault="00F951EF" w:rsidP="00F951EF">
      <w:pPr>
        <w:pStyle w:val="NICEnormal"/>
      </w:pPr>
      <w:r w:rsidRPr="00F951EF">
        <w:t xml:space="preserve">Few comments were received in relation to this proposal. </w:t>
      </w:r>
      <w:r>
        <w:t>There was a request for clarity as to whether net benefits should be presented in submissions as standard.</w:t>
      </w:r>
    </w:p>
    <w:p w14:paraId="13561F68" w14:textId="6B39C180" w:rsidR="005D0BFD" w:rsidRDefault="005D0BFD" w:rsidP="005D0BFD">
      <w:pPr>
        <w:pStyle w:val="Heading3"/>
      </w:pPr>
      <w:bookmarkStart w:id="30" w:name="_Toc92957951"/>
      <w:r>
        <w:t>3.4.2</w:t>
      </w:r>
      <w:r>
        <w:tab/>
        <w:t>Subgroups</w:t>
      </w:r>
      <w:bookmarkEnd w:id="30"/>
    </w:p>
    <w:p w14:paraId="21C14D21" w14:textId="44839D7E" w:rsidR="005D0BFD" w:rsidRDefault="009A30F9" w:rsidP="00D905A9">
      <w:pPr>
        <w:pStyle w:val="NICEnormal"/>
      </w:pPr>
      <w:r>
        <w:t xml:space="preserve">There was strong disagreement </w:t>
      </w:r>
      <w:r w:rsidR="00783DC0">
        <w:t xml:space="preserve">from several stakeholders </w:t>
      </w:r>
      <w:r>
        <w:t xml:space="preserve">with the proposal that committees </w:t>
      </w:r>
      <w:r w:rsidR="00D905A9">
        <w:t>may choose not to recommend a technology for a particular subgroup for which the technology is not cost-effective</w:t>
      </w:r>
      <w:r w:rsidR="00B8149F">
        <w:t xml:space="preserve"> when the technology is found to be clinically and cost-effective for the whole population. </w:t>
      </w:r>
      <w:r w:rsidR="00783DC0">
        <w:t>These s</w:t>
      </w:r>
      <w:r w:rsidR="00B8149F">
        <w:t xml:space="preserve">takeholders considered that an optimised recommendation should only be possible if a technology was found to </w:t>
      </w:r>
      <w:r w:rsidR="003844DD">
        <w:t>not be cost effective for the whole population. They stated that the proposal appeared to be cost driven, and would cause ethical and equ</w:t>
      </w:r>
      <w:r w:rsidR="006E327F">
        <w:t>al</w:t>
      </w:r>
      <w:r w:rsidR="003844DD">
        <w:t xml:space="preserve">ity issues. </w:t>
      </w:r>
      <w:r w:rsidR="006277DC">
        <w:t>They were also</w:t>
      </w:r>
      <w:r w:rsidR="00DD3D0C">
        <w:t xml:space="preserve"> concern</w:t>
      </w:r>
      <w:r w:rsidR="006277DC">
        <w:t>ed</w:t>
      </w:r>
      <w:r w:rsidR="00DD3D0C">
        <w:t xml:space="preserve"> that it would lead to more optimised recommendations. Stakeholders noted that clinical trials are usually not powered for subgroups and so there would be greater uncertainty associated with the</w:t>
      </w:r>
      <w:r w:rsidR="0001050A">
        <w:t xml:space="preserve"> data</w:t>
      </w:r>
      <w:r w:rsidR="00DD3D0C">
        <w:t>. They</w:t>
      </w:r>
      <w:r w:rsidR="003844DD">
        <w:t xml:space="preserve"> also noted that the ICER represents the average cost effectiveness across the whole population, </w:t>
      </w:r>
      <w:r w:rsidR="00BF659A">
        <w:t xml:space="preserve">and so there </w:t>
      </w:r>
      <w:r w:rsidR="00DD3D0C">
        <w:t>should</w:t>
      </w:r>
      <w:r w:rsidR="00BF659A">
        <w:t xml:space="preserve"> be no reason to exclude some subgroups from the recommendation.</w:t>
      </w:r>
    </w:p>
    <w:p w14:paraId="76E4D40D" w14:textId="3F61EC4A" w:rsidR="00040E7B" w:rsidRPr="009A30F9" w:rsidRDefault="00040E7B" w:rsidP="00D905A9">
      <w:pPr>
        <w:pStyle w:val="NICEnormal"/>
      </w:pPr>
      <w:r>
        <w:t>Some stakeholders stressed that adjust</w:t>
      </w:r>
      <w:r w:rsidR="006776A4">
        <w:t>ing</w:t>
      </w:r>
      <w:r>
        <w:t xml:space="preserve"> utilities so that they do not exceed general population values at a given age should not mean </w:t>
      </w:r>
      <w:r w:rsidR="006776A4">
        <w:t>that committees make subgroup recommendations based on age.</w:t>
      </w:r>
    </w:p>
    <w:p w14:paraId="0CEBD810" w14:textId="7D04B63A" w:rsidR="005D0BFD" w:rsidRDefault="005D0BFD" w:rsidP="000831E8">
      <w:pPr>
        <w:pStyle w:val="Heading3"/>
      </w:pPr>
      <w:bookmarkStart w:id="31" w:name="_Toc92957952"/>
      <w:r>
        <w:t>3.4.3</w:t>
      </w:r>
      <w:r>
        <w:tab/>
        <w:t>Technologies which are not cost effective at low or £0 cost</w:t>
      </w:r>
      <w:bookmarkEnd w:id="31"/>
    </w:p>
    <w:p w14:paraId="27283125" w14:textId="0F66D58E" w:rsidR="005D0BFD" w:rsidRDefault="00DD3D0C" w:rsidP="002776CA">
      <w:pPr>
        <w:pStyle w:val="NICEnormal"/>
      </w:pPr>
      <w:r>
        <w:t xml:space="preserve">Stakeholders supported the </w:t>
      </w:r>
      <w:r w:rsidR="002776CA">
        <w:t>direction of the proposal, but felt that the wording should be strengthened. This was because they considered that non-reference case analyses are rarely considered by committees for decision making.</w:t>
      </w:r>
      <w:r w:rsidR="00716696">
        <w:t xml:space="preserve"> Either removing background care costs should be possible within the reference case, or another methodological solution may be needed. Suggestions included an approach in which value could be attributed between therapies, or allowing a higher ICER threshold.</w:t>
      </w:r>
    </w:p>
    <w:p w14:paraId="55520231" w14:textId="42F55B2B" w:rsidR="0001050A" w:rsidRDefault="002737A6" w:rsidP="002776CA">
      <w:pPr>
        <w:pStyle w:val="NICEnormal"/>
      </w:pPr>
      <w:r>
        <w:lastRenderedPageBreak/>
        <w:t>Another comment</w:t>
      </w:r>
      <w:r w:rsidR="0001050A">
        <w:t xml:space="preserve"> suggested that the proposal may be too broad, and was not justifiable. </w:t>
      </w:r>
      <w:r w:rsidR="006053DF">
        <w:t>The stakeholder noted that r</w:t>
      </w:r>
      <w:r w:rsidR="0001050A">
        <w:t>emoving background care costs entirely, rather than just reducing them, would be too favourable for the technology being appraised.</w:t>
      </w:r>
    </w:p>
    <w:p w14:paraId="1A717554" w14:textId="13645CCF" w:rsidR="00716696" w:rsidRPr="00DD3D0C" w:rsidRDefault="00716696" w:rsidP="002776CA">
      <w:pPr>
        <w:pStyle w:val="NICEnormal"/>
      </w:pPr>
      <w:r>
        <w:t xml:space="preserve">Stakeholders requested more guidance on combination therapies, as it was felt </w:t>
      </w:r>
      <w:r w:rsidR="00F460A9">
        <w:t xml:space="preserve">that the current appraisal process unfairly penalises them. </w:t>
      </w:r>
      <w:proofErr w:type="gramStart"/>
      <w:r w:rsidR="00F460A9">
        <w:t>In particular</w:t>
      </w:r>
      <w:r w:rsidR="00983D42">
        <w:t>, what</w:t>
      </w:r>
      <w:proofErr w:type="gramEnd"/>
      <w:r w:rsidR="00983D42">
        <w:t xml:space="preserve"> commercial solutions might be acceptable, and clarity on the status of the company manufacturing the </w:t>
      </w:r>
      <w:r w:rsidR="00E271A6">
        <w:t>partner therapy within the appraisal.</w:t>
      </w:r>
    </w:p>
    <w:p w14:paraId="22EAA393" w14:textId="23239F02" w:rsidR="005D0BFD" w:rsidRDefault="005D0BFD" w:rsidP="005D0BFD">
      <w:pPr>
        <w:pStyle w:val="Heading2"/>
      </w:pPr>
      <w:bookmarkStart w:id="32" w:name="_Toc92957953"/>
      <w:r>
        <w:t>3.5</w:t>
      </w:r>
      <w:r>
        <w:tab/>
        <w:t>Challenging technologies, conditions and evaluations</w:t>
      </w:r>
      <w:bookmarkEnd w:id="32"/>
    </w:p>
    <w:p w14:paraId="0E79D6A6" w14:textId="616A093E" w:rsidR="00904711" w:rsidRDefault="00F00B94" w:rsidP="00E15EFB">
      <w:pPr>
        <w:pStyle w:val="NICEnormal"/>
      </w:pPr>
      <w:r>
        <w:t xml:space="preserve">There was general </w:t>
      </w:r>
      <w:r w:rsidR="000216CC">
        <w:t xml:space="preserve">agreement, particularly from stakeholders from industry, that the proposals go some way to addressing the challenges for ATMPs. </w:t>
      </w:r>
      <w:r w:rsidR="00F4329A">
        <w:t xml:space="preserve">For example, allowing </w:t>
      </w:r>
      <w:r w:rsidR="000216CC">
        <w:t xml:space="preserve">increased flexibility in accepting greater uncertainty, different </w:t>
      </w:r>
      <w:r w:rsidR="00C8644A">
        <w:t>health-related quality of life (</w:t>
      </w:r>
      <w:r w:rsidR="000216CC">
        <w:t>HRQoL</w:t>
      </w:r>
      <w:r w:rsidR="00C8644A">
        <w:t>)</w:t>
      </w:r>
      <w:r w:rsidR="000216CC">
        <w:t xml:space="preserve"> measures, RWE, surrogate outcomes and apportioned costs. </w:t>
      </w:r>
      <w:r w:rsidR="00904711">
        <w:t>However, there was a perception</w:t>
      </w:r>
      <w:r w:rsidR="00D17A0C">
        <w:t xml:space="preserve"> from stakeholders</w:t>
      </w:r>
      <w:r w:rsidR="00904711">
        <w:t xml:space="preserve"> that t</w:t>
      </w:r>
      <w:r w:rsidR="00C8644A">
        <w:t>he proposals</w:t>
      </w:r>
      <w:r w:rsidR="00904711">
        <w:t xml:space="preserve"> </w:t>
      </w:r>
      <w:r w:rsidR="0052423C">
        <w:t>may be</w:t>
      </w:r>
      <w:r w:rsidR="00904711">
        <w:t xml:space="preserve"> insufficient to keep pace with scientific developments in this area.</w:t>
      </w:r>
      <w:r w:rsidR="0052423C">
        <w:t xml:space="preserve"> Stakeholders also reiterated the need for a modifier for rare disease.</w:t>
      </w:r>
    </w:p>
    <w:p w14:paraId="56CD918F" w14:textId="2D29DB9F" w:rsidR="000569AB" w:rsidRDefault="000216CC" w:rsidP="00E15EFB">
      <w:pPr>
        <w:pStyle w:val="NICEnormal"/>
      </w:pPr>
      <w:r>
        <w:t xml:space="preserve">The importance of committees </w:t>
      </w:r>
      <w:r w:rsidR="000569AB">
        <w:t xml:space="preserve">adhering to these proposals </w:t>
      </w:r>
      <w:r w:rsidR="0052423C">
        <w:t xml:space="preserve">around increased flexibility </w:t>
      </w:r>
      <w:r w:rsidR="000569AB">
        <w:t>during decision making was reiterated</w:t>
      </w:r>
      <w:r w:rsidR="00F4329A">
        <w:t xml:space="preserve"> by stakeholders</w:t>
      </w:r>
      <w:r w:rsidR="000569AB">
        <w:t xml:space="preserve">, </w:t>
      </w:r>
      <w:r w:rsidR="00F4329A">
        <w:t>who</w:t>
      </w:r>
      <w:r w:rsidR="00D17A0C">
        <w:t xml:space="preserve"> noted that training </w:t>
      </w:r>
      <w:r w:rsidR="000569AB">
        <w:t xml:space="preserve">may be required. </w:t>
      </w:r>
      <w:r w:rsidR="00D17A0C">
        <w:t>Stakeholders requested that the c</w:t>
      </w:r>
      <w:r w:rsidR="000569AB" w:rsidRPr="000569AB">
        <w:t xml:space="preserve">onsiderations of the limitations of the evidence base and </w:t>
      </w:r>
      <w:r w:rsidR="000569AB">
        <w:t xml:space="preserve">the </w:t>
      </w:r>
      <w:r w:rsidR="000569AB" w:rsidRPr="000569AB">
        <w:t xml:space="preserve">flexibilities applied be routinely recorded </w:t>
      </w:r>
      <w:r w:rsidR="000569AB">
        <w:t xml:space="preserve">in guidance documents </w:t>
      </w:r>
      <w:r w:rsidR="000569AB" w:rsidRPr="000569AB">
        <w:t>for ATMPs and treatments for rare diseases.</w:t>
      </w:r>
      <w:r w:rsidR="000569AB">
        <w:t xml:space="preserve"> </w:t>
      </w:r>
      <w:r w:rsidR="00D17A0C">
        <w:t xml:space="preserve">They also raised concerns </w:t>
      </w:r>
      <w:r w:rsidR="000569AB" w:rsidRPr="000569AB">
        <w:t xml:space="preserve">that the current manual wording may not go far enough to ensure committees </w:t>
      </w:r>
      <w:r w:rsidR="0052423C">
        <w:t>fully consider</w:t>
      </w:r>
      <w:r w:rsidR="000569AB" w:rsidRPr="000569AB">
        <w:t xml:space="preserve"> RWE for </w:t>
      </w:r>
      <w:r w:rsidR="000569AB">
        <w:t>challenging technologies</w:t>
      </w:r>
      <w:r w:rsidR="000569AB" w:rsidRPr="000569AB">
        <w:t xml:space="preserve">. </w:t>
      </w:r>
      <w:r w:rsidR="002737A6">
        <w:t xml:space="preserve">They noted that </w:t>
      </w:r>
      <w:r w:rsidR="00D17A0C">
        <w:t>t</w:t>
      </w:r>
      <w:r w:rsidR="000569AB">
        <w:t>he l</w:t>
      </w:r>
      <w:r w:rsidR="000569AB" w:rsidRPr="000569AB">
        <w:t xml:space="preserve">anguage </w:t>
      </w:r>
      <w:r w:rsidR="000569AB">
        <w:t>in</w:t>
      </w:r>
      <w:r w:rsidR="000569AB" w:rsidRPr="000569AB">
        <w:t xml:space="preserve"> the manual should be strengthened to </w:t>
      </w:r>
      <w:r w:rsidR="000569AB">
        <w:t>this effect</w:t>
      </w:r>
      <w:r w:rsidR="000569AB" w:rsidRPr="000569AB">
        <w:t>.</w:t>
      </w:r>
    </w:p>
    <w:p w14:paraId="275D7DE7" w14:textId="19D51B17" w:rsidR="000569AB" w:rsidRDefault="000569AB" w:rsidP="00E15EFB">
      <w:pPr>
        <w:pStyle w:val="NICEnormal"/>
      </w:pPr>
      <w:r>
        <w:t xml:space="preserve">As described in </w:t>
      </w:r>
      <w:hyperlink w:anchor="_3.2.5_Discounting" w:history="1">
        <w:r w:rsidRPr="00904711">
          <w:rPr>
            <w:rStyle w:val="Hyperlink"/>
          </w:rPr>
          <w:t>Section 3.2.5</w:t>
        </w:r>
      </w:hyperlink>
      <w:r>
        <w:t>, stakeholders disagreed with retaining the current discount rate</w:t>
      </w:r>
      <w:r w:rsidR="00904711">
        <w:t xml:space="preserve"> and considered that it will disadvantage ATMPs.</w:t>
      </w:r>
    </w:p>
    <w:p w14:paraId="62ABC853" w14:textId="31F2559C" w:rsidR="00904711" w:rsidRDefault="00904711" w:rsidP="00E15EFB">
      <w:pPr>
        <w:pStyle w:val="NICEnormal"/>
      </w:pPr>
      <w:r>
        <w:t xml:space="preserve">Stakeholders also considered that NICE should provide more detailed guidance on the different methodological approaches that can be used in sourcing and </w:t>
      </w:r>
      <w:r>
        <w:lastRenderedPageBreak/>
        <w:t xml:space="preserve">synthesising evidence for ATMPs. </w:t>
      </w:r>
      <w:r w:rsidR="0052423C">
        <w:t>This could be in the form of a technical support document.</w:t>
      </w:r>
    </w:p>
    <w:p w14:paraId="3407EF16" w14:textId="1CD1DAB7" w:rsidR="000569AB" w:rsidRDefault="0052423C" w:rsidP="00E15EFB">
      <w:pPr>
        <w:pStyle w:val="NICEnormal"/>
      </w:pPr>
      <w:r>
        <w:t>There was some disagreement among</w:t>
      </w:r>
      <w:r w:rsidR="002F2C68">
        <w:t>st</w:t>
      </w:r>
      <w:r>
        <w:t xml:space="preserve"> stakeholders as to whether it is appropriate to specify that </w:t>
      </w:r>
      <w:r w:rsidR="00863A4E">
        <w:t xml:space="preserve">basket trials should include relevant comparators. One stakeholder considered that this is an unrealistic expectation, while another felt that a basket trial could include a comparator arm with baskets as a stratification variable. There was also a concern </w:t>
      </w:r>
      <w:r w:rsidR="009902B4">
        <w:t xml:space="preserve">from stakeholders </w:t>
      </w:r>
      <w:r w:rsidR="00863A4E">
        <w:t xml:space="preserve">that there is currently a lack of understanding of and willingness to use </w:t>
      </w:r>
      <w:r w:rsidR="002737A6">
        <w:t>histology independent cancer</w:t>
      </w:r>
      <w:r w:rsidR="00863A4E">
        <w:t xml:space="preserve"> data sets by NICE. </w:t>
      </w:r>
      <w:r w:rsidR="009902B4">
        <w:t>They considered that m</w:t>
      </w:r>
      <w:r w:rsidR="00863A4E">
        <w:t xml:space="preserve">ore guidance is needed on how to </w:t>
      </w:r>
      <w:r w:rsidR="000940CB">
        <w:t>present them and their associated uncertaint</w:t>
      </w:r>
      <w:r w:rsidR="00D6451D">
        <w:t>ies</w:t>
      </w:r>
      <w:r w:rsidR="000940CB">
        <w:t xml:space="preserve"> to committees</w:t>
      </w:r>
      <w:r w:rsidR="00863A4E">
        <w:t>.</w:t>
      </w:r>
    </w:p>
    <w:p w14:paraId="22347B79" w14:textId="3269C24D" w:rsidR="005D0BFD" w:rsidRDefault="005D0BFD" w:rsidP="005D0BFD">
      <w:pPr>
        <w:pStyle w:val="Heading2"/>
      </w:pPr>
      <w:bookmarkStart w:id="33" w:name="_3.6_Aligning_methods"/>
      <w:bookmarkStart w:id="34" w:name="_Toc92957954"/>
      <w:bookmarkEnd w:id="33"/>
      <w:r>
        <w:t>3.6</w:t>
      </w:r>
      <w:r>
        <w:tab/>
        <w:t>Aligning methods across programmes</w:t>
      </w:r>
      <w:bookmarkEnd w:id="34"/>
    </w:p>
    <w:p w14:paraId="76DAF03A" w14:textId="47131ABB" w:rsidR="00464DC8" w:rsidRDefault="0062447A" w:rsidP="0062447A">
      <w:pPr>
        <w:pStyle w:val="NICEnormal"/>
      </w:pPr>
      <w:r>
        <w:t>There was general agreement</w:t>
      </w:r>
      <w:r w:rsidR="00D17A0C">
        <w:t xml:space="preserve"> among stakeholders</w:t>
      </w:r>
      <w:r>
        <w:t xml:space="preserve"> that aligning the methods across NICE’s programmes for health technology evaluation is sensible when it is appropriate. </w:t>
      </w:r>
      <w:r w:rsidR="00932B8B">
        <w:t xml:space="preserve">This is because it promotes fairness, and reduces the potential for subjectivity between individual committees. </w:t>
      </w:r>
      <w:r>
        <w:t>However, some stakeholders considered that the methods proposals ha</w:t>
      </w:r>
      <w:r w:rsidR="00932B8B">
        <w:t>ve</w:t>
      </w:r>
      <w:r>
        <w:t xml:space="preserve"> been </w:t>
      </w:r>
      <w:r w:rsidR="007252E2">
        <w:t xml:space="preserve">heavily influenced by the evaluation of medicines, rather than medical devices and diagnostics. It was felt that some challenges for the MTEP and DAP programmes had not been addressed by the update. As such, the update may widen the </w:t>
      </w:r>
      <w:r w:rsidR="00932B8B">
        <w:t xml:space="preserve">perceived </w:t>
      </w:r>
      <w:r w:rsidR="007252E2">
        <w:t>disparity between the programmes.</w:t>
      </w:r>
    </w:p>
    <w:p w14:paraId="6C1A00C1" w14:textId="39C06909" w:rsidR="007252E2" w:rsidRDefault="00932B8B" w:rsidP="0062447A">
      <w:pPr>
        <w:pStyle w:val="NICEnormal"/>
      </w:pPr>
      <w:r>
        <w:t xml:space="preserve">Ensuring consistency between committees and programmes was a key concern for stakeholders. </w:t>
      </w:r>
      <w:r w:rsidR="009902B4">
        <w:t>They</w:t>
      </w:r>
      <w:r>
        <w:t xml:space="preserve"> suggested that training be provided for all those involved in the appraisal process, and that a review be done of committee decision making after implementation of the updated methods. Such a review should be conducted in a transparent manner, with results made publicly available.</w:t>
      </w:r>
    </w:p>
    <w:p w14:paraId="1BFB9733" w14:textId="765D8DD1" w:rsidR="00506857" w:rsidRDefault="00506857" w:rsidP="0062447A">
      <w:pPr>
        <w:pStyle w:val="NICEnormal"/>
      </w:pPr>
      <w:r>
        <w:t xml:space="preserve">Stakeholders from industry </w:t>
      </w:r>
      <w:proofErr w:type="gramStart"/>
      <w:r>
        <w:t>in particular were</w:t>
      </w:r>
      <w:proofErr w:type="gramEnd"/>
      <w:r>
        <w:t xml:space="preserve"> opposed </w:t>
      </w:r>
      <w:r w:rsidR="006466D3">
        <w:t xml:space="preserve">to the proposed severity modifier </w:t>
      </w:r>
      <w:r w:rsidR="007E1A7E">
        <w:t xml:space="preserve">(see </w:t>
      </w:r>
      <w:hyperlink w:anchor="_3.2.1_Severity_of" w:history="1">
        <w:r w:rsidR="007E1A7E">
          <w:rPr>
            <w:rStyle w:val="Hyperlink"/>
          </w:rPr>
          <w:t>Section 3.2.1</w:t>
        </w:r>
      </w:hyperlink>
      <w:r w:rsidR="007E1A7E">
        <w:t xml:space="preserve">) </w:t>
      </w:r>
      <w:r w:rsidR="006466D3">
        <w:t xml:space="preserve">not being applied similarly for the MTEP or DAP programmes. They considered this decision had not been sufficiently justified, and that not applying it would lack the consistency that NICE is seeking to achieve. </w:t>
      </w:r>
      <w:r w:rsidR="00005C6D">
        <w:t xml:space="preserve">A </w:t>
      </w:r>
      <w:r w:rsidR="00005C6D">
        <w:lastRenderedPageBreak/>
        <w:t>different approach to the modifier may be needed that can be applied across all programmes.</w:t>
      </w:r>
      <w:r w:rsidR="009D15A3">
        <w:t xml:space="preserve"> </w:t>
      </w:r>
      <w:r w:rsidR="00F4329A">
        <w:t>Stakeholders</w:t>
      </w:r>
      <w:r w:rsidR="00005C6D">
        <w:t xml:space="preserve"> noted that diagnostics could prevent severe disease from developing, and in these circumstances future or potential severity could be evaluated.</w:t>
      </w:r>
    </w:p>
    <w:p w14:paraId="654825EB" w14:textId="0EE2D6C2" w:rsidR="00714E3D" w:rsidRDefault="00714E3D" w:rsidP="0062447A">
      <w:pPr>
        <w:pStyle w:val="NICEnormal"/>
      </w:pPr>
      <w:r>
        <w:t xml:space="preserve">Some stakeholders from industry disagreed with not using ICERs in the evaluation of medical technologies, as this introduces </w:t>
      </w:r>
      <w:r w:rsidR="000F4BE5">
        <w:t>in</w:t>
      </w:r>
      <w:r>
        <w:t>consistency.</w:t>
      </w:r>
    </w:p>
    <w:p w14:paraId="6ABE3060" w14:textId="5BC8ED7A" w:rsidR="00932B8B" w:rsidRDefault="00932B8B" w:rsidP="0062447A">
      <w:pPr>
        <w:pStyle w:val="NICEnormal"/>
      </w:pPr>
      <w:r>
        <w:t xml:space="preserve">A minority of stakeholders felt that aligning the methods across the programmes may not be </w:t>
      </w:r>
      <w:r w:rsidR="002324CB">
        <w:t>practical</w:t>
      </w:r>
      <w:r>
        <w:t xml:space="preserve"> or possible. The reasons cited for this were: the differences between disease areas makes it difficult to generalise modifiers; seeking alignment may come at the expense of a more nuanced or informative appraisal; and taking a one</w:t>
      </w:r>
      <w:r w:rsidR="00F12235">
        <w:t>-</w:t>
      </w:r>
      <w:r>
        <w:t>size</w:t>
      </w:r>
      <w:r w:rsidR="00F12235">
        <w:t>-</w:t>
      </w:r>
      <w:r>
        <w:t>fits</w:t>
      </w:r>
      <w:r w:rsidR="00F12235">
        <w:t>-</w:t>
      </w:r>
      <w:r>
        <w:t>all approach may unfairly penalise certain technologies</w:t>
      </w:r>
      <w:r w:rsidR="00F12235">
        <w:t>, particularly those for rare diseases</w:t>
      </w:r>
      <w:r>
        <w:t>.</w:t>
      </w:r>
    </w:p>
    <w:p w14:paraId="510F3476" w14:textId="37338414" w:rsidR="00D6451D" w:rsidRDefault="00D6451D" w:rsidP="0062447A">
      <w:pPr>
        <w:pStyle w:val="NICEnormal"/>
      </w:pPr>
      <w:r>
        <w:t xml:space="preserve">There was a comment </w:t>
      </w:r>
      <w:r w:rsidR="006C295F">
        <w:t>that the terminology around cost comparisons, cost-minimisation analysis and cost-consequence analysis should be clarified and harmonised.</w:t>
      </w:r>
    </w:p>
    <w:p w14:paraId="554F2C51" w14:textId="18207BE4" w:rsidR="00847137" w:rsidRDefault="00847137" w:rsidP="006D372B">
      <w:pPr>
        <w:pStyle w:val="Heading2"/>
      </w:pPr>
      <w:bookmarkStart w:id="35" w:name="_Toc92957955"/>
      <w:r>
        <w:t>3.7</w:t>
      </w:r>
      <w:r>
        <w:tab/>
        <w:t>Other comments</w:t>
      </w:r>
      <w:bookmarkEnd w:id="35"/>
    </w:p>
    <w:p w14:paraId="358DE705" w14:textId="592B54CB" w:rsidR="000831E8" w:rsidRDefault="000831E8" w:rsidP="000831E8">
      <w:pPr>
        <w:pStyle w:val="Heading3"/>
      </w:pPr>
      <w:bookmarkStart w:id="36" w:name="_Toc92957956"/>
      <w:r>
        <w:t>3.7.1</w:t>
      </w:r>
      <w:r>
        <w:tab/>
        <w:t>Health-related quality of life</w:t>
      </w:r>
      <w:bookmarkEnd w:id="36"/>
    </w:p>
    <w:p w14:paraId="313D9339" w14:textId="5BD5DB76" w:rsidR="00847137" w:rsidRDefault="00847137" w:rsidP="00847137">
      <w:pPr>
        <w:pStyle w:val="NICEnormal"/>
      </w:pPr>
      <w:r>
        <w:t xml:space="preserve">Stakeholders appreciated the hierarchy of HRQoL methods and the recognition that the EQ-5D may not always be the most appropriate measure, particularly in rare or severe diseases. </w:t>
      </w:r>
      <w:r w:rsidR="002516D4">
        <w:t xml:space="preserve">However, </w:t>
      </w:r>
      <w:r w:rsidR="005C2FF5">
        <w:t>they raised some drawbacks</w:t>
      </w:r>
      <w:r w:rsidR="002516D4">
        <w:t xml:space="preserve"> about the strict application of a hierarchy. For example, stakeholders felt that condition-specific measures may be preferable to other generic measures as the next step after the EQ-5D in some circumstances. More detail </w:t>
      </w:r>
      <w:r w:rsidR="00FA4125">
        <w:t xml:space="preserve">or a clear framework </w:t>
      </w:r>
      <w:r w:rsidR="002516D4">
        <w:t xml:space="preserve">on how to assess the </w:t>
      </w:r>
      <w:r w:rsidR="00FA4125">
        <w:t>appropriateness of the EQ-5D was requested</w:t>
      </w:r>
      <w:r w:rsidR="002F28FD">
        <w:t>, including the potential use of qualitative data</w:t>
      </w:r>
      <w:r w:rsidR="00FA4125">
        <w:t xml:space="preserve">. Stakeholders </w:t>
      </w:r>
      <w:r w:rsidR="00EE5093">
        <w:t>considered</w:t>
      </w:r>
      <w:r w:rsidR="00FA4125">
        <w:t xml:space="preserve"> that </w:t>
      </w:r>
      <w:r w:rsidR="002F28FD">
        <w:t>NICE’s requirements to demonstrate that the EQ-5D is inappropriate are too high, particularly for rare diseases or diseases where literature is sparse.</w:t>
      </w:r>
      <w:r w:rsidR="00FE58D1">
        <w:t xml:space="preserve"> </w:t>
      </w:r>
      <w:r w:rsidR="005C2FF5">
        <w:t>They</w:t>
      </w:r>
      <w:r w:rsidR="00FE58D1">
        <w:t xml:space="preserve"> also noted that the EQ-5D-3L value set is from 1993 and needs to be updated as soon as possible.</w:t>
      </w:r>
      <w:r w:rsidR="005A5246">
        <w:t xml:space="preserve"> Some stakeholders were </w:t>
      </w:r>
      <w:r w:rsidR="005A5246">
        <w:lastRenderedPageBreak/>
        <w:t>unclear as to whether a submission would require a systematic review of condition-associated utility values.</w:t>
      </w:r>
    </w:p>
    <w:p w14:paraId="6A75726E" w14:textId="2C7103F2" w:rsidR="0094016F" w:rsidRDefault="00FE0107" w:rsidP="00847137">
      <w:pPr>
        <w:pStyle w:val="NICEnormal"/>
      </w:pPr>
      <w:r>
        <w:t xml:space="preserve">There was general support </w:t>
      </w:r>
      <w:r w:rsidR="005C2FF5">
        <w:t xml:space="preserve">from stakeholders </w:t>
      </w:r>
      <w:r>
        <w:t xml:space="preserve">for not recommending specific HRQoL measures in children and young people. However, stakeholders </w:t>
      </w:r>
      <w:r w:rsidR="00EE5093">
        <w:t>a</w:t>
      </w:r>
      <w:r>
        <w:t>re keen to get clarity on timelines for future updates.</w:t>
      </w:r>
      <w:r w:rsidR="0094016F">
        <w:t xml:space="preserve"> Several patient organisations and pharmaceutical companies commented on the need to include carer HRQoL in the reference case. More detailed guidance was requested on carer quality of life, and timelines for future updates including research into </w:t>
      </w:r>
      <w:r w:rsidR="00EE5093">
        <w:t>its valuation</w:t>
      </w:r>
      <w:r w:rsidR="0094016F">
        <w:t>.</w:t>
      </w:r>
      <w:r w:rsidR="00FE58D1">
        <w:t xml:space="preserve"> Some comments advocat</w:t>
      </w:r>
      <w:r w:rsidR="00762746">
        <w:t>ed</w:t>
      </w:r>
      <w:r w:rsidR="00FE58D1">
        <w:t xml:space="preserve"> NICE consider HRQoL more broadly</w:t>
      </w:r>
      <w:r w:rsidR="005A5246">
        <w:t>, including non-clinical benefits</w:t>
      </w:r>
      <w:r w:rsidR="00FE58D1">
        <w:t>.</w:t>
      </w:r>
    </w:p>
    <w:p w14:paraId="351CBEA9" w14:textId="245E436E" w:rsidR="005A5246" w:rsidRDefault="005A5246" w:rsidP="005A5246">
      <w:pPr>
        <w:pStyle w:val="Heading3"/>
      </w:pPr>
      <w:bookmarkStart w:id="37" w:name="_Toc92957957"/>
      <w:r>
        <w:t>3.7.2</w:t>
      </w:r>
      <w:r>
        <w:tab/>
        <w:t>Surrogate outcomes</w:t>
      </w:r>
      <w:bookmarkEnd w:id="37"/>
    </w:p>
    <w:p w14:paraId="4F4D8D54" w14:textId="045F8059" w:rsidR="005A5246" w:rsidRDefault="00151A63" w:rsidP="00151A63">
      <w:pPr>
        <w:pStyle w:val="NICEnormal"/>
      </w:pPr>
      <w:r>
        <w:t xml:space="preserve">There was broad support </w:t>
      </w:r>
      <w:r w:rsidR="005C2FF5">
        <w:t xml:space="preserve">from stakeholders </w:t>
      </w:r>
      <w:r>
        <w:t>for allowing greater use of surrogate outcomes</w:t>
      </w:r>
      <w:r w:rsidR="003A6B42">
        <w:t>, but clearer guidance is needed on how they will be used in committee decision making</w:t>
      </w:r>
      <w:r>
        <w:t>. Stakeholders stated that flexibility needs to be applied by committees when considering the validation of surrogate outcomes, as demonstrating surrogate relationships with level 1 evidence (RCTs) is not always possible.</w:t>
      </w:r>
      <w:r w:rsidR="00D66495">
        <w:t xml:space="preserve"> This is particularly the case for rare diseases.</w:t>
      </w:r>
      <w:r>
        <w:t xml:space="preserve"> </w:t>
      </w:r>
      <w:r w:rsidR="005C2FF5">
        <w:t>Stakeholders considered that i</w:t>
      </w:r>
      <w:r>
        <w:t>n some circumstances clinical expert opinion may be the only feasible way to provide any validation beyond biological plausibility or the natural history of the disease.</w:t>
      </w:r>
      <w:r w:rsidR="003A6B42">
        <w:t xml:space="preserve"> </w:t>
      </w:r>
      <w:r w:rsidR="005C2FF5">
        <w:t>They stated that c</w:t>
      </w:r>
      <w:r w:rsidR="003A6B42">
        <w:t xml:space="preserve">ommittees could also consider accepting the surrogate outcome if it has already been validated for other populations or technology types. Stakeholders considered that committees should be provided with training or education on how to assess the acceptability of surrogate outcomes. </w:t>
      </w:r>
      <w:r w:rsidR="005C2FF5">
        <w:t xml:space="preserve">They noted that further </w:t>
      </w:r>
      <w:r w:rsidR="003A6B42">
        <w:t>guidance is also needed on the acceptability of surrogate outcomes in specific disease contexts, such as cancers with relatively long survival times.</w:t>
      </w:r>
    </w:p>
    <w:p w14:paraId="3B2C7DF2" w14:textId="26EFFDA3" w:rsidR="00D66495" w:rsidRDefault="00D66495" w:rsidP="00D66495">
      <w:pPr>
        <w:pStyle w:val="Heading3"/>
      </w:pPr>
      <w:bookmarkStart w:id="38" w:name="_Toc92957958"/>
      <w:r>
        <w:t>3.7.3</w:t>
      </w:r>
      <w:r>
        <w:tab/>
        <w:t xml:space="preserve">Qualitative </w:t>
      </w:r>
      <w:r w:rsidR="00ED42CF">
        <w:t xml:space="preserve">and quantitative </w:t>
      </w:r>
      <w:r>
        <w:t>data</w:t>
      </w:r>
      <w:bookmarkEnd w:id="38"/>
    </w:p>
    <w:p w14:paraId="40426AB9" w14:textId="1665C17E" w:rsidR="00D66495" w:rsidRDefault="00D66495" w:rsidP="00D66495">
      <w:pPr>
        <w:pStyle w:val="NICEnormal"/>
      </w:pPr>
      <w:r>
        <w:t>Stakeholders sought further guidance on how other forms of evidence will be incorporated into the appraisals process, including patient-reported outcomes measures, expert elicitation or Delphi studies, and patient preference studies. Academic stakeholders commented that there needs to be a clear differentiation between patient preference elicitation and qualitative data.</w:t>
      </w:r>
      <w:r w:rsidR="00681CD4">
        <w:t xml:space="preserve"> Stakeholders also felt that </w:t>
      </w:r>
      <w:r w:rsidR="00681CD4">
        <w:lastRenderedPageBreak/>
        <w:t>more detail is needed on appropriate statistical methods to support using a broader evidence base.</w:t>
      </w:r>
    </w:p>
    <w:p w14:paraId="0CC77948" w14:textId="58BCAC7B" w:rsidR="00D66495" w:rsidRPr="00D66495" w:rsidRDefault="00101018" w:rsidP="00D66495">
      <w:pPr>
        <w:pStyle w:val="NICEnormal"/>
      </w:pPr>
      <w:r>
        <w:t>A stakeholder from industry also commented</w:t>
      </w:r>
      <w:r w:rsidR="00D66495">
        <w:t xml:space="preserve"> that the same standards of eliciting clinical expert opinion should apply for the company, ERG and at the committee meeting. For example, in terms of the size of the sample.</w:t>
      </w:r>
    </w:p>
    <w:p w14:paraId="46E60908" w14:textId="32E9F904" w:rsidR="006D372B" w:rsidRDefault="006D372B" w:rsidP="006D372B">
      <w:pPr>
        <w:pStyle w:val="Heading2"/>
      </w:pPr>
      <w:bookmarkStart w:id="39" w:name="_Toc92957959"/>
      <w:r>
        <w:t>3.</w:t>
      </w:r>
      <w:r w:rsidR="00847137">
        <w:t>8</w:t>
      </w:r>
      <w:r>
        <w:tab/>
        <w:t>Equalities issues</w:t>
      </w:r>
      <w:bookmarkEnd w:id="39"/>
    </w:p>
    <w:p w14:paraId="4FCB9FB7" w14:textId="322E6464" w:rsidR="006D372B" w:rsidRDefault="006D372B" w:rsidP="006D372B">
      <w:pPr>
        <w:pStyle w:val="NICEnormal"/>
      </w:pPr>
      <w:r>
        <w:t xml:space="preserve">In relation to the modifier for severity of disease, stakeholders considered that the proposed </w:t>
      </w:r>
      <w:r w:rsidR="00FF3055">
        <w:t xml:space="preserve">cut-offs </w:t>
      </w:r>
      <w:r>
        <w:t xml:space="preserve">for absolute and proportional shortfall are imbalanced. </w:t>
      </w:r>
      <w:r w:rsidR="002737A6">
        <w:t xml:space="preserve">They felt that this </w:t>
      </w:r>
      <w:r>
        <w:t>make</w:t>
      </w:r>
      <w:r w:rsidR="00227A03">
        <w:t>s</w:t>
      </w:r>
      <w:r>
        <w:t xml:space="preserve"> it less likely that </w:t>
      </w:r>
      <w:r w:rsidR="005D07D7">
        <w:t>the elderly</w:t>
      </w:r>
      <w:r>
        <w:t xml:space="preserve"> would qualify for the QALY weighting. </w:t>
      </w:r>
      <w:r w:rsidR="00227A03">
        <w:t xml:space="preserve">Conversely, one stakeholder noted that using discounted results for the QALY shortfall calculations would be biased against </w:t>
      </w:r>
      <w:r w:rsidR="005D07D7">
        <w:t>the young</w:t>
      </w:r>
      <w:r w:rsidR="00227A03">
        <w:t>.</w:t>
      </w:r>
    </w:p>
    <w:p w14:paraId="66C3F644" w14:textId="41EF0AED" w:rsidR="00133DCB" w:rsidRDefault="008354D6" w:rsidP="006D372B">
      <w:pPr>
        <w:pStyle w:val="NICEnormal"/>
      </w:pPr>
      <w:r>
        <w:t xml:space="preserve">Although not a protected characteristic under the Equality Act 2010, the </w:t>
      </w:r>
      <w:r w:rsidR="00133DCB">
        <w:t>requirement for the highest standard possible of evidence generation to be achieved was considered to discriminate against rare diseases.</w:t>
      </w:r>
      <w:r w:rsidR="005D07D7">
        <w:t xml:space="preserve"> Stakeholders also noted that people with rare disease </w:t>
      </w:r>
      <w:r w:rsidR="00F12235">
        <w:t xml:space="preserve">have inequitable access to treatments, and reiterated the need for a rarity modifier to bridge the perceived ‘gap’ between TA and HST. However, stakeholders acknowledged that </w:t>
      </w:r>
      <w:r w:rsidR="00940133">
        <w:t>the additional guidance on the use of RWE would help to address the data collection challenges in these populations.</w:t>
      </w:r>
    </w:p>
    <w:p w14:paraId="2BBC49B8" w14:textId="60B10C58" w:rsidR="00F12235" w:rsidRDefault="006E327F" w:rsidP="006D372B">
      <w:pPr>
        <w:pStyle w:val="NICEnormal"/>
      </w:pPr>
      <w:r>
        <w:t>T</w:t>
      </w:r>
      <w:r w:rsidRPr="006E327F">
        <w:t>he proposal that committees may choose not to recommend a technology for a particular subgroup for which the technology is not cost-effective even when the technology is found to be clinically and cost-effective for the whole population</w:t>
      </w:r>
      <w:r>
        <w:t xml:space="preserve"> was thought to unnecessarily restrict access and increase inequalities amongst patient populations.</w:t>
      </w:r>
    </w:p>
    <w:p w14:paraId="03337D57" w14:textId="6934F255" w:rsidR="00717BFB" w:rsidRDefault="00717BFB" w:rsidP="00717BFB">
      <w:pPr>
        <w:pStyle w:val="Heading2"/>
      </w:pPr>
      <w:bookmarkStart w:id="40" w:name="_Toc92957960"/>
      <w:r>
        <w:t>3.</w:t>
      </w:r>
      <w:r w:rsidR="00847137">
        <w:t>9</w:t>
      </w:r>
      <w:r>
        <w:tab/>
        <w:t>Impact</w:t>
      </w:r>
      <w:bookmarkEnd w:id="40"/>
    </w:p>
    <w:p w14:paraId="449D6331" w14:textId="43012234" w:rsidR="00717BFB" w:rsidRDefault="0090688D" w:rsidP="00717BFB">
      <w:pPr>
        <w:pStyle w:val="NICEnormal"/>
      </w:pPr>
      <w:r>
        <w:t>S</w:t>
      </w:r>
      <w:r w:rsidR="00761F3E">
        <w:t xml:space="preserve">takeholders were concerned that the </w:t>
      </w:r>
      <w:r w:rsidR="0069297A">
        <w:t xml:space="preserve">proposed severity modifier would reduce patient access to new treatments compared with end of life. This was because they considered that few treatments would qualify for the highest QALY weighting, and </w:t>
      </w:r>
      <w:r w:rsidR="0069297A">
        <w:lastRenderedPageBreak/>
        <w:t>the middle tier weighting would not be sufficient to make a meaningful difference to decision making.</w:t>
      </w:r>
    </w:p>
    <w:p w14:paraId="1D8A0EB1" w14:textId="604CBA2A" w:rsidR="0090688D" w:rsidRDefault="008354D6" w:rsidP="00717BFB">
      <w:pPr>
        <w:pStyle w:val="NICEnormal"/>
      </w:pPr>
      <w:r>
        <w:t>Stakeholders</w:t>
      </w:r>
      <w:r w:rsidR="0090688D">
        <w:t xml:space="preserve"> considered that r</w:t>
      </w:r>
      <w:r w:rsidR="0090688D" w:rsidRPr="0090688D">
        <w:t>etaining the current discount rate could hinder innovation, specifically for treatments with high up</w:t>
      </w:r>
      <w:r w:rsidR="0090688D">
        <w:t>-</w:t>
      </w:r>
      <w:r w:rsidR="0090688D" w:rsidRPr="0090688D">
        <w:t xml:space="preserve">front costs and benefits realised over a long-time horizon, such as </w:t>
      </w:r>
      <w:r w:rsidR="0090688D">
        <w:t>ATMPs.</w:t>
      </w:r>
    </w:p>
    <w:p w14:paraId="62BF2D4D" w14:textId="4F91BAC1" w:rsidR="00B46B70" w:rsidRDefault="00B46B70" w:rsidP="00717BFB">
      <w:pPr>
        <w:pStyle w:val="NICEnormal"/>
      </w:pPr>
      <w:r>
        <w:t xml:space="preserve">There were some comments about the increased workload </w:t>
      </w:r>
      <w:r w:rsidR="00E82A3E">
        <w:t xml:space="preserve">that would be placed on companies by some of the proposals. For example, the preference for probabilistic analysis and </w:t>
      </w:r>
      <w:r w:rsidR="0090688D">
        <w:t>requirement to not use filters for diagnostic studies during systematic literature reviews.</w:t>
      </w:r>
    </w:p>
    <w:p w14:paraId="24B65ED9" w14:textId="6CD7C6B3" w:rsidR="002E089D" w:rsidRDefault="002E089D" w:rsidP="002E089D">
      <w:pPr>
        <w:pStyle w:val="Heading2"/>
      </w:pPr>
      <w:bookmarkStart w:id="41" w:name="_Toc92957961"/>
      <w:r>
        <w:t>3.</w:t>
      </w:r>
      <w:r w:rsidR="00847137">
        <w:t>10</w:t>
      </w:r>
      <w:r>
        <w:tab/>
        <w:t>Further research</w:t>
      </w:r>
      <w:bookmarkEnd w:id="41"/>
    </w:p>
    <w:p w14:paraId="1B1C80E9" w14:textId="71E1C7DF" w:rsidR="002E089D" w:rsidRDefault="002E089D" w:rsidP="002E089D">
      <w:pPr>
        <w:pStyle w:val="NICEnormal"/>
      </w:pPr>
      <w:r>
        <w:t>NICE Listens was suggested as a good way of understanding the views of the public relating to several proposals, such as severity of disease, discounting and health inequalities.</w:t>
      </w:r>
    </w:p>
    <w:p w14:paraId="7DBDA62D" w14:textId="2655553A" w:rsidR="002E089D" w:rsidRDefault="00167DA8" w:rsidP="002E089D">
      <w:pPr>
        <w:pStyle w:val="NICEnormal"/>
      </w:pPr>
      <w:r>
        <w:t xml:space="preserve">Stakeholders agreed that research into the societal perspective on disease severity is important, and should be prioritised. </w:t>
      </w:r>
      <w:r w:rsidR="008354D6">
        <w:t>One stakeholder</w:t>
      </w:r>
      <w:r>
        <w:t xml:space="preserve"> suggested that this research should:</w:t>
      </w:r>
    </w:p>
    <w:p w14:paraId="2563B85F" w14:textId="63504A35" w:rsidR="00167DA8" w:rsidRDefault="00A874E1" w:rsidP="00167DA8">
      <w:pPr>
        <w:pStyle w:val="NICEnormal"/>
        <w:numPr>
          <w:ilvl w:val="0"/>
          <w:numId w:val="35"/>
        </w:numPr>
      </w:pPr>
      <w:r>
        <w:t xml:space="preserve">Be led by a research consortium with investigators from a range of UK-based institutions, guided by </w:t>
      </w:r>
      <w:r w:rsidR="008354D6">
        <w:t>a steering group containing academic and policy experts from a range of institutions internationally</w:t>
      </w:r>
      <w:r>
        <w:t>.</w:t>
      </w:r>
    </w:p>
    <w:p w14:paraId="6BCF1533" w14:textId="020E5F33" w:rsidR="00A874E1" w:rsidRDefault="00A874E1" w:rsidP="00167DA8">
      <w:pPr>
        <w:pStyle w:val="NICEnormal"/>
        <w:numPr>
          <w:ilvl w:val="0"/>
          <w:numId w:val="35"/>
        </w:numPr>
      </w:pPr>
      <w:r>
        <w:t>Determine the scores that are considered ‘severe’ on the 2 proposed measures of QALY shortfall, to define the cut-off points. NICE should consider whether these may be different for the patient, caregiver and the wider public.</w:t>
      </w:r>
    </w:p>
    <w:p w14:paraId="7E971118" w14:textId="7A5EE260" w:rsidR="00A874E1" w:rsidRDefault="00A874E1" w:rsidP="00167DA8">
      <w:pPr>
        <w:pStyle w:val="NICEnormal"/>
        <w:numPr>
          <w:ilvl w:val="0"/>
          <w:numId w:val="35"/>
        </w:numPr>
      </w:pPr>
      <w:r>
        <w:t>Assess the strength of societal preferences for different levels and types of severity, which can be translated into QALY weights.</w:t>
      </w:r>
    </w:p>
    <w:p w14:paraId="251F7AD5" w14:textId="18161E32" w:rsidR="00A874E1" w:rsidRDefault="00A874E1" w:rsidP="00167DA8">
      <w:pPr>
        <w:pStyle w:val="NICEnormal"/>
        <w:numPr>
          <w:ilvl w:val="0"/>
          <w:numId w:val="35"/>
        </w:numPr>
      </w:pPr>
      <w:r>
        <w:t>Explore whether the approach propo</w:t>
      </w:r>
      <w:r w:rsidR="00047A84">
        <w:t xml:space="preserve">sed by </w:t>
      </w:r>
      <w:r w:rsidR="00047A84" w:rsidRPr="00047A84">
        <w:t>Lakdawalla and Phelps (20</w:t>
      </w:r>
      <w:r w:rsidR="00C94E12">
        <w:t>20) o</w:t>
      </w:r>
      <w:r w:rsidR="00047A84">
        <w:t>f using measures of citizen risk aversion to serious loss of health, could offer another route into assessing severity.</w:t>
      </w:r>
    </w:p>
    <w:p w14:paraId="4C986063" w14:textId="5702A05A" w:rsidR="00DB065F" w:rsidRDefault="00DB065F" w:rsidP="00047A84">
      <w:pPr>
        <w:pStyle w:val="NICEnormal"/>
      </w:pPr>
      <w:r>
        <w:lastRenderedPageBreak/>
        <w:t xml:space="preserve">With respect to </w:t>
      </w:r>
      <w:r w:rsidR="00292B21">
        <w:t xml:space="preserve">the </w:t>
      </w:r>
      <w:r>
        <w:t>health inequalities</w:t>
      </w:r>
      <w:r w:rsidR="00292B21">
        <w:t xml:space="preserve"> modifier</w:t>
      </w:r>
      <w:r>
        <w:t xml:space="preserve">, stakeholders reiterated the importance of </w:t>
      </w:r>
      <w:r w:rsidR="00292B21">
        <w:t xml:space="preserve">consulting with people from a diverse array of backgrounds in its development. </w:t>
      </w:r>
      <w:r w:rsidR="00F86AA1">
        <w:t xml:space="preserve">They noted that ideally </w:t>
      </w:r>
      <w:r w:rsidR="00292B21">
        <w:t>any future research should identify potential quantitative approaches that will ensure the modifier is applied transparently and fairly. It should also distinguish inequalities relevant to a health technology appraisal from all possible inequalities. Stakeholders felt that a balance of speed and robustness is needed for any future research in this area.</w:t>
      </w:r>
    </w:p>
    <w:p w14:paraId="18ACDDDE" w14:textId="193A0712" w:rsidR="006F3478" w:rsidRDefault="00F86AA1" w:rsidP="00047A84">
      <w:pPr>
        <w:pStyle w:val="NICEnormal"/>
      </w:pPr>
      <w:r>
        <w:t>Stakeholders</w:t>
      </w:r>
      <w:r w:rsidR="00292B21">
        <w:t xml:space="preserve"> suggested that NICE look into the work done by Health Technology Assessment International (</w:t>
      </w:r>
      <w:proofErr w:type="spellStart"/>
      <w:r w:rsidR="00292B21">
        <w:t>HTAi</w:t>
      </w:r>
      <w:proofErr w:type="spellEnd"/>
      <w:r w:rsidR="00292B21">
        <w:t xml:space="preserve">) </w:t>
      </w:r>
      <w:r w:rsidR="006F3478">
        <w:t>in order to align with industry best practice on analysing and measuring uncertainty.</w:t>
      </w:r>
      <w:r w:rsidR="003C5727">
        <w:t xml:space="preserve"> </w:t>
      </w:r>
      <w:r>
        <w:t>They</w:t>
      </w:r>
      <w:r w:rsidR="003C5727">
        <w:t xml:space="preserve"> also suggested that NICE should work with industry, academia and the Government to establish a robust evidence base for surrogate markers of overall survival.</w:t>
      </w:r>
    </w:p>
    <w:p w14:paraId="315E5054" w14:textId="5BA09DE7" w:rsidR="002E089D" w:rsidRDefault="002E089D" w:rsidP="002E089D">
      <w:pPr>
        <w:pStyle w:val="Heading2"/>
      </w:pPr>
      <w:bookmarkStart w:id="42" w:name="_Toc92957962"/>
      <w:r>
        <w:t>3.1</w:t>
      </w:r>
      <w:r w:rsidR="00847137">
        <w:t>1</w:t>
      </w:r>
      <w:r>
        <w:tab/>
        <w:t>Limitations</w:t>
      </w:r>
      <w:bookmarkEnd w:id="42"/>
    </w:p>
    <w:p w14:paraId="64DFE603" w14:textId="77777777" w:rsidR="002E089D" w:rsidRDefault="002E089D" w:rsidP="002E089D">
      <w:pPr>
        <w:pStyle w:val="NICEnormal"/>
      </w:pPr>
      <w:r>
        <w:t>There were limitations associated with categorising and interpreting stakeholders’ comments given the time and resource constraints.</w:t>
      </w:r>
    </w:p>
    <w:p w14:paraId="7C87F11B" w14:textId="77777777" w:rsidR="002E089D" w:rsidRPr="005418DD" w:rsidRDefault="002E089D" w:rsidP="002E089D">
      <w:pPr>
        <w:pStyle w:val="NICEnormal"/>
      </w:pPr>
      <w:r>
        <w:t>S</w:t>
      </w:r>
      <w:r w:rsidRPr="005418DD">
        <w:t xml:space="preserve">ome stakeholders appeared to have grouped together and submitted multiple responses with identical statements. In some cases, the wording </w:t>
      </w:r>
      <w:r>
        <w:t>was</w:t>
      </w:r>
      <w:r w:rsidRPr="005418DD">
        <w:t xml:space="preserve"> changed slightly but very similar points </w:t>
      </w:r>
      <w:r>
        <w:t xml:space="preserve">were made. </w:t>
      </w:r>
      <w:r w:rsidRPr="005418DD">
        <w:t xml:space="preserve">Therefore, any interpretation of the </w:t>
      </w:r>
      <w:r>
        <w:t>quantitative results</w:t>
      </w:r>
      <w:r w:rsidRPr="005418DD">
        <w:t xml:space="preserve"> should be treated with caution.</w:t>
      </w:r>
    </w:p>
    <w:p w14:paraId="48B56778" w14:textId="4345C5AB" w:rsidR="002E089D" w:rsidRPr="002E089D" w:rsidRDefault="00C94E12" w:rsidP="002E089D">
      <w:pPr>
        <w:pStyle w:val="NICEnormal"/>
      </w:pPr>
      <w:r>
        <w:t xml:space="preserve">Industry was strongly represented within </w:t>
      </w:r>
      <w:r w:rsidR="00FF3055">
        <w:t xml:space="preserve">the sample </w:t>
      </w:r>
      <w:r w:rsidR="002E089D">
        <w:t>(44%</w:t>
      </w:r>
      <w:r w:rsidR="00FF3055">
        <w:t xml:space="preserve"> of respondents</w:t>
      </w:r>
      <w:r w:rsidR="002E089D">
        <w:t>), with relatively few responses from some stakeholder groups (for example, academia at 6%</w:t>
      </w:r>
      <w:r w:rsidR="00B46C9E">
        <w:t xml:space="preserve"> of </w:t>
      </w:r>
      <w:r w:rsidR="00FF3055">
        <w:t>respondents</w:t>
      </w:r>
      <w:r w:rsidR="002E089D">
        <w:t>).</w:t>
      </w:r>
    </w:p>
    <w:p w14:paraId="60AE8327" w14:textId="5E6C00BD" w:rsidR="00464DC8" w:rsidRDefault="002F0F51" w:rsidP="00464DC8">
      <w:pPr>
        <w:pStyle w:val="Heading1"/>
        <w:rPr>
          <w:sz w:val="40"/>
          <w:szCs w:val="40"/>
          <w:lang w:eastAsia="en-US"/>
        </w:rPr>
      </w:pPr>
      <w:bookmarkStart w:id="43" w:name="_Toc92957963"/>
      <w:r>
        <w:rPr>
          <w:sz w:val="40"/>
          <w:szCs w:val="40"/>
          <w:lang w:eastAsia="en-US"/>
        </w:rPr>
        <w:t>4</w:t>
      </w:r>
      <w:r w:rsidR="00464DC8" w:rsidRPr="00464DC8">
        <w:rPr>
          <w:sz w:val="40"/>
          <w:szCs w:val="40"/>
          <w:lang w:eastAsia="en-US"/>
        </w:rPr>
        <w:tab/>
      </w:r>
      <w:r w:rsidR="002E089D">
        <w:rPr>
          <w:sz w:val="40"/>
          <w:szCs w:val="40"/>
          <w:lang w:eastAsia="en-US"/>
        </w:rPr>
        <w:t>Conclusion</w:t>
      </w:r>
      <w:bookmarkEnd w:id="43"/>
    </w:p>
    <w:p w14:paraId="5AEE8164" w14:textId="7B425165" w:rsidR="00E742E0" w:rsidRDefault="00E742E0" w:rsidP="00E742E0">
      <w:pPr>
        <w:pStyle w:val="NICEnormal"/>
      </w:pPr>
      <w:r>
        <w:t xml:space="preserve">In general, stakeholders broadly agreed with the principles behind most of the proposals. They welcomed the proposals around accepting greater uncertainty, improving the guidance on real-world evidence, and considering health inequalities. However, many stakeholders opposed retaining the current reference discount rate, and had some methodological concerns with the proposed severity modifier. There </w:t>
      </w:r>
      <w:r>
        <w:lastRenderedPageBreak/>
        <w:t>remains a strong desire for a modifier for rare disease. Greater clarity and guidance will be needed in several areas</w:t>
      </w:r>
      <w:r w:rsidR="00B46C9E">
        <w:t xml:space="preserve"> of the updated methods guidance</w:t>
      </w:r>
      <w:r w:rsidR="00F86AA1">
        <w:t xml:space="preserve"> and their implementation.</w:t>
      </w:r>
      <w:r w:rsidR="00B46C9E">
        <w:t xml:space="preserve"> </w:t>
      </w:r>
      <w:r w:rsidR="00F86AA1">
        <w:t xml:space="preserve">Consideration </w:t>
      </w:r>
      <w:r w:rsidR="00B46C9E">
        <w:t xml:space="preserve">should be given to further stakeholder </w:t>
      </w:r>
      <w:r w:rsidR="0073198F">
        <w:t xml:space="preserve">engagement </w:t>
      </w:r>
      <w:r w:rsidR="00B46C9E">
        <w:t>in some areas.</w:t>
      </w:r>
    </w:p>
    <w:p w14:paraId="117772A1" w14:textId="20C630C8" w:rsidR="00464DC8" w:rsidRPr="00464DC8" w:rsidRDefault="002F0F51" w:rsidP="00464DC8">
      <w:pPr>
        <w:pStyle w:val="Heading1"/>
        <w:rPr>
          <w:sz w:val="40"/>
          <w:szCs w:val="40"/>
          <w:lang w:eastAsia="en-US"/>
        </w:rPr>
      </w:pPr>
      <w:bookmarkStart w:id="44" w:name="_Toc92957964"/>
      <w:r>
        <w:rPr>
          <w:sz w:val="40"/>
          <w:szCs w:val="40"/>
          <w:lang w:eastAsia="en-US"/>
        </w:rPr>
        <w:t>5</w:t>
      </w:r>
      <w:r w:rsidR="00464DC8" w:rsidRPr="00464DC8">
        <w:rPr>
          <w:sz w:val="40"/>
          <w:szCs w:val="40"/>
          <w:lang w:eastAsia="en-US"/>
        </w:rPr>
        <w:tab/>
        <w:t>Appendices</w:t>
      </w:r>
      <w:bookmarkEnd w:id="44"/>
    </w:p>
    <w:p w14:paraId="4FF67868" w14:textId="42189DE8" w:rsidR="00464DC8" w:rsidRDefault="002F0F51" w:rsidP="00DA7D2E">
      <w:pPr>
        <w:pStyle w:val="Heading2"/>
      </w:pPr>
      <w:bookmarkStart w:id="45" w:name="_5.1_Quantitative_results"/>
      <w:bookmarkStart w:id="46" w:name="_Toc92957965"/>
      <w:bookmarkEnd w:id="45"/>
      <w:r>
        <w:t>5</w:t>
      </w:r>
      <w:r w:rsidR="00DA7D2E">
        <w:t>.1</w:t>
      </w:r>
      <w:r w:rsidR="00DA7D2E">
        <w:tab/>
        <w:t>Quantitative results</w:t>
      </w:r>
      <w:bookmarkEnd w:id="46"/>
    </w:p>
    <w:p w14:paraId="3B5240E4" w14:textId="3C47C380" w:rsidR="00353DEE" w:rsidRDefault="00775961" w:rsidP="002F4198">
      <w:pPr>
        <w:pStyle w:val="Paragraph"/>
        <w:numPr>
          <w:ilvl w:val="0"/>
          <w:numId w:val="0"/>
        </w:numPr>
      </w:pPr>
      <w:bookmarkStart w:id="47" w:name="_Toc90640851"/>
      <w:r>
        <w:rPr>
          <w:noProof/>
        </w:rPr>
        <w:drawing>
          <wp:inline distT="0" distB="0" distL="0" distR="0" wp14:anchorId="217A94AA" wp14:editId="498663FD">
            <wp:extent cx="5724000" cy="2890976"/>
            <wp:effectExtent l="0" t="0" r="0" b="5080"/>
            <wp:docPr id="1" name="Picture 1" descr="Stacked bar chart of overall agreement with the proposals. Agreement was greatest with considering real-world evidence and considering uncertainty proposals. Agreement was lowest with the severity modifier and discounting propos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cked bar chart of overall agreement with the proposals. Agreement was greatest with considering real-world evidence and considering uncertainty proposals. Agreement was lowest with the severity modifier and discounting proposa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000" cy="2890976"/>
                    </a:xfrm>
                    <a:prstGeom prst="rect">
                      <a:avLst/>
                    </a:prstGeom>
                    <a:noFill/>
                  </pic:spPr>
                </pic:pic>
              </a:graphicData>
            </a:graphic>
          </wp:inline>
        </w:drawing>
      </w:r>
      <w:r w:rsidR="00353DEE" w:rsidRPr="0032498B">
        <w:rPr>
          <w:b/>
          <w:bCs/>
        </w:rPr>
        <w:t xml:space="preserve">Figure </w:t>
      </w:r>
      <w:r w:rsidR="00353DEE" w:rsidRPr="0032498B">
        <w:rPr>
          <w:b/>
          <w:bCs/>
        </w:rPr>
        <w:fldChar w:fldCharType="begin"/>
      </w:r>
      <w:r w:rsidR="00353DEE" w:rsidRPr="0032498B">
        <w:rPr>
          <w:b/>
          <w:bCs/>
        </w:rPr>
        <w:instrText xml:space="preserve"> SEQ Figure \* ARABIC </w:instrText>
      </w:r>
      <w:r w:rsidR="00353DEE" w:rsidRPr="0032498B">
        <w:rPr>
          <w:b/>
          <w:bCs/>
        </w:rPr>
        <w:fldChar w:fldCharType="separate"/>
      </w:r>
      <w:r w:rsidR="00904F6D">
        <w:rPr>
          <w:b/>
          <w:bCs/>
          <w:noProof/>
        </w:rPr>
        <w:t>1</w:t>
      </w:r>
      <w:r w:rsidR="00353DEE" w:rsidRPr="0032498B">
        <w:rPr>
          <w:b/>
          <w:bCs/>
        </w:rPr>
        <w:fldChar w:fldCharType="end"/>
      </w:r>
      <w:r w:rsidR="00353DEE" w:rsidRPr="0032498B">
        <w:rPr>
          <w:b/>
          <w:bCs/>
        </w:rPr>
        <w:t>.</w:t>
      </w:r>
      <w:r w:rsidR="00353DEE" w:rsidRPr="00353DEE">
        <w:t xml:space="preserve"> Overall agreement with proposals</w:t>
      </w:r>
      <w:bookmarkEnd w:id="47"/>
    </w:p>
    <w:p w14:paraId="6897C557" w14:textId="773BCD00" w:rsidR="00775961" w:rsidRPr="00353DEE" w:rsidRDefault="00225812" w:rsidP="00353DEE">
      <w:pPr>
        <w:pStyle w:val="Caption"/>
        <w:rPr>
          <w:rFonts w:ascii="Arial" w:hAnsi="Arial" w:cs="Arial"/>
          <w:b/>
          <w:bCs/>
          <w:i w:val="0"/>
          <w:iCs w:val="0"/>
          <w:color w:val="000000" w:themeColor="text1"/>
          <w:sz w:val="24"/>
          <w:szCs w:val="24"/>
        </w:rPr>
      </w:pPr>
      <w:r>
        <w:rPr>
          <w:noProof/>
        </w:rPr>
        <w:drawing>
          <wp:inline distT="0" distB="0" distL="0" distR="0" wp14:anchorId="441EF4B5" wp14:editId="55DC15C3">
            <wp:extent cx="5640814" cy="2890800"/>
            <wp:effectExtent l="0" t="0" r="0" b="5080"/>
            <wp:docPr id="5" name="Picture 5" descr="Stacked column chart of agreement with disease severity modifier proposal, split by stakeholder group. Level of agreement was mixed for each stakeholder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acked column chart of agreement with disease severity modifier proposal, split by stakeholder group. Level of agreement was mixed for each stakeholder grou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0814" cy="2890800"/>
                    </a:xfrm>
                    <a:prstGeom prst="rect">
                      <a:avLst/>
                    </a:prstGeom>
                    <a:noFill/>
                  </pic:spPr>
                </pic:pic>
              </a:graphicData>
            </a:graphic>
          </wp:inline>
        </w:drawing>
      </w:r>
    </w:p>
    <w:p w14:paraId="09E93504" w14:textId="69E39288" w:rsidR="00B15580" w:rsidRPr="0032498B" w:rsidRDefault="0032498B" w:rsidP="00B15580">
      <w:pPr>
        <w:pStyle w:val="NICEnormal"/>
        <w:rPr>
          <w:b/>
          <w:bCs/>
        </w:rPr>
      </w:pPr>
      <w:bookmarkStart w:id="48" w:name="_Toc90640852"/>
      <w:r w:rsidRPr="0032498B">
        <w:rPr>
          <w:b/>
          <w:bCs/>
        </w:rPr>
        <w:lastRenderedPageBreak/>
        <w:t xml:space="preserve">Figure </w:t>
      </w:r>
      <w:r w:rsidRPr="0032498B">
        <w:rPr>
          <w:b/>
          <w:bCs/>
        </w:rPr>
        <w:fldChar w:fldCharType="begin"/>
      </w:r>
      <w:r w:rsidRPr="0032498B">
        <w:rPr>
          <w:b/>
          <w:bCs/>
        </w:rPr>
        <w:instrText xml:space="preserve"> SEQ Figure \* ARABIC </w:instrText>
      </w:r>
      <w:r w:rsidRPr="0032498B">
        <w:rPr>
          <w:b/>
          <w:bCs/>
        </w:rPr>
        <w:fldChar w:fldCharType="separate"/>
      </w:r>
      <w:r w:rsidR="00904F6D">
        <w:rPr>
          <w:b/>
          <w:bCs/>
          <w:noProof/>
        </w:rPr>
        <w:t>2</w:t>
      </w:r>
      <w:r w:rsidRPr="0032498B">
        <w:rPr>
          <w:b/>
          <w:bCs/>
        </w:rPr>
        <w:fldChar w:fldCharType="end"/>
      </w:r>
      <w:r w:rsidRPr="0032498B">
        <w:rPr>
          <w:b/>
          <w:bCs/>
        </w:rPr>
        <w:t>.</w:t>
      </w:r>
      <w:r w:rsidRPr="0032498B">
        <w:t xml:space="preserve"> Breakdown of levels of agreement with the proposal for a disease severity modifier by stakeholder group</w:t>
      </w:r>
      <w:bookmarkEnd w:id="48"/>
    </w:p>
    <w:p w14:paraId="4CA9B959" w14:textId="478B99F0" w:rsidR="00264C52" w:rsidRDefault="002F4198" w:rsidP="00B15580">
      <w:pPr>
        <w:pStyle w:val="NICEnormal"/>
        <w:rPr>
          <w:b/>
          <w:bCs/>
          <w:sz w:val="22"/>
          <w:szCs w:val="22"/>
        </w:rPr>
      </w:pPr>
      <w:r>
        <w:rPr>
          <w:b/>
          <w:bCs/>
          <w:noProof/>
          <w:sz w:val="22"/>
          <w:szCs w:val="22"/>
        </w:rPr>
        <w:drawing>
          <wp:inline distT="0" distB="0" distL="0" distR="0" wp14:anchorId="67BFDECA" wp14:editId="546069F9">
            <wp:extent cx="5734050" cy="3086100"/>
            <wp:effectExtent l="0" t="0" r="0" b="0"/>
            <wp:docPr id="7" name="Picture 7" descr="Stacked column chart of preferred option for the 2 severity modifier proposals. Option 1 applies a medium severity weight of 1.2 times, and a highest severity weight of 1.7 times. Option 2 applies a medium severity weight of 1.25 times, and a highest severity weight of 1.5 times. Over 50% of stakeholders did not respond. Of those that did, there was a preference for Option 1 from stakeholders from industry and patient organisations. There was a preference for Option 2 from NHS, Academics, professional organisations and committee members and NIC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acked column chart of preferred option for the 2 severity modifier proposals. Option 1 applies a medium severity weight of 1.2 times, and a highest severity weight of 1.7 times. Option 2 applies a medium severity weight of 1.25 times, and a highest severity weight of 1.5 times. Over 50% of stakeholders did not respond. Of those that did, there was a preference for Option 1 from stakeholders from industry and patient organisations. There was a preference for Option 2 from NHS, Academics, professional organisations and committee members and NICE staf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3086100"/>
                    </a:xfrm>
                    <a:prstGeom prst="rect">
                      <a:avLst/>
                    </a:prstGeom>
                    <a:noFill/>
                  </pic:spPr>
                </pic:pic>
              </a:graphicData>
            </a:graphic>
          </wp:inline>
        </w:drawing>
      </w:r>
    </w:p>
    <w:p w14:paraId="1C792908" w14:textId="617D0903" w:rsidR="002F4198" w:rsidRPr="002F4198" w:rsidRDefault="002F4198" w:rsidP="002F4198">
      <w:pPr>
        <w:pStyle w:val="NICEnormal"/>
        <w:rPr>
          <w:b/>
          <w:bCs/>
        </w:rPr>
      </w:pPr>
      <w:bookmarkStart w:id="49" w:name="_Toc90640853"/>
      <w:r w:rsidRPr="002F4198">
        <w:rPr>
          <w:b/>
          <w:bCs/>
        </w:rPr>
        <w:t xml:space="preserve">Figure </w:t>
      </w:r>
      <w:r w:rsidRPr="002F4198">
        <w:rPr>
          <w:b/>
          <w:bCs/>
        </w:rPr>
        <w:fldChar w:fldCharType="begin"/>
      </w:r>
      <w:r w:rsidRPr="002F4198">
        <w:rPr>
          <w:b/>
          <w:bCs/>
        </w:rPr>
        <w:instrText xml:space="preserve"> SEQ Figure \* ARABIC </w:instrText>
      </w:r>
      <w:r w:rsidRPr="002F4198">
        <w:rPr>
          <w:b/>
          <w:bCs/>
        </w:rPr>
        <w:fldChar w:fldCharType="separate"/>
      </w:r>
      <w:r w:rsidR="00904F6D">
        <w:rPr>
          <w:b/>
          <w:bCs/>
          <w:noProof/>
        </w:rPr>
        <w:t>3</w:t>
      </w:r>
      <w:r w:rsidRPr="002F4198">
        <w:rPr>
          <w:b/>
          <w:bCs/>
        </w:rPr>
        <w:fldChar w:fldCharType="end"/>
      </w:r>
      <w:r w:rsidRPr="002F4198">
        <w:rPr>
          <w:b/>
          <w:bCs/>
        </w:rPr>
        <w:t>.</w:t>
      </w:r>
      <w:r w:rsidRPr="002F4198">
        <w:t xml:space="preserve"> Breakdown of choices between severity modifier option 1 and option 2 by stakeholder group</w:t>
      </w:r>
      <w:bookmarkEnd w:id="49"/>
      <w:r w:rsidR="00C16B28">
        <w:t xml:space="preserve">. In option 1, a medium severity weight of 1.2 and </w:t>
      </w:r>
      <w:proofErr w:type="gramStart"/>
      <w:r w:rsidR="00C16B28">
        <w:t>a</w:t>
      </w:r>
      <w:proofErr w:type="gramEnd"/>
      <w:r w:rsidR="00C16B28">
        <w:t xml:space="preserve"> highest severity weight of 1.7 was suggested. In option 2, a medium severity weight of 1.25 and </w:t>
      </w:r>
      <w:proofErr w:type="gramStart"/>
      <w:r w:rsidR="00C16B28">
        <w:t>a</w:t>
      </w:r>
      <w:proofErr w:type="gramEnd"/>
      <w:r w:rsidR="00C16B28">
        <w:t xml:space="preserve"> highest severity weight of 1.5 was suggested.</w:t>
      </w:r>
    </w:p>
    <w:p w14:paraId="2691669C" w14:textId="26ED033C" w:rsidR="00F06433" w:rsidRDefault="00F06433" w:rsidP="00264C52">
      <w:pPr>
        <w:pStyle w:val="Paragraph"/>
        <w:numPr>
          <w:ilvl w:val="0"/>
          <w:numId w:val="0"/>
        </w:numPr>
      </w:pPr>
    </w:p>
    <w:p w14:paraId="176EAFE2" w14:textId="1F6958B2" w:rsidR="002F4198" w:rsidRDefault="002F4198" w:rsidP="002F4198">
      <w:pPr>
        <w:pStyle w:val="NICEnormal"/>
      </w:pPr>
      <w:bookmarkStart w:id="50" w:name="_Toc90640854"/>
      <w:r>
        <w:rPr>
          <w:noProof/>
        </w:rPr>
        <w:drawing>
          <wp:inline distT="0" distB="0" distL="0" distR="0" wp14:anchorId="5658AECF" wp14:editId="41D8678F">
            <wp:extent cx="5727700" cy="2933700"/>
            <wp:effectExtent l="0" t="0" r="6350" b="0"/>
            <wp:docPr id="23" name="Picture 23" descr="Stacked column chart of agreement with consideration of uncertainty within decision making proposal, split by stakeholder group. Stakeholders from industry and patient organisations generally supported the proposals. Members of the public and other stakeholders were more likely to dis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tacked column chart of agreement with consideration of uncertainty within decision making proposal, split by stakeholder group. Stakeholders from industry and patient organisations generally supported the proposals. Members of the public and other stakeholders were more likely to disagre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2933700"/>
                    </a:xfrm>
                    <a:prstGeom prst="rect">
                      <a:avLst/>
                    </a:prstGeom>
                    <a:noFill/>
                  </pic:spPr>
                </pic:pic>
              </a:graphicData>
            </a:graphic>
          </wp:inline>
        </w:drawing>
      </w:r>
      <w:bookmarkEnd w:id="50"/>
    </w:p>
    <w:p w14:paraId="59F1B179" w14:textId="1F47C550" w:rsidR="00BD6CA9" w:rsidRDefault="00BD6CA9" w:rsidP="002F4198">
      <w:pPr>
        <w:pStyle w:val="NICEnormal"/>
        <w:rPr>
          <w:b/>
          <w:bCs/>
          <w:sz w:val="22"/>
          <w:szCs w:val="22"/>
        </w:rPr>
      </w:pPr>
      <w:r w:rsidRPr="002F4198">
        <w:rPr>
          <w:b/>
          <w:bCs/>
        </w:rPr>
        <w:lastRenderedPageBreak/>
        <w:t xml:space="preserve">Figure </w:t>
      </w:r>
      <w:r w:rsidRPr="002F4198">
        <w:rPr>
          <w:b/>
          <w:bCs/>
        </w:rPr>
        <w:fldChar w:fldCharType="begin"/>
      </w:r>
      <w:r w:rsidRPr="002F4198">
        <w:rPr>
          <w:b/>
          <w:bCs/>
        </w:rPr>
        <w:instrText xml:space="preserve"> SEQ Figure \* ARABIC </w:instrText>
      </w:r>
      <w:r w:rsidRPr="002F4198">
        <w:rPr>
          <w:b/>
          <w:bCs/>
        </w:rPr>
        <w:fldChar w:fldCharType="separate"/>
      </w:r>
      <w:r>
        <w:rPr>
          <w:b/>
          <w:bCs/>
          <w:noProof/>
        </w:rPr>
        <w:t>4</w:t>
      </w:r>
      <w:r w:rsidRPr="002F4198">
        <w:rPr>
          <w:b/>
          <w:bCs/>
        </w:rPr>
        <w:fldChar w:fldCharType="end"/>
      </w:r>
      <w:r w:rsidRPr="002F4198">
        <w:rPr>
          <w:b/>
          <w:bCs/>
        </w:rPr>
        <w:t>.</w:t>
      </w:r>
      <w:r>
        <w:t xml:space="preserve"> </w:t>
      </w:r>
      <w:r w:rsidRPr="00743AFE">
        <w:t>Breakdown of level of agreement with the proposal for consideration of uncertainty within decision making</w:t>
      </w:r>
    </w:p>
    <w:p w14:paraId="3986E551" w14:textId="312BA88F" w:rsidR="009824EC" w:rsidRDefault="00C1379B" w:rsidP="002F4198">
      <w:pPr>
        <w:pStyle w:val="Paragraph"/>
        <w:numPr>
          <w:ilvl w:val="0"/>
          <w:numId w:val="0"/>
        </w:numPr>
      </w:pPr>
      <w:r>
        <w:rPr>
          <w:noProof/>
          <w:sz w:val="22"/>
          <w:szCs w:val="22"/>
        </w:rPr>
        <w:drawing>
          <wp:inline distT="0" distB="0" distL="0" distR="0" wp14:anchorId="4488CDE9" wp14:editId="67CFB470">
            <wp:extent cx="5727700" cy="2933700"/>
            <wp:effectExtent l="0" t="0" r="6350" b="0"/>
            <wp:docPr id="24" name="Picture 24" descr="Stacked column chart of agreement with health inequalities proposal, split by stakeholder group. Stakeholders from industry generally supported the proposal. Stakeholders from patient organisations generally neither agreed nor disagr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tacked column chart of agreement with health inequalities proposal, split by stakeholder group. Stakeholders from industry generally supported the proposal. Stakeholders from patient organisations generally neither agreed nor disagre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2933700"/>
                    </a:xfrm>
                    <a:prstGeom prst="rect">
                      <a:avLst/>
                    </a:prstGeom>
                    <a:noFill/>
                  </pic:spPr>
                </pic:pic>
              </a:graphicData>
            </a:graphic>
          </wp:inline>
        </w:drawing>
      </w:r>
    </w:p>
    <w:p w14:paraId="0A67D53C" w14:textId="4D3C59C0" w:rsidR="00C1379B" w:rsidRDefault="002F4198" w:rsidP="002F4198">
      <w:pPr>
        <w:pStyle w:val="NICEnormal"/>
      </w:pPr>
      <w:bookmarkStart w:id="51" w:name="_Toc90640855"/>
      <w:r w:rsidRPr="002F4198">
        <w:rPr>
          <w:b/>
          <w:bCs/>
        </w:rPr>
        <w:t xml:space="preserve">Figure </w:t>
      </w:r>
      <w:r w:rsidRPr="002F4198">
        <w:rPr>
          <w:b/>
          <w:bCs/>
        </w:rPr>
        <w:fldChar w:fldCharType="begin"/>
      </w:r>
      <w:r w:rsidRPr="002F4198">
        <w:rPr>
          <w:b/>
          <w:bCs/>
        </w:rPr>
        <w:instrText xml:space="preserve"> SEQ Figure \* ARABIC </w:instrText>
      </w:r>
      <w:r w:rsidRPr="002F4198">
        <w:rPr>
          <w:b/>
          <w:bCs/>
        </w:rPr>
        <w:fldChar w:fldCharType="separate"/>
      </w:r>
      <w:r w:rsidR="00904F6D">
        <w:rPr>
          <w:b/>
          <w:bCs/>
          <w:noProof/>
        </w:rPr>
        <w:t>5</w:t>
      </w:r>
      <w:r w:rsidRPr="002F4198">
        <w:rPr>
          <w:b/>
          <w:bCs/>
        </w:rPr>
        <w:fldChar w:fldCharType="end"/>
      </w:r>
      <w:r w:rsidRPr="002F4198">
        <w:rPr>
          <w:b/>
          <w:bCs/>
        </w:rPr>
        <w:t>.</w:t>
      </w:r>
      <w:r>
        <w:t xml:space="preserve"> </w:t>
      </w:r>
      <w:r w:rsidRPr="001A1111">
        <w:t>Breakdown of level of agreement with the proposal for health inequalities</w:t>
      </w:r>
      <w:bookmarkEnd w:id="51"/>
    </w:p>
    <w:p w14:paraId="70633B03" w14:textId="2BAA4486" w:rsidR="00C1379B" w:rsidRDefault="00C1379B" w:rsidP="00C1379B">
      <w:r>
        <w:rPr>
          <w:noProof/>
        </w:rPr>
        <w:drawing>
          <wp:inline distT="0" distB="0" distL="0" distR="0" wp14:anchorId="1C940495" wp14:editId="05054B63">
            <wp:extent cx="5778500" cy="2933700"/>
            <wp:effectExtent l="0" t="0" r="0" b="0"/>
            <wp:docPr id="25" name="Picture 25" descr="Stacked column chart of agreement with aligning methods across programmes proposal, split by stakeholder group. Stakeholders from industry generally neither agreed nor disagreed. NHS, academics and professional organisations mostly agr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tacked column chart of agreement with aligning methods across programmes proposal, split by stakeholder group. Stakeholders from industry generally neither agreed nor disagreed. NHS, academics and professional organisations mostly agre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8500" cy="2933700"/>
                    </a:xfrm>
                    <a:prstGeom prst="rect">
                      <a:avLst/>
                    </a:prstGeom>
                    <a:noFill/>
                  </pic:spPr>
                </pic:pic>
              </a:graphicData>
            </a:graphic>
          </wp:inline>
        </w:drawing>
      </w:r>
    </w:p>
    <w:p w14:paraId="4DE8E4CA" w14:textId="1663AC02" w:rsidR="002F4198" w:rsidRDefault="002F4198" w:rsidP="002F4198">
      <w:pPr>
        <w:pStyle w:val="NICEnormal"/>
      </w:pPr>
      <w:bookmarkStart w:id="52" w:name="_Toc90640856"/>
      <w:r w:rsidRPr="002F4198">
        <w:rPr>
          <w:b/>
          <w:bCs/>
        </w:rPr>
        <w:t xml:space="preserve">Figure </w:t>
      </w:r>
      <w:r w:rsidRPr="002F4198">
        <w:rPr>
          <w:b/>
          <w:bCs/>
        </w:rPr>
        <w:fldChar w:fldCharType="begin"/>
      </w:r>
      <w:r w:rsidRPr="002F4198">
        <w:rPr>
          <w:b/>
          <w:bCs/>
        </w:rPr>
        <w:instrText xml:space="preserve"> SEQ Figure \* ARABIC </w:instrText>
      </w:r>
      <w:r w:rsidRPr="002F4198">
        <w:rPr>
          <w:b/>
          <w:bCs/>
        </w:rPr>
        <w:fldChar w:fldCharType="separate"/>
      </w:r>
      <w:r w:rsidR="00904F6D">
        <w:rPr>
          <w:b/>
          <w:bCs/>
          <w:noProof/>
        </w:rPr>
        <w:t>6</w:t>
      </w:r>
      <w:r w:rsidRPr="002F4198">
        <w:rPr>
          <w:b/>
          <w:bCs/>
        </w:rPr>
        <w:fldChar w:fldCharType="end"/>
      </w:r>
      <w:r w:rsidRPr="002F4198">
        <w:rPr>
          <w:b/>
          <w:bCs/>
        </w:rPr>
        <w:t>.</w:t>
      </w:r>
      <w:r>
        <w:t xml:space="preserve"> </w:t>
      </w:r>
      <w:r w:rsidRPr="003A0E79">
        <w:t>Breakdown of level of agreement with the proposal for aligning methods across programmes</w:t>
      </w:r>
      <w:bookmarkEnd w:id="52"/>
    </w:p>
    <w:p w14:paraId="0FFD673B" w14:textId="3094A827" w:rsidR="002F4198" w:rsidRDefault="002F4198" w:rsidP="002F4198">
      <w:r>
        <w:rPr>
          <w:noProof/>
        </w:rPr>
        <w:lastRenderedPageBreak/>
        <w:drawing>
          <wp:inline distT="0" distB="0" distL="0" distR="0" wp14:anchorId="0B4873EE" wp14:editId="57187E73">
            <wp:extent cx="5727700" cy="2933700"/>
            <wp:effectExtent l="0" t="0" r="6350" b="0"/>
            <wp:docPr id="26" name="Picture 26" descr="Stacked column chart of agreement with discounting proposal, split by stakeholder group. Most stakeholder groups strongly disagreed with the proposal. NHS, academics, professional organisations and committee members and NICE staff were more positive than other stakeholder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tacked column chart of agreement with discounting proposal, split by stakeholder group. Most stakeholder groups strongly disagreed with the proposal. NHS, academics, professional organisations and committee members and NICE staff were more positive than other stakeholder group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0" cy="2933700"/>
                    </a:xfrm>
                    <a:prstGeom prst="rect">
                      <a:avLst/>
                    </a:prstGeom>
                    <a:noFill/>
                  </pic:spPr>
                </pic:pic>
              </a:graphicData>
            </a:graphic>
          </wp:inline>
        </w:drawing>
      </w:r>
    </w:p>
    <w:p w14:paraId="292DF428" w14:textId="3A8C9B4F" w:rsidR="002F4198" w:rsidRDefault="002F4198" w:rsidP="002F4198">
      <w:pPr>
        <w:pStyle w:val="NICEnormal"/>
      </w:pPr>
      <w:bookmarkStart w:id="53" w:name="_Toc90640857"/>
      <w:r w:rsidRPr="002F4198">
        <w:rPr>
          <w:b/>
          <w:bCs/>
        </w:rPr>
        <w:t xml:space="preserve">Figure </w:t>
      </w:r>
      <w:r w:rsidRPr="002F4198">
        <w:rPr>
          <w:b/>
          <w:bCs/>
        </w:rPr>
        <w:fldChar w:fldCharType="begin"/>
      </w:r>
      <w:r w:rsidRPr="002F4198">
        <w:rPr>
          <w:b/>
          <w:bCs/>
        </w:rPr>
        <w:instrText xml:space="preserve"> SEQ Figure \* ARABIC </w:instrText>
      </w:r>
      <w:r w:rsidRPr="002F4198">
        <w:rPr>
          <w:b/>
          <w:bCs/>
        </w:rPr>
        <w:fldChar w:fldCharType="separate"/>
      </w:r>
      <w:r w:rsidR="00904F6D">
        <w:rPr>
          <w:b/>
          <w:bCs/>
          <w:noProof/>
        </w:rPr>
        <w:t>7</w:t>
      </w:r>
      <w:r w:rsidRPr="002F4198">
        <w:rPr>
          <w:b/>
          <w:bCs/>
        </w:rPr>
        <w:fldChar w:fldCharType="end"/>
      </w:r>
      <w:r w:rsidRPr="002F4198">
        <w:rPr>
          <w:b/>
          <w:bCs/>
        </w:rPr>
        <w:t>.</w:t>
      </w:r>
      <w:r>
        <w:t xml:space="preserve"> </w:t>
      </w:r>
      <w:r w:rsidRPr="000408DE">
        <w:t>Breakdown of level of agreement with the proposal for discounting</w:t>
      </w:r>
      <w:bookmarkEnd w:id="53"/>
    </w:p>
    <w:p w14:paraId="3399BA00" w14:textId="7D17F131" w:rsidR="00904F6D" w:rsidRDefault="00904F6D" w:rsidP="002F4198">
      <w:pPr>
        <w:pStyle w:val="NICEnormal"/>
      </w:pPr>
    </w:p>
    <w:p w14:paraId="1A8CDD37" w14:textId="79134561" w:rsidR="00904F6D" w:rsidRDefault="00CE7754" w:rsidP="00904F6D">
      <w:pPr>
        <w:pStyle w:val="NICEnormal"/>
        <w:spacing w:after="0" w:line="240" w:lineRule="auto"/>
        <w:rPr>
          <w:sz w:val="22"/>
          <w:szCs w:val="22"/>
        </w:rPr>
      </w:pPr>
      <w:r>
        <w:rPr>
          <w:noProof/>
          <w:sz w:val="22"/>
          <w:szCs w:val="22"/>
        </w:rPr>
        <w:drawing>
          <wp:inline distT="0" distB="0" distL="0" distR="0" wp14:anchorId="0553B83D" wp14:editId="1DFECE36">
            <wp:extent cx="5688379" cy="3438525"/>
            <wp:effectExtent l="0" t="0" r="7620" b="0"/>
            <wp:docPr id="3" name="Picture 3" descr="Stacked column chart of agreement with implementing the proposed cases for change proposal, split by stakeholder group. Stakeholders from industry and NHS, academics and professional organisations generally agreed with the proposal. Patient organisations and members of the public or other stakeholders were more likely to neither agree nor dis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cked column chart of agreement with implementing the proposed cases for change proposal, split by stakeholder group. Stakeholders from industry and NHS, academics and professional organisations generally agreed with the proposal. Patient organisations and members of the public or other stakeholders were more likely to neither agree nor disagre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2634" cy="3441097"/>
                    </a:xfrm>
                    <a:prstGeom prst="rect">
                      <a:avLst/>
                    </a:prstGeom>
                    <a:noFill/>
                  </pic:spPr>
                </pic:pic>
              </a:graphicData>
            </a:graphic>
          </wp:inline>
        </w:drawing>
      </w:r>
    </w:p>
    <w:p w14:paraId="7B1AE01C" w14:textId="77777777" w:rsidR="00CE7754" w:rsidRDefault="00904F6D" w:rsidP="00CE7754">
      <w:pPr>
        <w:pStyle w:val="NICEnormal"/>
      </w:pPr>
      <w:bookmarkStart w:id="54" w:name="_Toc90640858"/>
      <w:r w:rsidRPr="00904F6D">
        <w:rPr>
          <w:b/>
          <w:bCs/>
        </w:rPr>
        <w:t xml:space="preserve">Figure </w:t>
      </w:r>
      <w:r w:rsidRPr="00904F6D">
        <w:rPr>
          <w:b/>
          <w:bCs/>
        </w:rPr>
        <w:fldChar w:fldCharType="begin"/>
      </w:r>
      <w:r w:rsidRPr="00904F6D">
        <w:rPr>
          <w:b/>
          <w:bCs/>
        </w:rPr>
        <w:instrText xml:space="preserve"> SEQ Figure \* ARABIC </w:instrText>
      </w:r>
      <w:r w:rsidRPr="00904F6D">
        <w:rPr>
          <w:b/>
          <w:bCs/>
        </w:rPr>
        <w:fldChar w:fldCharType="separate"/>
      </w:r>
      <w:r w:rsidRPr="00904F6D">
        <w:rPr>
          <w:b/>
          <w:bCs/>
          <w:noProof/>
        </w:rPr>
        <w:t>8</w:t>
      </w:r>
      <w:r w:rsidRPr="00904F6D">
        <w:rPr>
          <w:b/>
          <w:bCs/>
        </w:rPr>
        <w:fldChar w:fldCharType="end"/>
      </w:r>
      <w:r w:rsidRPr="00904F6D">
        <w:rPr>
          <w:b/>
          <w:bCs/>
        </w:rPr>
        <w:t>.</w:t>
      </w:r>
      <w:r w:rsidRPr="00904F6D">
        <w:t xml:space="preserve"> </w:t>
      </w:r>
      <w:r>
        <w:t xml:space="preserve">Breakdown of level of agreement with the proposal for </w:t>
      </w:r>
      <w:r w:rsidR="00CE7754">
        <w:t>i</w:t>
      </w:r>
      <w:r w:rsidR="00CE7754" w:rsidRPr="00CE7754">
        <w:t>mplementing the proposed cases for change for sourcing, synthesising and presenting evidence, and considering health-related quality of life</w:t>
      </w:r>
      <w:bookmarkEnd w:id="54"/>
    </w:p>
    <w:p w14:paraId="1D65AB41" w14:textId="77777777" w:rsidR="00CE7754" w:rsidRDefault="00CE7754" w:rsidP="00CE7754">
      <w:pPr>
        <w:pStyle w:val="NICEnormal"/>
      </w:pPr>
    </w:p>
    <w:p w14:paraId="02BE951F" w14:textId="38E90C89" w:rsidR="00CE7754" w:rsidRDefault="00CE7754" w:rsidP="00CE7754">
      <w:pPr>
        <w:pStyle w:val="NICEnormal"/>
        <w:spacing w:after="0" w:line="240" w:lineRule="auto"/>
      </w:pPr>
      <w:r>
        <w:rPr>
          <w:noProof/>
        </w:rPr>
        <w:lastRenderedPageBreak/>
        <w:drawing>
          <wp:inline distT="0" distB="0" distL="0" distR="0" wp14:anchorId="0BF8E484" wp14:editId="02EA52DE">
            <wp:extent cx="5657850" cy="3420071"/>
            <wp:effectExtent l="0" t="0" r="0" b="9525"/>
            <wp:docPr id="4" name="Picture 4" descr="Stacked column chart of agreement with the considering real-world evidence proposal, split by stakeholder group. Stakeholders from industry and NHS, academics and professional organisations generally agreed with the proposal. Patient organisations also generally agreed with the proposal, although less strongly than the aforementioned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cked column chart of agreement with the considering real-world evidence proposal, split by stakeholder group. Stakeholders from industry and NHS, academics and professional organisations generally agreed with the proposal. Patient organisations also generally agreed with the proposal, although less strongly than the aforementioned group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8210" cy="3432378"/>
                    </a:xfrm>
                    <a:prstGeom prst="rect">
                      <a:avLst/>
                    </a:prstGeom>
                    <a:noFill/>
                  </pic:spPr>
                </pic:pic>
              </a:graphicData>
            </a:graphic>
          </wp:inline>
        </w:drawing>
      </w:r>
    </w:p>
    <w:p w14:paraId="5BCF74F7" w14:textId="3EE12AD1" w:rsidR="00CE7754" w:rsidRDefault="00CE7754" w:rsidP="00CE7754">
      <w:pPr>
        <w:pStyle w:val="NICEnormal"/>
      </w:pPr>
      <w:r w:rsidRPr="00904F6D">
        <w:rPr>
          <w:b/>
          <w:bCs/>
        </w:rPr>
        <w:t xml:space="preserve">Figure </w:t>
      </w:r>
      <w:r>
        <w:rPr>
          <w:b/>
          <w:bCs/>
        </w:rPr>
        <w:t>9</w:t>
      </w:r>
      <w:r w:rsidRPr="00904F6D">
        <w:rPr>
          <w:b/>
          <w:bCs/>
        </w:rPr>
        <w:t>.</w:t>
      </w:r>
      <w:r w:rsidRPr="00904F6D">
        <w:t xml:space="preserve"> </w:t>
      </w:r>
      <w:r>
        <w:t>Breakdown of level of agreement with the proposal for considering real-world evidence</w:t>
      </w:r>
    </w:p>
    <w:p w14:paraId="5F92C6F9" w14:textId="462FDAE8" w:rsidR="00CE7754" w:rsidRDefault="00CE7754" w:rsidP="00CE7754">
      <w:pPr>
        <w:pStyle w:val="NICEnormal"/>
      </w:pPr>
    </w:p>
    <w:p w14:paraId="34EDC628" w14:textId="10FC1364" w:rsidR="00CE7754" w:rsidRDefault="00CE7754" w:rsidP="00CE7754">
      <w:pPr>
        <w:pStyle w:val="NICEnormal"/>
        <w:spacing w:after="0" w:line="240" w:lineRule="auto"/>
      </w:pPr>
      <w:r>
        <w:rPr>
          <w:noProof/>
        </w:rPr>
        <w:drawing>
          <wp:inline distT="0" distB="0" distL="0" distR="0" wp14:anchorId="0EBFD4C2" wp14:editId="06150B69">
            <wp:extent cx="5672621" cy="3429000"/>
            <wp:effectExtent l="0" t="0" r="4445" b="0"/>
            <wp:docPr id="6" name="Picture 6" descr="Stacked column chart of agreement with the calculating costs proposal, split by stakeholder group. Most stakeholder groups neither agreed nor disagreed with the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acked column chart of agreement with the calculating costs proposal, split by stakeholder group. Most stakeholder groups neither agreed nor disagreed with the propos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8665" cy="3432654"/>
                    </a:xfrm>
                    <a:prstGeom prst="rect">
                      <a:avLst/>
                    </a:prstGeom>
                    <a:noFill/>
                  </pic:spPr>
                </pic:pic>
              </a:graphicData>
            </a:graphic>
          </wp:inline>
        </w:drawing>
      </w:r>
    </w:p>
    <w:p w14:paraId="5F512CB6" w14:textId="511E0238" w:rsidR="00CE7754" w:rsidRDefault="00CE7754" w:rsidP="00CE7754">
      <w:pPr>
        <w:pStyle w:val="NICEnormal"/>
      </w:pPr>
      <w:r w:rsidRPr="00904F6D">
        <w:rPr>
          <w:b/>
          <w:bCs/>
        </w:rPr>
        <w:t xml:space="preserve">Figure </w:t>
      </w:r>
      <w:r>
        <w:rPr>
          <w:b/>
          <w:bCs/>
        </w:rPr>
        <w:t>10</w:t>
      </w:r>
      <w:r w:rsidRPr="00904F6D">
        <w:rPr>
          <w:b/>
          <w:bCs/>
        </w:rPr>
        <w:t>.</w:t>
      </w:r>
      <w:r w:rsidRPr="00904F6D">
        <w:t xml:space="preserve"> </w:t>
      </w:r>
      <w:r>
        <w:t>Breakdown of level of agreement with the proposal for calculating the costs of introducing health technologies</w:t>
      </w:r>
    </w:p>
    <w:p w14:paraId="07480D64" w14:textId="72367025" w:rsidR="00F52A8B" w:rsidRDefault="00F52A8B" w:rsidP="00CE7754">
      <w:pPr>
        <w:pStyle w:val="NICEnormal"/>
      </w:pPr>
    </w:p>
    <w:p w14:paraId="39C65B51" w14:textId="77777777" w:rsidR="00CD2C3F" w:rsidRDefault="00F52A8B" w:rsidP="00EE622D">
      <w:pPr>
        <w:pStyle w:val="NICEnormal"/>
        <w:spacing w:after="0" w:line="240" w:lineRule="auto"/>
        <w:rPr>
          <w:b/>
          <w:bCs/>
        </w:rPr>
      </w:pPr>
      <w:r>
        <w:rPr>
          <w:noProof/>
        </w:rPr>
        <w:drawing>
          <wp:inline distT="0" distB="0" distL="0" distR="0" wp14:anchorId="601EEB7E" wp14:editId="5E4A328E">
            <wp:extent cx="4901565" cy="2962910"/>
            <wp:effectExtent l="0" t="0" r="0" b="8890"/>
            <wp:docPr id="8" name="Picture 8" descr="Stacked column chart of agreement with the analysing uncertainty proposal, split by stakeholder group. Stakeholders from industry generally agreed with it. Stakeholders from patient organisations and members of the public or other stakeholders were more likely to neither agree nor disagree with the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acked column chart of agreement with the analysing uncertainty proposal, split by stakeholder group. Stakeholders from industry generally agreed with it. Stakeholders from patient organisations and members of the public or other stakeholders were more likely to neither agree nor disagree with the proposa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01565" cy="2962910"/>
                    </a:xfrm>
                    <a:prstGeom prst="rect">
                      <a:avLst/>
                    </a:prstGeom>
                    <a:noFill/>
                  </pic:spPr>
                </pic:pic>
              </a:graphicData>
            </a:graphic>
          </wp:inline>
        </w:drawing>
      </w:r>
    </w:p>
    <w:p w14:paraId="47C40A10" w14:textId="21BF0F9A" w:rsidR="00F52A8B" w:rsidRDefault="00F52A8B" w:rsidP="00EE622D">
      <w:pPr>
        <w:pStyle w:val="NICEnormal"/>
        <w:spacing w:after="0" w:line="240" w:lineRule="auto"/>
      </w:pPr>
      <w:r w:rsidRPr="00904F6D">
        <w:rPr>
          <w:b/>
          <w:bCs/>
        </w:rPr>
        <w:t xml:space="preserve">Figure </w:t>
      </w:r>
      <w:r>
        <w:rPr>
          <w:b/>
          <w:bCs/>
        </w:rPr>
        <w:t>11</w:t>
      </w:r>
      <w:r w:rsidRPr="00904F6D">
        <w:rPr>
          <w:b/>
          <w:bCs/>
        </w:rPr>
        <w:t>.</w:t>
      </w:r>
      <w:r w:rsidRPr="00904F6D">
        <w:t xml:space="preserve"> </w:t>
      </w:r>
      <w:r>
        <w:t>Breakdown of level of agreement with the proposal for analysing uncertainty</w:t>
      </w:r>
    </w:p>
    <w:p w14:paraId="0B5B6B37" w14:textId="77777777" w:rsidR="00F52A8B" w:rsidRPr="00CE7754" w:rsidRDefault="00F52A8B" w:rsidP="00CE7754">
      <w:pPr>
        <w:pStyle w:val="NICEnormal"/>
      </w:pPr>
    </w:p>
    <w:p w14:paraId="6C2B6A1C" w14:textId="51680DBD" w:rsidR="00DA7D2E" w:rsidRDefault="002F0F51" w:rsidP="00DA7D2E">
      <w:pPr>
        <w:pStyle w:val="Heading2"/>
      </w:pPr>
      <w:bookmarkStart w:id="55" w:name="_Toc92957966"/>
      <w:r>
        <w:t>5</w:t>
      </w:r>
      <w:r w:rsidR="00DA7D2E">
        <w:t>.2</w:t>
      </w:r>
      <w:r w:rsidR="00DA7D2E">
        <w:tab/>
        <w:t>Comments on the draft manual</w:t>
      </w:r>
      <w:bookmarkEnd w:id="55"/>
    </w:p>
    <w:p w14:paraId="26C27E8D" w14:textId="0F8714AA" w:rsidR="00BA1DB2" w:rsidRDefault="003C5727" w:rsidP="00EA2D52">
      <w:pPr>
        <w:pStyle w:val="NICEnormal"/>
      </w:pPr>
      <w:proofErr w:type="gramStart"/>
      <w:r>
        <w:t>A number of</w:t>
      </w:r>
      <w:proofErr w:type="gramEnd"/>
      <w:r>
        <w:t xml:space="preserve"> comments were received on the </w:t>
      </w:r>
      <w:r w:rsidR="000E2004">
        <w:t xml:space="preserve">specific </w:t>
      </w:r>
      <w:r>
        <w:t>wording of the draft manual</w:t>
      </w:r>
      <w:r w:rsidR="000E2004">
        <w:t>.</w:t>
      </w:r>
      <w:r w:rsidR="00E742E0">
        <w:t xml:space="preserve"> </w:t>
      </w:r>
      <w:r w:rsidR="00BA1DB2">
        <w:t>These can</w:t>
      </w:r>
      <w:r w:rsidR="001E04F4">
        <w:t xml:space="preserve"> broadly be categorised as below:</w:t>
      </w:r>
    </w:p>
    <w:p w14:paraId="066A96C2" w14:textId="0257DBFB" w:rsidR="00BA1DB2" w:rsidRDefault="00BA1DB2" w:rsidP="00BA1DB2">
      <w:pPr>
        <w:pStyle w:val="NICEnormal"/>
        <w:numPr>
          <w:ilvl w:val="0"/>
          <w:numId w:val="37"/>
        </w:numPr>
      </w:pPr>
      <w:r>
        <w:t>Minor spelling</w:t>
      </w:r>
      <w:r w:rsidR="004828D9">
        <w:t xml:space="preserve"> and</w:t>
      </w:r>
      <w:r>
        <w:t xml:space="preserve"> grammatical corrections</w:t>
      </w:r>
    </w:p>
    <w:p w14:paraId="7F9ED7DD" w14:textId="454B8B8A" w:rsidR="004828D9" w:rsidRDefault="004828D9" w:rsidP="00BA1DB2">
      <w:pPr>
        <w:pStyle w:val="NICEnormal"/>
        <w:numPr>
          <w:ilvl w:val="0"/>
          <w:numId w:val="37"/>
        </w:numPr>
      </w:pPr>
      <w:r>
        <w:t>Corrections of obvious inaccuracies</w:t>
      </w:r>
      <w:r w:rsidR="00920C11">
        <w:t>,</w:t>
      </w:r>
      <w:r>
        <w:t xml:space="preserve"> or </w:t>
      </w:r>
      <w:r w:rsidR="00920C11">
        <w:t xml:space="preserve">contradictory or </w:t>
      </w:r>
      <w:r>
        <w:t>outdated text (for example, references to the 2014 Pharmaceutical Price Regulation Scheme)</w:t>
      </w:r>
    </w:p>
    <w:p w14:paraId="4ABB26CB" w14:textId="77777777" w:rsidR="00BD0266" w:rsidRDefault="00BD0266" w:rsidP="00BD0266">
      <w:pPr>
        <w:pStyle w:val="NICEnormal"/>
        <w:numPr>
          <w:ilvl w:val="0"/>
          <w:numId w:val="37"/>
        </w:numPr>
      </w:pPr>
      <w:r>
        <w:t>Comments on:</w:t>
      </w:r>
    </w:p>
    <w:p w14:paraId="56D148EA" w14:textId="77777777" w:rsidR="00BD0266" w:rsidRDefault="00BD0266" w:rsidP="00BD0266">
      <w:pPr>
        <w:pStyle w:val="NICEnormal"/>
        <w:numPr>
          <w:ilvl w:val="1"/>
          <w:numId w:val="37"/>
        </w:numPr>
      </w:pPr>
      <w:r>
        <w:t>The</w:t>
      </w:r>
      <w:r w:rsidR="00920C11">
        <w:t xml:space="preserve"> interactions between NICE staff and companies, and on some aspects of handling confidential information</w:t>
      </w:r>
    </w:p>
    <w:p w14:paraId="28E23F1F" w14:textId="77777777" w:rsidR="00BD0266" w:rsidRDefault="00BD0266" w:rsidP="00BD0266">
      <w:pPr>
        <w:pStyle w:val="NICEnormal"/>
        <w:numPr>
          <w:ilvl w:val="1"/>
          <w:numId w:val="37"/>
        </w:numPr>
      </w:pPr>
      <w:r>
        <w:t>T</w:t>
      </w:r>
      <w:r w:rsidR="00920C11">
        <w:t xml:space="preserve">he rights of the company </w:t>
      </w:r>
      <w:proofErr w:type="gramStart"/>
      <w:r w:rsidR="00920C11">
        <w:t>to:</w:t>
      </w:r>
      <w:proofErr w:type="gramEnd"/>
      <w:r w:rsidR="00920C11">
        <w:t xml:space="preserve"> nominate experts; contribute to committee meeting discussions; comment on the draft protocol for multiple technology evaluations</w:t>
      </w:r>
    </w:p>
    <w:p w14:paraId="24630B6B" w14:textId="3C4B0B27" w:rsidR="00BD0266" w:rsidRDefault="00BD0266" w:rsidP="00BD0266">
      <w:pPr>
        <w:pStyle w:val="NICEnormal"/>
        <w:numPr>
          <w:ilvl w:val="1"/>
          <w:numId w:val="37"/>
        </w:numPr>
      </w:pPr>
      <w:r>
        <w:lastRenderedPageBreak/>
        <w:t>The impact of the updated methods on rare diseases</w:t>
      </w:r>
    </w:p>
    <w:p w14:paraId="25F7B92D" w14:textId="5715F306" w:rsidR="004A3A1D" w:rsidRDefault="004A3A1D" w:rsidP="00BD0266">
      <w:pPr>
        <w:pStyle w:val="NICEnormal"/>
        <w:numPr>
          <w:ilvl w:val="1"/>
          <w:numId w:val="37"/>
        </w:numPr>
      </w:pPr>
      <w:r>
        <w:t>The presentation and reporting of results and committee decision making</w:t>
      </w:r>
    </w:p>
    <w:p w14:paraId="00191BDA" w14:textId="1DA56ED0" w:rsidR="004A3A1D" w:rsidRDefault="004A3A1D" w:rsidP="00BD0266">
      <w:pPr>
        <w:pStyle w:val="NICEnormal"/>
        <w:numPr>
          <w:ilvl w:val="1"/>
          <w:numId w:val="37"/>
        </w:numPr>
      </w:pPr>
      <w:r>
        <w:t>Survival analysis and/or treatment effect waning</w:t>
      </w:r>
    </w:p>
    <w:p w14:paraId="199A43C2" w14:textId="77777777" w:rsidR="00920C11" w:rsidRDefault="001E04F4" w:rsidP="00BA1DB2">
      <w:pPr>
        <w:pStyle w:val="NICEnormal"/>
        <w:numPr>
          <w:ilvl w:val="0"/>
          <w:numId w:val="37"/>
        </w:numPr>
      </w:pPr>
      <w:r>
        <w:t xml:space="preserve">Requests for clarification regarding </w:t>
      </w:r>
      <w:r w:rsidR="00920C11">
        <w:t>the following:</w:t>
      </w:r>
    </w:p>
    <w:p w14:paraId="4BD3EE6C" w14:textId="77777777" w:rsidR="00BD0266" w:rsidRDefault="00920C11" w:rsidP="00BD0266">
      <w:pPr>
        <w:pStyle w:val="NICEnormal"/>
        <w:numPr>
          <w:ilvl w:val="1"/>
          <w:numId w:val="37"/>
        </w:numPr>
      </w:pPr>
      <w:r>
        <w:t>S</w:t>
      </w:r>
      <w:r w:rsidR="001E04F4">
        <w:t>ome terminology perceived as being too vague</w:t>
      </w:r>
    </w:p>
    <w:p w14:paraId="6BA14568" w14:textId="4AEEF5B3" w:rsidR="00920C11" w:rsidRDefault="00BD0266" w:rsidP="00BD0266">
      <w:pPr>
        <w:pStyle w:val="NICEnormal"/>
        <w:numPr>
          <w:ilvl w:val="1"/>
          <w:numId w:val="37"/>
        </w:numPr>
      </w:pPr>
      <w:r>
        <w:t>T</w:t>
      </w:r>
      <w:r w:rsidR="00920C11">
        <w:t>he identification of comparators</w:t>
      </w:r>
    </w:p>
    <w:p w14:paraId="4C54BDFA" w14:textId="3BE18EF5" w:rsidR="00BD0266" w:rsidRDefault="00BD0266" w:rsidP="00BD0266">
      <w:pPr>
        <w:pStyle w:val="NICEnormal"/>
        <w:numPr>
          <w:ilvl w:val="1"/>
          <w:numId w:val="37"/>
        </w:numPr>
      </w:pPr>
      <w:r>
        <w:t>The identification and input of relevant stakeholders</w:t>
      </w:r>
    </w:p>
    <w:p w14:paraId="57361442" w14:textId="642C61FD" w:rsidR="00BD0266" w:rsidRDefault="00BD0266" w:rsidP="00BD0266">
      <w:pPr>
        <w:pStyle w:val="NICEnormal"/>
        <w:numPr>
          <w:ilvl w:val="1"/>
          <w:numId w:val="37"/>
        </w:numPr>
      </w:pPr>
      <w:r>
        <w:t>The use of non-randomised or qualitative evidence</w:t>
      </w:r>
    </w:p>
    <w:p w14:paraId="0F03863F" w14:textId="4DA3FA75" w:rsidR="002F0F51" w:rsidRPr="002F4198" w:rsidRDefault="004A3A1D" w:rsidP="002F4198">
      <w:pPr>
        <w:pStyle w:val="NICEnormal"/>
        <w:numPr>
          <w:ilvl w:val="1"/>
          <w:numId w:val="37"/>
        </w:numPr>
      </w:pPr>
      <w:r>
        <w:t>The timing of some steps, particularly in the context of scoping</w:t>
      </w:r>
      <w:r w:rsidR="002F4198">
        <w:t>.</w:t>
      </w:r>
    </w:p>
    <w:bookmarkEnd w:id="2"/>
    <w:sectPr w:rsidR="002F0F51" w:rsidRPr="002F4198" w:rsidSect="00CD2325">
      <w:footerReference w:type="default" r:id="rId21"/>
      <w:pgSz w:w="11906" w:h="16838"/>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25411" w14:textId="77777777" w:rsidR="009C76C9" w:rsidRDefault="009C76C9" w:rsidP="00446BEE">
      <w:r>
        <w:separator/>
      </w:r>
    </w:p>
  </w:endnote>
  <w:endnote w:type="continuationSeparator" w:id="0">
    <w:p w14:paraId="140B2074" w14:textId="77777777" w:rsidR="009C76C9" w:rsidRDefault="009C76C9" w:rsidP="00446BEE">
      <w:r>
        <w:continuationSeparator/>
      </w:r>
    </w:p>
  </w:endnote>
  <w:endnote w:type="continuationNotice" w:id="1">
    <w:p w14:paraId="4232A18D" w14:textId="77777777" w:rsidR="009C76C9" w:rsidRDefault="009C7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671892"/>
      <w:docPartObj>
        <w:docPartGallery w:val="Page Numbers (Bottom of Page)"/>
        <w:docPartUnique/>
      </w:docPartObj>
    </w:sdtPr>
    <w:sdtEndPr>
      <w:rPr>
        <w:noProof/>
      </w:rPr>
    </w:sdtEndPr>
    <w:sdtContent>
      <w:p w14:paraId="16559B7D" w14:textId="02F7EF1B" w:rsidR="002054F3" w:rsidRDefault="002054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060536" w14:textId="77777777" w:rsidR="002054F3" w:rsidRDefault="00205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ACE5" w14:textId="77777777" w:rsidR="009C76C9" w:rsidRDefault="009C76C9" w:rsidP="00446BEE">
      <w:r>
        <w:separator/>
      </w:r>
    </w:p>
  </w:footnote>
  <w:footnote w:type="continuationSeparator" w:id="0">
    <w:p w14:paraId="20FB1A5F" w14:textId="77777777" w:rsidR="009C76C9" w:rsidRDefault="009C76C9" w:rsidP="00446BEE">
      <w:r>
        <w:continuationSeparator/>
      </w:r>
    </w:p>
  </w:footnote>
  <w:footnote w:type="continuationNotice" w:id="1">
    <w:p w14:paraId="22F12003" w14:textId="77777777" w:rsidR="009C76C9" w:rsidRDefault="009C76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6C3"/>
    <w:multiLevelType w:val="hybridMultilevel"/>
    <w:tmpl w:val="F0B032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541A1"/>
    <w:multiLevelType w:val="hybridMultilevel"/>
    <w:tmpl w:val="F7700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7172A3F"/>
    <w:multiLevelType w:val="hybridMultilevel"/>
    <w:tmpl w:val="B72C9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D4E1C"/>
    <w:multiLevelType w:val="hybridMultilevel"/>
    <w:tmpl w:val="67A22BDC"/>
    <w:lvl w:ilvl="0" w:tplc="9B00DA4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6BA6316C"/>
    <w:lvl w:ilvl="0" w:tplc="F7C61354">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17405"/>
    <w:multiLevelType w:val="hybridMultilevel"/>
    <w:tmpl w:val="B0A899F0"/>
    <w:lvl w:ilvl="0" w:tplc="7592E0A8">
      <w:start w:val="1"/>
      <w:numFmt w:val="bullet"/>
      <w:pStyle w:val="Bulletleft1"/>
      <w:lvlText w:val=""/>
      <w:lvlJc w:val="left"/>
      <w:pPr>
        <w:tabs>
          <w:tab w:val="num" w:pos="284"/>
        </w:tabs>
        <w:ind w:left="284" w:hanging="284"/>
      </w:pPr>
      <w:rPr>
        <w:rFonts w:ascii="Symbol" w:hAnsi="Symbol" w:hint="default"/>
        <w:color w:val="auto"/>
      </w:rPr>
    </w:lvl>
    <w:lvl w:ilvl="1" w:tplc="404E7B78">
      <w:start w:val="1"/>
      <w:numFmt w:val="bullet"/>
      <w:lvlText w:val=""/>
      <w:lvlJc w:val="left"/>
      <w:pPr>
        <w:tabs>
          <w:tab w:val="num" w:pos="567"/>
        </w:tabs>
        <w:ind w:left="567" w:hanging="283"/>
      </w:pPr>
      <w:rPr>
        <w:rFonts w:ascii="Symbol" w:hAnsi="Symbol" w:hint="default"/>
      </w:rPr>
    </w:lvl>
    <w:lvl w:ilvl="2" w:tplc="4E4AE920">
      <w:start w:val="1"/>
      <w:numFmt w:val="bullet"/>
      <w:lvlText w:val=""/>
      <w:lvlJc w:val="left"/>
      <w:pPr>
        <w:tabs>
          <w:tab w:val="num" w:pos="851"/>
        </w:tabs>
        <w:ind w:left="851" w:hanging="284"/>
      </w:pPr>
      <w:rPr>
        <w:rFonts w:ascii="Symbol" w:hAnsi="Symbol" w:hint="default"/>
        <w:color w:val="auto"/>
      </w:rPr>
    </w:lvl>
    <w:lvl w:ilvl="3" w:tplc="384E6C9E">
      <w:start w:val="1"/>
      <w:numFmt w:val="decimal"/>
      <w:lvlText w:val="(%4)"/>
      <w:lvlJc w:val="left"/>
      <w:pPr>
        <w:tabs>
          <w:tab w:val="num" w:pos="1724"/>
        </w:tabs>
        <w:ind w:left="1724" w:hanging="360"/>
      </w:pPr>
      <w:rPr>
        <w:rFonts w:hint="default"/>
      </w:rPr>
    </w:lvl>
    <w:lvl w:ilvl="4" w:tplc="7F90414E">
      <w:start w:val="1"/>
      <w:numFmt w:val="lowerLetter"/>
      <w:lvlText w:val="(%5)"/>
      <w:lvlJc w:val="left"/>
      <w:pPr>
        <w:tabs>
          <w:tab w:val="num" w:pos="2084"/>
        </w:tabs>
        <w:ind w:left="2084" w:hanging="360"/>
      </w:pPr>
      <w:rPr>
        <w:rFonts w:hint="default"/>
      </w:rPr>
    </w:lvl>
    <w:lvl w:ilvl="5" w:tplc="AABC5D40">
      <w:start w:val="1"/>
      <w:numFmt w:val="lowerRoman"/>
      <w:lvlText w:val="(%6)"/>
      <w:lvlJc w:val="left"/>
      <w:pPr>
        <w:tabs>
          <w:tab w:val="num" w:pos="2444"/>
        </w:tabs>
        <w:ind w:left="2444" w:hanging="360"/>
      </w:pPr>
      <w:rPr>
        <w:rFonts w:hint="default"/>
      </w:rPr>
    </w:lvl>
    <w:lvl w:ilvl="6" w:tplc="DF6A871C">
      <w:start w:val="1"/>
      <w:numFmt w:val="decimal"/>
      <w:lvlText w:val="%7."/>
      <w:lvlJc w:val="left"/>
      <w:pPr>
        <w:tabs>
          <w:tab w:val="num" w:pos="2804"/>
        </w:tabs>
        <w:ind w:left="2804" w:hanging="360"/>
      </w:pPr>
      <w:rPr>
        <w:rFonts w:hint="default"/>
      </w:rPr>
    </w:lvl>
    <w:lvl w:ilvl="7" w:tplc="B18485EC">
      <w:start w:val="1"/>
      <w:numFmt w:val="lowerLetter"/>
      <w:lvlText w:val="%8."/>
      <w:lvlJc w:val="left"/>
      <w:pPr>
        <w:tabs>
          <w:tab w:val="num" w:pos="3164"/>
        </w:tabs>
        <w:ind w:left="3164" w:hanging="360"/>
      </w:pPr>
      <w:rPr>
        <w:rFonts w:hint="default"/>
      </w:rPr>
    </w:lvl>
    <w:lvl w:ilvl="8" w:tplc="34260B80">
      <w:start w:val="1"/>
      <w:numFmt w:val="lowerRoman"/>
      <w:lvlText w:val="%9."/>
      <w:lvlJc w:val="left"/>
      <w:pPr>
        <w:tabs>
          <w:tab w:val="num" w:pos="3524"/>
        </w:tabs>
        <w:ind w:left="3524" w:hanging="360"/>
      </w:pPr>
      <w:rPr>
        <w:rFonts w:hint="default"/>
      </w:rPr>
    </w:lvl>
  </w:abstractNum>
  <w:abstractNum w:abstractNumId="7" w15:restartNumberingAfterBreak="0">
    <w:nsid w:val="15E7671F"/>
    <w:multiLevelType w:val="hybridMultilevel"/>
    <w:tmpl w:val="871265CE"/>
    <w:lvl w:ilvl="0" w:tplc="72ACA7B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21A7E"/>
    <w:multiLevelType w:val="hybridMultilevel"/>
    <w:tmpl w:val="35FED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922F0"/>
    <w:multiLevelType w:val="multilevel"/>
    <w:tmpl w:val="FB86E0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o"/>
      <w:lvlJc w:val="left"/>
      <w:pPr>
        <w:tabs>
          <w:tab w:val="num" w:pos="1701"/>
        </w:tabs>
        <w:ind w:left="1701" w:hanging="283"/>
      </w:pPr>
      <w:rPr>
        <w:rFonts w:ascii="Courier New" w:hAnsi="Courier New" w:cs="Courier New"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252F2BC9"/>
    <w:multiLevelType w:val="hybridMultilevel"/>
    <w:tmpl w:val="E5FEE352"/>
    <w:lvl w:ilvl="0" w:tplc="22C42FC0">
      <w:start w:val="1"/>
      <w:numFmt w:val="lowerLetter"/>
      <w:pStyle w:val="C4Clistpara"/>
      <w:lvlText w:val="1%1)"/>
      <w:lvlJc w:val="left"/>
      <w:pPr>
        <w:ind w:left="714" w:hanging="360"/>
      </w:pPr>
      <w:rPr>
        <w:rFonts w:hint="default"/>
      </w:r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14" w15:restartNumberingAfterBreak="0">
    <w:nsid w:val="2B451FA7"/>
    <w:multiLevelType w:val="hybridMultilevel"/>
    <w:tmpl w:val="4E383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E373F"/>
    <w:multiLevelType w:val="hybridMultilevel"/>
    <w:tmpl w:val="605656CE"/>
    <w:lvl w:ilvl="0" w:tplc="72ACA7B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D64A6"/>
    <w:multiLevelType w:val="hybridMultilevel"/>
    <w:tmpl w:val="DE82C2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2765C"/>
    <w:multiLevelType w:val="hybridMultilevel"/>
    <w:tmpl w:val="F3AC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A15866"/>
    <w:multiLevelType w:val="multilevel"/>
    <w:tmpl w:val="1A742EB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o"/>
      <w:lvlJc w:val="left"/>
      <w:pPr>
        <w:tabs>
          <w:tab w:val="num" w:pos="1701"/>
        </w:tabs>
        <w:ind w:left="1701" w:hanging="283"/>
      </w:pPr>
      <w:rPr>
        <w:rFonts w:ascii="Courier New" w:hAnsi="Courier New"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397F7D61"/>
    <w:multiLevelType w:val="hybridMultilevel"/>
    <w:tmpl w:val="7E46C998"/>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C985B3D"/>
    <w:multiLevelType w:val="hybridMultilevel"/>
    <w:tmpl w:val="D954269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1D66229"/>
    <w:multiLevelType w:val="hybridMultilevel"/>
    <w:tmpl w:val="A3B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553A6"/>
    <w:multiLevelType w:val="hybridMultilevel"/>
    <w:tmpl w:val="B658F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94BCA"/>
    <w:multiLevelType w:val="hybridMultilevel"/>
    <w:tmpl w:val="95FC49E0"/>
    <w:lvl w:ilvl="0" w:tplc="08090003">
      <w:start w:val="1"/>
      <w:numFmt w:val="bullet"/>
      <w:lvlText w:val="o"/>
      <w:lvlJc w:val="left"/>
      <w:pPr>
        <w:ind w:left="2138" w:hanging="360"/>
      </w:pPr>
      <w:rPr>
        <w:rFonts w:ascii="Courier New" w:hAnsi="Courier New" w:cs="Courier New"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24"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5156E81"/>
    <w:multiLevelType w:val="hybridMultilevel"/>
    <w:tmpl w:val="B0A6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5080B"/>
    <w:multiLevelType w:val="hybridMultilevel"/>
    <w:tmpl w:val="95EE4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3401F6"/>
    <w:multiLevelType w:val="hybridMultilevel"/>
    <w:tmpl w:val="F566FE5A"/>
    <w:lvl w:ilvl="0" w:tplc="6BD8B5B8">
      <w:start w:val="1"/>
      <w:numFmt w:val="bullet"/>
      <w:lvlText w:val="•"/>
      <w:lvlJc w:val="left"/>
      <w:pPr>
        <w:tabs>
          <w:tab w:val="num" w:pos="720"/>
        </w:tabs>
        <w:ind w:left="720" w:hanging="360"/>
      </w:pPr>
      <w:rPr>
        <w:rFonts w:ascii="Arial" w:hAnsi="Arial" w:hint="default"/>
      </w:rPr>
    </w:lvl>
    <w:lvl w:ilvl="1" w:tplc="DFB6D9D2" w:tentative="1">
      <w:start w:val="1"/>
      <w:numFmt w:val="bullet"/>
      <w:lvlText w:val="•"/>
      <w:lvlJc w:val="left"/>
      <w:pPr>
        <w:tabs>
          <w:tab w:val="num" w:pos="1440"/>
        </w:tabs>
        <w:ind w:left="1440" w:hanging="360"/>
      </w:pPr>
      <w:rPr>
        <w:rFonts w:ascii="Arial" w:hAnsi="Arial" w:hint="default"/>
      </w:rPr>
    </w:lvl>
    <w:lvl w:ilvl="2" w:tplc="079416E6" w:tentative="1">
      <w:start w:val="1"/>
      <w:numFmt w:val="bullet"/>
      <w:lvlText w:val="•"/>
      <w:lvlJc w:val="left"/>
      <w:pPr>
        <w:tabs>
          <w:tab w:val="num" w:pos="2160"/>
        </w:tabs>
        <w:ind w:left="2160" w:hanging="360"/>
      </w:pPr>
      <w:rPr>
        <w:rFonts w:ascii="Arial" w:hAnsi="Arial" w:hint="default"/>
      </w:rPr>
    </w:lvl>
    <w:lvl w:ilvl="3" w:tplc="DB5ACB1A" w:tentative="1">
      <w:start w:val="1"/>
      <w:numFmt w:val="bullet"/>
      <w:lvlText w:val="•"/>
      <w:lvlJc w:val="left"/>
      <w:pPr>
        <w:tabs>
          <w:tab w:val="num" w:pos="2880"/>
        </w:tabs>
        <w:ind w:left="2880" w:hanging="360"/>
      </w:pPr>
      <w:rPr>
        <w:rFonts w:ascii="Arial" w:hAnsi="Arial" w:hint="default"/>
      </w:rPr>
    </w:lvl>
    <w:lvl w:ilvl="4" w:tplc="366C5DC2" w:tentative="1">
      <w:start w:val="1"/>
      <w:numFmt w:val="bullet"/>
      <w:lvlText w:val="•"/>
      <w:lvlJc w:val="left"/>
      <w:pPr>
        <w:tabs>
          <w:tab w:val="num" w:pos="3600"/>
        </w:tabs>
        <w:ind w:left="3600" w:hanging="360"/>
      </w:pPr>
      <w:rPr>
        <w:rFonts w:ascii="Arial" w:hAnsi="Arial" w:hint="default"/>
      </w:rPr>
    </w:lvl>
    <w:lvl w:ilvl="5" w:tplc="2E42F084" w:tentative="1">
      <w:start w:val="1"/>
      <w:numFmt w:val="bullet"/>
      <w:lvlText w:val="•"/>
      <w:lvlJc w:val="left"/>
      <w:pPr>
        <w:tabs>
          <w:tab w:val="num" w:pos="4320"/>
        </w:tabs>
        <w:ind w:left="4320" w:hanging="360"/>
      </w:pPr>
      <w:rPr>
        <w:rFonts w:ascii="Arial" w:hAnsi="Arial" w:hint="default"/>
      </w:rPr>
    </w:lvl>
    <w:lvl w:ilvl="6" w:tplc="7B18EAEC" w:tentative="1">
      <w:start w:val="1"/>
      <w:numFmt w:val="bullet"/>
      <w:lvlText w:val="•"/>
      <w:lvlJc w:val="left"/>
      <w:pPr>
        <w:tabs>
          <w:tab w:val="num" w:pos="5040"/>
        </w:tabs>
        <w:ind w:left="5040" w:hanging="360"/>
      </w:pPr>
      <w:rPr>
        <w:rFonts w:ascii="Arial" w:hAnsi="Arial" w:hint="default"/>
      </w:rPr>
    </w:lvl>
    <w:lvl w:ilvl="7" w:tplc="EBACDAB8" w:tentative="1">
      <w:start w:val="1"/>
      <w:numFmt w:val="bullet"/>
      <w:lvlText w:val="•"/>
      <w:lvlJc w:val="left"/>
      <w:pPr>
        <w:tabs>
          <w:tab w:val="num" w:pos="5760"/>
        </w:tabs>
        <w:ind w:left="5760" w:hanging="360"/>
      </w:pPr>
      <w:rPr>
        <w:rFonts w:ascii="Arial" w:hAnsi="Arial" w:hint="default"/>
      </w:rPr>
    </w:lvl>
    <w:lvl w:ilvl="8" w:tplc="63E261F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9C71F9C"/>
    <w:multiLevelType w:val="hybridMultilevel"/>
    <w:tmpl w:val="B6684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447300"/>
    <w:multiLevelType w:val="hybridMultilevel"/>
    <w:tmpl w:val="CE3A2F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4371C6"/>
    <w:multiLevelType w:val="hybridMultilevel"/>
    <w:tmpl w:val="71C6356E"/>
    <w:lvl w:ilvl="0" w:tplc="19622BF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8F3112"/>
    <w:multiLevelType w:val="hybridMultilevel"/>
    <w:tmpl w:val="809C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5045C"/>
    <w:multiLevelType w:val="multilevel"/>
    <w:tmpl w:val="DD02588E"/>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o"/>
      <w:lvlJc w:val="left"/>
      <w:pPr>
        <w:tabs>
          <w:tab w:val="num" w:pos="1701"/>
        </w:tabs>
        <w:ind w:left="1701" w:hanging="283"/>
      </w:pPr>
      <w:rPr>
        <w:rFonts w:ascii="Courier New" w:hAnsi="Courier New" w:cs="Courier New"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5E14776B"/>
    <w:multiLevelType w:val="hybridMultilevel"/>
    <w:tmpl w:val="0958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E1CAB"/>
    <w:multiLevelType w:val="hybridMultilevel"/>
    <w:tmpl w:val="20F6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AD452E"/>
    <w:multiLevelType w:val="hybridMultilevel"/>
    <w:tmpl w:val="D1C02DDE"/>
    <w:lvl w:ilvl="0" w:tplc="15C6ADFC">
      <w:start w:val="1"/>
      <w:numFmt w:val="decimal"/>
      <w:pStyle w:val="C4C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5D7CEE"/>
    <w:multiLevelType w:val="hybridMultilevel"/>
    <w:tmpl w:val="0DAC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F2189"/>
    <w:multiLevelType w:val="hybridMultilevel"/>
    <w:tmpl w:val="84DAFD6E"/>
    <w:lvl w:ilvl="0" w:tplc="FFFFFFFF">
      <w:start w:val="1"/>
      <w:numFmt w:val="bullet"/>
      <w:pStyle w:val="Bullets"/>
      <w:lvlText w:val=""/>
      <w:lvlJc w:val="left"/>
      <w:pPr>
        <w:ind w:left="1134" w:hanging="454"/>
      </w:pPr>
      <w:rPr>
        <w:rFonts w:ascii="Symbol" w:hAnsi="Symbol" w:hint="default"/>
      </w:rPr>
    </w:lvl>
    <w:lvl w:ilvl="1" w:tplc="804A3804">
      <w:start w:val="1"/>
      <w:numFmt w:val="bullet"/>
      <w:lvlText w:val="o"/>
      <w:lvlJc w:val="left"/>
      <w:pPr>
        <w:ind w:left="1440" w:hanging="360"/>
      </w:pPr>
      <w:rPr>
        <w:rFonts w:ascii="Courier New" w:hAnsi="Courier New" w:hint="default"/>
      </w:rPr>
    </w:lvl>
    <w:lvl w:ilvl="2" w:tplc="51687524">
      <w:start w:val="1"/>
      <w:numFmt w:val="bullet"/>
      <w:lvlText w:val=""/>
      <w:lvlJc w:val="left"/>
      <w:pPr>
        <w:ind w:left="2160" w:hanging="360"/>
      </w:pPr>
      <w:rPr>
        <w:rFonts w:ascii="Wingdings" w:hAnsi="Wingdings" w:hint="default"/>
      </w:rPr>
    </w:lvl>
    <w:lvl w:ilvl="3" w:tplc="670006F8">
      <w:start w:val="1"/>
      <w:numFmt w:val="bullet"/>
      <w:lvlText w:val=""/>
      <w:lvlJc w:val="left"/>
      <w:pPr>
        <w:ind w:left="2880" w:hanging="360"/>
      </w:pPr>
      <w:rPr>
        <w:rFonts w:ascii="Symbol" w:hAnsi="Symbol" w:hint="default"/>
      </w:rPr>
    </w:lvl>
    <w:lvl w:ilvl="4" w:tplc="9508D35A" w:tentative="1">
      <w:start w:val="1"/>
      <w:numFmt w:val="bullet"/>
      <w:lvlText w:val="o"/>
      <w:lvlJc w:val="left"/>
      <w:pPr>
        <w:ind w:left="3600" w:hanging="360"/>
      </w:pPr>
      <w:rPr>
        <w:rFonts w:ascii="Courier New" w:hAnsi="Courier New" w:hint="default"/>
      </w:rPr>
    </w:lvl>
    <w:lvl w:ilvl="5" w:tplc="AD901CF6" w:tentative="1">
      <w:start w:val="1"/>
      <w:numFmt w:val="bullet"/>
      <w:lvlText w:val=""/>
      <w:lvlJc w:val="left"/>
      <w:pPr>
        <w:ind w:left="4320" w:hanging="360"/>
      </w:pPr>
      <w:rPr>
        <w:rFonts w:ascii="Wingdings" w:hAnsi="Wingdings" w:hint="default"/>
      </w:rPr>
    </w:lvl>
    <w:lvl w:ilvl="6" w:tplc="831C6378" w:tentative="1">
      <w:start w:val="1"/>
      <w:numFmt w:val="bullet"/>
      <w:lvlText w:val=""/>
      <w:lvlJc w:val="left"/>
      <w:pPr>
        <w:ind w:left="5040" w:hanging="360"/>
      </w:pPr>
      <w:rPr>
        <w:rFonts w:ascii="Symbol" w:hAnsi="Symbol" w:hint="default"/>
      </w:rPr>
    </w:lvl>
    <w:lvl w:ilvl="7" w:tplc="5426A516" w:tentative="1">
      <w:start w:val="1"/>
      <w:numFmt w:val="bullet"/>
      <w:lvlText w:val="o"/>
      <w:lvlJc w:val="left"/>
      <w:pPr>
        <w:ind w:left="5760" w:hanging="360"/>
      </w:pPr>
      <w:rPr>
        <w:rFonts w:ascii="Courier New" w:hAnsi="Courier New" w:hint="default"/>
      </w:rPr>
    </w:lvl>
    <w:lvl w:ilvl="8" w:tplc="BD2A8192" w:tentative="1">
      <w:start w:val="1"/>
      <w:numFmt w:val="bullet"/>
      <w:lvlText w:val=""/>
      <w:lvlJc w:val="left"/>
      <w:pPr>
        <w:ind w:left="6480" w:hanging="360"/>
      </w:pPr>
      <w:rPr>
        <w:rFonts w:ascii="Wingdings" w:hAnsi="Wingdings" w:hint="default"/>
      </w:rPr>
    </w:lvl>
  </w:abstractNum>
  <w:abstractNum w:abstractNumId="38" w15:restartNumberingAfterBreak="0">
    <w:nsid w:val="768E755F"/>
    <w:multiLevelType w:val="hybridMultilevel"/>
    <w:tmpl w:val="2D0A2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642A8"/>
    <w:multiLevelType w:val="hybridMultilevel"/>
    <w:tmpl w:val="450A1416"/>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0" w15:restartNumberingAfterBreak="0">
    <w:nsid w:val="7D55069F"/>
    <w:multiLevelType w:val="hybridMultilevel"/>
    <w:tmpl w:val="5CC8EE5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7DA33667"/>
    <w:multiLevelType w:val="hybridMultilevel"/>
    <w:tmpl w:val="9CD6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163826"/>
    <w:multiLevelType w:val="hybridMultilevel"/>
    <w:tmpl w:val="CCE61626"/>
    <w:lvl w:ilvl="0" w:tplc="2B9EC4C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676BF3"/>
    <w:multiLevelType w:val="hybridMultilevel"/>
    <w:tmpl w:val="AF7CADC4"/>
    <w:lvl w:ilvl="0" w:tplc="A29A823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6"/>
  </w:num>
  <w:num w:numId="4">
    <w:abstractNumId w:val="35"/>
  </w:num>
  <w:num w:numId="5">
    <w:abstractNumId w:val="8"/>
  </w:num>
  <w:num w:numId="6">
    <w:abstractNumId w:val="13"/>
  </w:num>
  <w:num w:numId="7">
    <w:abstractNumId w:val="2"/>
  </w:num>
  <w:num w:numId="8">
    <w:abstractNumId w:val="9"/>
  </w:num>
  <w:num w:numId="9">
    <w:abstractNumId w:val="24"/>
  </w:num>
  <w:num w:numId="10">
    <w:abstractNumId w:val="5"/>
  </w:num>
  <w:num w:numId="11">
    <w:abstractNumId w:val="0"/>
  </w:num>
  <w:num w:numId="12">
    <w:abstractNumId w:val="16"/>
  </w:num>
  <w:num w:numId="13">
    <w:abstractNumId w:val="20"/>
  </w:num>
  <w:num w:numId="14">
    <w:abstractNumId w:val="28"/>
  </w:num>
  <w:num w:numId="15">
    <w:abstractNumId w:val="10"/>
  </w:num>
  <w:num w:numId="16">
    <w:abstractNumId w:val="21"/>
  </w:num>
  <w:num w:numId="17">
    <w:abstractNumId w:val="3"/>
  </w:num>
  <w:num w:numId="18">
    <w:abstractNumId w:val="40"/>
  </w:num>
  <w:num w:numId="19">
    <w:abstractNumId w:val="14"/>
  </w:num>
  <w:num w:numId="20">
    <w:abstractNumId w:val="38"/>
  </w:num>
  <w:num w:numId="21">
    <w:abstractNumId w:val="29"/>
  </w:num>
  <w:num w:numId="22">
    <w:abstractNumId w:val="18"/>
  </w:num>
  <w:num w:numId="23">
    <w:abstractNumId w:val="32"/>
  </w:num>
  <w:num w:numId="24">
    <w:abstractNumId w:val="12"/>
  </w:num>
  <w:num w:numId="25">
    <w:abstractNumId w:val="19"/>
  </w:num>
  <w:num w:numId="26">
    <w:abstractNumId w:val="39"/>
  </w:num>
  <w:num w:numId="27">
    <w:abstractNumId w:val="23"/>
  </w:num>
  <w:num w:numId="28">
    <w:abstractNumId w:val="37"/>
  </w:num>
  <w:num w:numId="29">
    <w:abstractNumId w:val="37"/>
  </w:num>
  <w:num w:numId="30">
    <w:abstractNumId w:val="37"/>
  </w:num>
  <w:num w:numId="31">
    <w:abstractNumId w:val="27"/>
  </w:num>
  <w:num w:numId="32">
    <w:abstractNumId w:val="1"/>
  </w:num>
  <w:num w:numId="33">
    <w:abstractNumId w:val="25"/>
  </w:num>
  <w:num w:numId="34">
    <w:abstractNumId w:val="33"/>
  </w:num>
  <w:num w:numId="35">
    <w:abstractNumId w:val="41"/>
  </w:num>
  <w:num w:numId="36">
    <w:abstractNumId w:val="31"/>
  </w:num>
  <w:num w:numId="37">
    <w:abstractNumId w:val="22"/>
  </w:num>
  <w:num w:numId="38">
    <w:abstractNumId w:val="42"/>
  </w:num>
  <w:num w:numId="39">
    <w:abstractNumId w:val="43"/>
  </w:num>
  <w:num w:numId="40">
    <w:abstractNumId w:val="30"/>
  </w:num>
  <w:num w:numId="41">
    <w:abstractNumId w:val="7"/>
  </w:num>
  <w:num w:numId="42">
    <w:abstractNumId w:val="15"/>
  </w:num>
  <w:num w:numId="43">
    <w:abstractNumId w:val="26"/>
  </w:num>
  <w:num w:numId="44">
    <w:abstractNumId w:val="36"/>
  </w:num>
  <w:num w:numId="45">
    <w:abstractNumId w:val="17"/>
  </w:num>
  <w:num w:numId="46">
    <w:abstractNumId w:val="4"/>
  </w:num>
  <w:num w:numId="47">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95"/>
    <w:rsid w:val="000002AC"/>
    <w:rsid w:val="000004C4"/>
    <w:rsid w:val="000009F5"/>
    <w:rsid w:val="000014E5"/>
    <w:rsid w:val="000053F8"/>
    <w:rsid w:val="00005C6D"/>
    <w:rsid w:val="0000609F"/>
    <w:rsid w:val="000066A0"/>
    <w:rsid w:val="00007C50"/>
    <w:rsid w:val="0001050A"/>
    <w:rsid w:val="00013DB8"/>
    <w:rsid w:val="00017CF6"/>
    <w:rsid w:val="000216CC"/>
    <w:rsid w:val="00021A2A"/>
    <w:rsid w:val="00024D0A"/>
    <w:rsid w:val="0002645E"/>
    <w:rsid w:val="00031D97"/>
    <w:rsid w:val="00032039"/>
    <w:rsid w:val="0003596E"/>
    <w:rsid w:val="00036798"/>
    <w:rsid w:val="000370B9"/>
    <w:rsid w:val="00040590"/>
    <w:rsid w:val="00040E7B"/>
    <w:rsid w:val="00040F9D"/>
    <w:rsid w:val="000414FC"/>
    <w:rsid w:val="000423C0"/>
    <w:rsid w:val="0004299B"/>
    <w:rsid w:val="000472DC"/>
    <w:rsid w:val="00047A84"/>
    <w:rsid w:val="00055A43"/>
    <w:rsid w:val="000569AB"/>
    <w:rsid w:val="00057774"/>
    <w:rsid w:val="00060D37"/>
    <w:rsid w:val="000622FD"/>
    <w:rsid w:val="000624F9"/>
    <w:rsid w:val="0006448E"/>
    <w:rsid w:val="0006509D"/>
    <w:rsid w:val="0006536E"/>
    <w:rsid w:val="00065743"/>
    <w:rsid w:val="00066A18"/>
    <w:rsid w:val="00067FDB"/>
    <w:rsid w:val="00070065"/>
    <w:rsid w:val="00070A33"/>
    <w:rsid w:val="00070C7D"/>
    <w:rsid w:val="00070F77"/>
    <w:rsid w:val="0007174B"/>
    <w:rsid w:val="00072E81"/>
    <w:rsid w:val="00074169"/>
    <w:rsid w:val="000745C5"/>
    <w:rsid w:val="000757F5"/>
    <w:rsid w:val="00077121"/>
    <w:rsid w:val="00080687"/>
    <w:rsid w:val="000807FF"/>
    <w:rsid w:val="00080810"/>
    <w:rsid w:val="0008178C"/>
    <w:rsid w:val="00081A33"/>
    <w:rsid w:val="00082F5F"/>
    <w:rsid w:val="000831E8"/>
    <w:rsid w:val="000837EB"/>
    <w:rsid w:val="00084124"/>
    <w:rsid w:val="00085223"/>
    <w:rsid w:val="000872BA"/>
    <w:rsid w:val="00091483"/>
    <w:rsid w:val="00094057"/>
    <w:rsid w:val="000940CB"/>
    <w:rsid w:val="000944F1"/>
    <w:rsid w:val="00094BE2"/>
    <w:rsid w:val="00095B37"/>
    <w:rsid w:val="00096F77"/>
    <w:rsid w:val="00096F7E"/>
    <w:rsid w:val="00097B97"/>
    <w:rsid w:val="000A0955"/>
    <w:rsid w:val="000A3E70"/>
    <w:rsid w:val="000A4139"/>
    <w:rsid w:val="000A4FEE"/>
    <w:rsid w:val="000A5BB8"/>
    <w:rsid w:val="000A5F8C"/>
    <w:rsid w:val="000B0F52"/>
    <w:rsid w:val="000B26EA"/>
    <w:rsid w:val="000B2885"/>
    <w:rsid w:val="000B55F1"/>
    <w:rsid w:val="000B5939"/>
    <w:rsid w:val="000B59C9"/>
    <w:rsid w:val="000B67AA"/>
    <w:rsid w:val="000C1027"/>
    <w:rsid w:val="000C3A20"/>
    <w:rsid w:val="000D0201"/>
    <w:rsid w:val="000D1611"/>
    <w:rsid w:val="000D3AA5"/>
    <w:rsid w:val="000D5F91"/>
    <w:rsid w:val="000D6D94"/>
    <w:rsid w:val="000D6F32"/>
    <w:rsid w:val="000E06F9"/>
    <w:rsid w:val="000E1CA7"/>
    <w:rsid w:val="000E2004"/>
    <w:rsid w:val="000E23D3"/>
    <w:rsid w:val="000E45A4"/>
    <w:rsid w:val="000F29B6"/>
    <w:rsid w:val="000F3171"/>
    <w:rsid w:val="000F4376"/>
    <w:rsid w:val="000F4BE5"/>
    <w:rsid w:val="000F5AA2"/>
    <w:rsid w:val="000F644A"/>
    <w:rsid w:val="000F73E1"/>
    <w:rsid w:val="00101018"/>
    <w:rsid w:val="00102AD7"/>
    <w:rsid w:val="00103084"/>
    <w:rsid w:val="00103969"/>
    <w:rsid w:val="001039B7"/>
    <w:rsid w:val="00104A80"/>
    <w:rsid w:val="0010619B"/>
    <w:rsid w:val="001063A5"/>
    <w:rsid w:val="00106D34"/>
    <w:rsid w:val="00111CCE"/>
    <w:rsid w:val="0011268B"/>
    <w:rsid w:val="001134E7"/>
    <w:rsid w:val="001179F9"/>
    <w:rsid w:val="00126603"/>
    <w:rsid w:val="001266AA"/>
    <w:rsid w:val="001326E5"/>
    <w:rsid w:val="00132E46"/>
    <w:rsid w:val="00133DCB"/>
    <w:rsid w:val="00135CF8"/>
    <w:rsid w:val="0014132A"/>
    <w:rsid w:val="001417FF"/>
    <w:rsid w:val="00142F12"/>
    <w:rsid w:val="001441ED"/>
    <w:rsid w:val="00144728"/>
    <w:rsid w:val="00146A52"/>
    <w:rsid w:val="0015162D"/>
    <w:rsid w:val="00151A63"/>
    <w:rsid w:val="0015235A"/>
    <w:rsid w:val="00153D34"/>
    <w:rsid w:val="0015455F"/>
    <w:rsid w:val="001569BD"/>
    <w:rsid w:val="00156AA3"/>
    <w:rsid w:val="0015707E"/>
    <w:rsid w:val="001570C2"/>
    <w:rsid w:val="001572FC"/>
    <w:rsid w:val="00160286"/>
    <w:rsid w:val="0016123E"/>
    <w:rsid w:val="00162AA4"/>
    <w:rsid w:val="0016703E"/>
    <w:rsid w:val="001675F4"/>
    <w:rsid w:val="00167DA8"/>
    <w:rsid w:val="001712DD"/>
    <w:rsid w:val="0017149E"/>
    <w:rsid w:val="0017169E"/>
    <w:rsid w:val="001717A5"/>
    <w:rsid w:val="00173250"/>
    <w:rsid w:val="00175219"/>
    <w:rsid w:val="00176DAC"/>
    <w:rsid w:val="001802D3"/>
    <w:rsid w:val="0018193F"/>
    <w:rsid w:val="00181A4A"/>
    <w:rsid w:val="00182632"/>
    <w:rsid w:val="00182673"/>
    <w:rsid w:val="00182FEF"/>
    <w:rsid w:val="001839D1"/>
    <w:rsid w:val="00184608"/>
    <w:rsid w:val="00184BC0"/>
    <w:rsid w:val="00186FB4"/>
    <w:rsid w:val="0019106A"/>
    <w:rsid w:val="00193DF6"/>
    <w:rsid w:val="00193FBD"/>
    <w:rsid w:val="00194BB4"/>
    <w:rsid w:val="00194D72"/>
    <w:rsid w:val="00194EE1"/>
    <w:rsid w:val="00195743"/>
    <w:rsid w:val="00196D75"/>
    <w:rsid w:val="001A23CA"/>
    <w:rsid w:val="001A56FA"/>
    <w:rsid w:val="001A63D0"/>
    <w:rsid w:val="001B03DD"/>
    <w:rsid w:val="001B0EE9"/>
    <w:rsid w:val="001B15FE"/>
    <w:rsid w:val="001B27E8"/>
    <w:rsid w:val="001B3E70"/>
    <w:rsid w:val="001B5E03"/>
    <w:rsid w:val="001B619B"/>
    <w:rsid w:val="001B65B3"/>
    <w:rsid w:val="001C440C"/>
    <w:rsid w:val="001D147A"/>
    <w:rsid w:val="001D2823"/>
    <w:rsid w:val="001D366A"/>
    <w:rsid w:val="001D381D"/>
    <w:rsid w:val="001D4225"/>
    <w:rsid w:val="001D4FB4"/>
    <w:rsid w:val="001D6586"/>
    <w:rsid w:val="001D66B1"/>
    <w:rsid w:val="001D66B6"/>
    <w:rsid w:val="001D6D42"/>
    <w:rsid w:val="001D79E0"/>
    <w:rsid w:val="001E04F4"/>
    <w:rsid w:val="001E0B47"/>
    <w:rsid w:val="001E1037"/>
    <w:rsid w:val="001E1FEE"/>
    <w:rsid w:val="001E2F3D"/>
    <w:rsid w:val="001E337B"/>
    <w:rsid w:val="001E355A"/>
    <w:rsid w:val="001E4C84"/>
    <w:rsid w:val="001E4DF0"/>
    <w:rsid w:val="001E6410"/>
    <w:rsid w:val="001E674E"/>
    <w:rsid w:val="001E700B"/>
    <w:rsid w:val="001F002F"/>
    <w:rsid w:val="001F0E8C"/>
    <w:rsid w:val="001F284C"/>
    <w:rsid w:val="001F32B8"/>
    <w:rsid w:val="001F396C"/>
    <w:rsid w:val="001F67EB"/>
    <w:rsid w:val="001F7A11"/>
    <w:rsid w:val="00201AE1"/>
    <w:rsid w:val="00202449"/>
    <w:rsid w:val="002029A6"/>
    <w:rsid w:val="00202DA7"/>
    <w:rsid w:val="00203392"/>
    <w:rsid w:val="002049AB"/>
    <w:rsid w:val="002053AB"/>
    <w:rsid w:val="002054F3"/>
    <w:rsid w:val="00211E02"/>
    <w:rsid w:val="00214C7B"/>
    <w:rsid w:val="00215034"/>
    <w:rsid w:val="0021592A"/>
    <w:rsid w:val="00222CA0"/>
    <w:rsid w:val="00222EEE"/>
    <w:rsid w:val="00222FEC"/>
    <w:rsid w:val="00223B73"/>
    <w:rsid w:val="00225671"/>
    <w:rsid w:val="00225812"/>
    <w:rsid w:val="00225943"/>
    <w:rsid w:val="00225F95"/>
    <w:rsid w:val="00226371"/>
    <w:rsid w:val="00227A03"/>
    <w:rsid w:val="00230279"/>
    <w:rsid w:val="002308D9"/>
    <w:rsid w:val="00230EC8"/>
    <w:rsid w:val="002324CB"/>
    <w:rsid w:val="0023281C"/>
    <w:rsid w:val="00232880"/>
    <w:rsid w:val="00234595"/>
    <w:rsid w:val="00234F79"/>
    <w:rsid w:val="0023635A"/>
    <w:rsid w:val="00240725"/>
    <w:rsid w:val="002408EA"/>
    <w:rsid w:val="002432F7"/>
    <w:rsid w:val="00244E75"/>
    <w:rsid w:val="002474B8"/>
    <w:rsid w:val="002516D4"/>
    <w:rsid w:val="00252A51"/>
    <w:rsid w:val="00254F71"/>
    <w:rsid w:val="00255CD0"/>
    <w:rsid w:val="002568ED"/>
    <w:rsid w:val="00256C2C"/>
    <w:rsid w:val="00257C16"/>
    <w:rsid w:val="0026129E"/>
    <w:rsid w:val="00263B44"/>
    <w:rsid w:val="00264C08"/>
    <w:rsid w:val="00264C52"/>
    <w:rsid w:val="0027161E"/>
    <w:rsid w:val="0027261B"/>
    <w:rsid w:val="00272634"/>
    <w:rsid w:val="002737A6"/>
    <w:rsid w:val="00273DE1"/>
    <w:rsid w:val="002741A9"/>
    <w:rsid w:val="00275438"/>
    <w:rsid w:val="0027642A"/>
    <w:rsid w:val="002776CA"/>
    <w:rsid w:val="002778D7"/>
    <w:rsid w:val="0028199C"/>
    <w:rsid w:val="002819D7"/>
    <w:rsid w:val="00285B40"/>
    <w:rsid w:val="00292878"/>
    <w:rsid w:val="00292B21"/>
    <w:rsid w:val="002933F9"/>
    <w:rsid w:val="002941A9"/>
    <w:rsid w:val="0029442C"/>
    <w:rsid w:val="00294729"/>
    <w:rsid w:val="00295A37"/>
    <w:rsid w:val="00296278"/>
    <w:rsid w:val="002971F3"/>
    <w:rsid w:val="00297D3F"/>
    <w:rsid w:val="002A0907"/>
    <w:rsid w:val="002A13DD"/>
    <w:rsid w:val="002A1F42"/>
    <w:rsid w:val="002A56BA"/>
    <w:rsid w:val="002B063C"/>
    <w:rsid w:val="002B12C5"/>
    <w:rsid w:val="002B1522"/>
    <w:rsid w:val="002B1689"/>
    <w:rsid w:val="002B2849"/>
    <w:rsid w:val="002B2899"/>
    <w:rsid w:val="002B2BE6"/>
    <w:rsid w:val="002B5453"/>
    <w:rsid w:val="002B7422"/>
    <w:rsid w:val="002B7845"/>
    <w:rsid w:val="002B7FAC"/>
    <w:rsid w:val="002C0714"/>
    <w:rsid w:val="002C16A4"/>
    <w:rsid w:val="002C1A7E"/>
    <w:rsid w:val="002C3A9E"/>
    <w:rsid w:val="002C4F46"/>
    <w:rsid w:val="002C7CB5"/>
    <w:rsid w:val="002D1564"/>
    <w:rsid w:val="002D1C43"/>
    <w:rsid w:val="002D3376"/>
    <w:rsid w:val="002D391D"/>
    <w:rsid w:val="002D46F6"/>
    <w:rsid w:val="002D5989"/>
    <w:rsid w:val="002D5D17"/>
    <w:rsid w:val="002D75A1"/>
    <w:rsid w:val="002E089D"/>
    <w:rsid w:val="002E0CFC"/>
    <w:rsid w:val="002E1016"/>
    <w:rsid w:val="002E129C"/>
    <w:rsid w:val="002E2448"/>
    <w:rsid w:val="002E296F"/>
    <w:rsid w:val="002E3234"/>
    <w:rsid w:val="002E3313"/>
    <w:rsid w:val="002E4849"/>
    <w:rsid w:val="002E4A9E"/>
    <w:rsid w:val="002F0F51"/>
    <w:rsid w:val="002F1CEF"/>
    <w:rsid w:val="002F28FD"/>
    <w:rsid w:val="002F2C68"/>
    <w:rsid w:val="002F4198"/>
    <w:rsid w:val="002F4C1D"/>
    <w:rsid w:val="002F7180"/>
    <w:rsid w:val="00300772"/>
    <w:rsid w:val="003015E9"/>
    <w:rsid w:val="00302902"/>
    <w:rsid w:val="00302DDD"/>
    <w:rsid w:val="003049F8"/>
    <w:rsid w:val="00304EF7"/>
    <w:rsid w:val="00306464"/>
    <w:rsid w:val="0030784C"/>
    <w:rsid w:val="003118CF"/>
    <w:rsid w:val="00311ED0"/>
    <w:rsid w:val="0031378D"/>
    <w:rsid w:val="00314F1B"/>
    <w:rsid w:val="0031608C"/>
    <w:rsid w:val="003161A1"/>
    <w:rsid w:val="00316535"/>
    <w:rsid w:val="00317152"/>
    <w:rsid w:val="003211F3"/>
    <w:rsid w:val="00322C51"/>
    <w:rsid w:val="0032498B"/>
    <w:rsid w:val="003271A2"/>
    <w:rsid w:val="003276C7"/>
    <w:rsid w:val="003322AF"/>
    <w:rsid w:val="00333C46"/>
    <w:rsid w:val="00334CCD"/>
    <w:rsid w:val="003355AF"/>
    <w:rsid w:val="00336B28"/>
    <w:rsid w:val="00336C32"/>
    <w:rsid w:val="00337945"/>
    <w:rsid w:val="00341CAC"/>
    <w:rsid w:val="003422DC"/>
    <w:rsid w:val="00342E23"/>
    <w:rsid w:val="00343D75"/>
    <w:rsid w:val="00345CB1"/>
    <w:rsid w:val="00347053"/>
    <w:rsid w:val="003503EB"/>
    <w:rsid w:val="0035091A"/>
    <w:rsid w:val="0035245F"/>
    <w:rsid w:val="00352F15"/>
    <w:rsid w:val="00353231"/>
    <w:rsid w:val="00353DEE"/>
    <w:rsid w:val="003540B2"/>
    <w:rsid w:val="00355F03"/>
    <w:rsid w:val="00355FBE"/>
    <w:rsid w:val="00355FD4"/>
    <w:rsid w:val="003568C3"/>
    <w:rsid w:val="00356FBB"/>
    <w:rsid w:val="00362A7B"/>
    <w:rsid w:val="00363ABF"/>
    <w:rsid w:val="003648C5"/>
    <w:rsid w:val="00367337"/>
    <w:rsid w:val="0037199E"/>
    <w:rsid w:val="003722FA"/>
    <w:rsid w:val="00373436"/>
    <w:rsid w:val="00376F97"/>
    <w:rsid w:val="003771D4"/>
    <w:rsid w:val="00380068"/>
    <w:rsid w:val="00380E0B"/>
    <w:rsid w:val="00383A23"/>
    <w:rsid w:val="003844DD"/>
    <w:rsid w:val="00384A00"/>
    <w:rsid w:val="00386060"/>
    <w:rsid w:val="003874D1"/>
    <w:rsid w:val="00387A33"/>
    <w:rsid w:val="003912FE"/>
    <w:rsid w:val="00391DAC"/>
    <w:rsid w:val="003940C3"/>
    <w:rsid w:val="00395B53"/>
    <w:rsid w:val="00397383"/>
    <w:rsid w:val="003A0A4E"/>
    <w:rsid w:val="003A26D6"/>
    <w:rsid w:val="003A2834"/>
    <w:rsid w:val="003A3DD5"/>
    <w:rsid w:val="003A5ECB"/>
    <w:rsid w:val="003A5F02"/>
    <w:rsid w:val="003A6B42"/>
    <w:rsid w:val="003B1C85"/>
    <w:rsid w:val="003B2925"/>
    <w:rsid w:val="003B2DAD"/>
    <w:rsid w:val="003B2E2C"/>
    <w:rsid w:val="003B4853"/>
    <w:rsid w:val="003B53EE"/>
    <w:rsid w:val="003B61D7"/>
    <w:rsid w:val="003C027D"/>
    <w:rsid w:val="003C1C84"/>
    <w:rsid w:val="003C1D35"/>
    <w:rsid w:val="003C3309"/>
    <w:rsid w:val="003C545F"/>
    <w:rsid w:val="003C5727"/>
    <w:rsid w:val="003C761B"/>
    <w:rsid w:val="003C7AAF"/>
    <w:rsid w:val="003D0135"/>
    <w:rsid w:val="003D2521"/>
    <w:rsid w:val="003D6AE4"/>
    <w:rsid w:val="003E1964"/>
    <w:rsid w:val="003E1CB7"/>
    <w:rsid w:val="003E3759"/>
    <w:rsid w:val="003F4E56"/>
    <w:rsid w:val="003F4FC5"/>
    <w:rsid w:val="003F60BF"/>
    <w:rsid w:val="003F7D5F"/>
    <w:rsid w:val="00400246"/>
    <w:rsid w:val="00401152"/>
    <w:rsid w:val="0040333C"/>
    <w:rsid w:val="004037FB"/>
    <w:rsid w:val="00403FD8"/>
    <w:rsid w:val="00404AD3"/>
    <w:rsid w:val="0040594C"/>
    <w:rsid w:val="00406ACA"/>
    <w:rsid w:val="004075B6"/>
    <w:rsid w:val="00407748"/>
    <w:rsid w:val="00411415"/>
    <w:rsid w:val="00414088"/>
    <w:rsid w:val="00420952"/>
    <w:rsid w:val="0042280A"/>
    <w:rsid w:val="00422E4A"/>
    <w:rsid w:val="00423128"/>
    <w:rsid w:val="00423948"/>
    <w:rsid w:val="00423E3E"/>
    <w:rsid w:val="004251D8"/>
    <w:rsid w:val="004257F7"/>
    <w:rsid w:val="00425F42"/>
    <w:rsid w:val="00426B18"/>
    <w:rsid w:val="00431622"/>
    <w:rsid w:val="0043265F"/>
    <w:rsid w:val="00432A1A"/>
    <w:rsid w:val="004330F2"/>
    <w:rsid w:val="004337F8"/>
    <w:rsid w:val="00433C42"/>
    <w:rsid w:val="00433EFF"/>
    <w:rsid w:val="004345FB"/>
    <w:rsid w:val="00434D13"/>
    <w:rsid w:val="00436797"/>
    <w:rsid w:val="00436D5D"/>
    <w:rsid w:val="00443081"/>
    <w:rsid w:val="00446772"/>
    <w:rsid w:val="00446BEE"/>
    <w:rsid w:val="0044762E"/>
    <w:rsid w:val="00450B70"/>
    <w:rsid w:val="004527C8"/>
    <w:rsid w:val="004548C4"/>
    <w:rsid w:val="00457FE2"/>
    <w:rsid w:val="0046271C"/>
    <w:rsid w:val="0046295A"/>
    <w:rsid w:val="004639A4"/>
    <w:rsid w:val="00464DC8"/>
    <w:rsid w:val="004651FA"/>
    <w:rsid w:val="00466830"/>
    <w:rsid w:val="004672C2"/>
    <w:rsid w:val="00470EF4"/>
    <w:rsid w:val="004710F9"/>
    <w:rsid w:val="0047605D"/>
    <w:rsid w:val="004765F6"/>
    <w:rsid w:val="00476DBC"/>
    <w:rsid w:val="004828D9"/>
    <w:rsid w:val="00483057"/>
    <w:rsid w:val="00483E5B"/>
    <w:rsid w:val="00487498"/>
    <w:rsid w:val="00490AC3"/>
    <w:rsid w:val="004922DD"/>
    <w:rsid w:val="00493150"/>
    <w:rsid w:val="00494168"/>
    <w:rsid w:val="00494E7E"/>
    <w:rsid w:val="004956B8"/>
    <w:rsid w:val="004964B3"/>
    <w:rsid w:val="00497ED8"/>
    <w:rsid w:val="004A246E"/>
    <w:rsid w:val="004A2D4D"/>
    <w:rsid w:val="004A3A1D"/>
    <w:rsid w:val="004A425E"/>
    <w:rsid w:val="004A489D"/>
    <w:rsid w:val="004A7F58"/>
    <w:rsid w:val="004B115D"/>
    <w:rsid w:val="004B17C7"/>
    <w:rsid w:val="004B17DE"/>
    <w:rsid w:val="004B1B2B"/>
    <w:rsid w:val="004B2D6E"/>
    <w:rsid w:val="004B502E"/>
    <w:rsid w:val="004B56F7"/>
    <w:rsid w:val="004B5C45"/>
    <w:rsid w:val="004B5EBA"/>
    <w:rsid w:val="004B6B80"/>
    <w:rsid w:val="004C4F7F"/>
    <w:rsid w:val="004C7F77"/>
    <w:rsid w:val="004D0AA1"/>
    <w:rsid w:val="004D2916"/>
    <w:rsid w:val="004D2961"/>
    <w:rsid w:val="004D345C"/>
    <w:rsid w:val="004D7547"/>
    <w:rsid w:val="004D7F37"/>
    <w:rsid w:val="004E02D1"/>
    <w:rsid w:val="004E0B91"/>
    <w:rsid w:val="004E2E81"/>
    <w:rsid w:val="004E32B4"/>
    <w:rsid w:val="004E52E7"/>
    <w:rsid w:val="004E78E9"/>
    <w:rsid w:val="004E7A2F"/>
    <w:rsid w:val="004F269F"/>
    <w:rsid w:val="004F331F"/>
    <w:rsid w:val="004F527C"/>
    <w:rsid w:val="004F5BC9"/>
    <w:rsid w:val="004F6B3F"/>
    <w:rsid w:val="005009F5"/>
    <w:rsid w:val="00500E1B"/>
    <w:rsid w:val="00501BAB"/>
    <w:rsid w:val="00501DDA"/>
    <w:rsid w:val="005025A1"/>
    <w:rsid w:val="005030FA"/>
    <w:rsid w:val="00503D88"/>
    <w:rsid w:val="00503FCF"/>
    <w:rsid w:val="00506857"/>
    <w:rsid w:val="00510A67"/>
    <w:rsid w:val="00510A70"/>
    <w:rsid w:val="00512167"/>
    <w:rsid w:val="00512ACF"/>
    <w:rsid w:val="00513DF1"/>
    <w:rsid w:val="005143D4"/>
    <w:rsid w:val="005154E8"/>
    <w:rsid w:val="0051659A"/>
    <w:rsid w:val="005167B0"/>
    <w:rsid w:val="00517946"/>
    <w:rsid w:val="00517B4E"/>
    <w:rsid w:val="00517B9D"/>
    <w:rsid w:val="00517F52"/>
    <w:rsid w:val="0052027D"/>
    <w:rsid w:val="0052118B"/>
    <w:rsid w:val="00521588"/>
    <w:rsid w:val="00521C32"/>
    <w:rsid w:val="00521F51"/>
    <w:rsid w:val="0052423C"/>
    <w:rsid w:val="00524E42"/>
    <w:rsid w:val="0052520A"/>
    <w:rsid w:val="005270E6"/>
    <w:rsid w:val="00527D05"/>
    <w:rsid w:val="00531146"/>
    <w:rsid w:val="00531883"/>
    <w:rsid w:val="00533FBE"/>
    <w:rsid w:val="005348B4"/>
    <w:rsid w:val="00535FC1"/>
    <w:rsid w:val="00537681"/>
    <w:rsid w:val="00541D44"/>
    <w:rsid w:val="00541FF7"/>
    <w:rsid w:val="00543625"/>
    <w:rsid w:val="0054579D"/>
    <w:rsid w:val="00545852"/>
    <w:rsid w:val="00553D2A"/>
    <w:rsid w:val="00554A00"/>
    <w:rsid w:val="00554B30"/>
    <w:rsid w:val="005564F4"/>
    <w:rsid w:val="005576F2"/>
    <w:rsid w:val="00557D1B"/>
    <w:rsid w:val="005636DB"/>
    <w:rsid w:val="0056464C"/>
    <w:rsid w:val="005672F8"/>
    <w:rsid w:val="0057203E"/>
    <w:rsid w:val="00573273"/>
    <w:rsid w:val="00575A14"/>
    <w:rsid w:val="005765B9"/>
    <w:rsid w:val="00580397"/>
    <w:rsid w:val="00581F76"/>
    <w:rsid w:val="0058211A"/>
    <w:rsid w:val="00590BD0"/>
    <w:rsid w:val="00590C4A"/>
    <w:rsid w:val="005925BE"/>
    <w:rsid w:val="00593102"/>
    <w:rsid w:val="00597236"/>
    <w:rsid w:val="0059724F"/>
    <w:rsid w:val="005A0F38"/>
    <w:rsid w:val="005A5246"/>
    <w:rsid w:val="005A5747"/>
    <w:rsid w:val="005A5FB1"/>
    <w:rsid w:val="005A6444"/>
    <w:rsid w:val="005B0F82"/>
    <w:rsid w:val="005B259E"/>
    <w:rsid w:val="005B26BA"/>
    <w:rsid w:val="005B33F1"/>
    <w:rsid w:val="005B4112"/>
    <w:rsid w:val="005B4CC4"/>
    <w:rsid w:val="005B5444"/>
    <w:rsid w:val="005B5A2D"/>
    <w:rsid w:val="005C0CC8"/>
    <w:rsid w:val="005C2FF5"/>
    <w:rsid w:val="005C51B9"/>
    <w:rsid w:val="005C668C"/>
    <w:rsid w:val="005C69BB"/>
    <w:rsid w:val="005C6CE3"/>
    <w:rsid w:val="005C6F66"/>
    <w:rsid w:val="005D001B"/>
    <w:rsid w:val="005D07D7"/>
    <w:rsid w:val="005D0BFD"/>
    <w:rsid w:val="005D0FE8"/>
    <w:rsid w:val="005D13A8"/>
    <w:rsid w:val="005D28CE"/>
    <w:rsid w:val="005D3F93"/>
    <w:rsid w:val="005D4CA5"/>
    <w:rsid w:val="005D71FE"/>
    <w:rsid w:val="005D784F"/>
    <w:rsid w:val="005E1DD6"/>
    <w:rsid w:val="005E621D"/>
    <w:rsid w:val="005E640E"/>
    <w:rsid w:val="005F4DF3"/>
    <w:rsid w:val="005F562D"/>
    <w:rsid w:val="006011D9"/>
    <w:rsid w:val="00601228"/>
    <w:rsid w:val="006019D8"/>
    <w:rsid w:val="00601D3F"/>
    <w:rsid w:val="006037FF"/>
    <w:rsid w:val="006048F7"/>
    <w:rsid w:val="006053DF"/>
    <w:rsid w:val="00605A3E"/>
    <w:rsid w:val="00606691"/>
    <w:rsid w:val="00606C76"/>
    <w:rsid w:val="0060757D"/>
    <w:rsid w:val="006075CB"/>
    <w:rsid w:val="00607680"/>
    <w:rsid w:val="00611BEE"/>
    <w:rsid w:val="00612022"/>
    <w:rsid w:val="00613A3E"/>
    <w:rsid w:val="0061499E"/>
    <w:rsid w:val="00614F0F"/>
    <w:rsid w:val="00615B77"/>
    <w:rsid w:val="0061627E"/>
    <w:rsid w:val="0061775A"/>
    <w:rsid w:val="00617D0A"/>
    <w:rsid w:val="00621F7F"/>
    <w:rsid w:val="00622E76"/>
    <w:rsid w:val="0062447A"/>
    <w:rsid w:val="006277DC"/>
    <w:rsid w:val="006302B2"/>
    <w:rsid w:val="00630874"/>
    <w:rsid w:val="00630983"/>
    <w:rsid w:val="00631303"/>
    <w:rsid w:val="0063257D"/>
    <w:rsid w:val="00632ABB"/>
    <w:rsid w:val="006331C0"/>
    <w:rsid w:val="00634052"/>
    <w:rsid w:val="006409BC"/>
    <w:rsid w:val="0064194C"/>
    <w:rsid w:val="006466D3"/>
    <w:rsid w:val="00646F78"/>
    <w:rsid w:val="00647079"/>
    <w:rsid w:val="00650384"/>
    <w:rsid w:val="006504C3"/>
    <w:rsid w:val="00650F5A"/>
    <w:rsid w:val="00651421"/>
    <w:rsid w:val="006520DA"/>
    <w:rsid w:val="00653DAA"/>
    <w:rsid w:val="0065400C"/>
    <w:rsid w:val="00656074"/>
    <w:rsid w:val="0065648F"/>
    <w:rsid w:val="00656B36"/>
    <w:rsid w:val="00656EA4"/>
    <w:rsid w:val="00663731"/>
    <w:rsid w:val="00664269"/>
    <w:rsid w:val="0066534E"/>
    <w:rsid w:val="00666711"/>
    <w:rsid w:val="00667919"/>
    <w:rsid w:val="00667B31"/>
    <w:rsid w:val="0067170C"/>
    <w:rsid w:val="00671A71"/>
    <w:rsid w:val="006776A4"/>
    <w:rsid w:val="00681CD4"/>
    <w:rsid w:val="00681FA3"/>
    <w:rsid w:val="00683B1B"/>
    <w:rsid w:val="00684C6D"/>
    <w:rsid w:val="006858BB"/>
    <w:rsid w:val="00690A36"/>
    <w:rsid w:val="006921E1"/>
    <w:rsid w:val="0069297A"/>
    <w:rsid w:val="00692F90"/>
    <w:rsid w:val="006938AC"/>
    <w:rsid w:val="006938B5"/>
    <w:rsid w:val="006942DD"/>
    <w:rsid w:val="00696D07"/>
    <w:rsid w:val="006A289B"/>
    <w:rsid w:val="006A40F8"/>
    <w:rsid w:val="006A53DA"/>
    <w:rsid w:val="006A736F"/>
    <w:rsid w:val="006A742C"/>
    <w:rsid w:val="006A7585"/>
    <w:rsid w:val="006A7742"/>
    <w:rsid w:val="006B03B7"/>
    <w:rsid w:val="006B06BF"/>
    <w:rsid w:val="006B14E5"/>
    <w:rsid w:val="006B30D8"/>
    <w:rsid w:val="006B58B9"/>
    <w:rsid w:val="006B6365"/>
    <w:rsid w:val="006B6747"/>
    <w:rsid w:val="006B6BA6"/>
    <w:rsid w:val="006B7A52"/>
    <w:rsid w:val="006C02C3"/>
    <w:rsid w:val="006C295F"/>
    <w:rsid w:val="006C2FFB"/>
    <w:rsid w:val="006C415D"/>
    <w:rsid w:val="006C41A8"/>
    <w:rsid w:val="006C4FC4"/>
    <w:rsid w:val="006D08D9"/>
    <w:rsid w:val="006D1559"/>
    <w:rsid w:val="006D372B"/>
    <w:rsid w:val="006D5A95"/>
    <w:rsid w:val="006E15DF"/>
    <w:rsid w:val="006E205D"/>
    <w:rsid w:val="006E2E6A"/>
    <w:rsid w:val="006E327F"/>
    <w:rsid w:val="006E34EC"/>
    <w:rsid w:val="006E4669"/>
    <w:rsid w:val="006E4A89"/>
    <w:rsid w:val="006F0ECB"/>
    <w:rsid w:val="006F1E41"/>
    <w:rsid w:val="006F2050"/>
    <w:rsid w:val="006F2808"/>
    <w:rsid w:val="006F2B30"/>
    <w:rsid w:val="006F3478"/>
    <w:rsid w:val="006F3EB8"/>
    <w:rsid w:val="006F4B25"/>
    <w:rsid w:val="006F547E"/>
    <w:rsid w:val="006F591F"/>
    <w:rsid w:val="006F5B1B"/>
    <w:rsid w:val="006F6496"/>
    <w:rsid w:val="006F6A48"/>
    <w:rsid w:val="006F7D12"/>
    <w:rsid w:val="00700F3F"/>
    <w:rsid w:val="00701CFF"/>
    <w:rsid w:val="0070348A"/>
    <w:rsid w:val="00704BF9"/>
    <w:rsid w:val="007066D3"/>
    <w:rsid w:val="00706AB5"/>
    <w:rsid w:val="00706BE1"/>
    <w:rsid w:val="00707CD2"/>
    <w:rsid w:val="00710BBA"/>
    <w:rsid w:val="00710CA3"/>
    <w:rsid w:val="007118F1"/>
    <w:rsid w:val="00711ACD"/>
    <w:rsid w:val="00714E3D"/>
    <w:rsid w:val="0071565F"/>
    <w:rsid w:val="007163AA"/>
    <w:rsid w:val="00716696"/>
    <w:rsid w:val="00717BFB"/>
    <w:rsid w:val="00721A08"/>
    <w:rsid w:val="00723BC3"/>
    <w:rsid w:val="007252E2"/>
    <w:rsid w:val="007262BB"/>
    <w:rsid w:val="0072797E"/>
    <w:rsid w:val="00727D09"/>
    <w:rsid w:val="0073198F"/>
    <w:rsid w:val="0073215C"/>
    <w:rsid w:val="007335B1"/>
    <w:rsid w:val="00734430"/>
    <w:rsid w:val="00734676"/>
    <w:rsid w:val="00735450"/>
    <w:rsid w:val="007354F5"/>
    <w:rsid w:val="007354FB"/>
    <w:rsid w:val="00735755"/>
    <w:rsid w:val="00736348"/>
    <w:rsid w:val="00743630"/>
    <w:rsid w:val="007436AE"/>
    <w:rsid w:val="0074383E"/>
    <w:rsid w:val="00744860"/>
    <w:rsid w:val="00744D30"/>
    <w:rsid w:val="0074545C"/>
    <w:rsid w:val="00747C88"/>
    <w:rsid w:val="00750C1F"/>
    <w:rsid w:val="00751504"/>
    <w:rsid w:val="00751F19"/>
    <w:rsid w:val="00752177"/>
    <w:rsid w:val="00752572"/>
    <w:rsid w:val="00752595"/>
    <w:rsid w:val="0075379C"/>
    <w:rsid w:val="00760908"/>
    <w:rsid w:val="007617CA"/>
    <w:rsid w:val="00761E59"/>
    <w:rsid w:val="00761F3E"/>
    <w:rsid w:val="00762746"/>
    <w:rsid w:val="00766464"/>
    <w:rsid w:val="007664E9"/>
    <w:rsid w:val="007671AD"/>
    <w:rsid w:val="00770864"/>
    <w:rsid w:val="00770B59"/>
    <w:rsid w:val="00773464"/>
    <w:rsid w:val="007737A1"/>
    <w:rsid w:val="00775961"/>
    <w:rsid w:val="00775B14"/>
    <w:rsid w:val="00780570"/>
    <w:rsid w:val="00780F56"/>
    <w:rsid w:val="0078143A"/>
    <w:rsid w:val="007826CA"/>
    <w:rsid w:val="00782BED"/>
    <w:rsid w:val="00782C90"/>
    <w:rsid w:val="00783DC0"/>
    <w:rsid w:val="007846C3"/>
    <w:rsid w:val="00785717"/>
    <w:rsid w:val="00787918"/>
    <w:rsid w:val="00790684"/>
    <w:rsid w:val="00790BFC"/>
    <w:rsid w:val="00792868"/>
    <w:rsid w:val="00792965"/>
    <w:rsid w:val="00792ECA"/>
    <w:rsid w:val="00793627"/>
    <w:rsid w:val="00793824"/>
    <w:rsid w:val="00794275"/>
    <w:rsid w:val="007A24F0"/>
    <w:rsid w:val="007A433A"/>
    <w:rsid w:val="007A44BB"/>
    <w:rsid w:val="007A511C"/>
    <w:rsid w:val="007A58C7"/>
    <w:rsid w:val="007A5F95"/>
    <w:rsid w:val="007A685F"/>
    <w:rsid w:val="007B108F"/>
    <w:rsid w:val="007B2E43"/>
    <w:rsid w:val="007B49AF"/>
    <w:rsid w:val="007B6933"/>
    <w:rsid w:val="007C2006"/>
    <w:rsid w:val="007C2925"/>
    <w:rsid w:val="007C38DC"/>
    <w:rsid w:val="007C3C97"/>
    <w:rsid w:val="007C6199"/>
    <w:rsid w:val="007C6660"/>
    <w:rsid w:val="007C6893"/>
    <w:rsid w:val="007C78B8"/>
    <w:rsid w:val="007D044F"/>
    <w:rsid w:val="007D2581"/>
    <w:rsid w:val="007D79D1"/>
    <w:rsid w:val="007E0632"/>
    <w:rsid w:val="007E1464"/>
    <w:rsid w:val="007E15BF"/>
    <w:rsid w:val="007E1A7E"/>
    <w:rsid w:val="007E1B51"/>
    <w:rsid w:val="007E3A9F"/>
    <w:rsid w:val="007E4BC1"/>
    <w:rsid w:val="007E61AD"/>
    <w:rsid w:val="007E7A0B"/>
    <w:rsid w:val="007F1A1B"/>
    <w:rsid w:val="007F1A5E"/>
    <w:rsid w:val="007F238D"/>
    <w:rsid w:val="007F2644"/>
    <w:rsid w:val="007F29A8"/>
    <w:rsid w:val="007F59F7"/>
    <w:rsid w:val="007F658A"/>
    <w:rsid w:val="0080048F"/>
    <w:rsid w:val="008052CA"/>
    <w:rsid w:val="0081073D"/>
    <w:rsid w:val="0081155F"/>
    <w:rsid w:val="00813D53"/>
    <w:rsid w:val="00814F47"/>
    <w:rsid w:val="00815367"/>
    <w:rsid w:val="0082201A"/>
    <w:rsid w:val="00822BDE"/>
    <w:rsid w:val="00822F3E"/>
    <w:rsid w:val="008231A8"/>
    <w:rsid w:val="00825630"/>
    <w:rsid w:val="008267D9"/>
    <w:rsid w:val="00827246"/>
    <w:rsid w:val="00831180"/>
    <w:rsid w:val="00834460"/>
    <w:rsid w:val="00834D37"/>
    <w:rsid w:val="00835053"/>
    <w:rsid w:val="008354D6"/>
    <w:rsid w:val="00835FBF"/>
    <w:rsid w:val="0084042B"/>
    <w:rsid w:val="0084073A"/>
    <w:rsid w:val="00841971"/>
    <w:rsid w:val="0084304E"/>
    <w:rsid w:val="0084327B"/>
    <w:rsid w:val="0084366E"/>
    <w:rsid w:val="008444EF"/>
    <w:rsid w:val="008451F1"/>
    <w:rsid w:val="0084650C"/>
    <w:rsid w:val="00846FCF"/>
    <w:rsid w:val="00847137"/>
    <w:rsid w:val="008477E8"/>
    <w:rsid w:val="00850038"/>
    <w:rsid w:val="00850A18"/>
    <w:rsid w:val="00861B92"/>
    <w:rsid w:val="00862F91"/>
    <w:rsid w:val="00863A4E"/>
    <w:rsid w:val="008644B7"/>
    <w:rsid w:val="00872B97"/>
    <w:rsid w:val="008749E3"/>
    <w:rsid w:val="00877FA7"/>
    <w:rsid w:val="00880960"/>
    <w:rsid w:val="008814FB"/>
    <w:rsid w:val="008816CD"/>
    <w:rsid w:val="00882C20"/>
    <w:rsid w:val="00882E01"/>
    <w:rsid w:val="00883C8A"/>
    <w:rsid w:val="00883D22"/>
    <w:rsid w:val="00884246"/>
    <w:rsid w:val="00884E47"/>
    <w:rsid w:val="00885990"/>
    <w:rsid w:val="00886110"/>
    <w:rsid w:val="0088673F"/>
    <w:rsid w:val="00886ABB"/>
    <w:rsid w:val="008901BA"/>
    <w:rsid w:val="00890E33"/>
    <w:rsid w:val="00892B5E"/>
    <w:rsid w:val="008930C7"/>
    <w:rsid w:val="008941E6"/>
    <w:rsid w:val="00894490"/>
    <w:rsid w:val="00895068"/>
    <w:rsid w:val="008978AD"/>
    <w:rsid w:val="008A2952"/>
    <w:rsid w:val="008A47D3"/>
    <w:rsid w:val="008A77D3"/>
    <w:rsid w:val="008A7CE8"/>
    <w:rsid w:val="008B0797"/>
    <w:rsid w:val="008B2634"/>
    <w:rsid w:val="008B3430"/>
    <w:rsid w:val="008B34EB"/>
    <w:rsid w:val="008C0360"/>
    <w:rsid w:val="008C1B93"/>
    <w:rsid w:val="008C2A13"/>
    <w:rsid w:val="008C3230"/>
    <w:rsid w:val="008C7292"/>
    <w:rsid w:val="008D5DE8"/>
    <w:rsid w:val="008D6B37"/>
    <w:rsid w:val="008D6D38"/>
    <w:rsid w:val="008E1516"/>
    <w:rsid w:val="008E32BD"/>
    <w:rsid w:val="008E4C49"/>
    <w:rsid w:val="008E5D68"/>
    <w:rsid w:val="008E6568"/>
    <w:rsid w:val="008F0B32"/>
    <w:rsid w:val="008F2D18"/>
    <w:rsid w:val="008F2ECE"/>
    <w:rsid w:val="008F41F2"/>
    <w:rsid w:val="008F55B7"/>
    <w:rsid w:val="008F5E30"/>
    <w:rsid w:val="008F63A7"/>
    <w:rsid w:val="009013A6"/>
    <w:rsid w:val="009015EC"/>
    <w:rsid w:val="0090244A"/>
    <w:rsid w:val="00902518"/>
    <w:rsid w:val="00902911"/>
    <w:rsid w:val="00904221"/>
    <w:rsid w:val="00904711"/>
    <w:rsid w:val="00904BC7"/>
    <w:rsid w:val="00904F6D"/>
    <w:rsid w:val="009057BB"/>
    <w:rsid w:val="009062D6"/>
    <w:rsid w:val="00906556"/>
    <w:rsid w:val="0090688D"/>
    <w:rsid w:val="0090704F"/>
    <w:rsid w:val="0091174E"/>
    <w:rsid w:val="00911C40"/>
    <w:rsid w:val="0091394E"/>
    <w:rsid w:val="00914379"/>
    <w:rsid w:val="00914D7F"/>
    <w:rsid w:val="0091631D"/>
    <w:rsid w:val="00916841"/>
    <w:rsid w:val="00916F7E"/>
    <w:rsid w:val="00920C11"/>
    <w:rsid w:val="00921C32"/>
    <w:rsid w:val="009235CC"/>
    <w:rsid w:val="0092477A"/>
    <w:rsid w:val="0092549B"/>
    <w:rsid w:val="009255D5"/>
    <w:rsid w:val="00930239"/>
    <w:rsid w:val="00931B82"/>
    <w:rsid w:val="00932B8B"/>
    <w:rsid w:val="00932F11"/>
    <w:rsid w:val="00933300"/>
    <w:rsid w:val="00933947"/>
    <w:rsid w:val="00934A83"/>
    <w:rsid w:val="00934DBB"/>
    <w:rsid w:val="0093545B"/>
    <w:rsid w:val="00936648"/>
    <w:rsid w:val="00936F02"/>
    <w:rsid w:val="0093750C"/>
    <w:rsid w:val="00940099"/>
    <w:rsid w:val="00940133"/>
    <w:rsid w:val="0094016F"/>
    <w:rsid w:val="0094283B"/>
    <w:rsid w:val="00943245"/>
    <w:rsid w:val="00943299"/>
    <w:rsid w:val="00944964"/>
    <w:rsid w:val="00944EBF"/>
    <w:rsid w:val="009452B0"/>
    <w:rsid w:val="00946D45"/>
    <w:rsid w:val="009519F7"/>
    <w:rsid w:val="00951E38"/>
    <w:rsid w:val="00951F28"/>
    <w:rsid w:val="00952FAE"/>
    <w:rsid w:val="00954638"/>
    <w:rsid w:val="00954881"/>
    <w:rsid w:val="00954EAA"/>
    <w:rsid w:val="00955F81"/>
    <w:rsid w:val="0095761E"/>
    <w:rsid w:val="00960490"/>
    <w:rsid w:val="00961B09"/>
    <w:rsid w:val="0096274D"/>
    <w:rsid w:val="00962B8F"/>
    <w:rsid w:val="00962C01"/>
    <w:rsid w:val="009648CD"/>
    <w:rsid w:val="00966A4C"/>
    <w:rsid w:val="00967818"/>
    <w:rsid w:val="009721E1"/>
    <w:rsid w:val="0097573F"/>
    <w:rsid w:val="0097748C"/>
    <w:rsid w:val="0098026E"/>
    <w:rsid w:val="00980BC4"/>
    <w:rsid w:val="00980C96"/>
    <w:rsid w:val="00980F17"/>
    <w:rsid w:val="009816FE"/>
    <w:rsid w:val="00981BFD"/>
    <w:rsid w:val="00981F18"/>
    <w:rsid w:val="009824EC"/>
    <w:rsid w:val="00983052"/>
    <w:rsid w:val="00983D42"/>
    <w:rsid w:val="009846AD"/>
    <w:rsid w:val="00984D32"/>
    <w:rsid w:val="00986DA3"/>
    <w:rsid w:val="009902B4"/>
    <w:rsid w:val="00990688"/>
    <w:rsid w:val="00993998"/>
    <w:rsid w:val="00993B9F"/>
    <w:rsid w:val="00994737"/>
    <w:rsid w:val="009960D0"/>
    <w:rsid w:val="009964F0"/>
    <w:rsid w:val="009A0E17"/>
    <w:rsid w:val="009A0E46"/>
    <w:rsid w:val="009A30F9"/>
    <w:rsid w:val="009A329F"/>
    <w:rsid w:val="009A3424"/>
    <w:rsid w:val="009A69E5"/>
    <w:rsid w:val="009A7692"/>
    <w:rsid w:val="009B052B"/>
    <w:rsid w:val="009B3B5D"/>
    <w:rsid w:val="009B567D"/>
    <w:rsid w:val="009C2F9C"/>
    <w:rsid w:val="009C370A"/>
    <w:rsid w:val="009C38C1"/>
    <w:rsid w:val="009C4B6E"/>
    <w:rsid w:val="009C6BAD"/>
    <w:rsid w:val="009C75F4"/>
    <w:rsid w:val="009C76C9"/>
    <w:rsid w:val="009C7FB3"/>
    <w:rsid w:val="009D01BB"/>
    <w:rsid w:val="009D15A3"/>
    <w:rsid w:val="009D19DB"/>
    <w:rsid w:val="009D36A5"/>
    <w:rsid w:val="009D4348"/>
    <w:rsid w:val="009D49FF"/>
    <w:rsid w:val="009D4B38"/>
    <w:rsid w:val="009D4D4F"/>
    <w:rsid w:val="009D5743"/>
    <w:rsid w:val="009D57A5"/>
    <w:rsid w:val="009D6A03"/>
    <w:rsid w:val="009D7E50"/>
    <w:rsid w:val="009E35FE"/>
    <w:rsid w:val="009E680B"/>
    <w:rsid w:val="009F020C"/>
    <w:rsid w:val="009F08F8"/>
    <w:rsid w:val="009F3A2C"/>
    <w:rsid w:val="009F3F12"/>
    <w:rsid w:val="009F4996"/>
    <w:rsid w:val="009F5A86"/>
    <w:rsid w:val="009F6292"/>
    <w:rsid w:val="009F6428"/>
    <w:rsid w:val="009F6508"/>
    <w:rsid w:val="009F7CDC"/>
    <w:rsid w:val="00A001B7"/>
    <w:rsid w:val="00A00786"/>
    <w:rsid w:val="00A012A4"/>
    <w:rsid w:val="00A032F9"/>
    <w:rsid w:val="00A07C3F"/>
    <w:rsid w:val="00A105DC"/>
    <w:rsid w:val="00A12245"/>
    <w:rsid w:val="00A12F8F"/>
    <w:rsid w:val="00A14A9E"/>
    <w:rsid w:val="00A15678"/>
    <w:rsid w:val="00A15A1F"/>
    <w:rsid w:val="00A20592"/>
    <w:rsid w:val="00A21E98"/>
    <w:rsid w:val="00A25252"/>
    <w:rsid w:val="00A25995"/>
    <w:rsid w:val="00A2772C"/>
    <w:rsid w:val="00A27DA5"/>
    <w:rsid w:val="00A30739"/>
    <w:rsid w:val="00A309E3"/>
    <w:rsid w:val="00A30B27"/>
    <w:rsid w:val="00A32836"/>
    <w:rsid w:val="00A32C1F"/>
    <w:rsid w:val="00A33173"/>
    <w:rsid w:val="00A3325A"/>
    <w:rsid w:val="00A33397"/>
    <w:rsid w:val="00A34EEC"/>
    <w:rsid w:val="00A40AE8"/>
    <w:rsid w:val="00A41753"/>
    <w:rsid w:val="00A41C45"/>
    <w:rsid w:val="00A41C68"/>
    <w:rsid w:val="00A43013"/>
    <w:rsid w:val="00A43237"/>
    <w:rsid w:val="00A4430A"/>
    <w:rsid w:val="00A44F82"/>
    <w:rsid w:val="00A45EB3"/>
    <w:rsid w:val="00A547B8"/>
    <w:rsid w:val="00A563A2"/>
    <w:rsid w:val="00A57A4B"/>
    <w:rsid w:val="00A57BA9"/>
    <w:rsid w:val="00A603F4"/>
    <w:rsid w:val="00A650DC"/>
    <w:rsid w:val="00A66956"/>
    <w:rsid w:val="00A704E2"/>
    <w:rsid w:val="00A70FE2"/>
    <w:rsid w:val="00A71489"/>
    <w:rsid w:val="00A72F8E"/>
    <w:rsid w:val="00A77E50"/>
    <w:rsid w:val="00A82279"/>
    <w:rsid w:val="00A82350"/>
    <w:rsid w:val="00A824AF"/>
    <w:rsid w:val="00A83BEB"/>
    <w:rsid w:val="00A874E1"/>
    <w:rsid w:val="00A874E2"/>
    <w:rsid w:val="00AA271F"/>
    <w:rsid w:val="00AA6BFB"/>
    <w:rsid w:val="00AA7652"/>
    <w:rsid w:val="00AB0D02"/>
    <w:rsid w:val="00AB19DE"/>
    <w:rsid w:val="00AB28C4"/>
    <w:rsid w:val="00AB418B"/>
    <w:rsid w:val="00AB6311"/>
    <w:rsid w:val="00AC58F2"/>
    <w:rsid w:val="00AD3F87"/>
    <w:rsid w:val="00AD44D9"/>
    <w:rsid w:val="00AD6BF4"/>
    <w:rsid w:val="00AE15C2"/>
    <w:rsid w:val="00AE1666"/>
    <w:rsid w:val="00AE452E"/>
    <w:rsid w:val="00AE4886"/>
    <w:rsid w:val="00AE489D"/>
    <w:rsid w:val="00AE5C63"/>
    <w:rsid w:val="00AF108A"/>
    <w:rsid w:val="00AF13DF"/>
    <w:rsid w:val="00AF19D0"/>
    <w:rsid w:val="00AF2BEE"/>
    <w:rsid w:val="00AF34B3"/>
    <w:rsid w:val="00AF4500"/>
    <w:rsid w:val="00AF45EB"/>
    <w:rsid w:val="00AF4DC6"/>
    <w:rsid w:val="00B008C8"/>
    <w:rsid w:val="00B02E55"/>
    <w:rsid w:val="00B036C1"/>
    <w:rsid w:val="00B03F54"/>
    <w:rsid w:val="00B05259"/>
    <w:rsid w:val="00B10F8A"/>
    <w:rsid w:val="00B12CF7"/>
    <w:rsid w:val="00B13DA2"/>
    <w:rsid w:val="00B14163"/>
    <w:rsid w:val="00B15580"/>
    <w:rsid w:val="00B17866"/>
    <w:rsid w:val="00B17A74"/>
    <w:rsid w:val="00B17BC2"/>
    <w:rsid w:val="00B24B86"/>
    <w:rsid w:val="00B27C98"/>
    <w:rsid w:val="00B309F5"/>
    <w:rsid w:val="00B32A75"/>
    <w:rsid w:val="00B34365"/>
    <w:rsid w:val="00B34BD2"/>
    <w:rsid w:val="00B34FD5"/>
    <w:rsid w:val="00B36187"/>
    <w:rsid w:val="00B3657B"/>
    <w:rsid w:val="00B37672"/>
    <w:rsid w:val="00B405C0"/>
    <w:rsid w:val="00B41D48"/>
    <w:rsid w:val="00B43C11"/>
    <w:rsid w:val="00B44A21"/>
    <w:rsid w:val="00B451F9"/>
    <w:rsid w:val="00B4607F"/>
    <w:rsid w:val="00B46A0C"/>
    <w:rsid w:val="00B46B70"/>
    <w:rsid w:val="00B46C79"/>
    <w:rsid w:val="00B46C9E"/>
    <w:rsid w:val="00B47747"/>
    <w:rsid w:val="00B47D53"/>
    <w:rsid w:val="00B5146C"/>
    <w:rsid w:val="00B52BDA"/>
    <w:rsid w:val="00B5331F"/>
    <w:rsid w:val="00B53853"/>
    <w:rsid w:val="00B538EA"/>
    <w:rsid w:val="00B53E74"/>
    <w:rsid w:val="00B5431F"/>
    <w:rsid w:val="00B54432"/>
    <w:rsid w:val="00B56DA7"/>
    <w:rsid w:val="00B57263"/>
    <w:rsid w:val="00B61E9A"/>
    <w:rsid w:val="00B649EB"/>
    <w:rsid w:val="00B64F2F"/>
    <w:rsid w:val="00B65623"/>
    <w:rsid w:val="00B6697E"/>
    <w:rsid w:val="00B70A8E"/>
    <w:rsid w:val="00B70B53"/>
    <w:rsid w:val="00B726BC"/>
    <w:rsid w:val="00B726CF"/>
    <w:rsid w:val="00B73DB6"/>
    <w:rsid w:val="00B74329"/>
    <w:rsid w:val="00B77693"/>
    <w:rsid w:val="00B81027"/>
    <w:rsid w:val="00B81164"/>
    <w:rsid w:val="00B8149F"/>
    <w:rsid w:val="00B8242A"/>
    <w:rsid w:val="00B836CB"/>
    <w:rsid w:val="00B85202"/>
    <w:rsid w:val="00B861A5"/>
    <w:rsid w:val="00B87C77"/>
    <w:rsid w:val="00B92C70"/>
    <w:rsid w:val="00B93EE5"/>
    <w:rsid w:val="00B9559A"/>
    <w:rsid w:val="00B95CE5"/>
    <w:rsid w:val="00B960DA"/>
    <w:rsid w:val="00B96F4F"/>
    <w:rsid w:val="00B96FC2"/>
    <w:rsid w:val="00B97A90"/>
    <w:rsid w:val="00BA0BA6"/>
    <w:rsid w:val="00BA1DB2"/>
    <w:rsid w:val="00BA2068"/>
    <w:rsid w:val="00BA3568"/>
    <w:rsid w:val="00BA5228"/>
    <w:rsid w:val="00BA52E2"/>
    <w:rsid w:val="00BA56D5"/>
    <w:rsid w:val="00BA6E87"/>
    <w:rsid w:val="00BB0FF6"/>
    <w:rsid w:val="00BB34F3"/>
    <w:rsid w:val="00BB3917"/>
    <w:rsid w:val="00BB3AD9"/>
    <w:rsid w:val="00BB3BA2"/>
    <w:rsid w:val="00BC0902"/>
    <w:rsid w:val="00BC1E4E"/>
    <w:rsid w:val="00BC22C6"/>
    <w:rsid w:val="00BC25A5"/>
    <w:rsid w:val="00BC38B5"/>
    <w:rsid w:val="00BC3E2B"/>
    <w:rsid w:val="00BC7B13"/>
    <w:rsid w:val="00BD0266"/>
    <w:rsid w:val="00BD1142"/>
    <w:rsid w:val="00BD1708"/>
    <w:rsid w:val="00BD3F38"/>
    <w:rsid w:val="00BD4FB0"/>
    <w:rsid w:val="00BD6CA9"/>
    <w:rsid w:val="00BE2C66"/>
    <w:rsid w:val="00BE372B"/>
    <w:rsid w:val="00BE50F3"/>
    <w:rsid w:val="00BE6FA8"/>
    <w:rsid w:val="00BE762D"/>
    <w:rsid w:val="00BF0660"/>
    <w:rsid w:val="00BF0D10"/>
    <w:rsid w:val="00BF3A3E"/>
    <w:rsid w:val="00BF3BF7"/>
    <w:rsid w:val="00BF59BF"/>
    <w:rsid w:val="00BF5D38"/>
    <w:rsid w:val="00BF659A"/>
    <w:rsid w:val="00BF6B11"/>
    <w:rsid w:val="00BF6C54"/>
    <w:rsid w:val="00BF739E"/>
    <w:rsid w:val="00BF7FE0"/>
    <w:rsid w:val="00C00071"/>
    <w:rsid w:val="00C003AE"/>
    <w:rsid w:val="00C0193E"/>
    <w:rsid w:val="00C01C0C"/>
    <w:rsid w:val="00C02A2E"/>
    <w:rsid w:val="00C03B6E"/>
    <w:rsid w:val="00C05701"/>
    <w:rsid w:val="00C13056"/>
    <w:rsid w:val="00C1379B"/>
    <w:rsid w:val="00C147A7"/>
    <w:rsid w:val="00C154B0"/>
    <w:rsid w:val="00C16B28"/>
    <w:rsid w:val="00C21D39"/>
    <w:rsid w:val="00C21FCD"/>
    <w:rsid w:val="00C245F3"/>
    <w:rsid w:val="00C25D0A"/>
    <w:rsid w:val="00C26619"/>
    <w:rsid w:val="00C3019C"/>
    <w:rsid w:val="00C35F94"/>
    <w:rsid w:val="00C36754"/>
    <w:rsid w:val="00C36924"/>
    <w:rsid w:val="00C4198D"/>
    <w:rsid w:val="00C42459"/>
    <w:rsid w:val="00C42720"/>
    <w:rsid w:val="00C42823"/>
    <w:rsid w:val="00C502A2"/>
    <w:rsid w:val="00C508BE"/>
    <w:rsid w:val="00C52395"/>
    <w:rsid w:val="00C52C84"/>
    <w:rsid w:val="00C52DF4"/>
    <w:rsid w:val="00C5375E"/>
    <w:rsid w:val="00C53E0C"/>
    <w:rsid w:val="00C544B9"/>
    <w:rsid w:val="00C56217"/>
    <w:rsid w:val="00C56AE0"/>
    <w:rsid w:val="00C6345D"/>
    <w:rsid w:val="00C64C74"/>
    <w:rsid w:val="00C66529"/>
    <w:rsid w:val="00C66EFF"/>
    <w:rsid w:val="00C6709D"/>
    <w:rsid w:val="00C70C85"/>
    <w:rsid w:val="00C71BCA"/>
    <w:rsid w:val="00C729B4"/>
    <w:rsid w:val="00C73A5C"/>
    <w:rsid w:val="00C73E1F"/>
    <w:rsid w:val="00C7495D"/>
    <w:rsid w:val="00C81104"/>
    <w:rsid w:val="00C814ED"/>
    <w:rsid w:val="00C82D5C"/>
    <w:rsid w:val="00C82F49"/>
    <w:rsid w:val="00C830DD"/>
    <w:rsid w:val="00C8644A"/>
    <w:rsid w:val="00C86822"/>
    <w:rsid w:val="00C87596"/>
    <w:rsid w:val="00C90CDD"/>
    <w:rsid w:val="00C92418"/>
    <w:rsid w:val="00C9311D"/>
    <w:rsid w:val="00C93467"/>
    <w:rsid w:val="00C94E12"/>
    <w:rsid w:val="00C96411"/>
    <w:rsid w:val="00CA045A"/>
    <w:rsid w:val="00CA545F"/>
    <w:rsid w:val="00CA5E8D"/>
    <w:rsid w:val="00CA6890"/>
    <w:rsid w:val="00CA6AA7"/>
    <w:rsid w:val="00CB018A"/>
    <w:rsid w:val="00CB20B6"/>
    <w:rsid w:val="00CB2815"/>
    <w:rsid w:val="00CB37AD"/>
    <w:rsid w:val="00CB482F"/>
    <w:rsid w:val="00CB4E4C"/>
    <w:rsid w:val="00CB5386"/>
    <w:rsid w:val="00CB5671"/>
    <w:rsid w:val="00CB5A60"/>
    <w:rsid w:val="00CB5C97"/>
    <w:rsid w:val="00CB70BE"/>
    <w:rsid w:val="00CC04E2"/>
    <w:rsid w:val="00CC2557"/>
    <w:rsid w:val="00CC48B7"/>
    <w:rsid w:val="00CC4B3B"/>
    <w:rsid w:val="00CC5F5A"/>
    <w:rsid w:val="00CC69B9"/>
    <w:rsid w:val="00CC718A"/>
    <w:rsid w:val="00CD0087"/>
    <w:rsid w:val="00CD124D"/>
    <w:rsid w:val="00CD152C"/>
    <w:rsid w:val="00CD2325"/>
    <w:rsid w:val="00CD290F"/>
    <w:rsid w:val="00CD2C3F"/>
    <w:rsid w:val="00CD5940"/>
    <w:rsid w:val="00CD7C6F"/>
    <w:rsid w:val="00CE15EE"/>
    <w:rsid w:val="00CE7754"/>
    <w:rsid w:val="00CF28A6"/>
    <w:rsid w:val="00CF3BAF"/>
    <w:rsid w:val="00CF5491"/>
    <w:rsid w:val="00CF58B7"/>
    <w:rsid w:val="00D0167F"/>
    <w:rsid w:val="00D01FDA"/>
    <w:rsid w:val="00D0267F"/>
    <w:rsid w:val="00D049DB"/>
    <w:rsid w:val="00D05AB1"/>
    <w:rsid w:val="00D06237"/>
    <w:rsid w:val="00D07BFC"/>
    <w:rsid w:val="00D10901"/>
    <w:rsid w:val="00D109A7"/>
    <w:rsid w:val="00D12247"/>
    <w:rsid w:val="00D15317"/>
    <w:rsid w:val="00D1789B"/>
    <w:rsid w:val="00D17A0C"/>
    <w:rsid w:val="00D27876"/>
    <w:rsid w:val="00D329FE"/>
    <w:rsid w:val="00D32DAF"/>
    <w:rsid w:val="00D351C1"/>
    <w:rsid w:val="00D35E47"/>
    <w:rsid w:val="00D35EFB"/>
    <w:rsid w:val="00D36407"/>
    <w:rsid w:val="00D3656C"/>
    <w:rsid w:val="00D36DE1"/>
    <w:rsid w:val="00D37D1F"/>
    <w:rsid w:val="00D40CC4"/>
    <w:rsid w:val="00D41B20"/>
    <w:rsid w:val="00D445B8"/>
    <w:rsid w:val="00D4649B"/>
    <w:rsid w:val="00D46E6E"/>
    <w:rsid w:val="00D46EAD"/>
    <w:rsid w:val="00D504B3"/>
    <w:rsid w:val="00D50787"/>
    <w:rsid w:val="00D51D46"/>
    <w:rsid w:val="00D52C44"/>
    <w:rsid w:val="00D53630"/>
    <w:rsid w:val="00D53EE6"/>
    <w:rsid w:val="00D5482E"/>
    <w:rsid w:val="00D567C7"/>
    <w:rsid w:val="00D57210"/>
    <w:rsid w:val="00D57DA7"/>
    <w:rsid w:val="00D602CD"/>
    <w:rsid w:val="00D62B0F"/>
    <w:rsid w:val="00D63A95"/>
    <w:rsid w:val="00D6451D"/>
    <w:rsid w:val="00D65A89"/>
    <w:rsid w:val="00D66495"/>
    <w:rsid w:val="00D6653E"/>
    <w:rsid w:val="00D70A5A"/>
    <w:rsid w:val="00D71F5E"/>
    <w:rsid w:val="00D7278F"/>
    <w:rsid w:val="00D72A61"/>
    <w:rsid w:val="00D73E55"/>
    <w:rsid w:val="00D74D84"/>
    <w:rsid w:val="00D7622A"/>
    <w:rsid w:val="00D76D96"/>
    <w:rsid w:val="00D8000B"/>
    <w:rsid w:val="00D81379"/>
    <w:rsid w:val="00D82174"/>
    <w:rsid w:val="00D83036"/>
    <w:rsid w:val="00D86A0C"/>
    <w:rsid w:val="00D86BF0"/>
    <w:rsid w:val="00D905A9"/>
    <w:rsid w:val="00D925C2"/>
    <w:rsid w:val="00D92F61"/>
    <w:rsid w:val="00D93646"/>
    <w:rsid w:val="00D95859"/>
    <w:rsid w:val="00D96B08"/>
    <w:rsid w:val="00DA068B"/>
    <w:rsid w:val="00DA236C"/>
    <w:rsid w:val="00DA31FC"/>
    <w:rsid w:val="00DA37CE"/>
    <w:rsid w:val="00DA3F57"/>
    <w:rsid w:val="00DA489F"/>
    <w:rsid w:val="00DA5057"/>
    <w:rsid w:val="00DA7D2E"/>
    <w:rsid w:val="00DB065F"/>
    <w:rsid w:val="00DB071F"/>
    <w:rsid w:val="00DB1BD4"/>
    <w:rsid w:val="00DB4A8A"/>
    <w:rsid w:val="00DB4D97"/>
    <w:rsid w:val="00DB52C7"/>
    <w:rsid w:val="00DB70A2"/>
    <w:rsid w:val="00DC0025"/>
    <w:rsid w:val="00DC1E56"/>
    <w:rsid w:val="00DC20F9"/>
    <w:rsid w:val="00DC24C2"/>
    <w:rsid w:val="00DC3E26"/>
    <w:rsid w:val="00DC5839"/>
    <w:rsid w:val="00DC5FB6"/>
    <w:rsid w:val="00DD1324"/>
    <w:rsid w:val="00DD16D1"/>
    <w:rsid w:val="00DD2130"/>
    <w:rsid w:val="00DD2160"/>
    <w:rsid w:val="00DD3826"/>
    <w:rsid w:val="00DD3D0C"/>
    <w:rsid w:val="00DD4A18"/>
    <w:rsid w:val="00DD4DAD"/>
    <w:rsid w:val="00DE03BF"/>
    <w:rsid w:val="00DE06BF"/>
    <w:rsid w:val="00DE205B"/>
    <w:rsid w:val="00DE23C2"/>
    <w:rsid w:val="00DE2DC6"/>
    <w:rsid w:val="00DE2E01"/>
    <w:rsid w:val="00DE3F16"/>
    <w:rsid w:val="00DE7818"/>
    <w:rsid w:val="00DF1180"/>
    <w:rsid w:val="00DF1490"/>
    <w:rsid w:val="00DF225D"/>
    <w:rsid w:val="00DF3319"/>
    <w:rsid w:val="00DF4DE4"/>
    <w:rsid w:val="00DF5719"/>
    <w:rsid w:val="00DF5C32"/>
    <w:rsid w:val="00DF5CDC"/>
    <w:rsid w:val="00DF6676"/>
    <w:rsid w:val="00DF706E"/>
    <w:rsid w:val="00E0004F"/>
    <w:rsid w:val="00E00C32"/>
    <w:rsid w:val="00E00C81"/>
    <w:rsid w:val="00E02D3D"/>
    <w:rsid w:val="00E033DC"/>
    <w:rsid w:val="00E050ED"/>
    <w:rsid w:val="00E0699D"/>
    <w:rsid w:val="00E06C20"/>
    <w:rsid w:val="00E06E81"/>
    <w:rsid w:val="00E11D57"/>
    <w:rsid w:val="00E125A3"/>
    <w:rsid w:val="00E1294F"/>
    <w:rsid w:val="00E13286"/>
    <w:rsid w:val="00E141EA"/>
    <w:rsid w:val="00E15EFB"/>
    <w:rsid w:val="00E17255"/>
    <w:rsid w:val="00E20CC3"/>
    <w:rsid w:val="00E25281"/>
    <w:rsid w:val="00E252C0"/>
    <w:rsid w:val="00E2587B"/>
    <w:rsid w:val="00E271A6"/>
    <w:rsid w:val="00E33FC2"/>
    <w:rsid w:val="00E36220"/>
    <w:rsid w:val="00E36C3A"/>
    <w:rsid w:val="00E409FC"/>
    <w:rsid w:val="00E41F6A"/>
    <w:rsid w:val="00E4295C"/>
    <w:rsid w:val="00E502D3"/>
    <w:rsid w:val="00E50C75"/>
    <w:rsid w:val="00E51920"/>
    <w:rsid w:val="00E51C0D"/>
    <w:rsid w:val="00E533A4"/>
    <w:rsid w:val="00E5789C"/>
    <w:rsid w:val="00E60508"/>
    <w:rsid w:val="00E606BD"/>
    <w:rsid w:val="00E60BB1"/>
    <w:rsid w:val="00E625FE"/>
    <w:rsid w:val="00E62FF3"/>
    <w:rsid w:val="00E63218"/>
    <w:rsid w:val="00E64120"/>
    <w:rsid w:val="00E64A74"/>
    <w:rsid w:val="00E65851"/>
    <w:rsid w:val="00E660A1"/>
    <w:rsid w:val="00E6770C"/>
    <w:rsid w:val="00E71032"/>
    <w:rsid w:val="00E7127A"/>
    <w:rsid w:val="00E71F5D"/>
    <w:rsid w:val="00E72E7F"/>
    <w:rsid w:val="00E72F68"/>
    <w:rsid w:val="00E742E0"/>
    <w:rsid w:val="00E74A78"/>
    <w:rsid w:val="00E750AE"/>
    <w:rsid w:val="00E76304"/>
    <w:rsid w:val="00E767A5"/>
    <w:rsid w:val="00E76BF7"/>
    <w:rsid w:val="00E77BE3"/>
    <w:rsid w:val="00E80101"/>
    <w:rsid w:val="00E8243E"/>
    <w:rsid w:val="00E82878"/>
    <w:rsid w:val="00E82A3E"/>
    <w:rsid w:val="00E83070"/>
    <w:rsid w:val="00E830BA"/>
    <w:rsid w:val="00E83677"/>
    <w:rsid w:val="00E873E6"/>
    <w:rsid w:val="00E90EA4"/>
    <w:rsid w:val="00E91634"/>
    <w:rsid w:val="00E935A9"/>
    <w:rsid w:val="00E94495"/>
    <w:rsid w:val="00E95CC0"/>
    <w:rsid w:val="00E96097"/>
    <w:rsid w:val="00E9777A"/>
    <w:rsid w:val="00EA01AD"/>
    <w:rsid w:val="00EA1A63"/>
    <w:rsid w:val="00EA2D52"/>
    <w:rsid w:val="00EA2EB2"/>
    <w:rsid w:val="00EA3CCF"/>
    <w:rsid w:val="00EA3FDF"/>
    <w:rsid w:val="00EA5CC7"/>
    <w:rsid w:val="00EA5F2E"/>
    <w:rsid w:val="00EB07A4"/>
    <w:rsid w:val="00EB0915"/>
    <w:rsid w:val="00EB13B7"/>
    <w:rsid w:val="00EB19FA"/>
    <w:rsid w:val="00EB2546"/>
    <w:rsid w:val="00EB4377"/>
    <w:rsid w:val="00EB4652"/>
    <w:rsid w:val="00EB4EB3"/>
    <w:rsid w:val="00EB5431"/>
    <w:rsid w:val="00EC150A"/>
    <w:rsid w:val="00EC155D"/>
    <w:rsid w:val="00EC6021"/>
    <w:rsid w:val="00ED0C73"/>
    <w:rsid w:val="00ED0EE1"/>
    <w:rsid w:val="00ED1244"/>
    <w:rsid w:val="00ED1484"/>
    <w:rsid w:val="00ED1BDB"/>
    <w:rsid w:val="00ED2012"/>
    <w:rsid w:val="00ED20B3"/>
    <w:rsid w:val="00ED217C"/>
    <w:rsid w:val="00ED3ED6"/>
    <w:rsid w:val="00ED42CF"/>
    <w:rsid w:val="00ED55AC"/>
    <w:rsid w:val="00ED6256"/>
    <w:rsid w:val="00ED6DE5"/>
    <w:rsid w:val="00EE12CB"/>
    <w:rsid w:val="00EE3BA3"/>
    <w:rsid w:val="00EE4561"/>
    <w:rsid w:val="00EE4633"/>
    <w:rsid w:val="00EE5093"/>
    <w:rsid w:val="00EE5A7F"/>
    <w:rsid w:val="00EE5BCF"/>
    <w:rsid w:val="00EE622D"/>
    <w:rsid w:val="00EE6646"/>
    <w:rsid w:val="00EE7C98"/>
    <w:rsid w:val="00EE7C9A"/>
    <w:rsid w:val="00EF2EFF"/>
    <w:rsid w:val="00EF606F"/>
    <w:rsid w:val="00EF663B"/>
    <w:rsid w:val="00EF6828"/>
    <w:rsid w:val="00EF705B"/>
    <w:rsid w:val="00EF7EAE"/>
    <w:rsid w:val="00F009BD"/>
    <w:rsid w:val="00F00B94"/>
    <w:rsid w:val="00F02722"/>
    <w:rsid w:val="00F03B5C"/>
    <w:rsid w:val="00F04548"/>
    <w:rsid w:val="00F055F1"/>
    <w:rsid w:val="00F061E4"/>
    <w:rsid w:val="00F06433"/>
    <w:rsid w:val="00F1120C"/>
    <w:rsid w:val="00F11AB3"/>
    <w:rsid w:val="00F12235"/>
    <w:rsid w:val="00F14271"/>
    <w:rsid w:val="00F1576A"/>
    <w:rsid w:val="00F16496"/>
    <w:rsid w:val="00F20D84"/>
    <w:rsid w:val="00F2119F"/>
    <w:rsid w:val="00F21650"/>
    <w:rsid w:val="00F22850"/>
    <w:rsid w:val="00F248F7"/>
    <w:rsid w:val="00F262D7"/>
    <w:rsid w:val="00F27406"/>
    <w:rsid w:val="00F307AC"/>
    <w:rsid w:val="00F31258"/>
    <w:rsid w:val="00F3231B"/>
    <w:rsid w:val="00F3256B"/>
    <w:rsid w:val="00F32761"/>
    <w:rsid w:val="00F33471"/>
    <w:rsid w:val="00F34217"/>
    <w:rsid w:val="00F34C49"/>
    <w:rsid w:val="00F3511D"/>
    <w:rsid w:val="00F3516C"/>
    <w:rsid w:val="00F35A8D"/>
    <w:rsid w:val="00F36DA9"/>
    <w:rsid w:val="00F4329A"/>
    <w:rsid w:val="00F460A9"/>
    <w:rsid w:val="00F473EC"/>
    <w:rsid w:val="00F47585"/>
    <w:rsid w:val="00F51FC6"/>
    <w:rsid w:val="00F52A8B"/>
    <w:rsid w:val="00F5353D"/>
    <w:rsid w:val="00F53DD7"/>
    <w:rsid w:val="00F54028"/>
    <w:rsid w:val="00F55450"/>
    <w:rsid w:val="00F56208"/>
    <w:rsid w:val="00F56C80"/>
    <w:rsid w:val="00F5759B"/>
    <w:rsid w:val="00F605F1"/>
    <w:rsid w:val="00F610AF"/>
    <w:rsid w:val="00F63591"/>
    <w:rsid w:val="00F640EA"/>
    <w:rsid w:val="00F6499B"/>
    <w:rsid w:val="00F64BD7"/>
    <w:rsid w:val="00F714B8"/>
    <w:rsid w:val="00F717FA"/>
    <w:rsid w:val="00F7223E"/>
    <w:rsid w:val="00F75F20"/>
    <w:rsid w:val="00F76787"/>
    <w:rsid w:val="00F775FC"/>
    <w:rsid w:val="00F86AA1"/>
    <w:rsid w:val="00F86D66"/>
    <w:rsid w:val="00F910ED"/>
    <w:rsid w:val="00F91CD2"/>
    <w:rsid w:val="00F91F6A"/>
    <w:rsid w:val="00F939A5"/>
    <w:rsid w:val="00F951EF"/>
    <w:rsid w:val="00F95F71"/>
    <w:rsid w:val="00F97B89"/>
    <w:rsid w:val="00FA0D21"/>
    <w:rsid w:val="00FA2C5A"/>
    <w:rsid w:val="00FA32C7"/>
    <w:rsid w:val="00FA3346"/>
    <w:rsid w:val="00FA355F"/>
    <w:rsid w:val="00FA4125"/>
    <w:rsid w:val="00FA4B08"/>
    <w:rsid w:val="00FA6334"/>
    <w:rsid w:val="00FA7FD6"/>
    <w:rsid w:val="00FB33F3"/>
    <w:rsid w:val="00FB3C17"/>
    <w:rsid w:val="00FB406E"/>
    <w:rsid w:val="00FB49E8"/>
    <w:rsid w:val="00FC24B9"/>
    <w:rsid w:val="00FC2D11"/>
    <w:rsid w:val="00FC504D"/>
    <w:rsid w:val="00FC6230"/>
    <w:rsid w:val="00FC708A"/>
    <w:rsid w:val="00FC7A42"/>
    <w:rsid w:val="00FD08BE"/>
    <w:rsid w:val="00FD1597"/>
    <w:rsid w:val="00FD4513"/>
    <w:rsid w:val="00FD659A"/>
    <w:rsid w:val="00FD749E"/>
    <w:rsid w:val="00FE0107"/>
    <w:rsid w:val="00FE07F1"/>
    <w:rsid w:val="00FE1906"/>
    <w:rsid w:val="00FE1A29"/>
    <w:rsid w:val="00FE2B01"/>
    <w:rsid w:val="00FE3820"/>
    <w:rsid w:val="00FE4362"/>
    <w:rsid w:val="00FE58D1"/>
    <w:rsid w:val="00FE60C2"/>
    <w:rsid w:val="00FE6A81"/>
    <w:rsid w:val="00FE7593"/>
    <w:rsid w:val="00FF02B7"/>
    <w:rsid w:val="00FF239B"/>
    <w:rsid w:val="00FF3055"/>
    <w:rsid w:val="00FF4DCF"/>
    <w:rsid w:val="00FF4E2F"/>
    <w:rsid w:val="00FF61E7"/>
    <w:rsid w:val="00FF7616"/>
    <w:rsid w:val="011B82E0"/>
    <w:rsid w:val="01B408F1"/>
    <w:rsid w:val="02EBC5B9"/>
    <w:rsid w:val="0311165E"/>
    <w:rsid w:val="048699FB"/>
    <w:rsid w:val="04D29000"/>
    <w:rsid w:val="05222FF1"/>
    <w:rsid w:val="07BE3ABD"/>
    <w:rsid w:val="07C608AC"/>
    <w:rsid w:val="095A0B1E"/>
    <w:rsid w:val="097A6940"/>
    <w:rsid w:val="0A8CE3A1"/>
    <w:rsid w:val="0B6BB4B7"/>
    <w:rsid w:val="0C1F14CC"/>
    <w:rsid w:val="0D4F67B5"/>
    <w:rsid w:val="0DE63A4C"/>
    <w:rsid w:val="0E01E57C"/>
    <w:rsid w:val="0E97E35C"/>
    <w:rsid w:val="0EC54AF7"/>
    <w:rsid w:val="0F103633"/>
    <w:rsid w:val="0F7545EB"/>
    <w:rsid w:val="0F8ADE28"/>
    <w:rsid w:val="1027679F"/>
    <w:rsid w:val="10695747"/>
    <w:rsid w:val="10AEDC09"/>
    <w:rsid w:val="113452EF"/>
    <w:rsid w:val="1137036B"/>
    <w:rsid w:val="114A949B"/>
    <w:rsid w:val="121517F7"/>
    <w:rsid w:val="1285AB30"/>
    <w:rsid w:val="141A9D8A"/>
    <w:rsid w:val="14F8B202"/>
    <w:rsid w:val="15F59070"/>
    <w:rsid w:val="160A748E"/>
    <w:rsid w:val="178DCF15"/>
    <w:rsid w:val="17A644EF"/>
    <w:rsid w:val="18F55DBB"/>
    <w:rsid w:val="19BAD677"/>
    <w:rsid w:val="19F38AA6"/>
    <w:rsid w:val="19FEE223"/>
    <w:rsid w:val="1B1E450F"/>
    <w:rsid w:val="1B7B5349"/>
    <w:rsid w:val="1C9694D3"/>
    <w:rsid w:val="1DABFDB1"/>
    <w:rsid w:val="1E326534"/>
    <w:rsid w:val="1F1E3AA1"/>
    <w:rsid w:val="1FC0C73C"/>
    <w:rsid w:val="1FC50B33"/>
    <w:rsid w:val="1FEBD3E2"/>
    <w:rsid w:val="21F8713E"/>
    <w:rsid w:val="221AFD09"/>
    <w:rsid w:val="2227C1CB"/>
    <w:rsid w:val="22DE9EC8"/>
    <w:rsid w:val="22F2271E"/>
    <w:rsid w:val="23BFFBD3"/>
    <w:rsid w:val="23C3922C"/>
    <w:rsid w:val="243B1110"/>
    <w:rsid w:val="25BD6076"/>
    <w:rsid w:val="26196D9B"/>
    <w:rsid w:val="26E790AE"/>
    <w:rsid w:val="271DC9C9"/>
    <w:rsid w:val="27C47687"/>
    <w:rsid w:val="283DF3ED"/>
    <w:rsid w:val="2A166C96"/>
    <w:rsid w:val="2B096762"/>
    <w:rsid w:val="2C3DBCB8"/>
    <w:rsid w:val="2C5F8AAF"/>
    <w:rsid w:val="2C8225E1"/>
    <w:rsid w:val="2D6A6F70"/>
    <w:rsid w:val="2D8942E6"/>
    <w:rsid w:val="2D8F728F"/>
    <w:rsid w:val="2E4CEB48"/>
    <w:rsid w:val="2ECF945E"/>
    <w:rsid w:val="2F2C3F0F"/>
    <w:rsid w:val="2F2C6C26"/>
    <w:rsid w:val="2F772A4B"/>
    <w:rsid w:val="2FC81E2A"/>
    <w:rsid w:val="308F2E2E"/>
    <w:rsid w:val="30D3096E"/>
    <w:rsid w:val="337166F1"/>
    <w:rsid w:val="34FB9281"/>
    <w:rsid w:val="3544E6A3"/>
    <w:rsid w:val="36ECB585"/>
    <w:rsid w:val="372B66B8"/>
    <w:rsid w:val="37E64168"/>
    <w:rsid w:val="390DA459"/>
    <w:rsid w:val="39ABFA2F"/>
    <w:rsid w:val="3BBD0294"/>
    <w:rsid w:val="3BCBD276"/>
    <w:rsid w:val="3C28E0B0"/>
    <w:rsid w:val="3CC92C89"/>
    <w:rsid w:val="3CD885CC"/>
    <w:rsid w:val="3DA59659"/>
    <w:rsid w:val="3E4E6E10"/>
    <w:rsid w:val="3E99594C"/>
    <w:rsid w:val="3EF98E5C"/>
    <w:rsid w:val="3F777989"/>
    <w:rsid w:val="404B468C"/>
    <w:rsid w:val="41860ED2"/>
    <w:rsid w:val="4192D394"/>
    <w:rsid w:val="42B17E09"/>
    <w:rsid w:val="4320E314"/>
    <w:rsid w:val="4347CC52"/>
    <w:rsid w:val="448BC829"/>
    <w:rsid w:val="449A9E8F"/>
    <w:rsid w:val="4559DDCB"/>
    <w:rsid w:val="4577F311"/>
    <w:rsid w:val="465CB4C3"/>
    <w:rsid w:val="465F8730"/>
    <w:rsid w:val="46D63229"/>
    <w:rsid w:val="47E71389"/>
    <w:rsid w:val="488AC624"/>
    <w:rsid w:val="48908BF9"/>
    <w:rsid w:val="493C1DE1"/>
    <w:rsid w:val="493D1A00"/>
    <w:rsid w:val="497DC0F0"/>
    <w:rsid w:val="4AFC688E"/>
    <w:rsid w:val="4B88E555"/>
    <w:rsid w:val="4C2D78CD"/>
    <w:rsid w:val="4CBFA5FE"/>
    <w:rsid w:val="4D3CC88D"/>
    <w:rsid w:val="4F5758AE"/>
    <w:rsid w:val="4FDE1E63"/>
    <w:rsid w:val="5083E342"/>
    <w:rsid w:val="50BEF3F9"/>
    <w:rsid w:val="51160010"/>
    <w:rsid w:val="512F0388"/>
    <w:rsid w:val="51ECBF5D"/>
    <w:rsid w:val="53E90CFE"/>
    <w:rsid w:val="5476B12C"/>
    <w:rsid w:val="551AAE3B"/>
    <w:rsid w:val="55E97133"/>
    <w:rsid w:val="5612818D"/>
    <w:rsid w:val="5659948E"/>
    <w:rsid w:val="5833DE8A"/>
    <w:rsid w:val="58F2D378"/>
    <w:rsid w:val="59A2CE6C"/>
    <w:rsid w:val="59BBF1C7"/>
    <w:rsid w:val="5A77B896"/>
    <w:rsid w:val="5AA7CC36"/>
    <w:rsid w:val="5ACDC672"/>
    <w:rsid w:val="5B7DC166"/>
    <w:rsid w:val="5C70BA10"/>
    <w:rsid w:val="5CB4820F"/>
    <w:rsid w:val="5D4FDD95"/>
    <w:rsid w:val="5DA541BE"/>
    <w:rsid w:val="5DC98CBB"/>
    <w:rsid w:val="5E6955D4"/>
    <w:rsid w:val="60029CBC"/>
    <w:rsid w:val="6084166C"/>
    <w:rsid w:val="60FCF07E"/>
    <w:rsid w:val="621AD8B4"/>
    <w:rsid w:val="64E58113"/>
    <w:rsid w:val="6594A999"/>
    <w:rsid w:val="660DE819"/>
    <w:rsid w:val="67BC565C"/>
    <w:rsid w:val="67C79AD0"/>
    <w:rsid w:val="692308EF"/>
    <w:rsid w:val="6DD79129"/>
    <w:rsid w:val="6E5D5ABF"/>
    <w:rsid w:val="6F614E09"/>
    <w:rsid w:val="6F66FDEF"/>
    <w:rsid w:val="7102CE50"/>
    <w:rsid w:val="71820FE3"/>
    <w:rsid w:val="7195F7A0"/>
    <w:rsid w:val="72551F8C"/>
    <w:rsid w:val="7291D9EF"/>
    <w:rsid w:val="72F7F8B4"/>
    <w:rsid w:val="7341D4E3"/>
    <w:rsid w:val="736175EA"/>
    <w:rsid w:val="73EB8A78"/>
    <w:rsid w:val="74185A5D"/>
    <w:rsid w:val="742CAE31"/>
    <w:rsid w:val="746DE07D"/>
    <w:rsid w:val="7615A2B5"/>
    <w:rsid w:val="77448902"/>
    <w:rsid w:val="777557F4"/>
    <w:rsid w:val="78612D61"/>
    <w:rsid w:val="78B906C5"/>
    <w:rsid w:val="79112855"/>
    <w:rsid w:val="79D23133"/>
    <w:rsid w:val="7A6B0469"/>
    <w:rsid w:val="7B1BB712"/>
    <w:rsid w:val="7C06D4CA"/>
    <w:rsid w:val="7DE5DB9C"/>
    <w:rsid w:val="7E09EA1D"/>
    <w:rsid w:val="7E12DF54"/>
    <w:rsid w:val="7E2FBF44"/>
    <w:rsid w:val="7F4C3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0A681"/>
  <w15:docId w15:val="{DF85EBFA-2E82-4259-8BAC-71A0FFCA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E03"/>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ICEnormal"/>
    <w:next w:val="Paragraph"/>
    <w:link w:val="Heading2Char"/>
    <w:uiPriority w:val="2"/>
    <w:qFormat/>
    <w:rsid w:val="00980F17"/>
    <w:pPr>
      <w:keepNext/>
      <w:spacing w:before="120"/>
      <w:outlineLvl w:val="1"/>
    </w:pPr>
    <w:rPr>
      <w:b/>
      <w:bCs/>
      <w:iCs/>
      <w:sz w:val="32"/>
      <w:szCs w:val="26"/>
    </w:rPr>
  </w:style>
  <w:style w:type="paragraph" w:styleId="Heading3">
    <w:name w:val="heading 3"/>
    <w:basedOn w:val="Normal"/>
    <w:next w:val="Paragraph"/>
    <w:link w:val="Heading3Char"/>
    <w:uiPriority w:val="3"/>
    <w:qFormat/>
    <w:rsid w:val="00D72A61"/>
    <w:pPr>
      <w:keepNext/>
      <w:spacing w:before="240" w:after="300"/>
      <w:outlineLvl w:val="2"/>
    </w:pPr>
    <w:rPr>
      <w:rFonts w:ascii="Arial" w:hAnsi="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B36187"/>
    <w:pPr>
      <w:numPr>
        <w:numId w:val="10"/>
      </w:numPr>
      <w:tabs>
        <w:tab w:val="left" w:pos="426"/>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E750AE"/>
    <w:pPr>
      <w:numPr>
        <w:numId w:val="1"/>
      </w:numPr>
      <w:spacing w:after="120"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980F17"/>
    <w:rPr>
      <w:rFonts w:ascii="Arial" w:hAnsi="Arial"/>
      <w:b/>
      <w:bCs/>
      <w:iCs/>
      <w:sz w:val="32"/>
      <w:szCs w:val="26"/>
      <w:lang w:eastAsia="en-US"/>
    </w:rPr>
  </w:style>
  <w:style w:type="character" w:customStyle="1" w:styleId="Heading3Char">
    <w:name w:val="Heading 3 Char"/>
    <w:link w:val="Heading3"/>
    <w:uiPriority w:val="3"/>
    <w:rsid w:val="00D72A61"/>
    <w:rPr>
      <w:rFonts w:ascii="Arial" w:hAnsi="Arial"/>
      <w:b/>
      <w:bCs/>
      <w:sz w:val="28"/>
      <w:szCs w:val="26"/>
    </w:rPr>
  </w:style>
  <w:style w:type="paragraph" w:customStyle="1" w:styleId="Subbullets">
    <w:name w:val="Sub bullets"/>
    <w:basedOn w:val="Normal"/>
    <w:uiPriority w:val="6"/>
    <w:qFormat/>
    <w:rsid w:val="00CB5671"/>
    <w:pPr>
      <w:numPr>
        <w:numId w:val="2"/>
      </w:numPr>
      <w:spacing w:after="120" w:line="276" w:lineRule="auto"/>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CD2C3F"/>
    <w:pPr>
      <w:tabs>
        <w:tab w:val="right" w:leader="dot" w:pos="9016"/>
      </w:tabs>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uiPriority w:val="39"/>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Title16pt">
    <w:name w:val="Title 16 pt"/>
    <w:basedOn w:val="Title"/>
    <w:rsid w:val="00C52395"/>
    <w:pPr>
      <w:keepNext/>
      <w:spacing w:before="240" w:after="240"/>
    </w:pPr>
    <w:rPr>
      <w:rFonts w:cs="Arial"/>
      <w:lang w:eastAsia="en-US"/>
    </w:rPr>
  </w:style>
  <w:style w:type="paragraph" w:customStyle="1" w:styleId="Heading1boardreport">
    <w:name w:val="Heading 1 board report"/>
    <w:basedOn w:val="Heading1"/>
    <w:next w:val="Paragraph"/>
    <w:link w:val="Heading1boardreportChar"/>
    <w:qFormat/>
    <w:rsid w:val="00C52395"/>
    <w:pPr>
      <w:spacing w:after="240"/>
    </w:pPr>
    <w:rPr>
      <w:color w:val="004650"/>
      <w:sz w:val="36"/>
      <w:szCs w:val="36"/>
    </w:rPr>
  </w:style>
  <w:style w:type="character" w:customStyle="1" w:styleId="Heading1boardreportChar">
    <w:name w:val="Heading 1 board report Char"/>
    <w:basedOn w:val="Heading1Char"/>
    <w:link w:val="Heading1boardreport"/>
    <w:rsid w:val="00C52395"/>
    <w:rPr>
      <w:rFonts w:ascii="Arial" w:hAnsi="Arial"/>
      <w:b/>
      <w:bCs/>
      <w:color w:val="004650"/>
      <w:kern w:val="32"/>
      <w:sz w:val="36"/>
      <w:szCs w:val="36"/>
    </w:rPr>
  </w:style>
  <w:style w:type="table" w:styleId="TableGrid">
    <w:name w:val="Table Grid"/>
    <w:basedOn w:val="TableNormal"/>
    <w:rsid w:val="00C5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C52395"/>
    <w:pPr>
      <w:spacing w:before="60" w:after="60" w:line="276" w:lineRule="auto"/>
    </w:pPr>
    <w:rPr>
      <w:rFonts w:ascii="Arial" w:hAnsi="Arial"/>
      <w:sz w:val="22"/>
      <w:szCs w:val="20"/>
    </w:rPr>
  </w:style>
  <w:style w:type="paragraph" w:customStyle="1" w:styleId="Tablecolumnheading">
    <w:name w:val="Table column heading"/>
    <w:basedOn w:val="Tabletext"/>
    <w:link w:val="TablecolumnheadingChar"/>
    <w:qFormat/>
    <w:rsid w:val="00C52395"/>
    <w:rPr>
      <w:b/>
    </w:rPr>
  </w:style>
  <w:style w:type="paragraph" w:customStyle="1" w:styleId="Tableandgraphheading">
    <w:name w:val="Table and graph heading"/>
    <w:basedOn w:val="Heading3"/>
    <w:link w:val="TableandgraphheadingChar"/>
    <w:qFormat/>
    <w:rsid w:val="00C52395"/>
    <w:rPr>
      <w:rFonts w:eastAsiaTheme="majorEastAsia" w:cstheme="majorBidi"/>
      <w:color w:val="004650"/>
    </w:rPr>
  </w:style>
  <w:style w:type="character" w:customStyle="1" w:styleId="TabletextChar">
    <w:name w:val="Table text Char"/>
    <w:basedOn w:val="DefaultParagraphFont"/>
    <w:link w:val="Tabletext"/>
    <w:rsid w:val="00C52395"/>
    <w:rPr>
      <w:rFonts w:ascii="Arial" w:hAnsi="Arial"/>
      <w:sz w:val="22"/>
    </w:rPr>
  </w:style>
  <w:style w:type="character" w:customStyle="1" w:styleId="TablecolumnheadingChar">
    <w:name w:val="Table column heading Char"/>
    <w:basedOn w:val="TabletextChar"/>
    <w:link w:val="Tablecolumnheading"/>
    <w:rsid w:val="00C52395"/>
    <w:rPr>
      <w:rFonts w:ascii="Arial" w:hAnsi="Arial"/>
      <w:b/>
      <w:sz w:val="22"/>
    </w:rPr>
  </w:style>
  <w:style w:type="character" w:customStyle="1" w:styleId="TableandgraphheadingChar">
    <w:name w:val="Table and graph heading Char"/>
    <w:basedOn w:val="Heading3Char"/>
    <w:link w:val="Tableandgraphheading"/>
    <w:rsid w:val="00C52395"/>
    <w:rPr>
      <w:rFonts w:ascii="Arial" w:eastAsiaTheme="majorEastAsia" w:hAnsi="Arial" w:cstheme="majorBidi"/>
      <w:b/>
      <w:bCs/>
      <w:color w:val="004650"/>
      <w:sz w:val="24"/>
      <w:szCs w:val="26"/>
    </w:rPr>
  </w:style>
  <w:style w:type="paragraph" w:customStyle="1" w:styleId="Bulletslast">
    <w:name w:val="Bullets last"/>
    <w:basedOn w:val="Bullets"/>
    <w:qFormat/>
    <w:rsid w:val="00C52395"/>
    <w:pPr>
      <w:spacing w:after="240"/>
    </w:pPr>
    <w:rPr>
      <w:szCs w:val="20"/>
    </w:rPr>
  </w:style>
  <w:style w:type="paragraph" w:customStyle="1" w:styleId="Heading2boardreport">
    <w:name w:val="Heading 2 board report"/>
    <w:basedOn w:val="Heading2"/>
    <w:next w:val="NICEnormal"/>
    <w:qFormat/>
    <w:rsid w:val="00E2587B"/>
    <w:pPr>
      <w:spacing w:before="240" w:after="60"/>
    </w:pPr>
    <w:rPr>
      <w:rFonts w:cs="Arial"/>
      <w:i/>
      <w:iCs w:val="0"/>
      <w:sz w:val="28"/>
      <w:szCs w:val="28"/>
    </w:rPr>
  </w:style>
  <w:style w:type="paragraph" w:customStyle="1" w:styleId="Heading3boardreport">
    <w:name w:val="Heading 3 board report"/>
    <w:basedOn w:val="Heading3"/>
    <w:next w:val="NICEnormal"/>
    <w:qFormat/>
    <w:rsid w:val="00E2587B"/>
    <w:pPr>
      <w:spacing w:line="360" w:lineRule="auto"/>
    </w:pPr>
    <w:rPr>
      <w:rFonts w:cs="Arial"/>
      <w:color w:val="00506A"/>
      <w:sz w:val="26"/>
      <w:lang w:eastAsia="en-US"/>
    </w:rPr>
  </w:style>
  <w:style w:type="character" w:styleId="CommentReference">
    <w:name w:val="annotation reference"/>
    <w:basedOn w:val="DefaultParagraphFont"/>
    <w:semiHidden/>
    <w:unhideWhenUsed/>
    <w:rsid w:val="00C52395"/>
    <w:rPr>
      <w:sz w:val="16"/>
      <w:szCs w:val="16"/>
    </w:rPr>
  </w:style>
  <w:style w:type="paragraph" w:styleId="CommentText">
    <w:name w:val="annotation text"/>
    <w:basedOn w:val="Normal"/>
    <w:link w:val="CommentTextChar"/>
    <w:unhideWhenUsed/>
    <w:rsid w:val="00C52395"/>
    <w:rPr>
      <w:sz w:val="20"/>
      <w:szCs w:val="20"/>
    </w:rPr>
  </w:style>
  <w:style w:type="character" w:customStyle="1" w:styleId="CommentTextChar">
    <w:name w:val="Comment Text Char"/>
    <w:basedOn w:val="DefaultParagraphFont"/>
    <w:link w:val="CommentText"/>
    <w:rsid w:val="00C52395"/>
  </w:style>
  <w:style w:type="paragraph" w:styleId="CommentSubject">
    <w:name w:val="annotation subject"/>
    <w:basedOn w:val="CommentText"/>
    <w:next w:val="CommentText"/>
    <w:link w:val="CommentSubjectChar"/>
    <w:semiHidden/>
    <w:unhideWhenUsed/>
    <w:rsid w:val="00C52395"/>
    <w:rPr>
      <w:b/>
      <w:bCs/>
    </w:rPr>
  </w:style>
  <w:style w:type="character" w:customStyle="1" w:styleId="CommentSubjectChar">
    <w:name w:val="Comment Subject Char"/>
    <w:basedOn w:val="CommentTextChar"/>
    <w:link w:val="CommentSubject"/>
    <w:semiHidden/>
    <w:rsid w:val="00C52395"/>
    <w:rPr>
      <w:b/>
      <w:bCs/>
    </w:rPr>
  </w:style>
  <w:style w:type="paragraph" w:styleId="FootnoteText">
    <w:name w:val="footnote text"/>
    <w:basedOn w:val="Normal"/>
    <w:link w:val="FootnoteTextChar"/>
    <w:semiHidden/>
    <w:unhideWhenUsed/>
    <w:rsid w:val="005D4CA5"/>
    <w:rPr>
      <w:sz w:val="20"/>
      <w:szCs w:val="20"/>
    </w:rPr>
  </w:style>
  <w:style w:type="character" w:customStyle="1" w:styleId="FootnoteTextChar">
    <w:name w:val="Footnote Text Char"/>
    <w:basedOn w:val="DefaultParagraphFont"/>
    <w:link w:val="FootnoteText"/>
    <w:semiHidden/>
    <w:rsid w:val="005D4CA5"/>
  </w:style>
  <w:style w:type="character" w:styleId="FootnoteReference">
    <w:name w:val="footnote reference"/>
    <w:basedOn w:val="DefaultParagraphFont"/>
    <w:semiHidden/>
    <w:unhideWhenUsed/>
    <w:rsid w:val="005D4CA5"/>
    <w:rPr>
      <w:vertAlign w:val="superscript"/>
    </w:rPr>
  </w:style>
  <w:style w:type="character" w:styleId="Hyperlink">
    <w:name w:val="Hyperlink"/>
    <w:basedOn w:val="DefaultParagraphFont"/>
    <w:uiPriority w:val="99"/>
    <w:unhideWhenUsed/>
    <w:rsid w:val="00E83677"/>
    <w:rPr>
      <w:color w:val="0000FF" w:themeColor="hyperlink"/>
      <w:u w:val="single"/>
    </w:rPr>
  </w:style>
  <w:style w:type="character" w:styleId="UnresolvedMention">
    <w:name w:val="Unresolved Mention"/>
    <w:basedOn w:val="DefaultParagraphFont"/>
    <w:uiPriority w:val="99"/>
    <w:semiHidden/>
    <w:unhideWhenUsed/>
    <w:rsid w:val="00E83677"/>
    <w:rPr>
      <w:color w:val="605E5C"/>
      <w:shd w:val="clear" w:color="auto" w:fill="E1DFDD"/>
    </w:rPr>
  </w:style>
  <w:style w:type="paragraph" w:styleId="ListParagraph">
    <w:name w:val="List Paragraph"/>
    <w:basedOn w:val="Normal"/>
    <w:uiPriority w:val="34"/>
    <w:qFormat/>
    <w:rsid w:val="006037FF"/>
    <w:pPr>
      <w:ind w:left="720"/>
      <w:contextualSpacing/>
    </w:pPr>
  </w:style>
  <w:style w:type="paragraph" w:customStyle="1" w:styleId="C4Clistpara">
    <w:name w:val="C4C list para"/>
    <w:basedOn w:val="Paragraph"/>
    <w:qFormat/>
    <w:rsid w:val="00296278"/>
    <w:pPr>
      <w:numPr>
        <w:numId w:val="6"/>
      </w:numPr>
    </w:pPr>
  </w:style>
  <w:style w:type="paragraph" w:customStyle="1" w:styleId="Bulletleft1">
    <w:name w:val="Bullet left 1"/>
    <w:basedOn w:val="Normal"/>
    <w:rsid w:val="00D0267F"/>
    <w:pPr>
      <w:numPr>
        <w:numId w:val="3"/>
      </w:numPr>
      <w:spacing w:line="360" w:lineRule="auto"/>
    </w:pPr>
    <w:rPr>
      <w:rFonts w:ascii="Arial" w:hAnsi="Arial"/>
      <w:lang w:eastAsia="en-US"/>
    </w:rPr>
  </w:style>
  <w:style w:type="paragraph" w:styleId="Revision">
    <w:name w:val="Revision"/>
    <w:hidden/>
    <w:uiPriority w:val="99"/>
    <w:semiHidden/>
    <w:rsid w:val="00F56C80"/>
    <w:rPr>
      <w:sz w:val="24"/>
      <w:szCs w:val="24"/>
    </w:rPr>
  </w:style>
  <w:style w:type="paragraph" w:customStyle="1" w:styleId="C4Cheading2">
    <w:name w:val="C4C heading 2"/>
    <w:basedOn w:val="Heading2boardreport"/>
    <w:qFormat/>
    <w:rsid w:val="00296278"/>
    <w:pPr>
      <w:numPr>
        <w:numId w:val="4"/>
      </w:numPr>
      <w:ind w:left="284" w:hanging="284"/>
    </w:pPr>
  </w:style>
  <w:style w:type="character" w:styleId="FollowedHyperlink">
    <w:name w:val="FollowedHyperlink"/>
    <w:basedOn w:val="DefaultParagraphFont"/>
    <w:semiHidden/>
    <w:unhideWhenUsed/>
    <w:rsid w:val="00D7278F"/>
    <w:rPr>
      <w:color w:val="800080" w:themeColor="followedHyperlink"/>
      <w:u w:val="single"/>
    </w:rPr>
  </w:style>
  <w:style w:type="paragraph" w:customStyle="1" w:styleId="Numberedlevel2text">
    <w:name w:val="Numbered level 2 text"/>
    <w:basedOn w:val="Normal"/>
    <w:rsid w:val="00650F5A"/>
    <w:pPr>
      <w:keepNext/>
      <w:spacing w:after="240" w:line="360" w:lineRule="auto"/>
      <w:outlineLvl w:val="1"/>
    </w:pPr>
    <w:rPr>
      <w:rFonts w:ascii="Arial" w:hAnsi="Arial" w:cs="Arial"/>
      <w:bCs/>
      <w:szCs w:val="28"/>
      <w:lang w:eastAsia="en-US"/>
    </w:rPr>
  </w:style>
  <w:style w:type="paragraph" w:customStyle="1" w:styleId="Section21paragraphs">
    <w:name w:val="Section 2.1 paragraphs"/>
    <w:basedOn w:val="Normal"/>
    <w:qFormat/>
    <w:rsid w:val="0031608C"/>
    <w:pPr>
      <w:numPr>
        <w:numId w:val="5"/>
      </w:numPr>
      <w:tabs>
        <w:tab w:val="left" w:pos="1134"/>
      </w:tabs>
      <w:spacing w:after="240" w:line="360" w:lineRule="auto"/>
      <w:ind w:left="714" w:hanging="357"/>
    </w:pPr>
    <w:rPr>
      <w:rFonts w:ascii="Arial" w:hAnsi="Arial"/>
      <w:lang w:eastAsia="en-US"/>
    </w:rPr>
  </w:style>
  <w:style w:type="paragraph" w:customStyle="1" w:styleId="Paragraphnonumbersindent">
    <w:name w:val="Paragraph no numbers indent"/>
    <w:basedOn w:val="Paragraph"/>
    <w:qFormat/>
    <w:rsid w:val="00B6697E"/>
    <w:pPr>
      <w:numPr>
        <w:numId w:val="0"/>
      </w:numPr>
      <w:ind w:left="567"/>
    </w:pPr>
  </w:style>
  <w:style w:type="paragraph" w:customStyle="1" w:styleId="NICEnormal">
    <w:name w:val="NICE normal"/>
    <w:link w:val="NICEnormalChar"/>
    <w:qFormat/>
    <w:rsid w:val="00070C7D"/>
    <w:pPr>
      <w:spacing w:after="240" w:line="360" w:lineRule="auto"/>
    </w:pPr>
    <w:rPr>
      <w:rFonts w:ascii="Arial" w:hAnsi="Arial"/>
      <w:sz w:val="24"/>
      <w:szCs w:val="24"/>
      <w:lang w:eastAsia="en-US"/>
    </w:rPr>
  </w:style>
  <w:style w:type="character" w:customStyle="1" w:styleId="NICEnormalChar">
    <w:name w:val="NICE normal Char"/>
    <w:link w:val="NICEnormal"/>
    <w:rsid w:val="00070C7D"/>
    <w:rPr>
      <w:rFonts w:ascii="Arial" w:hAnsi="Arial"/>
      <w:sz w:val="24"/>
      <w:szCs w:val="24"/>
      <w:lang w:eastAsia="en-US"/>
    </w:rPr>
  </w:style>
  <w:style w:type="paragraph" w:customStyle="1" w:styleId="Default">
    <w:name w:val="Default"/>
    <w:rsid w:val="00651421"/>
    <w:pPr>
      <w:autoSpaceDE w:val="0"/>
      <w:autoSpaceDN w:val="0"/>
      <w:adjustRightInd w:val="0"/>
    </w:pPr>
    <w:rPr>
      <w:rFonts w:ascii="Arial" w:hAnsi="Arial" w:cs="Arial"/>
      <w:color w:val="000000"/>
      <w:sz w:val="24"/>
      <w:szCs w:val="24"/>
    </w:rPr>
  </w:style>
  <w:style w:type="paragraph" w:customStyle="1" w:styleId="Title1">
    <w:name w:val="Title 1"/>
    <w:basedOn w:val="Title"/>
    <w:qFormat/>
    <w:rsid w:val="001B5E03"/>
    <w:pPr>
      <w:keepNext/>
      <w:spacing w:before="240" w:after="240"/>
    </w:pPr>
    <w:rPr>
      <w:rFonts w:cs="Arial"/>
      <w:sz w:val="40"/>
      <w:lang w:eastAsia="en-US"/>
    </w:rPr>
  </w:style>
  <w:style w:type="paragraph" w:customStyle="1" w:styleId="NICEnormalnumbered">
    <w:name w:val="NICE normal numbered"/>
    <w:basedOn w:val="Paragraph"/>
    <w:qFormat/>
    <w:rsid w:val="00B36187"/>
    <w:pPr>
      <w:spacing w:line="360" w:lineRule="auto"/>
    </w:pPr>
  </w:style>
  <w:style w:type="paragraph" w:customStyle="1" w:styleId="Bulletindent1">
    <w:name w:val="Bullet indent 1"/>
    <w:basedOn w:val="NICEnormal"/>
    <w:rsid w:val="005167B0"/>
    <w:pPr>
      <w:numPr>
        <w:numId w:val="7"/>
      </w:numPr>
      <w:spacing w:after="0"/>
    </w:pPr>
  </w:style>
  <w:style w:type="paragraph" w:customStyle="1" w:styleId="Bulletindent1last">
    <w:name w:val="Bullet indent 1 last"/>
    <w:basedOn w:val="NICEnormal"/>
    <w:next w:val="NICEnormal"/>
    <w:rsid w:val="005167B0"/>
    <w:pPr>
      <w:numPr>
        <w:numId w:val="8"/>
      </w:numPr>
    </w:pPr>
  </w:style>
  <w:style w:type="paragraph" w:customStyle="1" w:styleId="Bulletindent2">
    <w:name w:val="Bullet indent 2"/>
    <w:basedOn w:val="NICEnormal"/>
    <w:rsid w:val="005167B0"/>
    <w:pPr>
      <w:numPr>
        <w:ilvl w:val="1"/>
        <w:numId w:val="9"/>
      </w:numPr>
      <w:spacing w:after="0"/>
    </w:pPr>
  </w:style>
  <w:style w:type="paragraph" w:customStyle="1" w:styleId="Bulletindent2last">
    <w:name w:val="Bullet indent 2 last"/>
    <w:basedOn w:val="Bulletindent2"/>
    <w:next w:val="NICEnormal"/>
    <w:qFormat/>
    <w:rsid w:val="0070348A"/>
    <w:pPr>
      <w:spacing w:after="120"/>
    </w:pPr>
  </w:style>
  <w:style w:type="paragraph" w:customStyle="1" w:styleId="Title2">
    <w:name w:val="Title 2"/>
    <w:basedOn w:val="Title"/>
    <w:qFormat/>
    <w:rsid w:val="00E77BE3"/>
    <w:pPr>
      <w:keepNext/>
      <w:spacing w:before="240" w:after="240"/>
    </w:pPr>
    <w:rPr>
      <w:rFonts w:cs="Arial"/>
      <w:bCs w:val="0"/>
      <w:lang w:eastAsia="en-US"/>
    </w:rPr>
  </w:style>
  <w:style w:type="paragraph" w:customStyle="1" w:styleId="NICEnormalindented">
    <w:name w:val="NICE normal indented"/>
    <w:basedOn w:val="NICEnormal"/>
    <w:rsid w:val="0070348A"/>
    <w:pPr>
      <w:ind w:left="709"/>
    </w:pPr>
  </w:style>
  <w:style w:type="character" w:customStyle="1" w:styleId="normaltextrun">
    <w:name w:val="normaltextrun"/>
    <w:basedOn w:val="DefaultParagraphFont"/>
    <w:rsid w:val="009C6BAD"/>
  </w:style>
  <w:style w:type="character" w:customStyle="1" w:styleId="eop">
    <w:name w:val="eop"/>
    <w:basedOn w:val="DefaultParagraphFont"/>
    <w:rsid w:val="009C6BAD"/>
  </w:style>
  <w:style w:type="paragraph" w:customStyle="1" w:styleId="paragraph0">
    <w:name w:val="paragraph"/>
    <w:basedOn w:val="Normal"/>
    <w:rsid w:val="007846C3"/>
    <w:pPr>
      <w:spacing w:before="100" w:beforeAutospacing="1" w:after="100" w:afterAutospacing="1"/>
    </w:pPr>
  </w:style>
  <w:style w:type="table" w:styleId="GridTable1Light">
    <w:name w:val="Grid Table 1 Light"/>
    <w:basedOn w:val="TableNormal"/>
    <w:uiPriority w:val="46"/>
    <w:rsid w:val="00E11D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nhideWhenUsed/>
    <w:qFormat/>
    <w:rsid w:val="00770B59"/>
    <w:pPr>
      <w:spacing w:after="200"/>
    </w:pPr>
    <w:rPr>
      <w:i/>
      <w:iCs/>
      <w:color w:val="1F497D" w:themeColor="text2"/>
      <w:sz w:val="18"/>
      <w:szCs w:val="18"/>
    </w:rPr>
  </w:style>
  <w:style w:type="paragraph" w:styleId="TOCHeading">
    <w:name w:val="TOC Heading"/>
    <w:basedOn w:val="Heading1"/>
    <w:next w:val="Normal"/>
    <w:uiPriority w:val="39"/>
    <w:unhideWhenUsed/>
    <w:qFormat/>
    <w:rsid w:val="00EB2546"/>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OC5">
    <w:name w:val="toc 5"/>
    <w:basedOn w:val="Normal"/>
    <w:next w:val="Normal"/>
    <w:autoRedefine/>
    <w:uiPriority w:val="39"/>
    <w:unhideWhenUsed/>
    <w:rsid w:val="00EB2546"/>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B2546"/>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B2546"/>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B2546"/>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B2546"/>
    <w:pPr>
      <w:spacing w:after="100" w:line="259" w:lineRule="auto"/>
      <w:ind w:left="1760"/>
    </w:pPr>
    <w:rPr>
      <w:rFonts w:asciiTheme="minorHAnsi" w:eastAsiaTheme="minorEastAsia" w:hAnsiTheme="minorHAnsi" w:cstheme="minorBidi"/>
      <w:sz w:val="22"/>
      <w:szCs w:val="22"/>
    </w:rPr>
  </w:style>
  <w:style w:type="paragraph" w:styleId="TableofFigures">
    <w:name w:val="table of figures"/>
    <w:basedOn w:val="Normal"/>
    <w:next w:val="Normal"/>
    <w:uiPriority w:val="99"/>
    <w:unhideWhenUsed/>
    <w:rsid w:val="00353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6126">
      <w:bodyDiv w:val="1"/>
      <w:marLeft w:val="0"/>
      <w:marRight w:val="0"/>
      <w:marTop w:val="0"/>
      <w:marBottom w:val="0"/>
      <w:divBdr>
        <w:top w:val="none" w:sz="0" w:space="0" w:color="auto"/>
        <w:left w:val="none" w:sz="0" w:space="0" w:color="auto"/>
        <w:bottom w:val="none" w:sz="0" w:space="0" w:color="auto"/>
        <w:right w:val="none" w:sz="0" w:space="0" w:color="auto"/>
      </w:divBdr>
    </w:div>
    <w:div w:id="85619287">
      <w:bodyDiv w:val="1"/>
      <w:marLeft w:val="0"/>
      <w:marRight w:val="0"/>
      <w:marTop w:val="0"/>
      <w:marBottom w:val="0"/>
      <w:divBdr>
        <w:top w:val="none" w:sz="0" w:space="0" w:color="auto"/>
        <w:left w:val="none" w:sz="0" w:space="0" w:color="auto"/>
        <w:bottom w:val="none" w:sz="0" w:space="0" w:color="auto"/>
        <w:right w:val="none" w:sz="0" w:space="0" w:color="auto"/>
      </w:divBdr>
    </w:div>
    <w:div w:id="283270056">
      <w:bodyDiv w:val="1"/>
      <w:marLeft w:val="0"/>
      <w:marRight w:val="0"/>
      <w:marTop w:val="0"/>
      <w:marBottom w:val="0"/>
      <w:divBdr>
        <w:top w:val="none" w:sz="0" w:space="0" w:color="auto"/>
        <w:left w:val="none" w:sz="0" w:space="0" w:color="auto"/>
        <w:bottom w:val="none" w:sz="0" w:space="0" w:color="auto"/>
        <w:right w:val="none" w:sz="0" w:space="0" w:color="auto"/>
      </w:divBdr>
    </w:div>
    <w:div w:id="348920695">
      <w:bodyDiv w:val="1"/>
      <w:marLeft w:val="0"/>
      <w:marRight w:val="0"/>
      <w:marTop w:val="0"/>
      <w:marBottom w:val="0"/>
      <w:divBdr>
        <w:top w:val="none" w:sz="0" w:space="0" w:color="auto"/>
        <w:left w:val="none" w:sz="0" w:space="0" w:color="auto"/>
        <w:bottom w:val="none" w:sz="0" w:space="0" w:color="auto"/>
        <w:right w:val="none" w:sz="0" w:space="0" w:color="auto"/>
      </w:divBdr>
    </w:div>
    <w:div w:id="739792052">
      <w:bodyDiv w:val="1"/>
      <w:marLeft w:val="0"/>
      <w:marRight w:val="0"/>
      <w:marTop w:val="0"/>
      <w:marBottom w:val="0"/>
      <w:divBdr>
        <w:top w:val="none" w:sz="0" w:space="0" w:color="auto"/>
        <w:left w:val="none" w:sz="0" w:space="0" w:color="auto"/>
        <w:bottom w:val="none" w:sz="0" w:space="0" w:color="auto"/>
        <w:right w:val="none" w:sz="0" w:space="0" w:color="auto"/>
      </w:divBdr>
      <w:divsChild>
        <w:div w:id="911818524">
          <w:marLeft w:val="446"/>
          <w:marRight w:val="0"/>
          <w:marTop w:val="0"/>
          <w:marBottom w:val="0"/>
          <w:divBdr>
            <w:top w:val="none" w:sz="0" w:space="0" w:color="auto"/>
            <w:left w:val="none" w:sz="0" w:space="0" w:color="auto"/>
            <w:bottom w:val="none" w:sz="0" w:space="0" w:color="auto"/>
            <w:right w:val="none" w:sz="0" w:space="0" w:color="auto"/>
          </w:divBdr>
        </w:div>
      </w:divsChild>
    </w:div>
    <w:div w:id="811558842">
      <w:bodyDiv w:val="1"/>
      <w:marLeft w:val="0"/>
      <w:marRight w:val="0"/>
      <w:marTop w:val="0"/>
      <w:marBottom w:val="0"/>
      <w:divBdr>
        <w:top w:val="none" w:sz="0" w:space="0" w:color="auto"/>
        <w:left w:val="none" w:sz="0" w:space="0" w:color="auto"/>
        <w:bottom w:val="none" w:sz="0" w:space="0" w:color="auto"/>
        <w:right w:val="none" w:sz="0" w:space="0" w:color="auto"/>
      </w:divBdr>
    </w:div>
    <w:div w:id="852038269">
      <w:bodyDiv w:val="1"/>
      <w:marLeft w:val="0"/>
      <w:marRight w:val="0"/>
      <w:marTop w:val="0"/>
      <w:marBottom w:val="0"/>
      <w:divBdr>
        <w:top w:val="none" w:sz="0" w:space="0" w:color="auto"/>
        <w:left w:val="none" w:sz="0" w:space="0" w:color="auto"/>
        <w:bottom w:val="none" w:sz="0" w:space="0" w:color="auto"/>
        <w:right w:val="none" w:sz="0" w:space="0" w:color="auto"/>
      </w:divBdr>
    </w:div>
    <w:div w:id="1364866061">
      <w:bodyDiv w:val="1"/>
      <w:marLeft w:val="0"/>
      <w:marRight w:val="0"/>
      <w:marTop w:val="0"/>
      <w:marBottom w:val="0"/>
      <w:divBdr>
        <w:top w:val="none" w:sz="0" w:space="0" w:color="auto"/>
        <w:left w:val="none" w:sz="0" w:space="0" w:color="auto"/>
        <w:bottom w:val="none" w:sz="0" w:space="0" w:color="auto"/>
        <w:right w:val="none" w:sz="0" w:space="0" w:color="auto"/>
      </w:divBdr>
    </w:div>
    <w:div w:id="1368213584">
      <w:bodyDiv w:val="1"/>
      <w:marLeft w:val="0"/>
      <w:marRight w:val="0"/>
      <w:marTop w:val="0"/>
      <w:marBottom w:val="0"/>
      <w:divBdr>
        <w:top w:val="none" w:sz="0" w:space="0" w:color="auto"/>
        <w:left w:val="none" w:sz="0" w:space="0" w:color="auto"/>
        <w:bottom w:val="none" w:sz="0" w:space="0" w:color="auto"/>
        <w:right w:val="none" w:sz="0" w:space="0" w:color="auto"/>
      </w:divBdr>
    </w:div>
    <w:div w:id="1618876988">
      <w:bodyDiv w:val="1"/>
      <w:marLeft w:val="0"/>
      <w:marRight w:val="0"/>
      <w:marTop w:val="0"/>
      <w:marBottom w:val="0"/>
      <w:divBdr>
        <w:top w:val="none" w:sz="0" w:space="0" w:color="auto"/>
        <w:left w:val="none" w:sz="0" w:space="0" w:color="auto"/>
        <w:bottom w:val="none" w:sz="0" w:space="0" w:color="auto"/>
        <w:right w:val="none" w:sz="0" w:space="0" w:color="auto"/>
      </w:divBdr>
    </w:div>
    <w:div w:id="1641107062">
      <w:bodyDiv w:val="1"/>
      <w:marLeft w:val="0"/>
      <w:marRight w:val="0"/>
      <w:marTop w:val="0"/>
      <w:marBottom w:val="0"/>
      <w:divBdr>
        <w:top w:val="none" w:sz="0" w:space="0" w:color="auto"/>
        <w:left w:val="none" w:sz="0" w:space="0" w:color="auto"/>
        <w:bottom w:val="none" w:sz="0" w:space="0" w:color="auto"/>
        <w:right w:val="none" w:sz="0" w:space="0" w:color="auto"/>
      </w:divBdr>
    </w:div>
    <w:div w:id="1679887430">
      <w:bodyDiv w:val="1"/>
      <w:marLeft w:val="0"/>
      <w:marRight w:val="0"/>
      <w:marTop w:val="0"/>
      <w:marBottom w:val="0"/>
      <w:divBdr>
        <w:top w:val="none" w:sz="0" w:space="0" w:color="auto"/>
        <w:left w:val="none" w:sz="0" w:space="0" w:color="auto"/>
        <w:bottom w:val="none" w:sz="0" w:space="0" w:color="auto"/>
        <w:right w:val="none" w:sz="0" w:space="0" w:color="auto"/>
      </w:divBdr>
    </w:div>
    <w:div w:id="1725713208">
      <w:bodyDiv w:val="1"/>
      <w:marLeft w:val="0"/>
      <w:marRight w:val="0"/>
      <w:marTop w:val="0"/>
      <w:marBottom w:val="0"/>
      <w:divBdr>
        <w:top w:val="none" w:sz="0" w:space="0" w:color="auto"/>
        <w:left w:val="none" w:sz="0" w:space="0" w:color="auto"/>
        <w:bottom w:val="none" w:sz="0" w:space="0" w:color="auto"/>
        <w:right w:val="none" w:sz="0" w:space="0" w:color="auto"/>
      </w:divBdr>
      <w:divsChild>
        <w:div w:id="1606964202">
          <w:marLeft w:val="0"/>
          <w:marRight w:val="0"/>
          <w:marTop w:val="0"/>
          <w:marBottom w:val="0"/>
          <w:divBdr>
            <w:top w:val="none" w:sz="0" w:space="0" w:color="auto"/>
            <w:left w:val="none" w:sz="0" w:space="0" w:color="auto"/>
            <w:bottom w:val="none" w:sz="0" w:space="0" w:color="auto"/>
            <w:right w:val="none" w:sz="0" w:space="0" w:color="auto"/>
          </w:divBdr>
        </w:div>
      </w:divsChild>
    </w:div>
    <w:div w:id="1756783959">
      <w:bodyDiv w:val="1"/>
      <w:marLeft w:val="0"/>
      <w:marRight w:val="0"/>
      <w:marTop w:val="0"/>
      <w:marBottom w:val="0"/>
      <w:divBdr>
        <w:top w:val="none" w:sz="0" w:space="0" w:color="auto"/>
        <w:left w:val="none" w:sz="0" w:space="0" w:color="auto"/>
        <w:bottom w:val="none" w:sz="0" w:space="0" w:color="auto"/>
        <w:right w:val="none" w:sz="0" w:space="0" w:color="auto"/>
      </w:divBdr>
    </w:div>
    <w:div w:id="1913392103">
      <w:bodyDiv w:val="1"/>
      <w:marLeft w:val="0"/>
      <w:marRight w:val="0"/>
      <w:marTop w:val="0"/>
      <w:marBottom w:val="0"/>
      <w:divBdr>
        <w:top w:val="none" w:sz="0" w:space="0" w:color="auto"/>
        <w:left w:val="none" w:sz="0" w:space="0" w:color="auto"/>
        <w:bottom w:val="none" w:sz="0" w:space="0" w:color="auto"/>
        <w:right w:val="none" w:sz="0" w:space="0" w:color="auto"/>
      </w:divBdr>
    </w:div>
    <w:div w:id="1960644440">
      <w:bodyDiv w:val="1"/>
      <w:marLeft w:val="0"/>
      <w:marRight w:val="0"/>
      <w:marTop w:val="0"/>
      <w:marBottom w:val="0"/>
      <w:divBdr>
        <w:top w:val="none" w:sz="0" w:space="0" w:color="auto"/>
        <w:left w:val="none" w:sz="0" w:space="0" w:color="auto"/>
        <w:bottom w:val="none" w:sz="0" w:space="0" w:color="auto"/>
        <w:right w:val="none" w:sz="0" w:space="0" w:color="auto"/>
      </w:divBdr>
    </w:div>
    <w:div w:id="1985960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About/what-we-do/our-programmes/nice-guidance/chte-methods-and-processes-consultation/methods-proposal-paper.docx"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nice.org.uk/Media/Default/About/what-we-do/our-programmes/nice-guidance/chte-methods-and-processes-consultation/health-technology-evaluations-manual.docx"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BB607-9CF9-4C44-B511-269F7ADE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32</Pages>
  <Words>7900</Words>
  <Characters>45036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Watson</dc:creator>
  <cp:keywords/>
  <dc:description/>
  <cp:lastModifiedBy>Jonathan Purkis</cp:lastModifiedBy>
  <cp:revision>5</cp:revision>
  <dcterms:created xsi:type="dcterms:W3CDTF">2022-01-12T15:54:00Z</dcterms:created>
  <dcterms:modified xsi:type="dcterms:W3CDTF">2022-01-26T17:02:00Z</dcterms:modified>
</cp:coreProperties>
</file>