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2C515" w14:textId="77777777" w:rsidR="001A4DC5" w:rsidRPr="001A4DC5" w:rsidRDefault="001A4DC5" w:rsidP="001A4DC5">
      <w:pPr>
        <w:pStyle w:val="Title1"/>
      </w:pPr>
      <w:r w:rsidRPr="001A4DC5">
        <w:t>National Institute for Health and Care Excellence</w:t>
      </w:r>
    </w:p>
    <w:p w14:paraId="6DEF94A9" w14:textId="77777777" w:rsidR="001A4DC5" w:rsidRPr="001A4DC5" w:rsidRDefault="001A4DC5" w:rsidP="001A4DC5">
      <w:pPr>
        <w:pStyle w:val="Title1"/>
        <w:rPr>
          <w:lang w:eastAsia="en-GB"/>
        </w:rPr>
      </w:pPr>
      <w:r w:rsidRPr="001A4DC5">
        <w:rPr>
          <w:lang w:eastAsia="en-GB"/>
        </w:rPr>
        <w:t>Centre for Guidelines progress report</w:t>
      </w:r>
    </w:p>
    <w:p w14:paraId="76262295" w14:textId="6FFCC856" w:rsidR="009871F3" w:rsidRPr="007277C3" w:rsidRDefault="00EB1C36" w:rsidP="007277C3">
      <w:pPr>
        <w:pStyle w:val="Paragraph"/>
        <w:numPr>
          <w:ilvl w:val="0"/>
          <w:numId w:val="49"/>
        </w:numPr>
      </w:pPr>
      <w:r w:rsidRPr="009871F3">
        <w:t xml:space="preserve">This report provides an update on </w:t>
      </w:r>
      <w:r w:rsidR="001A4DC5">
        <w:t xml:space="preserve">key issues and developments </w:t>
      </w:r>
      <w:r w:rsidR="001A4DC5" w:rsidRPr="001A4DC5">
        <w:t xml:space="preserve">in the Centre for Guidelines in the period of </w:t>
      </w:r>
      <w:r w:rsidR="004E612B">
        <w:t>November</w:t>
      </w:r>
      <w:r w:rsidR="001A4DC5" w:rsidRPr="001A4DC5">
        <w:t xml:space="preserve"> to </w:t>
      </w:r>
      <w:r w:rsidR="004E612B">
        <w:t>December</w:t>
      </w:r>
      <w:r w:rsidR="001A4DC5" w:rsidRPr="001A4DC5">
        <w:t xml:space="preserve"> 2020</w:t>
      </w:r>
      <w:r w:rsidR="00093CE3">
        <w:t>.</w:t>
      </w:r>
    </w:p>
    <w:p w14:paraId="3009A45E" w14:textId="77777777" w:rsidR="00EB1C36" w:rsidRDefault="00EB1C36" w:rsidP="00EB1C36">
      <w:pPr>
        <w:pStyle w:val="Heading1boardreport"/>
      </w:pPr>
      <w:r>
        <w:t>Summary of activity</w:t>
      </w:r>
    </w:p>
    <w:p w14:paraId="3F6B3E9D" w14:textId="7BC42615" w:rsidR="000439AA" w:rsidRDefault="00837101" w:rsidP="00837101">
      <w:pPr>
        <w:pStyle w:val="NICEnormalnumbered"/>
      </w:pPr>
      <w:r w:rsidRPr="00837101">
        <w:t>Two guidelines were published in November (Human and animal bites: antimicrobial prescribing and Acute coronary syndromes [update])</w:t>
      </w:r>
      <w:r>
        <w:t xml:space="preserve"> </w:t>
      </w:r>
      <w:r w:rsidR="000439AA" w:rsidRPr="000439AA">
        <w:t>and two in December (Diabetes in pregnancy: management from preconception to the postnatal period and Diabetes (type 1 and type 2) in children and young people: diagnosis and management [update]).</w:t>
      </w:r>
    </w:p>
    <w:p w14:paraId="3E8B07EC" w14:textId="164C1CD9" w:rsidR="00DD55DB" w:rsidRDefault="00DD55DB" w:rsidP="000439AA">
      <w:pPr>
        <w:pStyle w:val="NICEnormalnumbered"/>
      </w:pPr>
      <w:r>
        <w:t>One</w:t>
      </w:r>
      <w:r w:rsidRPr="000439AA">
        <w:t xml:space="preserve"> </w:t>
      </w:r>
      <w:r>
        <w:t>r</w:t>
      </w:r>
      <w:r w:rsidRPr="000439AA">
        <w:t>apid COVID-19 guideline</w:t>
      </w:r>
      <w:r>
        <w:t xml:space="preserve"> was published in November (</w:t>
      </w:r>
      <w:r w:rsidRPr="000439AA">
        <w:t>Reducing the risk of venous thromboembolism in over 16s with COVID-19</w:t>
      </w:r>
      <w:r>
        <w:t>)</w:t>
      </w:r>
      <w:r w:rsidRPr="000439AA">
        <w:t xml:space="preserve"> </w:t>
      </w:r>
      <w:r>
        <w:t xml:space="preserve">and </w:t>
      </w:r>
      <w:r w:rsidR="00DE4F89">
        <w:t>two</w:t>
      </w:r>
      <w:r>
        <w:t xml:space="preserve"> in December</w:t>
      </w:r>
      <w:r w:rsidRPr="00DD55DB">
        <w:t xml:space="preserve"> </w:t>
      </w:r>
      <w:r>
        <w:t>(</w:t>
      </w:r>
      <w:bookmarkStart w:id="0" w:name="_Hlk61265153"/>
      <w:r w:rsidRPr="000439AA">
        <w:t>Managing the long-term effects of COVID-19</w:t>
      </w:r>
      <w:bookmarkEnd w:id="0"/>
      <w:r w:rsidR="00DE4F89">
        <w:t>, and Vitamin D</w:t>
      </w:r>
      <w:r>
        <w:t>).</w:t>
      </w:r>
      <w:r w:rsidR="0080516E" w:rsidRPr="0080516E">
        <w:t xml:space="preserve"> The guideline on managing the long-term effects of COVID-19 is co-badged with SIGN and the Royal College of General Practitioners (RCGP)</w:t>
      </w:r>
      <w:r w:rsidR="0080516E">
        <w:t xml:space="preserve"> as development partners, and the guideline on vitamin D is co-badged with </w:t>
      </w:r>
      <w:r w:rsidR="0080516E" w:rsidRPr="0080516E">
        <w:t xml:space="preserve">Public Health England </w:t>
      </w:r>
      <w:r w:rsidR="00991F97">
        <w:t xml:space="preserve">(PHE) </w:t>
      </w:r>
      <w:r w:rsidR="0080516E" w:rsidRPr="0080516E">
        <w:t xml:space="preserve">and </w:t>
      </w:r>
      <w:r w:rsidR="0080516E">
        <w:t xml:space="preserve">the </w:t>
      </w:r>
      <w:r w:rsidR="0080516E" w:rsidRPr="0080516E">
        <w:t>Scientific Advisory Committee on Nutrition (SACN)</w:t>
      </w:r>
      <w:r w:rsidR="0080516E">
        <w:t>.</w:t>
      </w:r>
    </w:p>
    <w:p w14:paraId="3E0186EB" w14:textId="51E60ED2" w:rsidR="000439AA" w:rsidRPr="007D4EFD" w:rsidRDefault="000439AA" w:rsidP="000439AA">
      <w:pPr>
        <w:pStyle w:val="NICEnormalnumbered"/>
      </w:pPr>
      <w:r w:rsidRPr="000439AA">
        <w:t>W</w:t>
      </w:r>
      <w:r w:rsidRPr="007D4EFD">
        <w:t xml:space="preserve">e consulted on </w:t>
      </w:r>
      <w:r w:rsidR="00DD55DB">
        <w:t>6</w:t>
      </w:r>
      <w:r w:rsidRPr="007D4EFD">
        <w:t xml:space="preserve"> guidelines in the period </w:t>
      </w:r>
      <w:r>
        <w:t>November to December</w:t>
      </w:r>
      <w:r w:rsidRPr="007D4EFD">
        <w:t xml:space="preserve"> and are continuing to ask stakeholders to tell us if there are any particular issues relating to COVID-19 that we should take into account when finalising each guideline for publication.</w:t>
      </w:r>
    </w:p>
    <w:p w14:paraId="5BA1CDAB" w14:textId="6DBDF4A3" w:rsidR="000439AA" w:rsidRDefault="000439AA" w:rsidP="000439AA">
      <w:pPr>
        <w:pStyle w:val="NICEnormalnumbered"/>
      </w:pPr>
      <w:r>
        <w:t xml:space="preserve">Four surveillance reviews </w:t>
      </w:r>
      <w:r w:rsidR="00032A08">
        <w:t>were</w:t>
      </w:r>
      <w:r>
        <w:t xml:space="preserve"> published, of which 3 were exceptional reviews. </w:t>
      </w:r>
      <w:r w:rsidR="00D4720B">
        <w:t>Exceptional reviews are triggered by events such as changes in the evidence base, policy, legislation or recommendations from other key stakeholders and bodies. One</w:t>
      </w:r>
      <w:r>
        <w:t xml:space="preserve"> of the exceptional reviews was in response to recommendations from the PHE review on the problems of </w:t>
      </w:r>
      <w:r>
        <w:lastRenderedPageBreak/>
        <w:t xml:space="preserve">dependence and withdrawal associated with medicines in adults. This impacted 4 guidelines. The team is also currently undertaking reviews of guidelines impacted by the </w:t>
      </w:r>
      <w:r w:rsidRPr="00FD0DFC">
        <w:t>Healthcare Safety Investigation Branch</w:t>
      </w:r>
      <w:r w:rsidR="00991F97">
        <w:t xml:space="preserve"> (HSIB</w:t>
      </w:r>
      <w:r w:rsidRPr="00FD0DFC">
        <w:t>) national report</w:t>
      </w:r>
      <w:r w:rsidR="00991F97">
        <w:t>s</w:t>
      </w:r>
      <w:r>
        <w:t>. In total, there are currently 12 surveillance reviews in progress, of which 7 are exceptional reviews.</w:t>
      </w:r>
    </w:p>
    <w:p w14:paraId="754DE490" w14:textId="022B5257" w:rsidR="00E9238F" w:rsidRPr="00E9238F" w:rsidRDefault="00E9238F" w:rsidP="00E9238F">
      <w:pPr>
        <w:pStyle w:val="NICEnormalnumbered"/>
      </w:pPr>
      <w:r w:rsidRPr="00E9238F">
        <w:t xml:space="preserve">The </w:t>
      </w:r>
      <w:r w:rsidR="00D4720B">
        <w:t xml:space="preserve">publishing team joined the directorate </w:t>
      </w:r>
      <w:r w:rsidR="009A73B5">
        <w:t>in November.</w:t>
      </w:r>
    </w:p>
    <w:p w14:paraId="2886343A" w14:textId="77777777" w:rsidR="00EB1C36" w:rsidRPr="00C30FD9" w:rsidRDefault="00EB1C36" w:rsidP="00EB1C36">
      <w:pPr>
        <w:pStyle w:val="Heading1boardreport"/>
      </w:pPr>
      <w:r>
        <w:t xml:space="preserve">Notable </w:t>
      </w:r>
      <w:r w:rsidRPr="00D959FE">
        <w:t>issues</w:t>
      </w:r>
      <w:r>
        <w:t xml:space="preserve"> and developments </w:t>
      </w:r>
    </w:p>
    <w:p w14:paraId="2E307039" w14:textId="77777777" w:rsidR="00EB1C36" w:rsidRDefault="00EB1C36" w:rsidP="00EB1C36">
      <w:pPr>
        <w:pStyle w:val="Heading2boardreport"/>
      </w:pPr>
      <w:bookmarkStart w:id="1" w:name="_Hlk61264662"/>
      <w:r>
        <w:t>Ongoing response to COVID-19</w:t>
      </w:r>
      <w:bookmarkEnd w:id="1"/>
    </w:p>
    <w:p w14:paraId="1F95258D" w14:textId="63F3019D" w:rsidR="000439AA" w:rsidRPr="000439AA" w:rsidRDefault="000439AA" w:rsidP="000439AA">
      <w:pPr>
        <w:pStyle w:val="NICEnormalnumbered"/>
      </w:pPr>
      <w:r w:rsidRPr="000439AA">
        <w:t xml:space="preserve">The COVID-19 team is almost </w:t>
      </w:r>
      <w:r w:rsidR="00DD55DB">
        <w:t>fully staffed</w:t>
      </w:r>
      <w:r w:rsidRPr="000439AA">
        <w:t xml:space="preserve">, with 2 roles currently being recruited to. </w:t>
      </w:r>
      <w:r w:rsidR="00335C77">
        <w:t xml:space="preserve">We began </w:t>
      </w:r>
      <w:r w:rsidRPr="000439AA">
        <w:t xml:space="preserve">work on the migration, integration and maintenance of NHS England and Improvement </w:t>
      </w:r>
      <w:r w:rsidR="00335C77">
        <w:t xml:space="preserve">(NHSE/I) </w:t>
      </w:r>
      <w:r w:rsidRPr="000439AA">
        <w:t xml:space="preserve">COVID-19 specialty guides. </w:t>
      </w:r>
      <w:r w:rsidR="00DE4F89">
        <w:t>We have</w:t>
      </w:r>
      <w:r w:rsidRPr="000439AA">
        <w:t xml:space="preserve"> reviewed all the specialty guides and addressed any pressing editorial issues for publication</w:t>
      </w:r>
      <w:r w:rsidR="00DD55DB">
        <w:t>. Twenty-eight</w:t>
      </w:r>
      <w:r w:rsidRPr="000439AA">
        <w:t xml:space="preserve"> specialty guides are now published on the NICE website. </w:t>
      </w:r>
      <w:r w:rsidR="00991F97">
        <w:t xml:space="preserve">We </w:t>
      </w:r>
      <w:r w:rsidRPr="000439AA">
        <w:t xml:space="preserve">have mapped all content from the NHSE/I Specialty guides to the NICE rapid guidelines and NICE's standard portfolio of guidance, to identify any duplicate or overlapping content. The next stage is to determine, using machine learning processes, where content can be integrated to produce a single point of access on the clinical management of COVID-19. </w:t>
      </w:r>
    </w:p>
    <w:p w14:paraId="37CE5FED" w14:textId="150360F8" w:rsidR="000439AA" w:rsidRPr="000439AA" w:rsidRDefault="0080516E" w:rsidP="000439AA">
      <w:pPr>
        <w:pStyle w:val="NICEnormalnumbered"/>
      </w:pPr>
      <w:bookmarkStart w:id="2" w:name="_Hlk61265362"/>
      <w:r>
        <w:t>Since t</w:t>
      </w:r>
      <w:r w:rsidR="00DD55DB">
        <w:t xml:space="preserve">he </w:t>
      </w:r>
      <w:r w:rsidR="000439AA" w:rsidRPr="000439AA">
        <w:t>new rapid COVID-19 guideline</w:t>
      </w:r>
      <w:r w:rsidR="00DD55DB">
        <w:t xml:space="preserve"> </w:t>
      </w:r>
      <w:r>
        <w:t>on m</w:t>
      </w:r>
      <w:r w:rsidRPr="0080516E">
        <w:t xml:space="preserve">anaging the long-term effects of COVID-19 </w:t>
      </w:r>
      <w:bookmarkEnd w:id="2"/>
      <w:r>
        <w:t>represents</w:t>
      </w:r>
      <w:r w:rsidR="000439AA" w:rsidRPr="000439AA">
        <w:t xml:space="preserve"> a new and emerging condition, the guideline included the development of a case definition, which ha</w:t>
      </w:r>
      <w:r>
        <w:t>s</w:t>
      </w:r>
      <w:r w:rsidR="000439AA" w:rsidRPr="000439AA">
        <w:t xml:space="preserve"> been translated into SNOMED CT codes in order to use new data to refine and improve the case definition as new evidence and data emerges. </w:t>
      </w:r>
      <w:r>
        <w:t>T</w:t>
      </w:r>
      <w:r w:rsidR="000439AA" w:rsidRPr="000439AA">
        <w:t xml:space="preserve">he guideline will be reviewed using an iterative or 'living' approach, in line with the rest of the COVID-19 rapid guidelines suite.  Surveillance searches </w:t>
      </w:r>
      <w:r>
        <w:t>are</w:t>
      </w:r>
      <w:r w:rsidR="000439AA" w:rsidRPr="000439AA">
        <w:t xml:space="preserve"> undertaken and sifted weekly to check for any emerging evidence </w:t>
      </w:r>
      <w:r>
        <w:t>to facilitate rapid updating</w:t>
      </w:r>
      <w:r w:rsidR="000439AA" w:rsidRPr="000439AA">
        <w:t xml:space="preserve">. </w:t>
      </w:r>
      <w:r w:rsidR="006D36EF">
        <w:t>The COVID-19 team are collaborating</w:t>
      </w:r>
      <w:r w:rsidR="000439AA" w:rsidRPr="000439AA">
        <w:t xml:space="preserve"> with </w:t>
      </w:r>
      <w:r w:rsidR="0071107C">
        <w:t xml:space="preserve">the </w:t>
      </w:r>
      <w:r w:rsidR="000439AA" w:rsidRPr="000439AA">
        <w:t xml:space="preserve">WHO and the Australian National COVID-19 </w:t>
      </w:r>
      <w:r w:rsidR="000439AA" w:rsidRPr="000439AA">
        <w:lastRenderedPageBreak/>
        <w:t xml:space="preserve">Clinical Evidence Taskforce to share literature searches, discuss and explore methods and approaches for this new condition and align guidance where possible. </w:t>
      </w:r>
    </w:p>
    <w:p w14:paraId="5BC0AF30" w14:textId="15664B3E" w:rsidR="001A4DC5" w:rsidRDefault="006D36EF" w:rsidP="000439AA">
      <w:pPr>
        <w:pStyle w:val="NICEnormalnumbered"/>
      </w:pPr>
      <w:r>
        <w:t xml:space="preserve">The </w:t>
      </w:r>
      <w:r w:rsidR="0080516E">
        <w:t>guideline</w:t>
      </w:r>
      <w:r w:rsidR="000439AA" w:rsidRPr="000439AA">
        <w:t xml:space="preserve"> on the use of vitamin D in the prevention and treatment of COVID-19 was requested by the Secretary of State for Health and Social Care </w:t>
      </w:r>
      <w:r>
        <w:t>following the publication of</w:t>
      </w:r>
      <w:r w:rsidR="000439AA" w:rsidRPr="000439AA">
        <w:t xml:space="preserve"> </w:t>
      </w:r>
      <w:r>
        <w:t xml:space="preserve">an </w:t>
      </w:r>
      <w:r w:rsidR="000439AA" w:rsidRPr="000439AA">
        <w:t xml:space="preserve">update of our evidence review in June 2020.  NICE worked jointly with </w:t>
      </w:r>
      <w:bookmarkStart w:id="3" w:name="_Hlk61265430"/>
      <w:r w:rsidR="00991F97">
        <w:t xml:space="preserve">PHE and </w:t>
      </w:r>
      <w:r w:rsidR="000439AA" w:rsidRPr="000439AA">
        <w:t>SACN</w:t>
      </w:r>
      <w:bookmarkEnd w:id="3"/>
      <w:r w:rsidR="000439AA" w:rsidRPr="000439AA">
        <w:t xml:space="preserve"> to develop the recommendations.</w:t>
      </w:r>
      <w:bookmarkStart w:id="4" w:name="_Hlk61264692"/>
    </w:p>
    <w:p w14:paraId="346E9C6E" w14:textId="09662CBF" w:rsidR="00EB1C36" w:rsidRPr="0000327C" w:rsidRDefault="00D1792D" w:rsidP="0000327C">
      <w:pPr>
        <w:pStyle w:val="Heading2boardreport"/>
      </w:pPr>
      <w:r>
        <w:t xml:space="preserve">Other </w:t>
      </w:r>
      <w:r w:rsidR="00513927">
        <w:t>activities</w:t>
      </w:r>
    </w:p>
    <w:bookmarkEnd w:id="4"/>
    <w:p w14:paraId="17B2239E" w14:textId="5520D833" w:rsidR="0000327C" w:rsidRDefault="00D1792D" w:rsidP="00994CA6">
      <w:pPr>
        <w:pStyle w:val="NICEnormalnumbered"/>
      </w:pPr>
      <w:r>
        <w:t xml:space="preserve">We have had </w:t>
      </w:r>
      <w:r w:rsidR="00994CA6">
        <w:t xml:space="preserve">successful pre-scoping meetings with </w:t>
      </w:r>
      <w:r w:rsidR="00093CE3">
        <w:t>SIGN and the British Thoracic Society</w:t>
      </w:r>
      <w:r w:rsidR="006D36EF">
        <w:t xml:space="preserve"> </w:t>
      </w:r>
      <w:r w:rsidR="00093CE3">
        <w:t xml:space="preserve">(BTS) to agree </w:t>
      </w:r>
      <w:r w:rsidR="00994CA6">
        <w:t xml:space="preserve">update areas for the recently commissioned guideline update of </w:t>
      </w:r>
      <w:r w:rsidR="00994CA6" w:rsidRPr="00994CA6">
        <w:t>Asthma: diagnosis, monitoring and chronic asthma management (NG80)</w:t>
      </w:r>
      <w:r w:rsidR="00994CA6">
        <w:t>. The guideline will be delivered in collaboration with SIGN and BTS.</w:t>
      </w:r>
      <w:r w:rsidR="009A73B5">
        <w:t xml:space="preserve"> This collaboration will address </w:t>
      </w:r>
      <w:r w:rsidR="008C0B5E">
        <w:t xml:space="preserve">the need for </w:t>
      </w:r>
      <w:r w:rsidR="009A73B5">
        <w:t>a single source of UK guidance on</w:t>
      </w:r>
      <w:r w:rsidR="00FA2254">
        <w:t xml:space="preserve"> the diagnosis and management of </w:t>
      </w:r>
      <w:r w:rsidR="009A73B5">
        <w:t>asthma.</w:t>
      </w:r>
    </w:p>
    <w:p w14:paraId="1CA57D6C" w14:textId="23FA3790" w:rsidR="00D1792D" w:rsidRPr="00D1792D" w:rsidRDefault="00D1792D" w:rsidP="00D1792D">
      <w:pPr>
        <w:pStyle w:val="NICEnormalnumbered"/>
      </w:pPr>
      <w:r>
        <w:t xml:space="preserve">We published the draft updated guideline on </w:t>
      </w:r>
      <w:proofErr w:type="spellStart"/>
      <w:r w:rsidRPr="00D1792D">
        <w:t>Myalgic</w:t>
      </w:r>
      <w:proofErr w:type="spellEnd"/>
      <w:r w:rsidRPr="00D1792D">
        <w:t xml:space="preserve"> encephalomyelitis (or encephalopathy)/chronic fatigue syndrome: diagnosis and management</w:t>
      </w:r>
      <w:r>
        <w:t xml:space="preserve"> </w:t>
      </w:r>
      <w:r w:rsidR="00513927">
        <w:t xml:space="preserve">for consultation </w:t>
      </w:r>
      <w:r>
        <w:t>in November.</w:t>
      </w:r>
      <w:r w:rsidR="00513927">
        <w:t xml:space="preserve"> </w:t>
      </w:r>
      <w:r>
        <w:t xml:space="preserve"> </w:t>
      </w:r>
    </w:p>
    <w:p w14:paraId="3648089D" w14:textId="3AE5FDC1" w:rsidR="00294D09" w:rsidRDefault="00513927" w:rsidP="00294D09">
      <w:pPr>
        <w:pStyle w:val="NICEnormalnumbered"/>
      </w:pPr>
      <w:r>
        <w:t xml:space="preserve">We are participating in </w:t>
      </w:r>
      <w:r w:rsidR="00D762D7">
        <w:t>the</w:t>
      </w:r>
      <w:r w:rsidR="00294D09">
        <w:t xml:space="preserve"> </w:t>
      </w:r>
      <w:r w:rsidR="00294D09" w:rsidRPr="00294D09">
        <w:t xml:space="preserve">steering group </w:t>
      </w:r>
      <w:r w:rsidR="00D762D7">
        <w:t>for</w:t>
      </w:r>
      <w:r w:rsidR="00294D09" w:rsidRPr="00294D09">
        <w:t xml:space="preserve"> a project </w:t>
      </w:r>
      <w:r w:rsidR="00294D09">
        <w:t>being developed</w:t>
      </w:r>
      <w:r w:rsidR="00294D09" w:rsidRPr="00294D09">
        <w:t xml:space="preserve"> through the Quality Safety and Outcomes Policy Research Unit to consider the use of core outcome sets in social care</w:t>
      </w:r>
      <w:r>
        <w:t>.</w:t>
      </w:r>
    </w:p>
    <w:p w14:paraId="4056D6E1" w14:textId="77777777" w:rsidR="00991F97" w:rsidRPr="00991F97" w:rsidRDefault="00991F97" w:rsidP="00991F97">
      <w:pPr>
        <w:pStyle w:val="NICEnormalnumbered"/>
      </w:pPr>
      <w:r w:rsidRPr="00991F97">
        <w:t xml:space="preserve">The publishing team has continued its work to fix accessibility issues with our existing content. This is part of phase 1 of our undertaking to meet the accessibility regulations that came into force in September 2018. </w:t>
      </w:r>
    </w:p>
    <w:p w14:paraId="1223BF39" w14:textId="76501A69" w:rsidR="009871F3" w:rsidRDefault="0000327C" w:rsidP="0000327C">
      <w:pPr>
        <w:pStyle w:val="Heading1boardreport"/>
      </w:pPr>
      <w:r>
        <w:lastRenderedPageBreak/>
        <w:t xml:space="preserve">Key </w:t>
      </w:r>
      <w:r w:rsidRPr="00D959FE">
        <w:t>issues</w:t>
      </w:r>
      <w:r w:rsidRPr="0000327C">
        <w:t xml:space="preserve"> and developments</w:t>
      </w:r>
    </w:p>
    <w:p w14:paraId="483174F2" w14:textId="7A7CB401" w:rsidR="000439AA" w:rsidRDefault="00335C77" w:rsidP="000439AA">
      <w:pPr>
        <w:pStyle w:val="NICEnormalnumbered"/>
      </w:pPr>
      <w:r>
        <w:t xml:space="preserve">The key </w:t>
      </w:r>
      <w:r w:rsidR="00991F97">
        <w:t xml:space="preserve">issue </w:t>
      </w:r>
      <w:r>
        <w:t xml:space="preserve">is </w:t>
      </w:r>
      <w:r w:rsidR="00991F97">
        <w:t>the risk to ou</w:t>
      </w:r>
      <w:r w:rsidR="0074726A">
        <w:t>t</w:t>
      </w:r>
      <w:r w:rsidR="00991F97">
        <w:t xml:space="preserve">puts in </w:t>
      </w:r>
      <w:r>
        <w:t>balancing workload with capacity</w:t>
      </w:r>
      <w:r w:rsidR="003340BA">
        <w:t xml:space="preserve"> and staff wellbeing and caring responsibilities as the rates of COVID</w:t>
      </w:r>
      <w:r w:rsidR="00991F97">
        <w:t>-19</w:t>
      </w:r>
      <w:r w:rsidR="003340BA">
        <w:t xml:space="preserve"> infection increase. </w:t>
      </w:r>
      <w:r w:rsidR="003340BA" w:rsidRPr="003340BA">
        <w:t>We beg</w:t>
      </w:r>
      <w:r w:rsidR="003340BA">
        <w:t>a</w:t>
      </w:r>
      <w:r w:rsidR="003340BA" w:rsidRPr="003340BA">
        <w:t xml:space="preserve">n a phased restart of </w:t>
      </w:r>
      <w:r w:rsidR="003340BA">
        <w:t xml:space="preserve">the </w:t>
      </w:r>
      <w:r w:rsidR="003340BA" w:rsidRPr="003340BA">
        <w:t xml:space="preserve">non-COVID-19 guidelines </w:t>
      </w:r>
      <w:r w:rsidR="003340BA">
        <w:t xml:space="preserve">programme </w:t>
      </w:r>
      <w:r w:rsidR="003340BA" w:rsidRPr="003340BA">
        <w:t>in June</w:t>
      </w:r>
      <w:r w:rsidR="003340BA">
        <w:t xml:space="preserve">, and </w:t>
      </w:r>
      <w:r w:rsidR="00032A08">
        <w:t xml:space="preserve">as noted above </w:t>
      </w:r>
      <w:r w:rsidR="003340BA">
        <w:t xml:space="preserve">have been maintaining the rapid COVID-19 portfolio. </w:t>
      </w:r>
      <w:r w:rsidR="00032A08">
        <w:t>We also continue to produce exceptional surveillance reviews of non-COVID guidelines. We expect these pressures to continue, and will be actively prioritising our activities</w:t>
      </w:r>
      <w:r w:rsidR="00991F97">
        <w:t xml:space="preserve"> based on stage of development and topic</w:t>
      </w:r>
      <w:r w:rsidR="00032A08">
        <w:t xml:space="preserve">. </w:t>
      </w:r>
      <w:r w:rsidR="00991F97">
        <w:t xml:space="preserve">The aim is to ensure that we maintain development </w:t>
      </w:r>
      <w:r w:rsidR="00AA69FD">
        <w:t>and outputs where we can based on system capacity and ability to implement.</w:t>
      </w:r>
    </w:p>
    <w:p w14:paraId="349D3FD8" w14:textId="77777777" w:rsidR="006436EB" w:rsidRPr="000439AA" w:rsidRDefault="006436EB" w:rsidP="006436EB">
      <w:pPr>
        <w:pStyle w:val="NICEnormalnumbered"/>
        <w:numPr>
          <w:ilvl w:val="0"/>
          <w:numId w:val="0"/>
        </w:numPr>
        <w:ind w:left="644" w:hanging="360"/>
      </w:pPr>
    </w:p>
    <w:p w14:paraId="39E30CE4" w14:textId="3DDEBF0A" w:rsidR="00EB1C36" w:rsidRPr="00070124" w:rsidRDefault="00EB1C36" w:rsidP="0000327C">
      <w:pPr>
        <w:pStyle w:val="NICEnormalnumbered"/>
        <w:numPr>
          <w:ilvl w:val="0"/>
          <w:numId w:val="0"/>
        </w:numPr>
      </w:pPr>
      <w:r w:rsidRPr="00070124">
        <w:t>© NICE</w:t>
      </w:r>
      <w:r w:rsidR="0000327C">
        <w:t xml:space="preserve"> 202</w:t>
      </w:r>
      <w:r w:rsidR="00CE36C5">
        <w:t>1</w:t>
      </w:r>
      <w:r w:rsidRPr="00070124">
        <w:t xml:space="preserve">. All rights reserved. </w:t>
      </w:r>
      <w:hyperlink r:id="rId8" w:anchor="notice-of-rights" w:history="1">
        <w:r w:rsidRPr="00070124">
          <w:rPr>
            <w:rStyle w:val="Hyperlink"/>
          </w:rPr>
          <w:t>Subject to Notice of rights</w:t>
        </w:r>
      </w:hyperlink>
      <w:r w:rsidRPr="00070124">
        <w:t>.</w:t>
      </w:r>
    </w:p>
    <w:p w14:paraId="56725773" w14:textId="1A524A09" w:rsidR="00EB1C36" w:rsidRPr="00A36575" w:rsidRDefault="000439AA" w:rsidP="008A6557">
      <w:pPr>
        <w:pStyle w:val="NICEnormal"/>
      </w:pPr>
      <w:r>
        <w:t>January</w:t>
      </w:r>
      <w:r w:rsidR="0000327C">
        <w:t xml:space="preserve"> 202</w:t>
      </w:r>
      <w:r w:rsidR="00CE36C5">
        <w:t>1</w:t>
      </w:r>
    </w:p>
    <w:sectPr w:rsidR="00EB1C36"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41603" w14:textId="77777777" w:rsidR="00FA61BF" w:rsidRDefault="00FA61BF">
      <w:r>
        <w:separator/>
      </w:r>
    </w:p>
  </w:endnote>
  <w:endnote w:type="continuationSeparator" w:id="0">
    <w:p w14:paraId="17BB317A" w14:textId="77777777" w:rsidR="00FA61BF" w:rsidRDefault="00FA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0FC91" w14:textId="77777777" w:rsidR="00EB1C36" w:rsidRPr="00BA589F" w:rsidRDefault="00EB1C36" w:rsidP="00C30FD9">
    <w:pPr>
      <w:pStyle w:val="Footer"/>
    </w:pPr>
  </w:p>
  <w:p w14:paraId="4F762EFA"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fldSimple w:instr=" NUMPAGES  \* Arabic  \* MERGEFORMAT ">
      <w:r w:rsidRPr="00BA589F">
        <w:t>7</w:t>
      </w:r>
    </w:fldSimple>
  </w:p>
  <w:p w14:paraId="03F500AB" w14:textId="509A2FC3" w:rsidR="00EB1C36" w:rsidRPr="00CE36C5" w:rsidRDefault="00CE36C5" w:rsidP="00CF7AE3">
    <w:pPr>
      <w:pStyle w:val="Footer"/>
    </w:pPr>
    <w:r w:rsidRPr="00CE36C5">
      <w:t>Centre for Guidelines progress report</w:t>
    </w:r>
  </w:p>
  <w:p w14:paraId="69275D69" w14:textId="20547932" w:rsidR="00EB1C36" w:rsidRPr="00CE36C5" w:rsidRDefault="00CE36C5" w:rsidP="00DD58F8">
    <w:pPr>
      <w:pStyle w:val="Footer"/>
    </w:pPr>
    <w:r w:rsidRPr="00CE36C5">
      <w:t xml:space="preserve">Date: 27 January 2021 </w:t>
    </w:r>
  </w:p>
  <w:p w14:paraId="26377550" w14:textId="5EA24901" w:rsidR="00EB1C36" w:rsidRPr="00BA589F" w:rsidRDefault="00EB1C36" w:rsidP="00DD58F8">
    <w:pPr>
      <w:pStyle w:val="Footer"/>
    </w:pPr>
    <w:r w:rsidRPr="00CE36C5">
      <w:t>Reference</w:t>
    </w:r>
    <w:r w:rsidR="00CE36C5" w:rsidRPr="00CE36C5">
      <w:t xml:space="preserve">: </w:t>
    </w:r>
    <w:r w:rsidR="00CE36C5" w:rsidRPr="00CE36C5">
      <w:t>21/006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A16B2" w14:textId="77777777" w:rsidR="00FA61BF" w:rsidRDefault="00FA61BF">
      <w:r>
        <w:separator/>
      </w:r>
    </w:p>
  </w:footnote>
  <w:footnote w:type="continuationSeparator" w:id="0">
    <w:p w14:paraId="7EC65BC5" w14:textId="77777777" w:rsidR="00FA61BF" w:rsidRDefault="00FA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4363" w14:textId="1946B5A1" w:rsidR="00EB1C36" w:rsidRPr="002F15CF" w:rsidRDefault="002F15CF" w:rsidP="002F15CF">
    <w:pPr>
      <w:pStyle w:val="Header"/>
      <w:ind w:left="0"/>
      <w:jc w:val="right"/>
    </w:pPr>
    <w:r w:rsidRPr="00F07534">
      <w:t xml:space="preserve">Item </w:t>
    </w:r>
    <w:r w:rsidR="00CE36C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JYTfPRmgxo7iQnT5wvreerRMfokO/CZiz5w1UNBZLqz1dIcjlaDyrBU7jGzoTWsYQbyXMLubw3MP5X6M26/HrA==" w:salt="ub+gF99ZBTm5pP4BpqOdEg=="/>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2"/>
    <w:rsid w:val="0000327C"/>
    <w:rsid w:val="000119FB"/>
    <w:rsid w:val="000242AA"/>
    <w:rsid w:val="00032A08"/>
    <w:rsid w:val="000439AA"/>
    <w:rsid w:val="00093CE3"/>
    <w:rsid w:val="000A1EC0"/>
    <w:rsid w:val="000C4168"/>
    <w:rsid w:val="000E6C5F"/>
    <w:rsid w:val="00101F34"/>
    <w:rsid w:val="001172E1"/>
    <w:rsid w:val="001219F1"/>
    <w:rsid w:val="00123D3F"/>
    <w:rsid w:val="00131EB8"/>
    <w:rsid w:val="00161AA0"/>
    <w:rsid w:val="001A4DC5"/>
    <w:rsid w:val="001B0506"/>
    <w:rsid w:val="001C032E"/>
    <w:rsid w:val="001F12AE"/>
    <w:rsid w:val="002169E7"/>
    <w:rsid w:val="00235CAB"/>
    <w:rsid w:val="00251D56"/>
    <w:rsid w:val="002526E6"/>
    <w:rsid w:val="002535B1"/>
    <w:rsid w:val="00294D09"/>
    <w:rsid w:val="002A3712"/>
    <w:rsid w:val="002C3FAA"/>
    <w:rsid w:val="002F15CF"/>
    <w:rsid w:val="0031664C"/>
    <w:rsid w:val="003330E6"/>
    <w:rsid w:val="003340BA"/>
    <w:rsid w:val="00335C77"/>
    <w:rsid w:val="00353D3E"/>
    <w:rsid w:val="00362226"/>
    <w:rsid w:val="00377E36"/>
    <w:rsid w:val="003B1379"/>
    <w:rsid w:val="003C36AC"/>
    <w:rsid w:val="004519B2"/>
    <w:rsid w:val="00461997"/>
    <w:rsid w:val="004820E9"/>
    <w:rsid w:val="0048361F"/>
    <w:rsid w:val="00484FE9"/>
    <w:rsid w:val="00485B88"/>
    <w:rsid w:val="004914C0"/>
    <w:rsid w:val="004B514C"/>
    <w:rsid w:val="004E612B"/>
    <w:rsid w:val="00513927"/>
    <w:rsid w:val="00526C07"/>
    <w:rsid w:val="0053387C"/>
    <w:rsid w:val="005860F4"/>
    <w:rsid w:val="005866B1"/>
    <w:rsid w:val="005A5E10"/>
    <w:rsid w:val="005C051F"/>
    <w:rsid w:val="005C762E"/>
    <w:rsid w:val="005D098C"/>
    <w:rsid w:val="00603E56"/>
    <w:rsid w:val="0060662A"/>
    <w:rsid w:val="00614BDA"/>
    <w:rsid w:val="00617519"/>
    <w:rsid w:val="006331B4"/>
    <w:rsid w:val="006343F3"/>
    <w:rsid w:val="00642906"/>
    <w:rsid w:val="006436EB"/>
    <w:rsid w:val="006571D4"/>
    <w:rsid w:val="00680152"/>
    <w:rsid w:val="00680B94"/>
    <w:rsid w:val="006A721F"/>
    <w:rsid w:val="006D36EF"/>
    <w:rsid w:val="006D73F1"/>
    <w:rsid w:val="0071107C"/>
    <w:rsid w:val="007277C3"/>
    <w:rsid w:val="00732519"/>
    <w:rsid w:val="00737F9C"/>
    <w:rsid w:val="0074726A"/>
    <w:rsid w:val="007A174B"/>
    <w:rsid w:val="007A4EEE"/>
    <w:rsid w:val="007B3D12"/>
    <w:rsid w:val="0080516E"/>
    <w:rsid w:val="00837101"/>
    <w:rsid w:val="008505C3"/>
    <w:rsid w:val="00862C0C"/>
    <w:rsid w:val="008853CB"/>
    <w:rsid w:val="008A3CB5"/>
    <w:rsid w:val="008A6557"/>
    <w:rsid w:val="008C0B5E"/>
    <w:rsid w:val="008C782E"/>
    <w:rsid w:val="008D6069"/>
    <w:rsid w:val="008E7585"/>
    <w:rsid w:val="00921354"/>
    <w:rsid w:val="0094366C"/>
    <w:rsid w:val="00953ADF"/>
    <w:rsid w:val="00971131"/>
    <w:rsid w:val="009871F3"/>
    <w:rsid w:val="00991F97"/>
    <w:rsid w:val="00994CA6"/>
    <w:rsid w:val="009A0289"/>
    <w:rsid w:val="009A73B5"/>
    <w:rsid w:val="009B621A"/>
    <w:rsid w:val="009C45D9"/>
    <w:rsid w:val="00A06657"/>
    <w:rsid w:val="00A24C1C"/>
    <w:rsid w:val="00A36575"/>
    <w:rsid w:val="00A86D3D"/>
    <w:rsid w:val="00A956DE"/>
    <w:rsid w:val="00A961B2"/>
    <w:rsid w:val="00AA69FD"/>
    <w:rsid w:val="00AB2948"/>
    <w:rsid w:val="00AB39FA"/>
    <w:rsid w:val="00AD5CB7"/>
    <w:rsid w:val="00AD5E0B"/>
    <w:rsid w:val="00AD6933"/>
    <w:rsid w:val="00AD6B7B"/>
    <w:rsid w:val="00B15262"/>
    <w:rsid w:val="00B60D70"/>
    <w:rsid w:val="00B71136"/>
    <w:rsid w:val="00B84BC1"/>
    <w:rsid w:val="00BA0179"/>
    <w:rsid w:val="00BA51EA"/>
    <w:rsid w:val="00BA589F"/>
    <w:rsid w:val="00BB047B"/>
    <w:rsid w:val="00BB6398"/>
    <w:rsid w:val="00BC0E86"/>
    <w:rsid w:val="00BD0372"/>
    <w:rsid w:val="00BD246E"/>
    <w:rsid w:val="00BF44C4"/>
    <w:rsid w:val="00BF4768"/>
    <w:rsid w:val="00C139CA"/>
    <w:rsid w:val="00C433C5"/>
    <w:rsid w:val="00C51429"/>
    <w:rsid w:val="00CA3397"/>
    <w:rsid w:val="00CA33E1"/>
    <w:rsid w:val="00CB6BEB"/>
    <w:rsid w:val="00CE36C5"/>
    <w:rsid w:val="00CE7855"/>
    <w:rsid w:val="00D1792D"/>
    <w:rsid w:val="00D3612A"/>
    <w:rsid w:val="00D37703"/>
    <w:rsid w:val="00D37F25"/>
    <w:rsid w:val="00D453F6"/>
    <w:rsid w:val="00D4720B"/>
    <w:rsid w:val="00D60D8D"/>
    <w:rsid w:val="00D73C98"/>
    <w:rsid w:val="00D762D7"/>
    <w:rsid w:val="00D933B0"/>
    <w:rsid w:val="00D94446"/>
    <w:rsid w:val="00DA11DD"/>
    <w:rsid w:val="00DB466C"/>
    <w:rsid w:val="00DC0120"/>
    <w:rsid w:val="00DD55DB"/>
    <w:rsid w:val="00DE4F89"/>
    <w:rsid w:val="00DE643F"/>
    <w:rsid w:val="00E2509B"/>
    <w:rsid w:val="00E4622C"/>
    <w:rsid w:val="00E46571"/>
    <w:rsid w:val="00E51FFB"/>
    <w:rsid w:val="00E63855"/>
    <w:rsid w:val="00E9238F"/>
    <w:rsid w:val="00EB03BB"/>
    <w:rsid w:val="00EB1C36"/>
    <w:rsid w:val="00EE2EB2"/>
    <w:rsid w:val="00EE406C"/>
    <w:rsid w:val="00F07534"/>
    <w:rsid w:val="00F26A9F"/>
    <w:rsid w:val="00F26E68"/>
    <w:rsid w:val="00F33119"/>
    <w:rsid w:val="00F55724"/>
    <w:rsid w:val="00F73C47"/>
    <w:rsid w:val="00F81F2C"/>
    <w:rsid w:val="00F90E63"/>
    <w:rsid w:val="00FA2254"/>
    <w:rsid w:val="00FA61BF"/>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38BBA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71107C"/>
    <w:rPr>
      <w:b/>
      <w:bCs/>
      <w:lang w:eastAsia="en-US"/>
    </w:rPr>
  </w:style>
  <w:style w:type="character" w:customStyle="1" w:styleId="CommentSubjectChar">
    <w:name w:val="Comment Subject Char"/>
    <w:basedOn w:val="CommentTextChar"/>
    <w:link w:val="CommentSubject"/>
    <w:rsid w:val="007110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3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4966</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2021-01-14T15:19:00Z</dcterms:created>
  <dcterms:modified xsi:type="dcterms:W3CDTF">2021-01-14T15:23:00Z</dcterms:modified>
</cp:coreProperties>
</file>