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61169" w14:textId="77777777" w:rsidR="00EB1C36" w:rsidRPr="00D73C98" w:rsidRDefault="00EB1C36" w:rsidP="00F07534">
      <w:pPr>
        <w:pStyle w:val="Title20"/>
      </w:pPr>
      <w:r>
        <w:t>National Institute for Health and Care Excellence</w:t>
      </w:r>
    </w:p>
    <w:p w14:paraId="1386DF62" w14:textId="5857C898" w:rsidR="00EB1C36" w:rsidRPr="00D73C98" w:rsidRDefault="00340649" w:rsidP="00F07534">
      <w:pPr>
        <w:pStyle w:val="Title1"/>
      </w:pPr>
      <w:r>
        <w:t>Digital, Information and Technology</w:t>
      </w:r>
      <w:r w:rsidR="00EB1C36" w:rsidRPr="00D73C98">
        <w:t xml:space="preserve"> progress report</w:t>
      </w:r>
    </w:p>
    <w:p w14:paraId="38347E5B" w14:textId="2EBFAF7F" w:rsidR="009871F3" w:rsidRPr="007277C3" w:rsidRDefault="00EB1C36" w:rsidP="007277C3">
      <w:pPr>
        <w:pStyle w:val="Paragraph"/>
        <w:numPr>
          <w:ilvl w:val="0"/>
          <w:numId w:val="49"/>
        </w:numPr>
      </w:pPr>
      <w:r w:rsidRPr="009871F3">
        <w:t xml:space="preserve">This report provides an update on key issues and developments in the </w:t>
      </w:r>
      <w:r w:rsidR="00340649">
        <w:t>Digital, Information and Technology (DIT) directorate</w:t>
      </w:r>
      <w:r w:rsidRPr="007277C3">
        <w:t xml:space="preserve"> in the period </w:t>
      </w:r>
      <w:r w:rsidR="00480C6F">
        <w:t xml:space="preserve">November </w:t>
      </w:r>
      <w:r w:rsidR="00340649">
        <w:t xml:space="preserve">- </w:t>
      </w:r>
      <w:r w:rsidR="00480C6F">
        <w:t xml:space="preserve">December </w:t>
      </w:r>
      <w:r w:rsidR="00340649">
        <w:t xml:space="preserve">2020. </w:t>
      </w:r>
    </w:p>
    <w:p w14:paraId="50E03509" w14:textId="77777777" w:rsidR="00EB1C36" w:rsidRDefault="00EB1C36" w:rsidP="00EB1C36">
      <w:pPr>
        <w:pStyle w:val="Heading1boardreport"/>
      </w:pPr>
      <w:r>
        <w:t>Summary of activity</w:t>
      </w:r>
    </w:p>
    <w:p w14:paraId="45EC6D81" w14:textId="77777777" w:rsidR="002A2A95" w:rsidRPr="002A2A95" w:rsidRDefault="002A2A95" w:rsidP="002A2A95">
      <w:pPr>
        <w:pStyle w:val="NICEnormalnumbered"/>
      </w:pPr>
      <w:r>
        <w:t xml:space="preserve">In line </w:t>
      </w:r>
      <w:r w:rsidRPr="002A2A95">
        <w:t>with the agreed digital and IT delivery roadmap and Connect plans, key project activity in the period included:</w:t>
      </w:r>
    </w:p>
    <w:p w14:paraId="002F1CA2" w14:textId="3B369337" w:rsidR="00DD1379" w:rsidRPr="00DD1379" w:rsidRDefault="00480C6F" w:rsidP="00DD1379">
      <w:pPr>
        <w:pStyle w:val="Bulletindent1"/>
      </w:pPr>
      <w:r>
        <w:t xml:space="preserve">Concluded a due diligence of </w:t>
      </w:r>
      <w:r w:rsidR="00DD1379" w:rsidRPr="00DD1379">
        <w:t xml:space="preserve">the business case </w:t>
      </w:r>
      <w:r>
        <w:t xml:space="preserve">prepared </w:t>
      </w:r>
      <w:r w:rsidR="0050508A">
        <w:t xml:space="preserve">in September 2020 </w:t>
      </w:r>
      <w:r w:rsidR="00DD1379" w:rsidRPr="00DD1379">
        <w:t xml:space="preserve">for enabling an efficient digital workplace </w:t>
      </w:r>
      <w:proofErr w:type="gramStart"/>
      <w:r w:rsidR="00DD1379" w:rsidRPr="00DD1379">
        <w:t>through the use of</w:t>
      </w:r>
      <w:proofErr w:type="gramEnd"/>
      <w:r w:rsidR="00DD1379" w:rsidRPr="00DD1379">
        <w:t xml:space="preserve"> SharePoint Online and the Microsoft 365 (M365) suite of products</w:t>
      </w:r>
      <w:r w:rsidR="0050508A">
        <w:t xml:space="preserve">. This resulted in </w:t>
      </w:r>
      <w:r>
        <w:t>agre</w:t>
      </w:r>
      <w:r w:rsidR="0050508A">
        <w:t xml:space="preserve">eing </w:t>
      </w:r>
      <w:r>
        <w:t xml:space="preserve">an alternative approach to progressing the work during the rest of </w:t>
      </w:r>
      <w:proofErr w:type="gramStart"/>
      <w:r>
        <w:t>2020/21;</w:t>
      </w:r>
      <w:proofErr w:type="gramEnd"/>
    </w:p>
    <w:p w14:paraId="2A6A2940" w14:textId="1B6A27B7" w:rsidR="00DD1379" w:rsidRPr="00DD1379" w:rsidRDefault="00433582" w:rsidP="00DD1379">
      <w:pPr>
        <w:pStyle w:val="Bulletindent1"/>
      </w:pPr>
      <w:r>
        <w:t>Following the N</w:t>
      </w:r>
      <w:r w:rsidR="00B96EB6">
        <w:t xml:space="preserve">ational </w:t>
      </w:r>
      <w:r>
        <w:t>G</w:t>
      </w:r>
      <w:r w:rsidR="00B96EB6">
        <w:t xml:space="preserve">uideline </w:t>
      </w:r>
      <w:r>
        <w:t>A</w:t>
      </w:r>
      <w:r w:rsidR="00B96EB6">
        <w:t>lliance</w:t>
      </w:r>
      <w:r>
        <w:t xml:space="preserve"> decision to approve the use of EPPI Reviewer</w:t>
      </w:r>
      <w:r w:rsidR="00B96EB6">
        <w:t>,</w:t>
      </w:r>
      <w:r>
        <w:t xml:space="preserve"> both collaborating centres will now use </w:t>
      </w:r>
      <w:r w:rsidR="00B96EB6">
        <w:t>the service</w:t>
      </w:r>
      <w:r>
        <w:t xml:space="preserve"> </w:t>
      </w:r>
      <w:r w:rsidR="00B96EB6">
        <w:t xml:space="preserve">to undertake </w:t>
      </w:r>
      <w:r>
        <w:t xml:space="preserve">future systematic </w:t>
      </w:r>
      <w:proofErr w:type="gramStart"/>
      <w:r>
        <w:t>reviews</w:t>
      </w:r>
      <w:r w:rsidR="00DD1379" w:rsidRPr="00DD1379">
        <w:t>;</w:t>
      </w:r>
      <w:proofErr w:type="gramEnd"/>
      <w:r w:rsidR="00DD1379" w:rsidRPr="00DD1379">
        <w:t xml:space="preserve"> </w:t>
      </w:r>
    </w:p>
    <w:p w14:paraId="45BD5125" w14:textId="4925C6F0" w:rsidR="00DD1379" w:rsidRPr="00DD1379" w:rsidRDefault="00DD1379" w:rsidP="00DD1379">
      <w:pPr>
        <w:pStyle w:val="Bulletindent1"/>
      </w:pPr>
      <w:r w:rsidRPr="00DD1379">
        <w:t xml:space="preserve">NORMA (NICE ONS recommendations matching algorithm) </w:t>
      </w:r>
      <w:r w:rsidR="00B96EB6">
        <w:t xml:space="preserve">was </w:t>
      </w:r>
      <w:r w:rsidR="00433582">
        <w:t xml:space="preserve">handed over from the ONS and </w:t>
      </w:r>
      <w:r w:rsidR="00B96EB6">
        <w:t xml:space="preserve">is </w:t>
      </w:r>
      <w:r w:rsidR="00433582">
        <w:t xml:space="preserve">now hosted by </w:t>
      </w:r>
      <w:r w:rsidR="00B96EB6">
        <w:t xml:space="preserve">NICE. It can now be used to support guidelines surveillance and </w:t>
      </w:r>
      <w:proofErr w:type="gramStart"/>
      <w:r w:rsidR="00B96EB6">
        <w:t>updating</w:t>
      </w:r>
      <w:r w:rsidRPr="00DD1379">
        <w:t>;</w:t>
      </w:r>
      <w:proofErr w:type="gramEnd"/>
    </w:p>
    <w:p w14:paraId="0ADED8F4" w14:textId="53729758" w:rsidR="00DD1379" w:rsidRPr="00DD1379" w:rsidRDefault="00B96EB6">
      <w:pPr>
        <w:pStyle w:val="Bulletindent1"/>
      </w:pPr>
      <w:r>
        <w:t xml:space="preserve">Comment </w:t>
      </w:r>
      <w:r w:rsidR="008A54C6">
        <w:t>Collection</w:t>
      </w:r>
      <w:r>
        <w:t xml:space="preserve"> tool: d</w:t>
      </w:r>
      <w:r w:rsidR="00636CCC" w:rsidRPr="00636CCC">
        <w:t xml:space="preserve">evelopment work </w:t>
      </w:r>
      <w:r w:rsidR="00CC12D0">
        <w:t>continued</w:t>
      </w:r>
      <w:r w:rsidR="00636CCC" w:rsidRPr="00636CCC">
        <w:t xml:space="preserve"> to enable multiple people from </w:t>
      </w:r>
      <w:r>
        <w:t>the same</w:t>
      </w:r>
      <w:r w:rsidR="00636CCC" w:rsidRPr="00636CCC">
        <w:t xml:space="preserve"> org</w:t>
      </w:r>
      <w:r>
        <w:t>anisation</w:t>
      </w:r>
      <w:r w:rsidR="00636CCC" w:rsidRPr="00636CCC">
        <w:t xml:space="preserve"> to </w:t>
      </w:r>
      <w:r>
        <w:t xml:space="preserve">submit </w:t>
      </w:r>
      <w:proofErr w:type="gramStart"/>
      <w:r w:rsidR="00636CCC" w:rsidRPr="00636CCC">
        <w:t>comment</w:t>
      </w:r>
      <w:r>
        <w:t>s</w:t>
      </w:r>
      <w:r w:rsidR="00636CCC" w:rsidRPr="00636CCC">
        <w:t>;</w:t>
      </w:r>
      <w:proofErr w:type="gramEnd"/>
      <w:r w:rsidRPr="00636CCC" w:rsidDel="00B96EB6">
        <w:t xml:space="preserve"> </w:t>
      </w:r>
    </w:p>
    <w:p w14:paraId="02399FAE" w14:textId="6E24ED32" w:rsidR="00DD1379" w:rsidRPr="00DD1379" w:rsidRDefault="00DC3AC7" w:rsidP="0098462B">
      <w:pPr>
        <w:pStyle w:val="Bulletindent1"/>
      </w:pPr>
      <w:r>
        <w:t>C</w:t>
      </w:r>
      <w:r w:rsidR="00636CCC">
        <w:t>ompleted</w:t>
      </w:r>
      <w:r w:rsidR="00DD1379" w:rsidRPr="00DD1379">
        <w:t xml:space="preserve"> 8 week 'alpha' </w:t>
      </w:r>
      <w:r w:rsidR="00636CCC" w:rsidRPr="00636CCC">
        <w:rPr>
          <w:rFonts w:eastAsia="Calibri"/>
        </w:rPr>
        <w:t>explorin</w:t>
      </w:r>
      <w:r w:rsidR="00B96EB6">
        <w:rPr>
          <w:rFonts w:eastAsia="Calibri"/>
        </w:rPr>
        <w:t xml:space="preserve">g </w:t>
      </w:r>
      <w:r w:rsidR="0098462B">
        <w:rPr>
          <w:rFonts w:eastAsia="Calibri"/>
        </w:rPr>
        <w:t xml:space="preserve">the use of a new tool for managing </w:t>
      </w:r>
      <w:r w:rsidR="00636CCC" w:rsidRPr="00636CCC">
        <w:rPr>
          <w:rFonts w:eastAsia="Calibri"/>
        </w:rPr>
        <w:t xml:space="preserve">guidance </w:t>
      </w:r>
      <w:r w:rsidR="0098462B">
        <w:rPr>
          <w:rFonts w:eastAsia="Calibri"/>
        </w:rPr>
        <w:t xml:space="preserve">development </w:t>
      </w:r>
      <w:r w:rsidR="00636CCC" w:rsidRPr="00636CCC">
        <w:rPr>
          <w:rFonts w:eastAsia="Calibri"/>
        </w:rPr>
        <w:t>timelines information</w:t>
      </w:r>
      <w:r w:rsidR="0098462B">
        <w:rPr>
          <w:rFonts w:eastAsia="Calibri"/>
        </w:rPr>
        <w:t xml:space="preserve">. </w:t>
      </w:r>
      <w:r w:rsidR="00CC12D0">
        <w:rPr>
          <w:rFonts w:eastAsia="Calibri"/>
        </w:rPr>
        <w:t>The 'b</w:t>
      </w:r>
      <w:r w:rsidR="0098462B">
        <w:rPr>
          <w:rFonts w:eastAsia="Calibri"/>
        </w:rPr>
        <w:t>eta</w:t>
      </w:r>
      <w:r w:rsidR="00CC12D0">
        <w:rPr>
          <w:rFonts w:eastAsia="Calibri"/>
        </w:rPr>
        <w:t>'</w:t>
      </w:r>
      <w:r w:rsidR="0098462B">
        <w:rPr>
          <w:rFonts w:eastAsia="Calibri"/>
        </w:rPr>
        <w:t xml:space="preserve"> </w:t>
      </w:r>
      <w:r w:rsidR="00636CCC">
        <w:rPr>
          <w:rFonts w:eastAsia="Calibri"/>
        </w:rPr>
        <w:t>phase</w:t>
      </w:r>
      <w:r w:rsidR="0098462B">
        <w:rPr>
          <w:rFonts w:eastAsia="Calibri"/>
        </w:rPr>
        <w:t xml:space="preserve"> will involve </w:t>
      </w:r>
      <w:r w:rsidR="00636CCC">
        <w:rPr>
          <w:rFonts w:eastAsia="Calibri"/>
        </w:rPr>
        <w:t xml:space="preserve">piloting </w:t>
      </w:r>
      <w:r w:rsidR="0098462B">
        <w:rPr>
          <w:rFonts w:eastAsia="Calibri"/>
        </w:rPr>
        <w:t xml:space="preserve">the </w:t>
      </w:r>
      <w:r w:rsidR="008A54C6">
        <w:rPr>
          <w:rFonts w:eastAsia="Calibri"/>
        </w:rPr>
        <w:t>tool</w:t>
      </w:r>
      <w:r w:rsidR="00636CCC">
        <w:rPr>
          <w:rFonts w:eastAsia="Calibri"/>
        </w:rPr>
        <w:t xml:space="preserve"> </w:t>
      </w:r>
      <w:r w:rsidR="003957A7">
        <w:rPr>
          <w:rFonts w:eastAsia="Calibri"/>
        </w:rPr>
        <w:t>in multiple</w:t>
      </w:r>
      <w:r w:rsidR="00636CCC">
        <w:rPr>
          <w:rFonts w:eastAsia="Calibri"/>
        </w:rPr>
        <w:t xml:space="preserve"> </w:t>
      </w:r>
      <w:proofErr w:type="gramStart"/>
      <w:r w:rsidR="0098462B">
        <w:rPr>
          <w:rFonts w:eastAsia="Calibri"/>
        </w:rPr>
        <w:t>t</w:t>
      </w:r>
      <w:r w:rsidR="00636CCC">
        <w:rPr>
          <w:rFonts w:eastAsia="Calibri"/>
        </w:rPr>
        <w:t>eams;</w:t>
      </w:r>
      <w:proofErr w:type="gramEnd"/>
      <w:r w:rsidR="00636CCC">
        <w:rPr>
          <w:rFonts w:eastAsia="Calibri"/>
        </w:rPr>
        <w:t xml:space="preserve"> </w:t>
      </w:r>
    </w:p>
    <w:p w14:paraId="2A754344" w14:textId="10CD71CE" w:rsidR="000A334F" w:rsidRDefault="000A334F" w:rsidP="00DD1379">
      <w:pPr>
        <w:pStyle w:val="Bulletindent1"/>
      </w:pPr>
      <w:r w:rsidRPr="000A334F">
        <w:t xml:space="preserve">Completed the delivery of the NICE Connect goal to bring the stakeholder registration processes into one place. The information gathered from the statistics around this new page will </w:t>
      </w:r>
      <w:r w:rsidR="00CC4467">
        <w:t>inform longer term work on stakeholder registration and a hub.</w:t>
      </w:r>
    </w:p>
    <w:p w14:paraId="708EDB69" w14:textId="2442F1C1" w:rsidR="00DD1379" w:rsidRDefault="009D4518" w:rsidP="00DD1379">
      <w:pPr>
        <w:pStyle w:val="Bulletindent1"/>
      </w:pPr>
      <w:r>
        <w:lastRenderedPageBreak/>
        <w:t xml:space="preserve">Shared </w:t>
      </w:r>
      <w:r w:rsidR="00DD1379" w:rsidRPr="00DD1379">
        <w:t xml:space="preserve">architectural diagrams and other artefacts to support the creation of an agreed digital and technology strategic roadmap for </w:t>
      </w:r>
      <w:proofErr w:type="gramStart"/>
      <w:r w:rsidR="00DD1379" w:rsidRPr="00DD1379">
        <w:t>NICE;</w:t>
      </w:r>
      <w:proofErr w:type="gramEnd"/>
    </w:p>
    <w:p w14:paraId="406D7807" w14:textId="5EDA1C7F" w:rsidR="009D4518" w:rsidRDefault="00F2672F" w:rsidP="00DD1379">
      <w:pPr>
        <w:pStyle w:val="Bulletindent1"/>
      </w:pPr>
      <w:r>
        <w:t xml:space="preserve">Continued with </w:t>
      </w:r>
      <w:r w:rsidR="00DD1379" w:rsidRPr="00DD1379">
        <w:t>preparation for the move of the NICE London Office to a new location shared with other Arm's Length Bodies (ALB's). This include</w:t>
      </w:r>
      <w:r w:rsidR="009D4518">
        <w:t>d</w:t>
      </w:r>
      <w:r w:rsidR="00DD1379" w:rsidRPr="00DD1379">
        <w:t xml:space="preserve"> </w:t>
      </w:r>
      <w:r w:rsidR="009D4518">
        <w:t xml:space="preserve">relocation of the NICE London </w:t>
      </w:r>
      <w:r w:rsidR="00DD1379" w:rsidRPr="00DD1379">
        <w:t xml:space="preserve">datacentre </w:t>
      </w:r>
      <w:r w:rsidR="009D4518">
        <w:t xml:space="preserve">to an external site, </w:t>
      </w:r>
      <w:r w:rsidR="0050508A">
        <w:t xml:space="preserve">supporting the implementation of </w:t>
      </w:r>
      <w:r w:rsidR="009D4518">
        <w:t xml:space="preserve">a </w:t>
      </w:r>
      <w:r w:rsidR="00DD1379" w:rsidRPr="00DD1379">
        <w:t xml:space="preserve">testing plan </w:t>
      </w:r>
      <w:r w:rsidR="009D4518">
        <w:t xml:space="preserve">for the shared LAN and WIFI infrastructure, </w:t>
      </w:r>
      <w:r w:rsidR="0050508A">
        <w:t xml:space="preserve">mitigating contractual risks identified in the shared network solution, </w:t>
      </w:r>
      <w:r w:rsidR="009D4518">
        <w:t xml:space="preserve">further work to specify AV/VC meeting room requirements, and continued engagement with DHSC to seek to resolve issues identified with the Main Equipment Room (MER) facilities. </w:t>
      </w:r>
    </w:p>
    <w:p w14:paraId="283E4495" w14:textId="77777777" w:rsidR="00EB1C36" w:rsidRPr="00C30FD9" w:rsidRDefault="00EB1C36" w:rsidP="00EB1C36">
      <w:pPr>
        <w:pStyle w:val="Heading1boardreport"/>
      </w:pPr>
      <w:r>
        <w:t xml:space="preserve">Notable </w:t>
      </w:r>
      <w:r w:rsidRPr="00D959FE">
        <w:t>issues</w:t>
      </w:r>
      <w:r>
        <w:t xml:space="preserve"> and developments </w:t>
      </w:r>
    </w:p>
    <w:p w14:paraId="5F939435" w14:textId="77777777" w:rsidR="00EB1C36" w:rsidRDefault="00EB1C36" w:rsidP="00EB1C36">
      <w:pPr>
        <w:pStyle w:val="Heading2boardreport"/>
      </w:pPr>
      <w:r>
        <w:t>Ongoing response to COVID-19</w:t>
      </w:r>
    </w:p>
    <w:p w14:paraId="3BA98D72" w14:textId="1F1D5E67" w:rsidR="00EB1C36" w:rsidRDefault="00F52A30" w:rsidP="00D453F6">
      <w:pPr>
        <w:pStyle w:val="NICEnormalnumbered"/>
      </w:pPr>
      <w:r>
        <w:t xml:space="preserve">Teams continue to support NICE's response to the COVID-19 pandemic. Notable activities in </w:t>
      </w:r>
      <w:r w:rsidR="0050508A">
        <w:t>November and December</w:t>
      </w:r>
      <w:r>
        <w:t xml:space="preserve"> include</w:t>
      </w:r>
    </w:p>
    <w:p w14:paraId="4DD2C532" w14:textId="52292A62" w:rsidR="0046598F" w:rsidRPr="0046598F" w:rsidRDefault="0046598F" w:rsidP="0046598F">
      <w:pPr>
        <w:pStyle w:val="Bulletindent1"/>
      </w:pPr>
      <w:r w:rsidRPr="0046598F">
        <w:t xml:space="preserve">COVID marking for website content navigation: </w:t>
      </w:r>
      <w:r w:rsidR="00F2672F">
        <w:t>t</w:t>
      </w:r>
      <w:r w:rsidRPr="0046598F">
        <w:t xml:space="preserve">he ability for users to filter by COVID-19 as an 'area of interest' was added. This gives NICE users the ability to see all types of information NICE has produced that is classed as COVID-19 together. We also delivered the ability to mark </w:t>
      </w:r>
      <w:proofErr w:type="spellStart"/>
      <w:r w:rsidRPr="0046598F">
        <w:t>M</w:t>
      </w:r>
      <w:r>
        <w:t>edtech</w:t>
      </w:r>
      <w:proofErr w:type="spellEnd"/>
      <w:r>
        <w:t xml:space="preserve"> Innovation Briefings</w:t>
      </w:r>
      <w:r w:rsidRPr="0046598F">
        <w:t xml:space="preserve"> as COVID to enable the development and publication of briefings </w:t>
      </w:r>
      <w:r>
        <w:t xml:space="preserve">on </w:t>
      </w:r>
      <w:r w:rsidRPr="0046598F">
        <w:t>COVID-19</w:t>
      </w:r>
      <w:r>
        <w:t xml:space="preserve"> tests</w:t>
      </w:r>
      <w:r w:rsidRPr="0046598F">
        <w:t xml:space="preserve">. </w:t>
      </w:r>
    </w:p>
    <w:p w14:paraId="3104FF9C" w14:textId="0D6194AC" w:rsidR="0050508A" w:rsidRDefault="0046598F" w:rsidP="0050508A">
      <w:pPr>
        <w:pStyle w:val="Bulletindent1"/>
      </w:pPr>
      <w:r>
        <w:t>C</w:t>
      </w:r>
      <w:r w:rsidR="0050508A">
        <w:t xml:space="preserve">ontinued </w:t>
      </w:r>
      <w:r>
        <w:t xml:space="preserve">the </w:t>
      </w:r>
      <w:r w:rsidR="0050508A">
        <w:t xml:space="preserve">roll-out of laptops - the original batch of machines has been largely allocated but additional equipment has been purchased for roll-out in </w:t>
      </w:r>
      <w:proofErr w:type="gramStart"/>
      <w:r w:rsidR="0050508A">
        <w:t>2021</w:t>
      </w:r>
      <w:r w:rsidR="00583384">
        <w:t>;</w:t>
      </w:r>
      <w:proofErr w:type="gramEnd"/>
    </w:p>
    <w:p w14:paraId="64B52EDB" w14:textId="6251B07F" w:rsidR="00583384" w:rsidRPr="00583384" w:rsidRDefault="00583384" w:rsidP="00583384">
      <w:pPr>
        <w:pStyle w:val="Bulletindent1"/>
      </w:pPr>
      <w:r>
        <w:t xml:space="preserve">Trialled the use of an </w:t>
      </w:r>
      <w:r w:rsidRPr="00583384">
        <w:t xml:space="preserve">online collaboration platform designed for distributed teams working remotely. </w:t>
      </w:r>
      <w:r>
        <w:t>The</w:t>
      </w:r>
      <w:r w:rsidRPr="00583384">
        <w:t xml:space="preserve"> tool has been highly effective for conducting workshops and presentations in </w:t>
      </w:r>
      <w:r>
        <w:t xml:space="preserve">the current </w:t>
      </w:r>
      <w:r w:rsidRPr="00583384">
        <w:t xml:space="preserve">virtual </w:t>
      </w:r>
      <w:proofErr w:type="gramStart"/>
      <w:r w:rsidRPr="00583384">
        <w:t>workplace</w:t>
      </w:r>
      <w:r>
        <w:t>;</w:t>
      </w:r>
      <w:proofErr w:type="gramEnd"/>
    </w:p>
    <w:p w14:paraId="1125403B" w14:textId="3493B292" w:rsidR="00DD1379" w:rsidRDefault="00431E8B" w:rsidP="00DD1379">
      <w:pPr>
        <w:pStyle w:val="Bulletindent1"/>
      </w:pPr>
      <w:r>
        <w:lastRenderedPageBreak/>
        <w:t>Completed p</w:t>
      </w:r>
      <w:r w:rsidR="00DD1379">
        <w:t xml:space="preserve">iloting of </w:t>
      </w:r>
      <w:r>
        <w:t xml:space="preserve">the </w:t>
      </w:r>
      <w:r w:rsidR="00DD1379">
        <w:t>Zoiper softphone application</w:t>
      </w:r>
      <w:r>
        <w:t xml:space="preserve"> which will be rolled </w:t>
      </w:r>
      <w:r w:rsidR="00957A63">
        <w:t>out in</w:t>
      </w:r>
      <w:r>
        <w:t xml:space="preserve"> January </w:t>
      </w:r>
      <w:proofErr w:type="gramStart"/>
      <w:r>
        <w:t>2021</w:t>
      </w:r>
      <w:r w:rsidR="00583384">
        <w:t>;</w:t>
      </w:r>
      <w:proofErr w:type="gramEnd"/>
      <w:r w:rsidR="00DD1379">
        <w:t xml:space="preserve"> </w:t>
      </w:r>
    </w:p>
    <w:p w14:paraId="0C331918" w14:textId="5E4D2992" w:rsidR="0050508A" w:rsidRPr="00D73C98" w:rsidRDefault="0050508A" w:rsidP="00DD1379">
      <w:pPr>
        <w:pStyle w:val="Bulletindent1"/>
      </w:pPr>
      <w:r>
        <w:t xml:space="preserve">Preparation of a new </w:t>
      </w:r>
      <w:r w:rsidR="00D770EF">
        <w:t>cyber security training to be launched in January 2021</w:t>
      </w:r>
      <w:r w:rsidR="00583384">
        <w:t>.</w:t>
      </w:r>
    </w:p>
    <w:p w14:paraId="72A4203C" w14:textId="13147B1B" w:rsidR="00EB1C36" w:rsidRDefault="00F52A30" w:rsidP="00EB1C36">
      <w:pPr>
        <w:pStyle w:val="Heading2boardreport"/>
      </w:pPr>
      <w:r>
        <w:t>Recruitment into the integrated DIT teams</w:t>
      </w:r>
    </w:p>
    <w:p w14:paraId="3D39C7DF" w14:textId="21365080" w:rsidR="0079158B" w:rsidRDefault="00F52A30" w:rsidP="00D453F6">
      <w:pPr>
        <w:pStyle w:val="NICEnormalnumbered"/>
      </w:pPr>
      <w:r>
        <w:t xml:space="preserve">Following the creation of the DIT directorate, </w:t>
      </w:r>
      <w:proofErr w:type="gramStart"/>
      <w:r>
        <w:t>a number of</w:t>
      </w:r>
      <w:proofErr w:type="gramEnd"/>
      <w:r>
        <w:t xml:space="preserve"> priority vacancies have been launched for recruitment. </w:t>
      </w:r>
      <w:r w:rsidR="00D770EF">
        <w:t xml:space="preserve">Since September, we have appointed to </w:t>
      </w:r>
      <w:r w:rsidR="0079158B">
        <w:t>1</w:t>
      </w:r>
      <w:r w:rsidR="001E3737">
        <w:t>1</w:t>
      </w:r>
      <w:r w:rsidR="00D770EF">
        <w:t xml:space="preserve"> </w:t>
      </w:r>
      <w:r w:rsidR="00957A63">
        <w:t>of our</w:t>
      </w:r>
      <w:r w:rsidR="00D770EF">
        <w:t xml:space="preserve"> </w:t>
      </w:r>
      <w:r w:rsidR="0079158B">
        <w:t>2</w:t>
      </w:r>
      <w:r w:rsidR="005B6028">
        <w:t>2</w:t>
      </w:r>
      <w:r w:rsidR="0079158B">
        <w:t xml:space="preserve"> </w:t>
      </w:r>
      <w:r w:rsidR="00D770EF">
        <w:t xml:space="preserve">vacancies. In the last two months, we successfully appointed content engineering </w:t>
      </w:r>
      <w:r w:rsidR="001E3737">
        <w:t xml:space="preserve">specialists </w:t>
      </w:r>
      <w:r w:rsidR="00D770EF">
        <w:t>and</w:t>
      </w:r>
      <w:r w:rsidR="001E3737">
        <w:t xml:space="preserve"> user researchers</w:t>
      </w:r>
      <w:r w:rsidR="00D770EF">
        <w:t>. We also added to our IT helpdesk</w:t>
      </w:r>
      <w:r w:rsidR="0079158B">
        <w:t xml:space="preserve"> and portfolio management capacity</w:t>
      </w:r>
      <w:r w:rsidR="00D770EF">
        <w:t xml:space="preserve">. We are struggling to recruit to </w:t>
      </w:r>
      <w:r w:rsidR="0079158B">
        <w:t>our</w:t>
      </w:r>
      <w:r w:rsidR="00D770EF">
        <w:t xml:space="preserve"> data management and architecture posts and will seek external contractor support </w:t>
      </w:r>
      <w:r w:rsidR="0079158B">
        <w:t xml:space="preserve">in this area </w:t>
      </w:r>
      <w:r w:rsidR="00D770EF">
        <w:t xml:space="preserve">for the rest of 2020/21. </w:t>
      </w:r>
    </w:p>
    <w:p w14:paraId="7AE43CFF" w14:textId="39EB8DC7" w:rsidR="00D07DBF" w:rsidRDefault="00D07DBF" w:rsidP="00D07DBF">
      <w:pPr>
        <w:pStyle w:val="Heading2boardreport"/>
      </w:pPr>
      <w:r>
        <w:t>Key risks</w:t>
      </w:r>
    </w:p>
    <w:p w14:paraId="1CAAE489" w14:textId="06715995" w:rsidR="00D07DBF" w:rsidRDefault="00D46031" w:rsidP="00D453F6">
      <w:pPr>
        <w:pStyle w:val="NICEnormalnumbered"/>
      </w:pPr>
      <w:r>
        <w:t xml:space="preserve">The </w:t>
      </w:r>
      <w:r w:rsidR="00E4225F">
        <w:t>principal risks that we are monitoring and working to mitigate in DIT relate to the following:</w:t>
      </w:r>
    </w:p>
    <w:p w14:paraId="0F821967" w14:textId="2DDFD431" w:rsidR="00E4225F" w:rsidRDefault="00E829A5" w:rsidP="00E4225F">
      <w:pPr>
        <w:pStyle w:val="NICEnormalnumbered"/>
      </w:pPr>
      <w:r>
        <w:t>Existing p</w:t>
      </w:r>
      <w:r w:rsidR="00E4225F">
        <w:t xml:space="preserve">ressure on capacity from DIT to support business as usual </w:t>
      </w:r>
      <w:r w:rsidR="005B331E">
        <w:t xml:space="preserve">digital </w:t>
      </w:r>
      <w:r w:rsidR="00E4225F">
        <w:t xml:space="preserve">work alongside the transformation agenda is </w:t>
      </w:r>
      <w:r>
        <w:t xml:space="preserve">further </w:t>
      </w:r>
      <w:r w:rsidR="00E4225F">
        <w:t>exacerbated by the current C</w:t>
      </w:r>
      <w:r w:rsidR="003421A8">
        <w:t>OVID</w:t>
      </w:r>
      <w:r w:rsidR="00E4225F">
        <w:t xml:space="preserve">-19 context with some staff illness and </w:t>
      </w:r>
      <w:r>
        <w:t xml:space="preserve">the impact of </w:t>
      </w:r>
      <w:r w:rsidR="00E4225F">
        <w:t xml:space="preserve">school closure. </w:t>
      </w:r>
    </w:p>
    <w:p w14:paraId="0EA97A10" w14:textId="7EDC2082" w:rsidR="00E829A5" w:rsidRPr="00E829A5" w:rsidRDefault="00E4225F" w:rsidP="00831491">
      <w:pPr>
        <w:pStyle w:val="NICEnormalnumbered"/>
        <w:numPr>
          <w:ilvl w:val="1"/>
          <w:numId w:val="41"/>
        </w:numPr>
      </w:pPr>
      <w:r>
        <w:t xml:space="preserve">We are mitigating this risk by working with the Connect Steering Group and the Executive Team to re-prioritise activities in Q4 2020/21. This will allow key work to continue to move at pace, which staff want to see, whilst managing </w:t>
      </w:r>
      <w:r w:rsidR="008A338D">
        <w:t>moral</w:t>
      </w:r>
      <w:r w:rsidR="003421A8">
        <w:t>e</w:t>
      </w:r>
      <w:r w:rsidR="008A338D">
        <w:t xml:space="preserve"> and </w:t>
      </w:r>
      <w:r>
        <w:t xml:space="preserve">pressure </w:t>
      </w:r>
      <w:r w:rsidR="008A338D">
        <w:t>levels</w:t>
      </w:r>
      <w:r>
        <w:t>.</w:t>
      </w:r>
    </w:p>
    <w:p w14:paraId="41BC0F70" w14:textId="14F0DF23" w:rsidR="00E4225F" w:rsidRDefault="00E4225F" w:rsidP="00E4225F">
      <w:pPr>
        <w:pStyle w:val="NICEnormalnumbered"/>
        <w:numPr>
          <w:ilvl w:val="1"/>
          <w:numId w:val="41"/>
        </w:numPr>
      </w:pPr>
      <w:r>
        <w:t xml:space="preserve">We are continuing with staff recruitment. Whilst this is progressing well, it </w:t>
      </w:r>
      <w:r w:rsidR="00E829A5">
        <w:t>places</w:t>
      </w:r>
      <w:r>
        <w:t xml:space="preserve"> </w:t>
      </w:r>
      <w:r w:rsidR="008A338D">
        <w:t xml:space="preserve">additional </w:t>
      </w:r>
      <w:r>
        <w:t xml:space="preserve">pressure on the existing team who support recruitment and on-boarding. </w:t>
      </w:r>
    </w:p>
    <w:p w14:paraId="3CC7BCB5" w14:textId="1113BB6E" w:rsidR="00E4225F" w:rsidRDefault="00E4225F" w:rsidP="00E4225F">
      <w:pPr>
        <w:pStyle w:val="NICEnormalnumbered"/>
        <w:numPr>
          <w:ilvl w:val="1"/>
          <w:numId w:val="41"/>
        </w:numPr>
      </w:pPr>
      <w:r>
        <w:lastRenderedPageBreak/>
        <w:t xml:space="preserve">Looking into 2021/22 and beyond, and to support the emerging strategy, we </w:t>
      </w:r>
      <w:r w:rsidR="008A338D">
        <w:t>have</w:t>
      </w:r>
      <w:r>
        <w:t xml:space="preserve"> requested some additional delivery management capacity</w:t>
      </w:r>
      <w:r w:rsidR="008A338D">
        <w:t xml:space="preserve"> as part of the 2021/22 business plan</w:t>
      </w:r>
      <w:r>
        <w:t xml:space="preserve">. </w:t>
      </w:r>
      <w:r w:rsidR="005B331E">
        <w:t xml:space="preserve">We have also identified budget for external expert input as part of the on-going transformation budget. </w:t>
      </w:r>
    </w:p>
    <w:p w14:paraId="0E742DA6" w14:textId="3E9736A2" w:rsidR="005B331E" w:rsidRDefault="005B331E" w:rsidP="00831491">
      <w:pPr>
        <w:pStyle w:val="NICEnormalnumbered"/>
      </w:pPr>
      <w:r>
        <w:t>The second risk we are monitoring in DIT relates to capacity</w:t>
      </w:r>
      <w:r w:rsidR="00D85B08">
        <w:t xml:space="preserve"> and capability in </w:t>
      </w:r>
      <w:r>
        <w:t>our IT infrastructure and operations team</w:t>
      </w:r>
      <w:r w:rsidR="00D85B08">
        <w:t>. The team</w:t>
      </w:r>
      <w:r>
        <w:t xml:space="preserve"> is under pressure to manage challenges in the delivery of the </w:t>
      </w:r>
      <w:r w:rsidRPr="005B331E">
        <w:t xml:space="preserve">shared </w:t>
      </w:r>
      <w:r>
        <w:t xml:space="preserve">IT solutions for Redman Place, to prepare for the transition </w:t>
      </w:r>
      <w:r w:rsidR="00D85B08">
        <w:t>from</w:t>
      </w:r>
      <w:r>
        <w:t xml:space="preserve"> our long</w:t>
      </w:r>
      <w:r w:rsidR="00E829A5">
        <w:t>-</w:t>
      </w:r>
      <w:r>
        <w:t>term managed service provider</w:t>
      </w:r>
      <w:r w:rsidR="00D85B08">
        <w:t xml:space="preserve"> whilst </w:t>
      </w:r>
      <w:r>
        <w:t>continu</w:t>
      </w:r>
      <w:r w:rsidR="00D85B08">
        <w:t xml:space="preserve">ing </w:t>
      </w:r>
      <w:r>
        <w:t>to support the organisation to operate remotely and prepar</w:t>
      </w:r>
      <w:r w:rsidR="00D85B08">
        <w:t xml:space="preserve">ing </w:t>
      </w:r>
      <w:r>
        <w:t>NICE offices for the days</w:t>
      </w:r>
      <w:r w:rsidR="0015571A">
        <w:t xml:space="preserve"> following the peak of the pandemic</w:t>
      </w:r>
      <w:r>
        <w:t xml:space="preserve">. Again, immediate mitigation is to prioritise between the important and the urgent. </w:t>
      </w:r>
      <w:r w:rsidR="000661B6">
        <w:t>W</w:t>
      </w:r>
      <w:r w:rsidR="000661B6" w:rsidRPr="000661B6">
        <w:t>e are considering training and development plans for the existing team</w:t>
      </w:r>
      <w:r w:rsidR="000661B6">
        <w:t xml:space="preserve">. </w:t>
      </w:r>
      <w:r>
        <w:t xml:space="preserve">We are also increasing team capacity with </w:t>
      </w:r>
      <w:r w:rsidR="00831491">
        <w:t xml:space="preserve">on-going </w:t>
      </w:r>
      <w:r>
        <w:t>recruitment to the help desk, the infrastructure team and to a</w:t>
      </w:r>
      <w:r w:rsidR="00E829A5">
        <w:t xml:space="preserve"> new</w:t>
      </w:r>
      <w:r>
        <w:t xml:space="preserve"> IT project management role</w:t>
      </w:r>
      <w:r w:rsidR="00D85B08" w:rsidRPr="00D85B08">
        <w:t>.</w:t>
      </w:r>
    </w:p>
    <w:p w14:paraId="57392637" w14:textId="73E95F28" w:rsidR="00FD60C8" w:rsidRDefault="00FD60C8" w:rsidP="00FD60C8">
      <w:pPr>
        <w:pStyle w:val="Heading1boardreport"/>
      </w:pPr>
      <w:r>
        <w:t>NICE web services - usage statistics</w:t>
      </w:r>
    </w:p>
    <w:p w14:paraId="7B0988B1" w14:textId="69D558B2" w:rsidR="00843435" w:rsidRDefault="00FD60C8" w:rsidP="00EE4D3F">
      <w:pPr>
        <w:pStyle w:val="NICEnormalnumbered"/>
      </w:pPr>
      <w:r w:rsidRPr="00FD60C8">
        <w:t xml:space="preserve">Summary: </w:t>
      </w:r>
      <w:r w:rsidR="00EE4D3F">
        <w:t>a</w:t>
      </w:r>
      <w:r w:rsidR="00EE4D3F" w:rsidRPr="00EE4D3F">
        <w:t xml:space="preserve"> new cookie banner and policy was published on core NICE services in October </w:t>
      </w:r>
      <w:proofErr w:type="gramStart"/>
      <w:r w:rsidR="00EE4D3F">
        <w:t xml:space="preserve">in order </w:t>
      </w:r>
      <w:r w:rsidR="00EE4D3F" w:rsidRPr="00EE4D3F">
        <w:t>to</w:t>
      </w:r>
      <w:proofErr w:type="gramEnd"/>
      <w:r w:rsidR="00EE4D3F" w:rsidRPr="00EE4D3F">
        <w:t xml:space="preserve"> be compliant with privacy legislation. This has an impact on the data we can collect and analyse going forwards</w:t>
      </w:r>
      <w:r w:rsidR="00EE4D3F">
        <w:t xml:space="preserve"> and means that some metrics, including the session totals </w:t>
      </w:r>
      <w:r w:rsidR="00DD1379">
        <w:t>referenced below</w:t>
      </w:r>
      <w:r w:rsidR="00EE4D3F">
        <w:t>, will be estimated from the subset of users who consent to cookie storage.</w:t>
      </w:r>
    </w:p>
    <w:p w14:paraId="53CBD66C" w14:textId="0B6DA11B" w:rsidR="008826F1" w:rsidRDefault="005774CB" w:rsidP="009C3FEE">
      <w:pPr>
        <w:pStyle w:val="NICEnormalnumbered"/>
      </w:pPr>
      <w:r>
        <w:t>Overall, sessions were up by 18% across all services compared to December last year. CKS and the BNF/</w:t>
      </w:r>
      <w:proofErr w:type="spellStart"/>
      <w:r>
        <w:t>BNFc</w:t>
      </w:r>
      <w:proofErr w:type="spellEnd"/>
      <w:r>
        <w:t xml:space="preserve"> </w:t>
      </w:r>
      <w:proofErr w:type="gramStart"/>
      <w:r>
        <w:t>in particular showed</w:t>
      </w:r>
      <w:proofErr w:type="gramEnd"/>
      <w:r>
        <w:t xml:space="preserve"> strong performance against last year, with increases of 29%, 28% and 20% respectively compared with December 2019. This is an even stronger performance than in September and October 2020. </w:t>
      </w:r>
    </w:p>
    <w:p w14:paraId="00D6EFAE" w14:textId="457D997A" w:rsidR="008826F1" w:rsidRDefault="005774CB" w:rsidP="005774CB">
      <w:pPr>
        <w:pStyle w:val="NICEnormalnumbered"/>
      </w:pPr>
      <w:r>
        <w:t xml:space="preserve">Pathways and HDAS by contrast show continued low traffic compared to last year's figures. HDAS is not being actively developed due to the </w:t>
      </w:r>
      <w:r>
        <w:lastRenderedPageBreak/>
        <w:t xml:space="preserve">services scheduled decommissioning.  Evidence </w:t>
      </w:r>
      <w:proofErr w:type="gramStart"/>
      <w:r>
        <w:t>search</w:t>
      </w:r>
      <w:proofErr w:type="gramEnd"/>
      <w:r>
        <w:t xml:space="preserve"> traffic dropped further in November and December, after a sustained period of good performance through most of 2020.</w:t>
      </w:r>
      <w:r w:rsidRPr="00FD60C8" w:rsidDel="000F4831">
        <w:t xml:space="preserve"> </w:t>
      </w:r>
      <w:r>
        <w:t xml:space="preserve">Traffic </w:t>
      </w:r>
      <w:r w:rsidR="005E448A">
        <w:t xml:space="preserve">is </w:t>
      </w:r>
      <w:r w:rsidR="00C37FBD">
        <w:t xml:space="preserve">now </w:t>
      </w:r>
      <w:r w:rsidR="005E448A">
        <w:t>down 46% against the figure for December 2019</w:t>
      </w:r>
      <w:r>
        <w:t>. In the past, such a drop in the Evidence Search performance was explained by a change in Google's indexing policy</w:t>
      </w:r>
      <w:r w:rsidR="00431E8B">
        <w:t xml:space="preserve"> in favour of primary sources of information</w:t>
      </w:r>
      <w:r>
        <w:t xml:space="preserve">. </w:t>
      </w:r>
    </w:p>
    <w:p w14:paraId="2AA0C7F8" w14:textId="752432E8" w:rsidR="00D92647" w:rsidRDefault="00D92647">
      <w:pPr>
        <w:rPr>
          <w:rFonts w:ascii="Arial" w:hAnsi="Arial"/>
          <w:lang w:eastAsia="en-GB"/>
        </w:rPr>
      </w:pPr>
      <w:r>
        <w:br w:type="page"/>
      </w:r>
    </w:p>
    <w:p w14:paraId="23D87FD3" w14:textId="77777777" w:rsidR="004469AA" w:rsidRDefault="004469AA" w:rsidP="004469AA">
      <w:pPr>
        <w:pStyle w:val="Caption"/>
      </w:pPr>
      <w:r>
        <w:lastRenderedPageBreak/>
        <w:t xml:space="preserve">Figures 1-2: December 2020 sessions for all NICE web-based </w:t>
      </w:r>
      <w:proofErr w:type="gramStart"/>
      <w:r>
        <w:t>services</w:t>
      </w:r>
      <w:proofErr w:type="gramEnd"/>
    </w:p>
    <w:p w14:paraId="35B57DDD" w14:textId="77777777" w:rsidR="004469AA" w:rsidRDefault="004469AA" w:rsidP="004469AA">
      <w:pPr>
        <w:pStyle w:val="NICEnormal"/>
      </w:pPr>
      <w:r>
        <w:t>Note: A session is a period of activity by a user on a website. Session totals from Oct 2020 onwards are estimated from a sample and are rounded to the nearest 1,000 to reflect this reduced accuracy.</w:t>
      </w:r>
    </w:p>
    <w:p w14:paraId="5DC2C2A0" w14:textId="77777777" w:rsidR="004469AA" w:rsidRDefault="004469AA" w:rsidP="004469AA">
      <w:pPr>
        <w:pStyle w:val="NICEnormal"/>
      </w:pPr>
      <w:r w:rsidRPr="004469AA">
        <w:rPr>
          <w:noProof/>
        </w:rPr>
        <w:drawing>
          <wp:inline distT="0" distB="0" distL="0" distR="0" wp14:anchorId="061D2DE6" wp14:editId="205A4E93">
            <wp:extent cx="5278755" cy="2921000"/>
            <wp:effectExtent l="0" t="0" r="17145" b="12700"/>
            <wp:docPr id="1" name="Chart 1" descr="The largest web-based service of NICE by sessions is the BNF website with 2.5m sessions in December 2020. Next is the NICE.org website with over 1.6 million session in the same month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3000000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3"/>
        <w:gridCol w:w="1400"/>
      </w:tblGrid>
      <w:tr w:rsidR="004469AA" w14:paraId="320F543B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A926" w14:textId="77777777" w:rsidR="004469AA" w:rsidRDefault="004469AA">
            <w:r>
              <w:t>Total sessions in December 2020 across NICE web-based services</w:t>
            </w:r>
          </w:p>
          <w:p w14:paraId="13B16DE3" w14:textId="00F90CEE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DBF3" w14:textId="77777777" w:rsidR="004469AA" w:rsidRDefault="004469AA" w:rsidP="004469AA">
            <w:r>
              <w:t xml:space="preserve">5,832,000 </w:t>
            </w:r>
          </w:p>
          <w:p w14:paraId="18D15750" w14:textId="26D91E58" w:rsidR="004469AA" w:rsidRPr="004469AA" w:rsidRDefault="004469AA" w:rsidP="004469AA"/>
        </w:tc>
      </w:tr>
      <w:tr w:rsidR="004469AA" w14:paraId="7CCFDCD0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7CDB" w14:textId="77777777" w:rsidR="004469AA" w:rsidRDefault="004469AA">
            <w:r>
              <w:t>% year-on-year variance</w:t>
            </w:r>
          </w:p>
          <w:p w14:paraId="111F2FCE" w14:textId="27BF0C74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4E21A" w14:textId="77777777" w:rsidR="004469AA" w:rsidRDefault="004469AA" w:rsidP="004469AA">
            <w:r>
              <w:t>18%</w:t>
            </w:r>
          </w:p>
          <w:p w14:paraId="7479B98A" w14:textId="16A87388" w:rsidR="004469AA" w:rsidRPr="004469AA" w:rsidRDefault="004469AA" w:rsidP="004469AA"/>
        </w:tc>
      </w:tr>
      <w:tr w:rsidR="004469AA" w14:paraId="78CD7A82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C195" w14:textId="643ED769" w:rsidR="004469AA" w:rsidRDefault="004469AA">
            <w:r>
              <w:t xml:space="preserve">% </w:t>
            </w:r>
            <w:r w:rsidR="00AA4EA2">
              <w:t xml:space="preserve">change from previous </w:t>
            </w:r>
            <w:r w:rsidR="00AA4EA2" w:rsidRPr="00AA4EA2">
              <w:t>month</w:t>
            </w:r>
            <w:r w:rsidR="00AA4EA2" w:rsidRPr="00AA4EA2">
              <w:t xml:space="preserve"> (seasonal)</w:t>
            </w:r>
          </w:p>
          <w:p w14:paraId="4D57172A" w14:textId="3BDC59B1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E6F6" w14:textId="77777777" w:rsidR="004469AA" w:rsidRDefault="004469AA" w:rsidP="004469AA">
            <w:r>
              <w:t>-12%</w:t>
            </w:r>
          </w:p>
          <w:p w14:paraId="21208CFD" w14:textId="561403FD" w:rsidR="004469AA" w:rsidRPr="004469AA" w:rsidRDefault="004469AA" w:rsidP="004469AA"/>
        </w:tc>
      </w:tr>
      <w:tr w:rsidR="004469AA" w14:paraId="1B1A8586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9267" w14:textId="77777777" w:rsidR="004469AA" w:rsidRDefault="004469AA">
            <w:r>
              <w:t xml:space="preserve">Total sessions for the full year ending in December 2020 across NICE web-based </w:t>
            </w:r>
            <w:proofErr w:type="gramStart"/>
            <w:r>
              <w:t>services</w:t>
            </w:r>
            <w:proofErr w:type="gramEnd"/>
          </w:p>
          <w:p w14:paraId="7DE1BAB1" w14:textId="780679CC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2810" w14:textId="77777777" w:rsidR="004469AA" w:rsidRDefault="004469AA" w:rsidP="004469AA">
            <w:r>
              <w:t xml:space="preserve">67,996,000 </w:t>
            </w:r>
          </w:p>
          <w:p w14:paraId="57C4270A" w14:textId="721FF25F" w:rsidR="004469AA" w:rsidRPr="004469AA" w:rsidRDefault="004469AA" w:rsidP="004469AA"/>
        </w:tc>
      </w:tr>
      <w:tr w:rsidR="004469AA" w14:paraId="1F17BCCE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1AA" w14:textId="77777777" w:rsidR="004469AA" w:rsidRDefault="004469AA">
            <w:r>
              <w:t>% year-on-year variance</w:t>
            </w:r>
          </w:p>
          <w:p w14:paraId="638125D1" w14:textId="3D1583E3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0773" w14:textId="77777777" w:rsidR="004469AA" w:rsidRDefault="004469AA" w:rsidP="004469AA">
            <w:r>
              <w:t>8%</w:t>
            </w:r>
          </w:p>
          <w:p w14:paraId="6C94AF58" w14:textId="36187D27" w:rsidR="004469AA" w:rsidRPr="004469AA" w:rsidRDefault="004469AA" w:rsidP="004469AA"/>
        </w:tc>
      </w:tr>
    </w:tbl>
    <w:p w14:paraId="00F83768" w14:textId="77777777" w:rsidR="004469AA" w:rsidRDefault="004469AA" w:rsidP="004469AA">
      <w:pPr>
        <w:pStyle w:val="NICEnormal"/>
      </w:pPr>
    </w:p>
    <w:p w14:paraId="124D7B43" w14:textId="4D724036" w:rsidR="004469AA" w:rsidRDefault="004469AA" w:rsidP="004469AA">
      <w:pPr>
        <w:pStyle w:val="NICEnormal"/>
      </w:pPr>
      <w:r>
        <w:t xml:space="preserve"> </w:t>
      </w:r>
    </w:p>
    <w:p w14:paraId="0A4627C4" w14:textId="77777777" w:rsidR="004469AA" w:rsidRDefault="004469AA" w:rsidP="004469AA">
      <w:pPr>
        <w:pStyle w:val="Caption"/>
      </w:pPr>
      <w:r>
        <w:lastRenderedPageBreak/>
        <w:t xml:space="preserve">Figures 3-6: Performance of web services providing access to NICE guidance and </w:t>
      </w:r>
      <w:proofErr w:type="gramStart"/>
      <w:r>
        <w:t>advice</w:t>
      </w:r>
      <w:proofErr w:type="gramEnd"/>
    </w:p>
    <w:p w14:paraId="4A824AC2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45F03CC7" wp14:editId="124ABCC1">
            <wp:extent cx="5278755" cy="2286000"/>
            <wp:effectExtent l="0" t="0" r="17145" b="0"/>
            <wp:docPr id="86" name="Chart 86" descr="Traffic on the NICE.org website was up by 17% in December 2020 compared to December 2019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1949EFDF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BD8DB8" w14:textId="77777777" w:rsidR="004469AA" w:rsidRDefault="004469AA">
            <w:r>
              <w:t>Total sessions on NICE.org in December 2020</w:t>
            </w:r>
          </w:p>
          <w:p w14:paraId="037ADA62" w14:textId="07C445FC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6335" w14:textId="77777777" w:rsidR="004469AA" w:rsidRDefault="004469AA" w:rsidP="004469AA">
            <w:r>
              <w:t xml:space="preserve">1,623,000 </w:t>
            </w:r>
          </w:p>
          <w:p w14:paraId="1B189647" w14:textId="76723746" w:rsidR="004469AA" w:rsidRPr="004469AA" w:rsidRDefault="004469AA" w:rsidP="004469AA"/>
        </w:tc>
      </w:tr>
      <w:tr w:rsidR="004469AA" w14:paraId="19EE85EF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F6AA" w14:textId="77777777" w:rsidR="004469AA" w:rsidRDefault="004469AA">
            <w:r>
              <w:t>% year-on-year variance</w:t>
            </w:r>
          </w:p>
          <w:p w14:paraId="4483FBD4" w14:textId="06707137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06E0" w14:textId="77777777" w:rsidR="004469AA" w:rsidRDefault="004469AA" w:rsidP="004469AA">
            <w:r>
              <w:t>17%</w:t>
            </w:r>
          </w:p>
          <w:p w14:paraId="1660C83D" w14:textId="4DB3B31C" w:rsidR="004469AA" w:rsidRPr="004469AA" w:rsidRDefault="004469AA" w:rsidP="004469AA"/>
        </w:tc>
      </w:tr>
      <w:tr w:rsidR="004469AA" w14:paraId="17F062E5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48D0" w14:textId="4969A570" w:rsidR="004469AA" w:rsidRDefault="004469AA">
            <w:r>
              <w:t xml:space="preserve">% </w:t>
            </w:r>
            <w:r w:rsidR="00AA4EA2">
              <w:t xml:space="preserve">change from previous </w:t>
            </w:r>
            <w:r w:rsidR="00AA4EA2" w:rsidRPr="00AA4EA2">
              <w:t>month</w:t>
            </w:r>
            <w:r w:rsidR="00AA4EA2" w:rsidRPr="00AA4EA2">
              <w:t xml:space="preserve"> (seasonal)</w:t>
            </w:r>
          </w:p>
          <w:p w14:paraId="6E94D705" w14:textId="5A1DAEF1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16F9" w14:textId="77777777" w:rsidR="004469AA" w:rsidRDefault="004469AA" w:rsidP="004469AA">
            <w:r>
              <w:t>-16%</w:t>
            </w:r>
          </w:p>
          <w:p w14:paraId="5F09D9AB" w14:textId="1391ACE9" w:rsidR="004469AA" w:rsidRPr="004469AA" w:rsidRDefault="004469AA" w:rsidP="004469AA"/>
        </w:tc>
      </w:tr>
      <w:tr w:rsidR="004469AA" w14:paraId="159C4C6B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5D5E" w14:textId="77777777" w:rsidR="004469AA" w:rsidRDefault="004469AA">
            <w:r>
              <w:t xml:space="preserve">Sessions on NICE.org in year ending December </w:t>
            </w:r>
            <w:proofErr w:type="gramStart"/>
            <w:r>
              <w:t>2020</w:t>
            </w:r>
            <w:proofErr w:type="gramEnd"/>
          </w:p>
          <w:p w14:paraId="7C0EA2A3" w14:textId="29E4F031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683F" w14:textId="77777777" w:rsidR="004469AA" w:rsidRDefault="004469AA" w:rsidP="004469AA">
            <w:r>
              <w:t xml:space="preserve">20,450,000 </w:t>
            </w:r>
          </w:p>
          <w:p w14:paraId="588230F0" w14:textId="2DFCB6E0" w:rsidR="004469AA" w:rsidRPr="004469AA" w:rsidRDefault="004469AA" w:rsidP="004469AA"/>
        </w:tc>
      </w:tr>
      <w:tr w:rsidR="004469AA" w14:paraId="371C978F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0875" w14:textId="77777777" w:rsidR="004469AA" w:rsidRDefault="004469AA">
            <w:r>
              <w:t>% year-on-year variance</w:t>
            </w:r>
          </w:p>
          <w:p w14:paraId="282C678F" w14:textId="5090E42A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DAA8" w14:textId="77777777" w:rsidR="004469AA" w:rsidRDefault="004469AA" w:rsidP="004469AA">
            <w:r>
              <w:t>4%</w:t>
            </w:r>
          </w:p>
          <w:p w14:paraId="4A8DA5C0" w14:textId="643E6216" w:rsidR="004469AA" w:rsidRPr="004469AA" w:rsidRDefault="004469AA" w:rsidP="004469AA"/>
        </w:tc>
      </w:tr>
    </w:tbl>
    <w:p w14:paraId="39A5D571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1EB0C97A" wp14:editId="24792475">
            <wp:extent cx="5278755" cy="2286000"/>
            <wp:effectExtent l="0" t="0" r="17145" b="0"/>
            <wp:docPr id="87" name="Chart 87" descr="Traffic on Pathways was up by 5% in December 2020 compared to December 20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4E8AD07D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D92D" w14:textId="77777777" w:rsidR="004469AA" w:rsidRDefault="004469AA">
            <w:r>
              <w:t>Total sessions on Pathways in December 2020</w:t>
            </w:r>
          </w:p>
          <w:p w14:paraId="29FA3521" w14:textId="695D3FBB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6618" w14:textId="77777777" w:rsidR="004469AA" w:rsidRDefault="004469AA" w:rsidP="004469AA">
            <w:r>
              <w:t xml:space="preserve">187,000 </w:t>
            </w:r>
          </w:p>
          <w:p w14:paraId="7ED50E19" w14:textId="4A2355A5" w:rsidR="004469AA" w:rsidRPr="004469AA" w:rsidRDefault="004469AA" w:rsidP="004469AA"/>
        </w:tc>
      </w:tr>
      <w:tr w:rsidR="004469AA" w14:paraId="27E1CAF1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5BC4" w14:textId="77777777" w:rsidR="004469AA" w:rsidRDefault="004469AA">
            <w:r>
              <w:t>% year-on-year variance</w:t>
            </w:r>
          </w:p>
          <w:p w14:paraId="3E6D2B8B" w14:textId="3CD7D356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D181" w14:textId="77777777" w:rsidR="004469AA" w:rsidRDefault="004469AA" w:rsidP="004469AA">
            <w:r>
              <w:t>5%</w:t>
            </w:r>
          </w:p>
          <w:p w14:paraId="7D2C4F0E" w14:textId="7ED4B87F" w:rsidR="004469AA" w:rsidRPr="004469AA" w:rsidRDefault="004469AA" w:rsidP="004469AA"/>
        </w:tc>
      </w:tr>
      <w:tr w:rsidR="004469AA" w14:paraId="1116CF4A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5AD9D" w14:textId="74FC8ECE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1C3346F6" w14:textId="3B80E5B4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4511" w14:textId="77777777" w:rsidR="004469AA" w:rsidRDefault="004469AA" w:rsidP="004469AA">
            <w:r>
              <w:t>-20%</w:t>
            </w:r>
          </w:p>
          <w:p w14:paraId="763602D0" w14:textId="1A14A172" w:rsidR="004469AA" w:rsidRPr="004469AA" w:rsidRDefault="004469AA" w:rsidP="004469AA"/>
        </w:tc>
      </w:tr>
      <w:tr w:rsidR="004469AA" w14:paraId="3085457E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46D2" w14:textId="77777777" w:rsidR="004469AA" w:rsidRDefault="004469AA">
            <w:r>
              <w:lastRenderedPageBreak/>
              <w:t xml:space="preserve">Sessions on Pathways in year ending December </w:t>
            </w:r>
            <w:proofErr w:type="gramStart"/>
            <w:r>
              <w:t>2020</w:t>
            </w:r>
            <w:proofErr w:type="gramEnd"/>
          </w:p>
          <w:p w14:paraId="331B08C0" w14:textId="09CC341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D9D0" w14:textId="77777777" w:rsidR="004469AA" w:rsidRDefault="004469AA" w:rsidP="004469AA">
            <w:r>
              <w:t xml:space="preserve">2,410,000 </w:t>
            </w:r>
          </w:p>
          <w:p w14:paraId="2F2B7070" w14:textId="1DDD391D" w:rsidR="004469AA" w:rsidRPr="004469AA" w:rsidRDefault="004469AA" w:rsidP="004469AA"/>
        </w:tc>
      </w:tr>
      <w:tr w:rsidR="004469AA" w14:paraId="0CA7CCF5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0BC7" w14:textId="77777777" w:rsidR="004469AA" w:rsidRDefault="004469AA">
            <w:r>
              <w:t>% year-on-year variance</w:t>
            </w:r>
          </w:p>
          <w:p w14:paraId="03C7AD39" w14:textId="2B37390A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D021" w14:textId="77777777" w:rsidR="004469AA" w:rsidRDefault="004469AA" w:rsidP="004469AA">
            <w:r>
              <w:t>-12%</w:t>
            </w:r>
          </w:p>
          <w:p w14:paraId="1E4D0AE6" w14:textId="40235AD1" w:rsidR="004469AA" w:rsidRPr="004469AA" w:rsidRDefault="004469AA" w:rsidP="004469AA"/>
        </w:tc>
      </w:tr>
    </w:tbl>
    <w:p w14:paraId="6788515E" w14:textId="77777777" w:rsidR="004469AA" w:rsidRDefault="004469AA" w:rsidP="004469AA">
      <w:pPr>
        <w:pStyle w:val="Caption"/>
      </w:pPr>
      <w:r>
        <w:t xml:space="preserve">Figures 7-12: Performance of services that provide access to other forms of </w:t>
      </w:r>
      <w:proofErr w:type="gramStart"/>
      <w:r>
        <w:t>evidence</w:t>
      </w:r>
      <w:proofErr w:type="gramEnd"/>
    </w:p>
    <w:p w14:paraId="05A7CC52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010A0567" wp14:editId="0FC2E2B6">
            <wp:extent cx="5278755" cy="2286000"/>
            <wp:effectExtent l="0" t="0" r="17145" b="0"/>
            <wp:docPr id="88" name="Chart 88" descr="Traffic on Evidence Search fell in December 2020 to 46% lower than December 2019. This continues poor performance seen since Octobe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07A9BEDC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AB87" w14:textId="77777777" w:rsidR="004469AA" w:rsidRDefault="004469AA">
            <w:r>
              <w:t>Total sessions on Evidence Search in December 2020</w:t>
            </w:r>
          </w:p>
          <w:p w14:paraId="11561153" w14:textId="6A0017A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5446" w14:textId="77777777" w:rsidR="004469AA" w:rsidRDefault="004469AA" w:rsidP="004469AA">
            <w:r>
              <w:t xml:space="preserve">222,000 </w:t>
            </w:r>
          </w:p>
          <w:p w14:paraId="2DE36516" w14:textId="3E7CA27C" w:rsidR="004469AA" w:rsidRPr="004469AA" w:rsidRDefault="004469AA" w:rsidP="004469AA"/>
        </w:tc>
      </w:tr>
      <w:tr w:rsidR="004469AA" w14:paraId="1A7F94E1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9EDA" w14:textId="77777777" w:rsidR="004469AA" w:rsidRDefault="004469AA">
            <w:r>
              <w:t>% year-on-year variance</w:t>
            </w:r>
          </w:p>
          <w:p w14:paraId="160BA470" w14:textId="178B3D7D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AE0B" w14:textId="77777777" w:rsidR="004469AA" w:rsidRDefault="004469AA" w:rsidP="004469AA">
            <w:r>
              <w:t>-46%</w:t>
            </w:r>
          </w:p>
          <w:p w14:paraId="57B01E19" w14:textId="14B1DCF0" w:rsidR="004469AA" w:rsidRPr="004469AA" w:rsidRDefault="004469AA" w:rsidP="004469AA"/>
        </w:tc>
      </w:tr>
      <w:tr w:rsidR="004469AA" w14:paraId="68AEE19E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24F3B" w14:textId="17FF5BDD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2B7F2F84" w14:textId="590A683C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15F3E" w14:textId="77777777" w:rsidR="004469AA" w:rsidRDefault="004469AA" w:rsidP="004469AA">
            <w:r>
              <w:t>-28%</w:t>
            </w:r>
          </w:p>
          <w:p w14:paraId="494EA222" w14:textId="6F513D16" w:rsidR="004469AA" w:rsidRPr="004469AA" w:rsidRDefault="004469AA" w:rsidP="004469AA"/>
        </w:tc>
      </w:tr>
      <w:tr w:rsidR="004469AA" w14:paraId="38C21A8D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9DF4" w14:textId="77777777" w:rsidR="004469AA" w:rsidRDefault="004469AA">
            <w:r>
              <w:t xml:space="preserve">Sessions on Evidence Search in year ending December </w:t>
            </w:r>
            <w:proofErr w:type="gramStart"/>
            <w:r>
              <w:t>2020</w:t>
            </w:r>
            <w:proofErr w:type="gramEnd"/>
          </w:p>
          <w:p w14:paraId="1812607D" w14:textId="25DC08E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B2AF" w14:textId="77777777" w:rsidR="004469AA" w:rsidRDefault="004469AA" w:rsidP="004469AA">
            <w:r>
              <w:t xml:space="preserve">4,350,000 </w:t>
            </w:r>
          </w:p>
          <w:p w14:paraId="140C5914" w14:textId="21194772" w:rsidR="004469AA" w:rsidRPr="004469AA" w:rsidRDefault="004469AA" w:rsidP="004469AA"/>
        </w:tc>
      </w:tr>
      <w:tr w:rsidR="004469AA" w14:paraId="0D707535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90264" w14:textId="77777777" w:rsidR="004469AA" w:rsidRDefault="004469AA">
            <w:r>
              <w:t>% year-on-year variance</w:t>
            </w:r>
          </w:p>
          <w:p w14:paraId="0981553D" w14:textId="68A5FFF3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38FF" w14:textId="77777777" w:rsidR="004469AA" w:rsidRDefault="004469AA" w:rsidP="004469AA">
            <w:r>
              <w:t>4%</w:t>
            </w:r>
          </w:p>
          <w:p w14:paraId="41AFB99C" w14:textId="2AC3B9A2" w:rsidR="004469AA" w:rsidRPr="004469AA" w:rsidRDefault="004469AA" w:rsidP="004469AA"/>
        </w:tc>
      </w:tr>
    </w:tbl>
    <w:p w14:paraId="53B5AAA0" w14:textId="77777777" w:rsidR="004469AA" w:rsidRDefault="004469AA" w:rsidP="004469AA">
      <w:pPr>
        <w:pStyle w:val="Caption"/>
      </w:pPr>
      <w:r w:rsidRPr="004469AA">
        <w:rPr>
          <w:noProof/>
        </w:rPr>
        <w:lastRenderedPageBreak/>
        <w:drawing>
          <wp:inline distT="0" distB="0" distL="0" distR="0" wp14:anchorId="0F2DF1C3" wp14:editId="0BE7AA34">
            <wp:extent cx="5278755" cy="2286000"/>
            <wp:effectExtent l="0" t="0" r="17145" b="0"/>
            <wp:docPr id="89" name="Chart 89" descr="Traffic on the CKS website was up by 29% in December 2020 compared to December 2019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215AD446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3265" w14:textId="77777777" w:rsidR="004469AA" w:rsidRDefault="004469AA">
            <w:r>
              <w:t>Total sessions on CKS in December 2020</w:t>
            </w:r>
          </w:p>
          <w:p w14:paraId="7B5F93A3" w14:textId="262F15B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1BB60" w14:textId="77777777" w:rsidR="004469AA" w:rsidRDefault="004469AA" w:rsidP="004469AA">
            <w:r>
              <w:t xml:space="preserve">1,029,000 </w:t>
            </w:r>
          </w:p>
          <w:p w14:paraId="1CAFDA6A" w14:textId="6B7A2CB3" w:rsidR="004469AA" w:rsidRPr="004469AA" w:rsidRDefault="004469AA" w:rsidP="004469AA"/>
        </w:tc>
      </w:tr>
      <w:tr w:rsidR="004469AA" w14:paraId="2AC764C7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2DCD" w14:textId="77777777" w:rsidR="004469AA" w:rsidRDefault="004469AA">
            <w:r>
              <w:t>% year-on-year variance</w:t>
            </w:r>
          </w:p>
          <w:p w14:paraId="348E4B03" w14:textId="77F5F3E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3BC9" w14:textId="77777777" w:rsidR="004469AA" w:rsidRDefault="004469AA" w:rsidP="004469AA">
            <w:r>
              <w:t>29%</w:t>
            </w:r>
          </w:p>
          <w:p w14:paraId="51E073CD" w14:textId="078B6F08" w:rsidR="004469AA" w:rsidRPr="004469AA" w:rsidRDefault="004469AA" w:rsidP="004469AA"/>
        </w:tc>
      </w:tr>
      <w:tr w:rsidR="004469AA" w14:paraId="3F646930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532F" w14:textId="3A73FDD5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3E71EFF3" w14:textId="7E313151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47C2" w14:textId="77777777" w:rsidR="004469AA" w:rsidRDefault="004469AA" w:rsidP="004469AA">
            <w:r>
              <w:t>-8%</w:t>
            </w:r>
          </w:p>
          <w:p w14:paraId="340F05F5" w14:textId="559C69BC" w:rsidR="004469AA" w:rsidRPr="004469AA" w:rsidRDefault="004469AA" w:rsidP="004469AA"/>
        </w:tc>
      </w:tr>
      <w:tr w:rsidR="004469AA" w14:paraId="07D298B2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18BD" w14:textId="77777777" w:rsidR="004469AA" w:rsidRDefault="004469AA">
            <w:r>
              <w:t xml:space="preserve">Sessions on CKS in year ending December </w:t>
            </w:r>
            <w:proofErr w:type="gramStart"/>
            <w:r>
              <w:t>2020</w:t>
            </w:r>
            <w:proofErr w:type="gramEnd"/>
          </w:p>
          <w:p w14:paraId="0A242078" w14:textId="2BD74497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498A" w14:textId="77777777" w:rsidR="004469AA" w:rsidRDefault="004469AA" w:rsidP="004469AA">
            <w:r>
              <w:t xml:space="preserve">11,343,000 </w:t>
            </w:r>
          </w:p>
          <w:p w14:paraId="26FE60C1" w14:textId="38D06EBE" w:rsidR="004469AA" w:rsidRPr="004469AA" w:rsidRDefault="004469AA" w:rsidP="004469AA"/>
        </w:tc>
      </w:tr>
      <w:tr w:rsidR="004469AA" w14:paraId="7F49A579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21BD" w14:textId="77777777" w:rsidR="004469AA" w:rsidRDefault="004469AA">
            <w:r>
              <w:t>% year-on-year variance</w:t>
            </w:r>
          </w:p>
          <w:p w14:paraId="35388A34" w14:textId="4BD2A46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7737" w14:textId="77777777" w:rsidR="004469AA" w:rsidRDefault="004469AA" w:rsidP="004469AA">
            <w:r>
              <w:t>11%</w:t>
            </w:r>
          </w:p>
          <w:p w14:paraId="551AC6CE" w14:textId="62010FC2" w:rsidR="004469AA" w:rsidRPr="004469AA" w:rsidRDefault="004469AA" w:rsidP="004469AA"/>
        </w:tc>
      </w:tr>
    </w:tbl>
    <w:p w14:paraId="5FF15A2F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00EB3F90" wp14:editId="4850FB74">
            <wp:extent cx="5278755" cy="2286000"/>
            <wp:effectExtent l="0" t="0" r="17145" b="0"/>
            <wp:docPr id="90" name="Chart 90" descr="Traffic on HDAS was down 13% in December 2020 compared to December 2019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6689F9FD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50DE" w14:textId="77777777" w:rsidR="004469AA" w:rsidRDefault="004469AA">
            <w:r>
              <w:t>Total sessions on HDAS in December 2020</w:t>
            </w:r>
          </w:p>
          <w:p w14:paraId="491D9497" w14:textId="07212399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9880" w14:textId="77777777" w:rsidR="004469AA" w:rsidRDefault="004469AA" w:rsidP="004469AA">
            <w:r>
              <w:t xml:space="preserve">20,000 </w:t>
            </w:r>
          </w:p>
          <w:p w14:paraId="0EDA44B1" w14:textId="6D7D0E25" w:rsidR="004469AA" w:rsidRPr="004469AA" w:rsidRDefault="004469AA" w:rsidP="004469AA"/>
        </w:tc>
      </w:tr>
      <w:tr w:rsidR="004469AA" w14:paraId="013E698B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5CEB" w14:textId="77777777" w:rsidR="004469AA" w:rsidRDefault="004469AA">
            <w:r>
              <w:t>% year-on-year variance</w:t>
            </w:r>
          </w:p>
          <w:p w14:paraId="564847E2" w14:textId="046DB1B7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B912" w14:textId="77777777" w:rsidR="004469AA" w:rsidRDefault="004469AA" w:rsidP="004469AA">
            <w:r>
              <w:t>-13%</w:t>
            </w:r>
          </w:p>
          <w:p w14:paraId="2DFA954D" w14:textId="654875A2" w:rsidR="004469AA" w:rsidRPr="004469AA" w:rsidRDefault="004469AA" w:rsidP="004469AA"/>
        </w:tc>
      </w:tr>
      <w:tr w:rsidR="004469AA" w14:paraId="3B165552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4096" w14:textId="0EDDB856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5263A04F" w14:textId="52D03BBC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D2B9" w14:textId="77777777" w:rsidR="004469AA" w:rsidRDefault="004469AA" w:rsidP="004469AA">
            <w:r>
              <w:t>-23%</w:t>
            </w:r>
          </w:p>
          <w:p w14:paraId="5309D3FC" w14:textId="34D02CAE" w:rsidR="004469AA" w:rsidRPr="004469AA" w:rsidRDefault="004469AA" w:rsidP="004469AA"/>
        </w:tc>
      </w:tr>
      <w:tr w:rsidR="004469AA" w14:paraId="4E01B75C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B24A" w14:textId="77777777" w:rsidR="004469AA" w:rsidRDefault="004469AA">
            <w:r>
              <w:t xml:space="preserve">Sessions on HDAS in year ending December </w:t>
            </w:r>
            <w:proofErr w:type="gramStart"/>
            <w:r>
              <w:t>2020</w:t>
            </w:r>
            <w:proofErr w:type="gramEnd"/>
          </w:p>
          <w:p w14:paraId="62D3FE68" w14:textId="7CEDE3C3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13CA" w14:textId="77777777" w:rsidR="004469AA" w:rsidRDefault="004469AA" w:rsidP="004469AA">
            <w:r>
              <w:t xml:space="preserve">285,000 </w:t>
            </w:r>
          </w:p>
          <w:p w14:paraId="79D3D0E4" w14:textId="6B8E2D19" w:rsidR="004469AA" w:rsidRPr="004469AA" w:rsidRDefault="004469AA" w:rsidP="004469AA"/>
        </w:tc>
      </w:tr>
      <w:tr w:rsidR="004469AA" w14:paraId="78DD9C99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5AC0" w14:textId="77777777" w:rsidR="004469AA" w:rsidRDefault="004469AA">
            <w:r>
              <w:t>% year-on-year variance</w:t>
            </w:r>
          </w:p>
          <w:p w14:paraId="32E41A11" w14:textId="031B91A0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6950" w14:textId="77777777" w:rsidR="004469AA" w:rsidRDefault="004469AA" w:rsidP="004469AA">
            <w:r>
              <w:t>-13%</w:t>
            </w:r>
          </w:p>
          <w:p w14:paraId="73C8C940" w14:textId="3A104C93" w:rsidR="004469AA" w:rsidRPr="004469AA" w:rsidRDefault="004469AA" w:rsidP="004469AA"/>
        </w:tc>
      </w:tr>
    </w:tbl>
    <w:p w14:paraId="0BEFA911" w14:textId="77777777" w:rsidR="004469AA" w:rsidRDefault="004469AA" w:rsidP="004469AA">
      <w:pPr>
        <w:pStyle w:val="Caption"/>
      </w:pPr>
      <w:r>
        <w:lastRenderedPageBreak/>
        <w:t xml:space="preserve">Figures 13-16: Performance of services providing access to the BNF </w:t>
      </w:r>
      <w:proofErr w:type="gramStart"/>
      <w:r>
        <w:t>content</w:t>
      </w:r>
      <w:proofErr w:type="gramEnd"/>
    </w:p>
    <w:p w14:paraId="39C0DFA6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4070251C" wp14:editId="190E9012">
            <wp:extent cx="5278755" cy="2286000"/>
            <wp:effectExtent l="0" t="0" r="17145" b="0"/>
            <wp:docPr id="91" name="Chart 91" descr="Traffic on the BNF website was up by 28% in December 2020 compared to December 2019, continuing the trend of growth on this servic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4119F15A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B441" w14:textId="77777777" w:rsidR="004469AA" w:rsidRDefault="004469AA">
            <w:r>
              <w:t>Total sessions on BNF site in December 2020</w:t>
            </w:r>
          </w:p>
          <w:p w14:paraId="3750C5C3" w14:textId="41153B82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3D26" w14:textId="77777777" w:rsidR="004469AA" w:rsidRDefault="004469AA" w:rsidP="004469AA">
            <w:r>
              <w:t xml:space="preserve">2,494,000 </w:t>
            </w:r>
          </w:p>
          <w:p w14:paraId="30BF973E" w14:textId="662CC44A" w:rsidR="004469AA" w:rsidRPr="004469AA" w:rsidRDefault="004469AA" w:rsidP="004469AA"/>
        </w:tc>
      </w:tr>
      <w:tr w:rsidR="004469AA" w14:paraId="58184A80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69D51" w14:textId="77777777" w:rsidR="004469AA" w:rsidRDefault="004469AA">
            <w:r>
              <w:t>% year-on-year variance</w:t>
            </w:r>
          </w:p>
          <w:p w14:paraId="1B4CDCA5" w14:textId="710ACF7B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2937" w14:textId="77777777" w:rsidR="004469AA" w:rsidRDefault="004469AA" w:rsidP="004469AA">
            <w:r>
              <w:t>28%</w:t>
            </w:r>
          </w:p>
          <w:p w14:paraId="6EB95C56" w14:textId="15A16A06" w:rsidR="004469AA" w:rsidRPr="004469AA" w:rsidRDefault="004469AA" w:rsidP="004469AA"/>
        </w:tc>
      </w:tr>
      <w:tr w:rsidR="004469AA" w14:paraId="74479555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A6EA" w14:textId="6AF57A8E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36EEE2B2" w14:textId="670B2A10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EEFB" w14:textId="77777777" w:rsidR="004469AA" w:rsidRDefault="004469AA" w:rsidP="004469AA">
            <w:r>
              <w:t>-9%</w:t>
            </w:r>
          </w:p>
          <w:p w14:paraId="057BAA79" w14:textId="06778DCF" w:rsidR="004469AA" w:rsidRPr="004469AA" w:rsidRDefault="004469AA" w:rsidP="004469AA"/>
        </w:tc>
      </w:tr>
      <w:tr w:rsidR="004469AA" w14:paraId="320BE2E8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D4AE" w14:textId="77777777" w:rsidR="004469AA" w:rsidRDefault="004469AA">
            <w:r>
              <w:t xml:space="preserve">Sessions on BNF site in year ending December </w:t>
            </w:r>
            <w:proofErr w:type="gramStart"/>
            <w:r>
              <w:t>2020</w:t>
            </w:r>
            <w:proofErr w:type="gramEnd"/>
          </w:p>
          <w:p w14:paraId="7938D29D" w14:textId="582A22A4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75DA" w14:textId="77777777" w:rsidR="004469AA" w:rsidRDefault="004469AA" w:rsidP="004469AA">
            <w:r>
              <w:t xml:space="preserve">26,338,000 </w:t>
            </w:r>
          </w:p>
          <w:p w14:paraId="13F4D13E" w14:textId="6B9E21BE" w:rsidR="004469AA" w:rsidRPr="004469AA" w:rsidRDefault="004469AA" w:rsidP="004469AA"/>
        </w:tc>
      </w:tr>
      <w:tr w:rsidR="004469AA" w14:paraId="6CCEFCB3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1DA6" w14:textId="77777777" w:rsidR="004469AA" w:rsidRDefault="004469AA">
            <w:r>
              <w:t>% year-on-year variance</w:t>
            </w:r>
          </w:p>
          <w:p w14:paraId="0D0CBEA4" w14:textId="0BAEE0B4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195C" w14:textId="77777777" w:rsidR="004469AA" w:rsidRDefault="004469AA" w:rsidP="004469AA">
            <w:r>
              <w:t>12%</w:t>
            </w:r>
          </w:p>
          <w:p w14:paraId="3CFA63AF" w14:textId="394434B0" w:rsidR="004469AA" w:rsidRPr="004469AA" w:rsidRDefault="004469AA" w:rsidP="004469AA"/>
        </w:tc>
      </w:tr>
    </w:tbl>
    <w:p w14:paraId="304CFEA2" w14:textId="77777777" w:rsidR="004469AA" w:rsidRDefault="004469AA" w:rsidP="004469AA">
      <w:pPr>
        <w:pStyle w:val="Caption"/>
      </w:pPr>
      <w:r w:rsidRPr="004469AA">
        <w:rPr>
          <w:noProof/>
        </w:rPr>
        <w:drawing>
          <wp:inline distT="0" distB="0" distL="0" distR="0" wp14:anchorId="30B76213" wp14:editId="0A839F38">
            <wp:extent cx="5278755" cy="2286000"/>
            <wp:effectExtent l="0" t="0" r="17145" b="0"/>
            <wp:docPr id="92" name="Chart 92" descr="Traffic on the BNFc website was up by 20% in December 2020 compared to December 2019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3"/>
        <w:gridCol w:w="1330"/>
      </w:tblGrid>
      <w:tr w:rsidR="004469AA" w14:paraId="23A5C5FE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CC86" w14:textId="77777777" w:rsidR="004469AA" w:rsidRDefault="004469AA">
            <w:r>
              <w:t xml:space="preserve">Total sessions on </w:t>
            </w:r>
            <w:proofErr w:type="spellStart"/>
            <w:r>
              <w:t>BNFc</w:t>
            </w:r>
            <w:proofErr w:type="spellEnd"/>
            <w:r>
              <w:t xml:space="preserve"> site in December 2020</w:t>
            </w:r>
          </w:p>
          <w:p w14:paraId="14D14BDF" w14:textId="747C7191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6E9A" w14:textId="77777777" w:rsidR="004469AA" w:rsidRDefault="004469AA" w:rsidP="004469AA">
            <w:r>
              <w:t xml:space="preserve">257,000 </w:t>
            </w:r>
          </w:p>
          <w:p w14:paraId="3C585446" w14:textId="43EBDFD3" w:rsidR="004469AA" w:rsidRPr="004469AA" w:rsidRDefault="004469AA" w:rsidP="004469AA"/>
        </w:tc>
      </w:tr>
      <w:tr w:rsidR="004469AA" w14:paraId="68EE725C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3242" w14:textId="77777777" w:rsidR="004469AA" w:rsidRDefault="004469AA">
            <w:r>
              <w:t>% year-on-year variance</w:t>
            </w:r>
          </w:p>
          <w:p w14:paraId="29A95C78" w14:textId="2C3A639C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AD30" w14:textId="77777777" w:rsidR="004469AA" w:rsidRDefault="004469AA" w:rsidP="004469AA">
            <w:r>
              <w:t>20%</w:t>
            </w:r>
          </w:p>
          <w:p w14:paraId="614D2E19" w14:textId="7D7246A2" w:rsidR="004469AA" w:rsidRPr="004469AA" w:rsidRDefault="004469AA" w:rsidP="004469AA"/>
        </w:tc>
      </w:tr>
      <w:tr w:rsidR="004469AA" w14:paraId="4501561E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395E" w14:textId="666B8615" w:rsidR="00AA4EA2" w:rsidRPr="00AA4EA2" w:rsidRDefault="00AA4EA2" w:rsidP="00AA4EA2">
            <w:r>
              <w:t xml:space="preserve">% </w:t>
            </w:r>
            <w:r w:rsidRPr="00AA4EA2">
              <w:t xml:space="preserve">change from previous </w:t>
            </w:r>
            <w:r w:rsidRPr="00AA4EA2">
              <w:t>month</w:t>
            </w:r>
            <w:r w:rsidRPr="00AA4EA2">
              <w:t xml:space="preserve"> (seasonal)</w:t>
            </w:r>
          </w:p>
          <w:p w14:paraId="5B202FC0" w14:textId="4684328E" w:rsidR="004469AA" w:rsidRDefault="004469AA"/>
          <w:p w14:paraId="1EA6283D" w14:textId="5C058730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A801" w14:textId="77777777" w:rsidR="004469AA" w:rsidRDefault="004469AA" w:rsidP="004469AA">
            <w:r>
              <w:lastRenderedPageBreak/>
              <w:t>-12%</w:t>
            </w:r>
          </w:p>
          <w:p w14:paraId="67626674" w14:textId="09F61873" w:rsidR="004469AA" w:rsidRPr="004469AA" w:rsidRDefault="004469AA" w:rsidP="004469AA"/>
        </w:tc>
      </w:tr>
      <w:tr w:rsidR="004469AA" w14:paraId="052B865B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69E6" w14:textId="77777777" w:rsidR="004469AA" w:rsidRDefault="004469AA">
            <w:r>
              <w:t xml:space="preserve">Sessions on </w:t>
            </w:r>
            <w:proofErr w:type="spellStart"/>
            <w:r>
              <w:t>BNFc</w:t>
            </w:r>
            <w:proofErr w:type="spellEnd"/>
            <w:r>
              <w:t xml:space="preserve"> site in year ending December </w:t>
            </w:r>
            <w:proofErr w:type="gramStart"/>
            <w:r>
              <w:t>2020</w:t>
            </w:r>
            <w:proofErr w:type="gramEnd"/>
          </w:p>
          <w:p w14:paraId="5F519EE7" w14:textId="0BC5FED2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AF23" w14:textId="77777777" w:rsidR="004469AA" w:rsidRDefault="004469AA" w:rsidP="004469AA">
            <w:r>
              <w:t xml:space="preserve">2,820,000 </w:t>
            </w:r>
          </w:p>
          <w:p w14:paraId="5949F43C" w14:textId="4B7B253F" w:rsidR="004469AA" w:rsidRPr="004469AA" w:rsidRDefault="004469AA" w:rsidP="004469AA"/>
        </w:tc>
      </w:tr>
      <w:tr w:rsidR="004469AA" w14:paraId="4B97CAC7" w14:textId="77777777" w:rsidTr="004469AA">
        <w:trPr>
          <w:trHeight w:val="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942B" w14:textId="77777777" w:rsidR="004469AA" w:rsidRDefault="004469AA">
            <w:r>
              <w:t>% year-on-year variance</w:t>
            </w:r>
          </w:p>
          <w:p w14:paraId="71CDFB64" w14:textId="4160C648" w:rsidR="004469AA" w:rsidRPr="004469AA" w:rsidRDefault="004469A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639C" w14:textId="77777777" w:rsidR="004469AA" w:rsidRDefault="004469AA" w:rsidP="004469AA">
            <w:r>
              <w:t>31%</w:t>
            </w:r>
          </w:p>
          <w:p w14:paraId="06321D39" w14:textId="77466FEA" w:rsidR="004469AA" w:rsidRPr="004469AA" w:rsidRDefault="004469AA" w:rsidP="004469AA"/>
        </w:tc>
      </w:tr>
    </w:tbl>
    <w:p w14:paraId="697C754A" w14:textId="77777777" w:rsidR="004469AA" w:rsidRDefault="004469AA" w:rsidP="004469AA">
      <w:pPr>
        <w:pStyle w:val="NICEnormal"/>
      </w:pPr>
    </w:p>
    <w:p w14:paraId="4439833C" w14:textId="6FE412A9" w:rsidR="00EB1C36" w:rsidRPr="00070124" w:rsidRDefault="00EB1C36" w:rsidP="008A6557">
      <w:pPr>
        <w:pStyle w:val="NICEnormal"/>
      </w:pPr>
      <w:r w:rsidRPr="00070124">
        <w:t xml:space="preserve">© NICE </w:t>
      </w:r>
      <w:r w:rsidR="00824B67">
        <w:t>2021</w:t>
      </w:r>
      <w:r w:rsidRPr="00070124">
        <w:t xml:space="preserve">. All rights reserved. </w:t>
      </w:r>
      <w:hyperlink r:id="rId16" w:anchor="notice-of-rights" w:history="1">
        <w:r w:rsidRPr="00070124">
          <w:rPr>
            <w:rStyle w:val="Hyperlink"/>
          </w:rPr>
          <w:t>Subject to Notice of rights</w:t>
        </w:r>
      </w:hyperlink>
      <w:r w:rsidRPr="00070124">
        <w:t>.</w:t>
      </w:r>
    </w:p>
    <w:p w14:paraId="6D6C6D49" w14:textId="10E068C4" w:rsidR="00EB1C36" w:rsidRPr="00A36575" w:rsidRDefault="00824B67" w:rsidP="008A6557">
      <w:pPr>
        <w:pStyle w:val="NICEnormal"/>
      </w:pPr>
      <w:r>
        <w:t>January 2021</w:t>
      </w:r>
    </w:p>
    <w:sectPr w:rsidR="00EB1C36" w:rsidRPr="00A36575" w:rsidSect="00617519">
      <w:headerReference w:type="default" r:id="rId17"/>
      <w:footerReference w:type="default" r:id="rId18"/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49E8" w14:textId="77777777" w:rsidR="005F6FB5" w:rsidRDefault="005F6FB5">
      <w:r>
        <w:separator/>
      </w:r>
    </w:p>
  </w:endnote>
  <w:endnote w:type="continuationSeparator" w:id="0">
    <w:p w14:paraId="1C62E47F" w14:textId="77777777" w:rsidR="005F6FB5" w:rsidRDefault="005F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5D47" w14:textId="77777777" w:rsidR="00EB1C36" w:rsidRPr="00BA589F" w:rsidRDefault="00EB1C36" w:rsidP="00C30FD9">
    <w:pPr>
      <w:pStyle w:val="Footer"/>
    </w:pPr>
  </w:p>
  <w:p w14:paraId="7F392F7A" w14:textId="77777777" w:rsidR="00EB1C36" w:rsidRPr="00BA589F" w:rsidRDefault="00EB1C36" w:rsidP="00BA589F">
    <w:pPr>
      <w:pStyle w:val="Footer"/>
    </w:pPr>
    <w:r w:rsidRPr="00BA589F">
      <w:t>National Institute for Health and Care Excellence</w:t>
    </w:r>
    <w:r w:rsidRPr="00BA589F">
      <w:tab/>
    </w:r>
    <w:r w:rsidR="00D933B0">
      <w:tab/>
    </w:r>
    <w:r w:rsidRPr="00BA589F">
      <w:t xml:space="preserve">Page </w:t>
    </w:r>
    <w:r w:rsidRPr="00BA589F">
      <w:fldChar w:fldCharType="begin"/>
    </w:r>
    <w:r w:rsidRPr="00BA589F">
      <w:instrText xml:space="preserve"> PAGE  \* Arabic  \* MERGEFORMAT </w:instrText>
    </w:r>
    <w:r w:rsidRPr="00BA589F">
      <w:fldChar w:fldCharType="separate"/>
    </w:r>
    <w:r w:rsidRPr="00BA589F">
      <w:t>7</w:t>
    </w:r>
    <w:r w:rsidRPr="00BA589F">
      <w:fldChar w:fldCharType="end"/>
    </w:r>
    <w:r w:rsidRPr="00BA589F">
      <w:t xml:space="preserve"> of </w:t>
    </w:r>
    <w:fldSimple w:instr=" NUMPAGES  \* Arabic  \* MERGEFORMAT ">
      <w:r w:rsidRPr="00BA589F">
        <w:t>7</w:t>
      </w:r>
    </w:fldSimple>
  </w:p>
  <w:p w14:paraId="4FDF4E7C" w14:textId="74B3C9CF" w:rsidR="00EB1C36" w:rsidRPr="00AB474A" w:rsidRDefault="00AB474A" w:rsidP="00CF7AE3">
    <w:pPr>
      <w:pStyle w:val="Footer"/>
    </w:pPr>
    <w:r w:rsidRPr="00AB474A">
      <w:t xml:space="preserve">Digital, Information and Technology Directorate progress report </w:t>
    </w:r>
  </w:p>
  <w:p w14:paraId="44D2CBEE" w14:textId="5835CD9E" w:rsidR="00EB1C36" w:rsidRPr="00AB474A" w:rsidRDefault="00AB474A" w:rsidP="00DD58F8">
    <w:pPr>
      <w:pStyle w:val="Footer"/>
    </w:pPr>
    <w:r w:rsidRPr="00AB474A">
      <w:t xml:space="preserve">Date: 27 January 2021 </w:t>
    </w:r>
  </w:p>
  <w:p w14:paraId="65E63DFA" w14:textId="238B2F1E" w:rsidR="00EB1C36" w:rsidRPr="00BA589F" w:rsidRDefault="00EB1C36" w:rsidP="00DD58F8">
    <w:pPr>
      <w:pStyle w:val="Footer"/>
    </w:pPr>
    <w:r w:rsidRPr="00AB474A">
      <w:t>Reference</w:t>
    </w:r>
    <w:r w:rsidR="00AB474A" w:rsidRPr="00AB474A">
      <w:t>: 21/008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F849" w14:textId="77777777" w:rsidR="005F6FB5" w:rsidRDefault="005F6FB5">
      <w:r>
        <w:separator/>
      </w:r>
    </w:p>
  </w:footnote>
  <w:footnote w:type="continuationSeparator" w:id="0">
    <w:p w14:paraId="3F538AAD" w14:textId="77777777" w:rsidR="005F6FB5" w:rsidRDefault="005F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5B8F" w14:textId="63163B81" w:rsidR="00EB1C36" w:rsidRPr="002F15CF" w:rsidRDefault="002F15CF" w:rsidP="002F15CF">
    <w:pPr>
      <w:pStyle w:val="Header"/>
      <w:ind w:left="0"/>
      <w:jc w:val="right"/>
    </w:pPr>
    <w:r w:rsidRPr="00F07534">
      <w:t xml:space="preserve">Item </w:t>
    </w:r>
    <w:r w:rsidR="00AB474A">
      <w:t xml:space="preserve">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400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C0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E8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66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C4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6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A7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82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444DE"/>
    <w:multiLevelType w:val="hybridMultilevel"/>
    <w:tmpl w:val="7258226E"/>
    <w:lvl w:ilvl="0" w:tplc="1C347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51877F9"/>
    <w:multiLevelType w:val="hybridMultilevel"/>
    <w:tmpl w:val="AEC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40"/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25"/>
  </w:num>
  <w:num w:numId="8">
    <w:abstractNumId w:val="27"/>
  </w:num>
  <w:num w:numId="9">
    <w:abstractNumId w:val="34"/>
  </w:num>
  <w:num w:numId="10">
    <w:abstractNumId w:val="18"/>
  </w:num>
  <w:num w:numId="11">
    <w:abstractNumId w:val="38"/>
  </w:num>
  <w:num w:numId="12">
    <w:abstractNumId w:val="23"/>
  </w:num>
  <w:num w:numId="13">
    <w:abstractNumId w:val="33"/>
  </w:num>
  <w:num w:numId="14">
    <w:abstractNumId w:val="36"/>
  </w:num>
  <w:num w:numId="15">
    <w:abstractNumId w:val="24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17"/>
  </w:num>
  <w:num w:numId="21">
    <w:abstractNumId w:val="39"/>
  </w:num>
  <w:num w:numId="22">
    <w:abstractNumId w:val="2"/>
  </w:num>
  <w:num w:numId="23">
    <w:abstractNumId w:val="37"/>
  </w:num>
  <w:num w:numId="24">
    <w:abstractNumId w:val="1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1"/>
  </w:num>
  <w:num w:numId="33">
    <w:abstractNumId w:val="0"/>
  </w:num>
  <w:num w:numId="34">
    <w:abstractNumId w:val="15"/>
  </w:num>
  <w:num w:numId="35">
    <w:abstractNumId w:val="28"/>
  </w:num>
  <w:num w:numId="36">
    <w:abstractNumId w:val="41"/>
  </w:num>
  <w:num w:numId="37">
    <w:abstractNumId w:val="41"/>
    <w:lvlOverride w:ilvl="0">
      <w:startOverride w:val="1"/>
    </w:lvlOverride>
  </w:num>
  <w:num w:numId="38">
    <w:abstractNumId w:val="41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</w:num>
  <w:num w:numId="41">
    <w:abstractNumId w:val="14"/>
  </w:num>
  <w:num w:numId="42">
    <w:abstractNumId w:val="31"/>
  </w:num>
  <w:num w:numId="43">
    <w:abstractNumId w:val="29"/>
  </w:num>
  <w:num w:numId="44">
    <w:abstractNumId w:val="20"/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removePersonalInformation/>
  <w:removeDateAndTime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+stZR25gX+XgxHTa4yHAGNccMKX3bdcVjnzQudD9j4rK9+a4lkG4amvQFhJ5QaHzbsk2Njw+9teQ8CkCc5CcvA==" w:salt="Q8FOw/CTfgn9PFBg9z48z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67"/>
    <w:rsid w:val="00005D86"/>
    <w:rsid w:val="000119FB"/>
    <w:rsid w:val="000242AA"/>
    <w:rsid w:val="000661B6"/>
    <w:rsid w:val="0007032D"/>
    <w:rsid w:val="00097A16"/>
    <w:rsid w:val="000A1EC0"/>
    <w:rsid w:val="000A334F"/>
    <w:rsid w:val="000C4168"/>
    <w:rsid w:val="000D71F0"/>
    <w:rsid w:val="000E6C5F"/>
    <w:rsid w:val="000F4831"/>
    <w:rsid w:val="00101F34"/>
    <w:rsid w:val="001172E1"/>
    <w:rsid w:val="001219F1"/>
    <w:rsid w:val="00123D3F"/>
    <w:rsid w:val="00131EB8"/>
    <w:rsid w:val="0015571A"/>
    <w:rsid w:val="00161AA0"/>
    <w:rsid w:val="00170952"/>
    <w:rsid w:val="001B0506"/>
    <w:rsid w:val="001C032E"/>
    <w:rsid w:val="001E3737"/>
    <w:rsid w:val="002169E7"/>
    <w:rsid w:val="00235CAB"/>
    <w:rsid w:val="00251D56"/>
    <w:rsid w:val="002526E6"/>
    <w:rsid w:val="002535B1"/>
    <w:rsid w:val="00280C34"/>
    <w:rsid w:val="00285D9E"/>
    <w:rsid w:val="002A2A95"/>
    <w:rsid w:val="002A3712"/>
    <w:rsid w:val="002C3FAA"/>
    <w:rsid w:val="002F15CF"/>
    <w:rsid w:val="0031664C"/>
    <w:rsid w:val="00332026"/>
    <w:rsid w:val="003330E6"/>
    <w:rsid w:val="00340649"/>
    <w:rsid w:val="003421A8"/>
    <w:rsid w:val="00353D3E"/>
    <w:rsid w:val="00362226"/>
    <w:rsid w:val="00377E36"/>
    <w:rsid w:val="00394E5F"/>
    <w:rsid w:val="003957A7"/>
    <w:rsid w:val="003B1379"/>
    <w:rsid w:val="003C36AC"/>
    <w:rsid w:val="00431E8B"/>
    <w:rsid w:val="00433582"/>
    <w:rsid w:val="004469AA"/>
    <w:rsid w:val="004519B2"/>
    <w:rsid w:val="00460271"/>
    <w:rsid w:val="00461997"/>
    <w:rsid w:val="0046598F"/>
    <w:rsid w:val="00480C6F"/>
    <w:rsid w:val="004820E9"/>
    <w:rsid w:val="0048361F"/>
    <w:rsid w:val="00484FE9"/>
    <w:rsid w:val="00485B88"/>
    <w:rsid w:val="004914C0"/>
    <w:rsid w:val="004B514C"/>
    <w:rsid w:val="004C5EE1"/>
    <w:rsid w:val="004F692A"/>
    <w:rsid w:val="0050508A"/>
    <w:rsid w:val="00526C07"/>
    <w:rsid w:val="0053387C"/>
    <w:rsid w:val="005666E8"/>
    <w:rsid w:val="005774CB"/>
    <w:rsid w:val="00583384"/>
    <w:rsid w:val="005860F4"/>
    <w:rsid w:val="005866B1"/>
    <w:rsid w:val="005A5E10"/>
    <w:rsid w:val="005A6BE6"/>
    <w:rsid w:val="005B331E"/>
    <w:rsid w:val="005B6028"/>
    <w:rsid w:val="005C051F"/>
    <w:rsid w:val="005C762E"/>
    <w:rsid w:val="005D098C"/>
    <w:rsid w:val="005E448A"/>
    <w:rsid w:val="005F6FB5"/>
    <w:rsid w:val="00603E56"/>
    <w:rsid w:val="0060662A"/>
    <w:rsid w:val="00614BDA"/>
    <w:rsid w:val="00617519"/>
    <w:rsid w:val="006331B4"/>
    <w:rsid w:val="006343F3"/>
    <w:rsid w:val="00636CCC"/>
    <w:rsid w:val="006375D2"/>
    <w:rsid w:val="00642906"/>
    <w:rsid w:val="006571D4"/>
    <w:rsid w:val="0068044B"/>
    <w:rsid w:val="00680B94"/>
    <w:rsid w:val="0068267E"/>
    <w:rsid w:val="006A721F"/>
    <w:rsid w:val="006B10EA"/>
    <w:rsid w:val="006D6750"/>
    <w:rsid w:val="006D73F1"/>
    <w:rsid w:val="006F2BFC"/>
    <w:rsid w:val="006F5C7D"/>
    <w:rsid w:val="007277C3"/>
    <w:rsid w:val="00732519"/>
    <w:rsid w:val="00737F9C"/>
    <w:rsid w:val="0079158B"/>
    <w:rsid w:val="007A174B"/>
    <w:rsid w:val="007A4EEE"/>
    <w:rsid w:val="007B501B"/>
    <w:rsid w:val="007E311F"/>
    <w:rsid w:val="008166A9"/>
    <w:rsid w:val="0082199E"/>
    <w:rsid w:val="00824B67"/>
    <w:rsid w:val="0082590F"/>
    <w:rsid w:val="00831491"/>
    <w:rsid w:val="00843435"/>
    <w:rsid w:val="008505C3"/>
    <w:rsid w:val="00862C0C"/>
    <w:rsid w:val="00866C25"/>
    <w:rsid w:val="008826F1"/>
    <w:rsid w:val="008853CB"/>
    <w:rsid w:val="008A338D"/>
    <w:rsid w:val="008A3CB5"/>
    <w:rsid w:val="008A54C6"/>
    <w:rsid w:val="008A6557"/>
    <w:rsid w:val="008C2BC5"/>
    <w:rsid w:val="008C782E"/>
    <w:rsid w:val="008D6069"/>
    <w:rsid w:val="008D6D26"/>
    <w:rsid w:val="008E7585"/>
    <w:rsid w:val="00910D60"/>
    <w:rsid w:val="00921354"/>
    <w:rsid w:val="0094366C"/>
    <w:rsid w:val="00953ADF"/>
    <w:rsid w:val="00957A63"/>
    <w:rsid w:val="0096125D"/>
    <w:rsid w:val="00970A69"/>
    <w:rsid w:val="00971131"/>
    <w:rsid w:val="00974567"/>
    <w:rsid w:val="0098462B"/>
    <w:rsid w:val="009871F3"/>
    <w:rsid w:val="009A0289"/>
    <w:rsid w:val="009B3641"/>
    <w:rsid w:val="009B621A"/>
    <w:rsid w:val="009C45D9"/>
    <w:rsid w:val="009C47DA"/>
    <w:rsid w:val="009D4518"/>
    <w:rsid w:val="00A06657"/>
    <w:rsid w:val="00A22E03"/>
    <w:rsid w:val="00A24C1C"/>
    <w:rsid w:val="00A36575"/>
    <w:rsid w:val="00A6545A"/>
    <w:rsid w:val="00A86D3D"/>
    <w:rsid w:val="00A94ED3"/>
    <w:rsid w:val="00A956DE"/>
    <w:rsid w:val="00AA4EA2"/>
    <w:rsid w:val="00AB2948"/>
    <w:rsid w:val="00AB39FA"/>
    <w:rsid w:val="00AB474A"/>
    <w:rsid w:val="00AD5CB7"/>
    <w:rsid w:val="00AD5E0B"/>
    <w:rsid w:val="00AD6933"/>
    <w:rsid w:val="00AD6B7B"/>
    <w:rsid w:val="00AF7FBB"/>
    <w:rsid w:val="00B02AFA"/>
    <w:rsid w:val="00B15262"/>
    <w:rsid w:val="00B60D70"/>
    <w:rsid w:val="00B84BC1"/>
    <w:rsid w:val="00B905BE"/>
    <w:rsid w:val="00B96EB6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37FBD"/>
    <w:rsid w:val="00C433C5"/>
    <w:rsid w:val="00C51429"/>
    <w:rsid w:val="00C7190D"/>
    <w:rsid w:val="00C8019A"/>
    <w:rsid w:val="00CA3397"/>
    <w:rsid w:val="00CA33E1"/>
    <w:rsid w:val="00CB6BEB"/>
    <w:rsid w:val="00CC12D0"/>
    <w:rsid w:val="00CC1620"/>
    <w:rsid w:val="00CC4467"/>
    <w:rsid w:val="00CD4586"/>
    <w:rsid w:val="00CE7855"/>
    <w:rsid w:val="00D07DBF"/>
    <w:rsid w:val="00D253CE"/>
    <w:rsid w:val="00D3612A"/>
    <w:rsid w:val="00D37703"/>
    <w:rsid w:val="00D37F25"/>
    <w:rsid w:val="00D418D5"/>
    <w:rsid w:val="00D453F6"/>
    <w:rsid w:val="00D46031"/>
    <w:rsid w:val="00D60D8D"/>
    <w:rsid w:val="00D73C98"/>
    <w:rsid w:val="00D770EF"/>
    <w:rsid w:val="00D85B08"/>
    <w:rsid w:val="00D92647"/>
    <w:rsid w:val="00D933B0"/>
    <w:rsid w:val="00DA11DD"/>
    <w:rsid w:val="00DC0120"/>
    <w:rsid w:val="00DC3AC7"/>
    <w:rsid w:val="00DD1379"/>
    <w:rsid w:val="00DD4311"/>
    <w:rsid w:val="00DE643F"/>
    <w:rsid w:val="00DF6C0E"/>
    <w:rsid w:val="00E2509B"/>
    <w:rsid w:val="00E4225F"/>
    <w:rsid w:val="00E4622C"/>
    <w:rsid w:val="00E46571"/>
    <w:rsid w:val="00E51FFB"/>
    <w:rsid w:val="00E63855"/>
    <w:rsid w:val="00E829A5"/>
    <w:rsid w:val="00E97FA2"/>
    <w:rsid w:val="00EB03BB"/>
    <w:rsid w:val="00EB1C36"/>
    <w:rsid w:val="00ED0AD8"/>
    <w:rsid w:val="00EE2EB2"/>
    <w:rsid w:val="00EE406C"/>
    <w:rsid w:val="00EE4D3F"/>
    <w:rsid w:val="00F07534"/>
    <w:rsid w:val="00F2237A"/>
    <w:rsid w:val="00F2672F"/>
    <w:rsid w:val="00F26A9F"/>
    <w:rsid w:val="00F26E68"/>
    <w:rsid w:val="00F33119"/>
    <w:rsid w:val="00F52659"/>
    <w:rsid w:val="00F52A30"/>
    <w:rsid w:val="00F73C47"/>
    <w:rsid w:val="00F81F2C"/>
    <w:rsid w:val="00F86FC3"/>
    <w:rsid w:val="00F90E63"/>
    <w:rsid w:val="00FA66A6"/>
    <w:rsid w:val="00FA6EE7"/>
    <w:rsid w:val="00FB47DD"/>
    <w:rsid w:val="00FB73D3"/>
    <w:rsid w:val="00FD4756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F93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534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locked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2"/>
    <w:basedOn w:val="Title"/>
    <w:locked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41"/>
      </w:numPr>
      <w:tabs>
        <w:tab w:val="left" w:pos="426"/>
      </w:tabs>
    </w:pPr>
  </w:style>
  <w:style w:type="character" w:customStyle="1" w:styleId="TitleChar">
    <w:name w:val="Title Char"/>
    <w:link w:val="Title"/>
    <w:rsid w:val="00EB1C36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36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39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character" w:styleId="FollowedHyperlink">
    <w:name w:val="FollowedHyperlink"/>
    <w:basedOn w:val="DefaultParagraphFont"/>
    <w:rsid w:val="00D933B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D60C8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D60C8"/>
    <w:rPr>
      <w:b/>
      <w:bCs/>
      <w:lang w:eastAsia="en-US"/>
    </w:rPr>
  </w:style>
  <w:style w:type="paragraph" w:styleId="Revision">
    <w:name w:val="Revision"/>
    <w:hidden/>
    <w:uiPriority w:val="99"/>
    <w:semiHidden/>
    <w:rsid w:val="00DD1379"/>
    <w:rPr>
      <w:sz w:val="24"/>
      <w:szCs w:val="24"/>
      <w:lang w:eastAsia="en-US"/>
    </w:rPr>
  </w:style>
  <w:style w:type="paragraph" w:styleId="NormalWeb">
    <w:name w:val="Normal (Web)"/>
    <w:basedOn w:val="Normal"/>
    <w:locked/>
    <w:rsid w:val="0063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terms-and-condi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ce.nhs.uk\Data\DIT\Digital%20Services\Service%20Delivery%20Team\_PERFORMANCE\Google%20Analytics\_Board%20report\Post_cookie_Board_Report_v4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for web-based services</a:t>
            </a:r>
          </a:p>
        </c:rich>
      </c:tx>
      <c:layout>
        <c:manualLayout>
          <c:xMode val="edge"/>
          <c:yMode val="edge"/>
          <c:x val="0.29175771088814567"/>
          <c:y val="2.7938106573887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0.56466193259584885"/>
          <c:y val="0.22114584046559396"/>
          <c:w val="0.31276314206664263"/>
          <c:h val="0.56521739130434778"/>
        </c:manualLayout>
      </c:layout>
      <c:pieChart>
        <c:varyColors val="1"/>
        <c:ser>
          <c:idx val="0"/>
          <c:order val="0"/>
          <c:tx>
            <c:strRef>
              <c:f>'Data for charts and tables'!$B$2:$H$2</c:f>
              <c:strCache>
                <c:ptCount val="1"/>
                <c:pt idx="0">
                  <c:v>NICE.org Pathways Evidence Search BNF website BNFc website CKS HDAS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7000"/>
                </a:schemeClr>
              </a:solidFill>
              <a:ln w="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D3-4D60-A5CF-3FF0D66DE0C8}"/>
              </c:ext>
            </c:extLst>
          </c:dPt>
          <c:dPt>
            <c:idx val="1"/>
            <c:bubble3D val="0"/>
            <c:spPr>
              <a:pattFill prst="pct75">
                <a:fgClr>
                  <a:schemeClr val="accent1"/>
                </a:fgClr>
                <a:bgClr>
                  <a:schemeClr val="bg1"/>
                </a:bgClr>
              </a:pattFill>
              <a:ln w="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D3-4D60-A5CF-3FF0D66DE0C8}"/>
              </c:ext>
            </c:extLst>
          </c:dPt>
          <c:dPt>
            <c:idx val="2"/>
            <c:bubble3D val="0"/>
            <c:spPr>
              <a:pattFill prst="pct90">
                <a:fgClr>
                  <a:schemeClr val="tx2"/>
                </a:fgClr>
                <a:bgClr>
                  <a:schemeClr val="bg1"/>
                </a:bgClr>
              </a:pattFill>
              <a:ln w="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D3-4D60-A5CF-3FF0D66DE0C8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D3-4D60-A5CF-3FF0D66DE0C8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D3-4D60-A5CF-3FF0D66DE0C8}"/>
              </c:ext>
            </c:extLst>
          </c:dPt>
          <c:dPt>
            <c:idx val="5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D3-4D60-A5CF-3FF0D66DE0C8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7D3-4D60-A5CF-3FF0D66DE0C8}"/>
              </c:ext>
            </c:extLst>
          </c:dPt>
          <c:dPt>
            <c:idx val="7"/>
            <c:bubble3D val="0"/>
            <c:spPr>
              <a:solidFill>
                <a:schemeClr val="accent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7D3-4D60-A5CF-3FF0D66DE0C8}"/>
              </c:ext>
            </c:extLst>
          </c:dPt>
          <c:dLbls>
            <c:dLbl>
              <c:idx val="0"/>
              <c:layout>
                <c:manualLayout>
                  <c:x val="-1.1996711113451956E-2"/>
                  <c:y val="-1.2769496497312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D3-4D60-A5CF-3FF0D66DE0C8}"/>
                </c:ext>
              </c:extLst>
            </c:dLbl>
            <c:dLbl>
              <c:idx val="1"/>
              <c:layout>
                <c:manualLayout>
                  <c:x val="1.5303210339795705E-2"/>
                  <c:y val="-3.00789565043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D3-4D60-A5CF-3FF0D66DE0C8}"/>
                </c:ext>
              </c:extLst>
            </c:dLbl>
            <c:dLbl>
              <c:idx val="2"/>
              <c:layout>
                <c:manualLayout>
                  <c:x val="-3.2220388813626398E-2"/>
                  <c:y val="-2.2314557278185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96448610740474"/>
                      <c:h val="0.114192763957806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7D3-4D60-A5CF-3FF0D66DE0C8}"/>
                </c:ext>
              </c:extLst>
            </c:dLbl>
            <c:dLbl>
              <c:idx val="3"/>
              <c:layout>
                <c:manualLayout>
                  <c:x val="-2.3269340393072723E-2"/>
                  <c:y val="-6.7800813958791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D3-4D60-A5CF-3FF0D66DE0C8}"/>
                </c:ext>
              </c:extLst>
            </c:dLbl>
            <c:dLbl>
              <c:idx val="4"/>
              <c:layout>
                <c:manualLayout>
                  <c:x val="-1.3628413591828226E-2"/>
                  <c:y val="-3.5913077972230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D3-4D60-A5CF-3FF0D66DE0C8}"/>
                </c:ext>
              </c:extLst>
            </c:dLbl>
            <c:dLbl>
              <c:idx val="5"/>
              <c:layout>
                <c:manualLayout>
                  <c:x val="1.6812433047936625E-2"/>
                  <c:y val="-5.0595975021048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D3-4D60-A5CF-3FF0D66DE0C8}"/>
                </c:ext>
              </c:extLst>
            </c:dLbl>
            <c:dLbl>
              <c:idx val="6"/>
              <c:layout>
                <c:manualLayout>
                  <c:x val="7.1364156403526486E-3"/>
                  <c:y val="-8.7672603219574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722311466919479"/>
                      <c:h val="6.95723586013633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B7D3-4D60-A5CF-3FF0D66DE0C8}"/>
                </c:ext>
              </c:extLst>
            </c:dLbl>
            <c:numFmt formatCode="#,###,\k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for charts and tables'!$B$2:$H$2</c:f>
              <c:strCache>
                <c:ptCount val="7"/>
                <c:pt idx="0">
                  <c:v>NICE.org</c:v>
                </c:pt>
                <c:pt idx="1">
                  <c:v>Pathways</c:v>
                </c:pt>
                <c:pt idx="2">
                  <c:v>Evidence Search</c:v>
                </c:pt>
                <c:pt idx="3">
                  <c:v>BNF website</c:v>
                </c:pt>
                <c:pt idx="4">
                  <c:v>BNFc website</c:v>
                </c:pt>
                <c:pt idx="5">
                  <c:v>CKS</c:v>
                </c:pt>
                <c:pt idx="6">
                  <c:v>HDAS</c:v>
                </c:pt>
              </c:strCache>
            </c:strRef>
          </c:cat>
          <c:val>
            <c:numRef>
              <c:f>[0]!sess_websites_lastmonth</c:f>
              <c:numCache>
                <c:formatCode>_-* #,##0_-;\-* #,##0_-;_-* "-"??_-;_-@_-</c:formatCode>
                <c:ptCount val="7"/>
                <c:pt idx="0">
                  <c:v>1623000</c:v>
                </c:pt>
                <c:pt idx="1">
                  <c:v>187000</c:v>
                </c:pt>
                <c:pt idx="2">
                  <c:v>222000</c:v>
                </c:pt>
                <c:pt idx="3">
                  <c:v>2494000</c:v>
                </c:pt>
                <c:pt idx="4">
                  <c:v>257000</c:v>
                </c:pt>
                <c:pt idx="5">
                  <c:v>1029000</c:v>
                </c:pt>
                <c:pt idx="6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7D3-4D60-A5CF-3FF0D66DE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2.6893611542704317E-2"/>
          <c:y val="0.23325795031435023"/>
          <c:w val="0.26051219512195123"/>
          <c:h val="0.64215538640883207"/>
        </c:manualLayout>
      </c:layout>
      <c:overlay val="0"/>
      <c:spPr>
        <a:noFill/>
        <a:ln cmpd="dbl">
          <a:solidFill>
            <a:schemeClr val="lt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NICE.org</a:t>
            </a:r>
          </a:p>
        </c:rich>
      </c:tx>
      <c:layout>
        <c:manualLayout>
          <c:xMode val="edge"/>
          <c:yMode val="edge"/>
          <c:x val="0.39782604194033183"/>
          <c:y val="2.9365408428756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7467672790901137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C3F-444D-805A-4A229E1EC823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tables'!$B$55:$B$66</c:f>
              <c:numCache>
                <c:formatCode>_-* #,##0_-;\-* #,##0_-;_-* "-"??_-;_-@_-</c:formatCode>
                <c:ptCount val="12"/>
                <c:pt idx="0">
                  <c:v>1668375</c:v>
                </c:pt>
                <c:pt idx="1">
                  <c:v>1622474</c:v>
                </c:pt>
                <c:pt idx="2">
                  <c:v>1365349</c:v>
                </c:pt>
                <c:pt idx="3">
                  <c:v>1296655</c:v>
                </c:pt>
                <c:pt idx="4">
                  <c:v>1331568</c:v>
                </c:pt>
                <c:pt idx="5">
                  <c:v>1450165</c:v>
                </c:pt>
                <c:pt idx="6">
                  <c:v>1761861</c:v>
                </c:pt>
                <c:pt idx="7">
                  <c:v>1756399</c:v>
                </c:pt>
                <c:pt idx="8">
                  <c:v>1422586</c:v>
                </c:pt>
                <c:pt idx="9">
                  <c:v>1902546</c:v>
                </c:pt>
                <c:pt idx="10">
                  <c:v>1642674</c:v>
                </c:pt>
                <c:pt idx="11">
                  <c:v>1768209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3F-444D-805A-4A229E1EC823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C3F-444D-805A-4A229E1EC823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tables'!$B$67:$B$78</c:f>
              <c:numCache>
                <c:formatCode>_-* #,##0_-;\-* #,##0_-;_-* "-"??_-;_-@_-</c:formatCode>
                <c:ptCount val="12"/>
                <c:pt idx="0">
                  <c:v>1744869</c:v>
                </c:pt>
                <c:pt idx="1">
                  <c:v>1780738</c:v>
                </c:pt>
                <c:pt idx="2">
                  <c:v>1520367</c:v>
                </c:pt>
                <c:pt idx="3">
                  <c:v>1474728</c:v>
                </c:pt>
                <c:pt idx="4">
                  <c:v>1330938</c:v>
                </c:pt>
                <c:pt idx="5">
                  <c:v>1526955</c:v>
                </c:pt>
                <c:pt idx="6">
                  <c:v>1825215</c:v>
                </c:pt>
                <c:pt idx="7">
                  <c:v>1774080</c:v>
                </c:pt>
                <c:pt idx="8">
                  <c:v>1381665</c:v>
                </c:pt>
                <c:pt idx="9">
                  <c:v>1797637</c:v>
                </c:pt>
                <c:pt idx="10">
                  <c:v>1726185</c:v>
                </c:pt>
                <c:pt idx="11">
                  <c:v>1870259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C3F-444D-805A-4A229E1EC823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tables'!$B$79:$B$90</c:f>
              <c:numCache>
                <c:formatCode>_-* #,##0_-;\-* #,##0_-;_-* "-"??_-;_-@_-</c:formatCode>
                <c:ptCount val="12"/>
                <c:pt idx="0">
                  <c:v>1954653</c:v>
                </c:pt>
                <c:pt idx="1">
                  <c:v>1690281</c:v>
                </c:pt>
                <c:pt idx="2">
                  <c:v>1522193</c:v>
                </c:pt>
                <c:pt idx="3">
                  <c:v>1446271</c:v>
                </c:pt>
                <c:pt idx="4">
                  <c:v>1385158</c:v>
                </c:pt>
                <c:pt idx="5">
                  <c:v>1593280</c:v>
                </c:pt>
                <c:pt idx="6">
                  <c:v>1903000</c:v>
                </c:pt>
                <c:pt idx="7">
                  <c:v>1938000</c:v>
                </c:pt>
                <c:pt idx="8">
                  <c:v>1623000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3F-444D-805A-4A229E1EC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077800"/>
        <c:axId val="401078192"/>
      </c:barChart>
      <c:catAx>
        <c:axId val="401077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8192"/>
        <c:crosses val="autoZero"/>
        <c:auto val="1"/>
        <c:lblAlgn val="ctr"/>
        <c:lblOffset val="100"/>
        <c:noMultiLvlLbl val="1"/>
      </c:catAx>
      <c:valAx>
        <c:axId val="401078192"/>
        <c:scaling>
          <c:orientation val="minMax"/>
          <c:max val="25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1.2410648148148148E-2"/>
              <c:y val="0.31503305555555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7800"/>
        <c:crosses val="autoZero"/>
        <c:crossBetween val="between"/>
        <c:majorUnit val="5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9551763440366509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Pathways</a:t>
            </a:r>
          </a:p>
        </c:rich>
      </c:tx>
      <c:layout>
        <c:manualLayout>
          <c:xMode val="edge"/>
          <c:yMode val="edge"/>
          <c:x val="0.39592256276607685"/>
          <c:y val="3.24940009230087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8188757655293089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E52-407D-8C6A-596A824EA5C7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tables'!$C$55:$C$66</c:f>
              <c:numCache>
                <c:formatCode>_-* #,##0_-;\-* #,##0_-;_-* "-"??_-;_-@_-</c:formatCode>
                <c:ptCount val="12"/>
                <c:pt idx="0">
                  <c:v>277079</c:v>
                </c:pt>
                <c:pt idx="1">
                  <c:v>260581</c:v>
                </c:pt>
                <c:pt idx="2">
                  <c:v>207733</c:v>
                </c:pt>
                <c:pt idx="3">
                  <c:v>180883</c:v>
                </c:pt>
                <c:pt idx="4">
                  <c:v>179067</c:v>
                </c:pt>
                <c:pt idx="5">
                  <c:v>206387</c:v>
                </c:pt>
                <c:pt idx="6">
                  <c:v>277445</c:v>
                </c:pt>
                <c:pt idx="7">
                  <c:v>261859</c:v>
                </c:pt>
                <c:pt idx="8">
                  <c:v>205404</c:v>
                </c:pt>
                <c:pt idx="9">
                  <c:v>282921</c:v>
                </c:pt>
                <c:pt idx="10">
                  <c:v>245261</c:v>
                </c:pt>
                <c:pt idx="11">
                  <c:v>242998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52-407D-8C6A-596A824EA5C7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E52-407D-8C6A-596A824EA5C7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tables'!$C$67:$C$78</c:f>
              <c:numCache>
                <c:formatCode>_-* #,##0_-;\-* #,##0_-;_-* "-"??_-;_-@_-</c:formatCode>
                <c:ptCount val="12"/>
                <c:pt idx="0">
                  <c:v>273987</c:v>
                </c:pt>
                <c:pt idx="1">
                  <c:v>221370</c:v>
                </c:pt>
                <c:pt idx="2">
                  <c:v>217143</c:v>
                </c:pt>
                <c:pt idx="3">
                  <c:v>195821</c:v>
                </c:pt>
                <c:pt idx="4">
                  <c:v>174371</c:v>
                </c:pt>
                <c:pt idx="5">
                  <c:v>205667</c:v>
                </c:pt>
                <c:pt idx="6">
                  <c:v>252143</c:v>
                </c:pt>
                <c:pt idx="7">
                  <c:v>235597</c:v>
                </c:pt>
                <c:pt idx="8">
                  <c:v>178508</c:v>
                </c:pt>
                <c:pt idx="9">
                  <c:v>241751</c:v>
                </c:pt>
                <c:pt idx="10">
                  <c:v>240781</c:v>
                </c:pt>
                <c:pt idx="11">
                  <c:v>213578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E52-407D-8C6A-596A824EA5C7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tables'!$C$79:$C$90</c:f>
              <c:numCache>
                <c:formatCode>_-* #,##0_-;\-* #,##0_-;_-* "-"??_-;_-@_-</c:formatCode>
                <c:ptCount val="12"/>
                <c:pt idx="0">
                  <c:v>188792</c:v>
                </c:pt>
                <c:pt idx="1">
                  <c:v>200329</c:v>
                </c:pt>
                <c:pt idx="2">
                  <c:v>177905</c:v>
                </c:pt>
                <c:pt idx="3">
                  <c:v>157028</c:v>
                </c:pt>
                <c:pt idx="4">
                  <c:v>151916</c:v>
                </c:pt>
                <c:pt idx="5">
                  <c:v>183251</c:v>
                </c:pt>
                <c:pt idx="6">
                  <c:v>234000</c:v>
                </c:pt>
                <c:pt idx="7">
                  <c:v>234000</c:v>
                </c:pt>
                <c:pt idx="8">
                  <c:v>187000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52-407D-8C6A-596A824EA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889800"/>
        <c:axId val="401077016"/>
      </c:barChart>
      <c:catAx>
        <c:axId val="400889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7016"/>
        <c:crosses val="autoZero"/>
        <c:auto val="1"/>
        <c:lblAlgn val="ctr"/>
        <c:lblOffset val="100"/>
        <c:noMultiLvlLbl val="1"/>
      </c:catAx>
      <c:valAx>
        <c:axId val="401077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1.6457523148148148E-2"/>
              <c:y val="0.32845076299475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889800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52974032623848988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Evidence Search</a:t>
            </a:r>
          </a:p>
        </c:rich>
      </c:tx>
      <c:layout>
        <c:manualLayout>
          <c:xMode val="edge"/>
          <c:yMode val="edge"/>
          <c:x val="0.34606929506189388"/>
          <c:y val="4.81147770511785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6741557305336832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12-40C8-9DD9-6CDABC5EAFD2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tables'!$D$55:$D$66</c:f>
              <c:numCache>
                <c:formatCode>_-* #,##0_-;\-* #,##0_-;_-* "-"??_-;_-@_-</c:formatCode>
                <c:ptCount val="12"/>
                <c:pt idx="0">
                  <c:v>566404</c:v>
                </c:pt>
                <c:pt idx="1">
                  <c:v>511083</c:v>
                </c:pt>
                <c:pt idx="2">
                  <c:v>410924</c:v>
                </c:pt>
                <c:pt idx="3">
                  <c:v>329632</c:v>
                </c:pt>
                <c:pt idx="4">
                  <c:v>246065</c:v>
                </c:pt>
                <c:pt idx="5">
                  <c:v>254406</c:v>
                </c:pt>
                <c:pt idx="6">
                  <c:v>440815</c:v>
                </c:pt>
                <c:pt idx="7">
                  <c:v>413250</c:v>
                </c:pt>
                <c:pt idx="8">
                  <c:v>297458</c:v>
                </c:pt>
                <c:pt idx="9">
                  <c:v>373352</c:v>
                </c:pt>
                <c:pt idx="10">
                  <c:v>343257</c:v>
                </c:pt>
                <c:pt idx="11">
                  <c:v>385383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12-40C8-9DD9-6CDABC5EAFD2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4312-40C8-9DD9-6CDABC5EAFD2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tables'!$D$67:$D$78</c:f>
              <c:numCache>
                <c:formatCode>_-* #,##0_-;\-* #,##0_-;_-* "-"??_-;_-@_-</c:formatCode>
                <c:ptCount val="12"/>
                <c:pt idx="0">
                  <c:v>330164</c:v>
                </c:pt>
                <c:pt idx="1">
                  <c:v>346396</c:v>
                </c:pt>
                <c:pt idx="2">
                  <c:v>293316</c:v>
                </c:pt>
                <c:pt idx="3">
                  <c:v>273876</c:v>
                </c:pt>
                <c:pt idx="4">
                  <c:v>244465</c:v>
                </c:pt>
                <c:pt idx="5">
                  <c:v>301369</c:v>
                </c:pt>
                <c:pt idx="6">
                  <c:v>407259</c:v>
                </c:pt>
                <c:pt idx="7">
                  <c:v>461851</c:v>
                </c:pt>
                <c:pt idx="8">
                  <c:v>413170</c:v>
                </c:pt>
                <c:pt idx="9">
                  <c:v>552182</c:v>
                </c:pt>
                <c:pt idx="10">
                  <c:v>458896</c:v>
                </c:pt>
                <c:pt idx="11">
                  <c:v>409731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12-40C8-9DD9-6CDABC5EAFD2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tables'!$D$79:$D$90</c:f>
              <c:numCache>
                <c:formatCode>_-* #,##0_-;\-* #,##0_-;_-* "-"??_-;_-@_-</c:formatCode>
                <c:ptCount val="12"/>
                <c:pt idx="0">
                  <c:v>357408</c:v>
                </c:pt>
                <c:pt idx="1">
                  <c:v>371575</c:v>
                </c:pt>
                <c:pt idx="2">
                  <c:v>359162</c:v>
                </c:pt>
                <c:pt idx="3">
                  <c:v>322145</c:v>
                </c:pt>
                <c:pt idx="4">
                  <c:v>296649</c:v>
                </c:pt>
                <c:pt idx="5">
                  <c:v>319961</c:v>
                </c:pt>
                <c:pt idx="6">
                  <c:v>371000</c:v>
                </c:pt>
                <c:pt idx="7">
                  <c:v>309000</c:v>
                </c:pt>
                <c:pt idx="8">
                  <c:v>222000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12-40C8-9DD9-6CDABC5EA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075840"/>
        <c:axId val="401076232"/>
      </c:barChart>
      <c:catAx>
        <c:axId val="401075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6232"/>
        <c:crosses val="autoZero"/>
        <c:auto val="1"/>
        <c:lblAlgn val="ctr"/>
        <c:lblOffset val="100"/>
        <c:noMultiLvlLbl val="1"/>
      </c:catAx>
      <c:valAx>
        <c:axId val="401076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8.6999999999999994E-3"/>
              <c:y val="0.330150555555555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5840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4831650757006669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CKS</a:t>
            </a:r>
          </a:p>
        </c:rich>
      </c:tx>
      <c:layout>
        <c:manualLayout>
          <c:xMode val="edge"/>
          <c:yMode val="edge"/>
          <c:x val="0.38265823580539199"/>
          <c:y val="4.18937077465259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6515529308836396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96-4049-B1A6-7D2D973DB4D4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tables'!$G$55:$G$66</c:f>
              <c:numCache>
                <c:formatCode>_-* #,##0_-;\-* #,##0_-;_-* "-"??_-;_-@_-</c:formatCode>
                <c:ptCount val="12"/>
                <c:pt idx="0">
                  <c:v>650121</c:v>
                </c:pt>
                <c:pt idx="1">
                  <c:v>645148</c:v>
                </c:pt>
                <c:pt idx="2">
                  <c:v>571222</c:v>
                </c:pt>
                <c:pt idx="3">
                  <c:v>532771</c:v>
                </c:pt>
                <c:pt idx="4">
                  <c:v>599718</c:v>
                </c:pt>
                <c:pt idx="5">
                  <c:v>653098</c:v>
                </c:pt>
                <c:pt idx="6">
                  <c:v>794044</c:v>
                </c:pt>
                <c:pt idx="7">
                  <c:v>804030</c:v>
                </c:pt>
                <c:pt idx="8">
                  <c:v>653573</c:v>
                </c:pt>
                <c:pt idx="9">
                  <c:v>877763</c:v>
                </c:pt>
                <c:pt idx="10">
                  <c:v>778654</c:v>
                </c:pt>
                <c:pt idx="11">
                  <c:v>902355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96-4049-B1A6-7D2D973DB4D4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BB96-4049-B1A6-7D2D973DB4D4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tables'!$G$67:$G$78</c:f>
              <c:numCache>
                <c:formatCode>_-* #,##0_-;\-* #,##0_-;_-* "-"??_-;_-@_-</c:formatCode>
                <c:ptCount val="12"/>
                <c:pt idx="0">
                  <c:v>850836</c:v>
                </c:pt>
                <c:pt idx="1">
                  <c:v>916789</c:v>
                </c:pt>
                <c:pt idx="2">
                  <c:v>748411</c:v>
                </c:pt>
                <c:pt idx="3">
                  <c:v>744014</c:v>
                </c:pt>
                <c:pt idx="4">
                  <c:v>719335</c:v>
                </c:pt>
                <c:pt idx="5">
                  <c:v>887351</c:v>
                </c:pt>
                <c:pt idx="6">
                  <c:v>1010954</c:v>
                </c:pt>
                <c:pt idx="7">
                  <c:v>943894</c:v>
                </c:pt>
                <c:pt idx="8">
                  <c:v>796789</c:v>
                </c:pt>
                <c:pt idx="9">
                  <c:v>1044802</c:v>
                </c:pt>
                <c:pt idx="10">
                  <c:v>988057</c:v>
                </c:pt>
                <c:pt idx="11">
                  <c:v>905108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96-4049-B1A6-7D2D973DB4D4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tables'!$G$79:$G$90</c:f>
              <c:numCache>
                <c:formatCode>_-* #,##0_-;\-* #,##0_-;_-* "-"??_-;_-@_-</c:formatCode>
                <c:ptCount val="12"/>
                <c:pt idx="0">
                  <c:v>753414</c:v>
                </c:pt>
                <c:pt idx="1">
                  <c:v>842981</c:v>
                </c:pt>
                <c:pt idx="2">
                  <c:v>898091</c:v>
                </c:pt>
                <c:pt idx="3">
                  <c:v>832232</c:v>
                </c:pt>
                <c:pt idx="4">
                  <c:v>811408</c:v>
                </c:pt>
                <c:pt idx="5">
                  <c:v>982131</c:v>
                </c:pt>
                <c:pt idx="6">
                  <c:v>1140000</c:v>
                </c:pt>
                <c:pt idx="7">
                  <c:v>1116000</c:v>
                </c:pt>
                <c:pt idx="8">
                  <c:v>1029000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96-4049-B1A6-7D2D973DB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892936"/>
        <c:axId val="400893328"/>
      </c:barChart>
      <c:catAx>
        <c:axId val="400892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layout>
            <c:manualLayout>
              <c:xMode val="edge"/>
              <c:yMode val="edge"/>
              <c:x val="0.48582546296296297"/>
              <c:y val="0.928819742489270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893328"/>
        <c:crosses val="autoZero"/>
        <c:auto val="1"/>
        <c:lblAlgn val="ctr"/>
        <c:lblOffset val="100"/>
        <c:noMultiLvlLbl val="1"/>
      </c:catAx>
      <c:valAx>
        <c:axId val="40089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1.5944791666666663E-2"/>
              <c:y val="0.320151666666666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892936"/>
        <c:crosses val="autoZero"/>
        <c:crossBetween val="between"/>
        <c:majorUnit val="25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7304379063504093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HDAS</a:t>
            </a:r>
          </a:p>
        </c:rich>
      </c:tx>
      <c:layout>
        <c:manualLayout>
          <c:xMode val="edge"/>
          <c:yMode val="edge"/>
          <c:x val="0.37935656555296238"/>
          <c:y val="3.1799532176600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5035083114610673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5C-42A5-AD1A-F82F4A8F0DA4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tables'!$H$55:$H$66</c:f>
              <c:numCache>
                <c:formatCode>_-* #,##0_-;\-* #,##0_-;_-* "-"??_-;_-@_-</c:formatCode>
                <c:ptCount val="12"/>
                <c:pt idx="0">
                  <c:v>30451</c:v>
                </c:pt>
                <c:pt idx="1">
                  <c:v>30573</c:v>
                </c:pt>
                <c:pt idx="2">
                  <c:v>25100</c:v>
                </c:pt>
                <c:pt idx="3">
                  <c:v>24957</c:v>
                </c:pt>
                <c:pt idx="4">
                  <c:v>25063</c:v>
                </c:pt>
                <c:pt idx="5">
                  <c:v>23850</c:v>
                </c:pt>
                <c:pt idx="6">
                  <c:v>31904</c:v>
                </c:pt>
                <c:pt idx="7">
                  <c:v>33209</c:v>
                </c:pt>
                <c:pt idx="8">
                  <c:v>23172</c:v>
                </c:pt>
                <c:pt idx="9">
                  <c:v>32265</c:v>
                </c:pt>
                <c:pt idx="10">
                  <c:v>29138</c:v>
                </c:pt>
                <c:pt idx="11">
                  <c:v>29512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5C-42A5-AD1A-F82F4A8F0DA4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55C-42A5-AD1A-F82F4A8F0DA4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tables'!$H$67:$H$78</c:f>
              <c:numCache>
                <c:formatCode>_-* #,##0_-;\-* #,##0_-;_-* "-"??_-;_-@_-</c:formatCode>
                <c:ptCount val="12"/>
                <c:pt idx="0">
                  <c:v>28503</c:v>
                </c:pt>
                <c:pt idx="1">
                  <c:v>27938</c:v>
                </c:pt>
                <c:pt idx="2">
                  <c:v>24928</c:v>
                </c:pt>
                <c:pt idx="3">
                  <c:v>25651</c:v>
                </c:pt>
                <c:pt idx="4">
                  <c:v>23041</c:v>
                </c:pt>
                <c:pt idx="5">
                  <c:v>24188</c:v>
                </c:pt>
                <c:pt idx="6">
                  <c:v>31353</c:v>
                </c:pt>
                <c:pt idx="7">
                  <c:v>30124</c:v>
                </c:pt>
                <c:pt idx="8">
                  <c:v>23004</c:v>
                </c:pt>
                <c:pt idx="9">
                  <c:v>30879</c:v>
                </c:pt>
                <c:pt idx="10">
                  <c:v>28798</c:v>
                </c:pt>
                <c:pt idx="11">
                  <c:v>25478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55C-42A5-AD1A-F82F4A8F0DA4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tables'!$H$79:$H$90</c:f>
              <c:numCache>
                <c:formatCode>_-* #,##0_-;\-* #,##0_-;_-* "-"??_-;_-@_-</c:formatCode>
                <c:ptCount val="12"/>
                <c:pt idx="0">
                  <c:v>22123</c:v>
                </c:pt>
                <c:pt idx="1">
                  <c:v>22947</c:v>
                </c:pt>
                <c:pt idx="2">
                  <c:v>23355</c:v>
                </c:pt>
                <c:pt idx="3">
                  <c:v>22355</c:v>
                </c:pt>
                <c:pt idx="4">
                  <c:v>17947</c:v>
                </c:pt>
                <c:pt idx="5">
                  <c:v>20285</c:v>
                </c:pt>
                <c:pt idx="6">
                  <c:v>25189</c:v>
                </c:pt>
                <c:pt idx="7">
                  <c:v>25867</c:v>
                </c:pt>
                <c:pt idx="8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5C-42A5-AD1A-F82F4A8F0D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890192"/>
        <c:axId val="401075056"/>
      </c:barChart>
      <c:catAx>
        <c:axId val="400890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075056"/>
        <c:crosses val="autoZero"/>
        <c:auto val="1"/>
        <c:lblAlgn val="ctr"/>
        <c:lblOffset val="100"/>
        <c:noMultiLvlLbl val="1"/>
      </c:catAx>
      <c:valAx>
        <c:axId val="40107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1.0544791666666668E-2"/>
              <c:y val="0.312412499999999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890192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7625836981646319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BNF site</a:t>
            </a:r>
          </a:p>
        </c:rich>
      </c:tx>
      <c:layout>
        <c:manualLayout>
          <c:xMode val="edge"/>
          <c:yMode val="edge"/>
          <c:x val="0.3880591694513526"/>
          <c:y val="3.77396305577425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6925853018372702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1E-44B8-8BA5-F16C1325D416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tables'!$E$55:$E$66</c:f>
              <c:numCache>
                <c:formatCode>_-* #,##0_-;\-* #,##0_-;_-* "-"??_-;_-@_-</c:formatCode>
                <c:ptCount val="12"/>
                <c:pt idx="0">
                  <c:v>1253888</c:v>
                </c:pt>
                <c:pt idx="1">
                  <c:v>1361538</c:v>
                </c:pt>
                <c:pt idx="2">
                  <c:v>1378177</c:v>
                </c:pt>
                <c:pt idx="3">
                  <c:v>1350178</c:v>
                </c:pt>
                <c:pt idx="4">
                  <c:v>1280274</c:v>
                </c:pt>
                <c:pt idx="5">
                  <c:v>1310909</c:v>
                </c:pt>
                <c:pt idx="6">
                  <c:v>1757280</c:v>
                </c:pt>
                <c:pt idx="7">
                  <c:v>1794923</c:v>
                </c:pt>
                <c:pt idx="8">
                  <c:v>1610074</c:v>
                </c:pt>
                <c:pt idx="9">
                  <c:v>2037357</c:v>
                </c:pt>
                <c:pt idx="10">
                  <c:v>1802106</c:v>
                </c:pt>
                <c:pt idx="11">
                  <c:v>2005252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1E-44B8-8BA5-F16C1325D416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C01E-44B8-8BA5-F16C1325D416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tables'!$E$67:$E$78</c:f>
              <c:numCache>
                <c:formatCode>_-* #,##0_-;\-* #,##0_-;_-* "-"??_-;_-@_-</c:formatCode>
                <c:ptCount val="12"/>
                <c:pt idx="0">
                  <c:v>1903965</c:v>
                </c:pt>
                <c:pt idx="1">
                  <c:v>2068153</c:v>
                </c:pt>
                <c:pt idx="2">
                  <c:v>1810180</c:v>
                </c:pt>
                <c:pt idx="3">
                  <c:v>1794906</c:v>
                </c:pt>
                <c:pt idx="4">
                  <c:v>1768868</c:v>
                </c:pt>
                <c:pt idx="5">
                  <c:v>1936844</c:v>
                </c:pt>
                <c:pt idx="6">
                  <c:v>2226005</c:v>
                </c:pt>
                <c:pt idx="7">
                  <c:v>2153465</c:v>
                </c:pt>
                <c:pt idx="8">
                  <c:v>1940988</c:v>
                </c:pt>
                <c:pt idx="9">
                  <c:v>2266952</c:v>
                </c:pt>
                <c:pt idx="10">
                  <c:v>2088950</c:v>
                </c:pt>
                <c:pt idx="11">
                  <c:v>2049959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1E-44B8-8BA5-F16C1325D416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tables'!$E$79:$E$90</c:f>
              <c:numCache>
                <c:formatCode>_-* #,##0_-;\-* #,##0_-;_-* "-"??_-;_-@_-</c:formatCode>
                <c:ptCount val="12"/>
                <c:pt idx="0">
                  <c:v>1807031</c:v>
                </c:pt>
                <c:pt idx="1">
                  <c:v>2071836</c:v>
                </c:pt>
                <c:pt idx="2">
                  <c:v>2115475</c:v>
                </c:pt>
                <c:pt idx="3">
                  <c:v>1970298</c:v>
                </c:pt>
                <c:pt idx="4">
                  <c:v>1962509</c:v>
                </c:pt>
                <c:pt idx="5">
                  <c:v>2191601</c:v>
                </c:pt>
                <c:pt idx="6">
                  <c:v>2587000</c:v>
                </c:pt>
                <c:pt idx="7">
                  <c:v>2732000</c:v>
                </c:pt>
                <c:pt idx="8">
                  <c:v>2494000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1E-44B8-8BA5-F16C1325D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849352"/>
        <c:axId val="147849744"/>
      </c:barChart>
      <c:catAx>
        <c:axId val="147849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849744"/>
        <c:crosses val="autoZero"/>
        <c:auto val="1"/>
        <c:lblAlgn val="ctr"/>
        <c:lblOffset val="100"/>
        <c:noMultiLvlLbl val="1"/>
      </c:catAx>
      <c:valAx>
        <c:axId val="14784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8.1247685185185173E-3"/>
              <c:y val="0.293338102050548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849352"/>
        <c:crosses val="autoZero"/>
        <c:crossBetween val="between"/>
        <c:majorUnit val="5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8875380471111435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/>
              <a:t>Sessions on BNFc site</a:t>
            </a:r>
          </a:p>
        </c:rich>
      </c:tx>
      <c:layout>
        <c:manualLayout>
          <c:xMode val="edge"/>
          <c:yMode val="edge"/>
          <c:x val="0.38121541820286586"/>
          <c:y val="4.42316064431867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xMode val="edge"/>
          <c:yMode val="edge"/>
          <c:x val="5.7740887766149405E-2"/>
          <c:y val="0.16477996500437445"/>
          <c:w val="0.81799591002044991"/>
          <c:h val="0.72222222222222221"/>
        </c:manualLayout>
      </c:layout>
      <c:barChart>
        <c:barDir val="col"/>
        <c:grouping val="clustered"/>
        <c:varyColors val="0"/>
        <c:ser>
          <c:idx val="3"/>
          <c:order val="0"/>
          <c:tx>
            <c:v>2018/19</c:v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8-4D7E-8C59-6C31C2A2C0FE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tables'!$F$55:$F$66</c:f>
              <c:numCache>
                <c:formatCode>_-* #,##0_-;\-* #,##0_-;_-* "-"??_-;_-@_-</c:formatCode>
                <c:ptCount val="12"/>
                <c:pt idx="0">
                  <c:v>80927</c:v>
                </c:pt>
                <c:pt idx="1">
                  <c:v>98030</c:v>
                </c:pt>
                <c:pt idx="2">
                  <c:v>103165</c:v>
                </c:pt>
                <c:pt idx="3">
                  <c:v>106084</c:v>
                </c:pt>
                <c:pt idx="4">
                  <c:v>117499</c:v>
                </c:pt>
                <c:pt idx="5">
                  <c:v>132450</c:v>
                </c:pt>
                <c:pt idx="6">
                  <c:v>150065</c:v>
                </c:pt>
                <c:pt idx="7">
                  <c:v>159057</c:v>
                </c:pt>
                <c:pt idx="8">
                  <c:v>143559</c:v>
                </c:pt>
                <c:pt idx="9">
                  <c:v>172933</c:v>
                </c:pt>
                <c:pt idx="10">
                  <c:v>161774</c:v>
                </c:pt>
                <c:pt idx="11">
                  <c:v>180570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B8-4D7E-8C59-6C31C2A2C0FE}"/>
            </c:ext>
          </c:extLst>
        </c:ser>
        <c:ser>
          <c:idx val="2"/>
          <c:order val="1"/>
          <c:tx>
            <c:v>2019/20</c:v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21B8-4D7E-8C59-6C31C2A2C0FE}"/>
              </c:ext>
            </c:extLst>
          </c:dPt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tables'!$F$67:$F$78</c:f>
              <c:numCache>
                <c:formatCode>_-* #,##0_-;\-* #,##0_-;_-* "-"??_-;_-@_-</c:formatCode>
                <c:ptCount val="12"/>
                <c:pt idx="0">
                  <c:v>171549</c:v>
                </c:pt>
                <c:pt idx="1">
                  <c:v>192593</c:v>
                </c:pt>
                <c:pt idx="2">
                  <c:v>162280</c:v>
                </c:pt>
                <c:pt idx="3">
                  <c:v>168210</c:v>
                </c:pt>
                <c:pt idx="4">
                  <c:v>148079</c:v>
                </c:pt>
                <c:pt idx="5">
                  <c:v>168293</c:v>
                </c:pt>
                <c:pt idx="6">
                  <c:v>201632</c:v>
                </c:pt>
                <c:pt idx="7">
                  <c:v>210915</c:v>
                </c:pt>
                <c:pt idx="8">
                  <c:v>213632</c:v>
                </c:pt>
                <c:pt idx="9">
                  <c:v>243427</c:v>
                </c:pt>
                <c:pt idx="10">
                  <c:v>243572</c:v>
                </c:pt>
                <c:pt idx="11">
                  <c:v>236110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1B8-4D7E-8C59-6C31C2A2C0FE}"/>
            </c:ext>
          </c:extLst>
        </c:ser>
        <c:ser>
          <c:idx val="0"/>
          <c:order val="2"/>
          <c:tx>
            <c:v>2020/21</c:v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2"/>
              <c:pt idx="0">
                <c:v>Apr</c:v>
              </c:pt>
              <c:pt idx="1">
                <c:v>May</c:v>
              </c:pt>
              <c:pt idx="2">
                <c:v>Jun</c:v>
              </c:pt>
              <c:pt idx="3">
                <c:v>Jul</c:v>
              </c:pt>
              <c:pt idx="4">
                <c:v>Aug</c:v>
              </c:pt>
              <c:pt idx="5">
                <c:v>Sep</c:v>
              </c:pt>
              <c:pt idx="6">
                <c:v>Oct</c:v>
              </c:pt>
              <c:pt idx="7">
                <c:v>Nov</c:v>
              </c:pt>
              <c:pt idx="8">
                <c:v>Dec</c:v>
              </c:pt>
              <c:pt idx="9">
                <c:v>Jan</c:v>
              </c:pt>
              <c:pt idx="10">
                <c:v>Feb</c:v>
              </c:pt>
              <c:pt idx="11">
                <c:v>Mar</c:v>
              </c:pt>
            </c:strLit>
          </c:cat>
          <c:val>
            <c:numRef>
              <c:f>'Data for charts and tables'!$F$79:$F$90</c:f>
              <c:numCache>
                <c:formatCode>_-* #,##0_-;\-* #,##0_-;_-* "-"??_-;_-@_-</c:formatCode>
                <c:ptCount val="12"/>
                <c:pt idx="0">
                  <c:v>212737</c:v>
                </c:pt>
                <c:pt idx="1">
                  <c:v>209168</c:v>
                </c:pt>
                <c:pt idx="2">
                  <c:v>212113</c:v>
                </c:pt>
                <c:pt idx="3">
                  <c:v>204947</c:v>
                </c:pt>
                <c:pt idx="4">
                  <c:v>204520</c:v>
                </c:pt>
                <c:pt idx="5">
                  <c:v>249838</c:v>
                </c:pt>
                <c:pt idx="6">
                  <c:v>256000</c:v>
                </c:pt>
                <c:pt idx="7">
                  <c:v>291000</c:v>
                </c:pt>
                <c:pt idx="8">
                  <c:v>257000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B8-4D7E-8C59-6C31C2A2C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675736"/>
        <c:axId val="400676128"/>
      </c:barChart>
      <c:catAx>
        <c:axId val="400675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layout>
            <c:manualLayout>
              <c:xMode val="edge"/>
              <c:yMode val="edge"/>
              <c:x val="0.47564965277777776"/>
              <c:y val="0.923648300555968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676128"/>
        <c:crosses val="autoZero"/>
        <c:auto val="1"/>
        <c:lblAlgn val="ctr"/>
        <c:lblOffset val="100"/>
        <c:noMultiLvlLbl val="1"/>
      </c:catAx>
      <c:valAx>
        <c:axId val="40067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sessions</a:t>
                </a:r>
              </a:p>
            </c:rich>
          </c:tx>
          <c:layout>
            <c:manualLayout>
              <c:xMode val="edge"/>
              <c:yMode val="edge"/>
              <c:x val="8.2625000000000007E-3"/>
              <c:y val="0.292423379687359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675736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67809455070376"/>
          <c:y val="0.49291473350332732"/>
          <c:w val="0.14832190544929627"/>
          <c:h val="0.23333333333333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1472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2021-01-14T07:05:00Z</dcterms:created>
  <dcterms:modified xsi:type="dcterms:W3CDTF">2021-01-15T14:53:00Z</dcterms:modified>
</cp:coreProperties>
</file>