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66DCD" w14:textId="77777777" w:rsidR="00EB1C36" w:rsidRPr="008C5D72" w:rsidRDefault="00EB1C36" w:rsidP="00F07534">
      <w:pPr>
        <w:pStyle w:val="Title20"/>
      </w:pPr>
      <w:r w:rsidRPr="008C5D72">
        <w:t>National Institute for Health and Care Excellence</w:t>
      </w:r>
    </w:p>
    <w:p w14:paraId="4D6F5472" w14:textId="448E64EC" w:rsidR="00EB1C36" w:rsidRPr="008C5D72" w:rsidRDefault="00FA05A6" w:rsidP="00F07534">
      <w:pPr>
        <w:pStyle w:val="Title1"/>
      </w:pPr>
      <w:r w:rsidRPr="008C5D72">
        <w:t>Resources</w:t>
      </w:r>
      <w:r w:rsidR="00EB1C36" w:rsidRPr="008C5D72">
        <w:t xml:space="preserve"> report</w:t>
      </w:r>
    </w:p>
    <w:p w14:paraId="12C8B4AA" w14:textId="65264B51" w:rsidR="00EB1C36" w:rsidRPr="008C5D72" w:rsidRDefault="00FA6C4F" w:rsidP="005F6CE3">
      <w:pPr>
        <w:pStyle w:val="NICEnormalnumbered"/>
      </w:pPr>
      <w:r w:rsidRPr="008C5D72">
        <w:t xml:space="preserve">This report gives details of the financial position as </w:t>
      </w:r>
      <w:proofErr w:type="gramStart"/>
      <w:r w:rsidRPr="008C5D72">
        <w:t>at</w:t>
      </w:r>
      <w:proofErr w:type="gramEnd"/>
      <w:r w:rsidRPr="008C5D72">
        <w:t xml:space="preserve"> 3</w:t>
      </w:r>
      <w:r w:rsidR="00EC48B8" w:rsidRPr="008C5D72">
        <w:t>1</w:t>
      </w:r>
      <w:r w:rsidRPr="008C5D72">
        <w:t xml:space="preserve"> </w:t>
      </w:r>
      <w:r w:rsidR="00EC48B8" w:rsidRPr="008C5D72">
        <w:t>December</w:t>
      </w:r>
      <w:r w:rsidRPr="008C5D72">
        <w:t xml:space="preserve"> 2020</w:t>
      </w:r>
      <w:r w:rsidR="005F6CE3" w:rsidRPr="008C5D72">
        <w:t>, an</w:t>
      </w:r>
      <w:r w:rsidR="009573A0" w:rsidRPr="008C5D72">
        <w:t xml:space="preserve"> </w:t>
      </w:r>
      <w:r w:rsidR="005F6CE3" w:rsidRPr="008C5D72">
        <w:t>update on Human Resources &amp; Organisational Development and an update on the NICE Connect transformation programme.</w:t>
      </w:r>
    </w:p>
    <w:p w14:paraId="34C349B4" w14:textId="4D6ECBE2" w:rsidR="00EB1C36" w:rsidRPr="008C5D72" w:rsidRDefault="00FA6C4F" w:rsidP="00EB1C36">
      <w:pPr>
        <w:pStyle w:val="Heading1boardreport"/>
      </w:pPr>
      <w:r w:rsidRPr="008C5D72">
        <w:t xml:space="preserve">Year to Date Financial Position as </w:t>
      </w:r>
      <w:proofErr w:type="gramStart"/>
      <w:r w:rsidRPr="008C5D72">
        <w:t>at</w:t>
      </w:r>
      <w:proofErr w:type="gramEnd"/>
      <w:r w:rsidRPr="008C5D72">
        <w:t xml:space="preserve"> 3</w:t>
      </w:r>
      <w:r w:rsidR="00EC48B8" w:rsidRPr="008C5D72">
        <w:t>1</w:t>
      </w:r>
      <w:r w:rsidRPr="008C5D72">
        <w:t xml:space="preserve"> </w:t>
      </w:r>
      <w:r w:rsidR="00EC48B8" w:rsidRPr="008C5D72">
        <w:t>December</w:t>
      </w:r>
      <w:r w:rsidRPr="008C5D72">
        <w:t xml:space="preserve"> 2020</w:t>
      </w:r>
    </w:p>
    <w:p w14:paraId="6252447C" w14:textId="3E8F6F9B" w:rsidR="000B6695" w:rsidRPr="008C5D72" w:rsidRDefault="00FA6C4F" w:rsidP="000B6695">
      <w:pPr>
        <w:pStyle w:val="NICEnormalnumbered"/>
      </w:pPr>
      <w:r w:rsidRPr="008C5D72">
        <w:t xml:space="preserve">Table 1 summarises the financial position as </w:t>
      </w:r>
      <w:proofErr w:type="gramStart"/>
      <w:r w:rsidRPr="008C5D72">
        <w:t>at</w:t>
      </w:r>
      <w:proofErr w:type="gramEnd"/>
      <w:r w:rsidRPr="008C5D72">
        <w:t xml:space="preserve"> 3</w:t>
      </w:r>
      <w:r w:rsidR="00EC48B8" w:rsidRPr="008C5D72">
        <w:t>1</w:t>
      </w:r>
      <w:r w:rsidRPr="008C5D72">
        <w:t xml:space="preserve"> </w:t>
      </w:r>
      <w:r w:rsidR="00EC48B8" w:rsidRPr="008C5D72">
        <w:t>December</w:t>
      </w:r>
      <w:r w:rsidRPr="008C5D72">
        <w:t xml:space="preserve"> 2020. There is a full breakdown in Appendix A.</w:t>
      </w:r>
    </w:p>
    <w:p w14:paraId="55A3E91C" w14:textId="64E8E3C6" w:rsidR="00691AAE" w:rsidRDefault="00691AAE" w:rsidP="00A554D7">
      <w:pPr>
        <w:pStyle w:val="Tableheadingboardreport"/>
      </w:pPr>
      <w:r w:rsidRPr="008C5D72">
        <w:t xml:space="preserve">Table 1: Financial position as </w:t>
      </w:r>
      <w:proofErr w:type="gramStart"/>
      <w:r w:rsidRPr="008C5D72">
        <w:t>at</w:t>
      </w:r>
      <w:proofErr w:type="gramEnd"/>
      <w:r w:rsidRPr="008C5D72">
        <w:t xml:space="preserve"> 3</w:t>
      </w:r>
      <w:r w:rsidR="00EC48B8" w:rsidRPr="008C5D72">
        <w:t>1</w:t>
      </w:r>
      <w:r w:rsidRPr="008C5D72">
        <w:t xml:space="preserve"> </w:t>
      </w:r>
      <w:r w:rsidR="00EC48B8" w:rsidRPr="008C5D72">
        <w:t>December</w:t>
      </w:r>
      <w:r w:rsidRPr="008C5D72">
        <w:t xml:space="preserve"> 2020</w:t>
      </w:r>
    </w:p>
    <w:p w14:paraId="5576FD84" w14:textId="77777777" w:rsidR="00734E7B" w:rsidRPr="008C5D72" w:rsidRDefault="00734E7B" w:rsidP="00A554D7">
      <w:pPr>
        <w:pStyle w:val="Tableheadingboardreport"/>
      </w:pPr>
    </w:p>
    <w:tbl>
      <w:tblPr>
        <w:tblpPr w:leftFromText="180" w:rightFromText="180" w:vertAnchor="text" w:horzAnchor="margin" w:tblpY="54"/>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inancial position as at 31 December 2020"/>
        <w:tblDescription w:val="Table1: year to date budget, actual and variance, April 2020 to December 2020"/>
      </w:tblPr>
      <w:tblGrid>
        <w:gridCol w:w="1930"/>
        <w:gridCol w:w="1771"/>
        <w:gridCol w:w="1772"/>
        <w:gridCol w:w="1771"/>
        <w:gridCol w:w="1772"/>
      </w:tblGrid>
      <w:tr w:rsidR="00C2366B" w:rsidRPr="008C5D72" w14:paraId="1AA1FB09" w14:textId="77777777" w:rsidTr="00C2366B">
        <w:trPr>
          <w:cantSplit/>
          <w:tblHeader/>
        </w:trPr>
        <w:tc>
          <w:tcPr>
            <w:tcW w:w="1930" w:type="dxa"/>
          </w:tcPr>
          <w:p w14:paraId="052BFD73" w14:textId="77777777" w:rsidR="00C2366B" w:rsidRPr="008C5D72" w:rsidRDefault="00C2366B" w:rsidP="00C2366B">
            <w:pPr>
              <w:pStyle w:val="Tableheadingboardreport"/>
            </w:pPr>
            <w:r w:rsidRPr="008C5D72">
              <w:t>Spend Category</w:t>
            </w:r>
          </w:p>
        </w:tc>
        <w:tc>
          <w:tcPr>
            <w:tcW w:w="1771" w:type="dxa"/>
          </w:tcPr>
          <w:p w14:paraId="03A6DFD3" w14:textId="77777777" w:rsidR="00C2366B" w:rsidRPr="008C5D72" w:rsidRDefault="00C2366B" w:rsidP="00C2366B">
            <w:pPr>
              <w:pStyle w:val="Tableheadingboardreport"/>
            </w:pPr>
            <w:r w:rsidRPr="008C5D72">
              <w:t>Year to Date Budget £m</w:t>
            </w:r>
          </w:p>
        </w:tc>
        <w:tc>
          <w:tcPr>
            <w:tcW w:w="1772" w:type="dxa"/>
          </w:tcPr>
          <w:p w14:paraId="33E55A39" w14:textId="77777777" w:rsidR="00C2366B" w:rsidRPr="008C5D72" w:rsidRDefault="00C2366B" w:rsidP="00C2366B">
            <w:pPr>
              <w:pStyle w:val="Tableheadingboardreport"/>
            </w:pPr>
            <w:r w:rsidRPr="008C5D72">
              <w:t>Year to Date Actual £m</w:t>
            </w:r>
          </w:p>
        </w:tc>
        <w:tc>
          <w:tcPr>
            <w:tcW w:w="1771" w:type="dxa"/>
          </w:tcPr>
          <w:p w14:paraId="00C31BDF" w14:textId="77777777" w:rsidR="00C2366B" w:rsidRPr="008C5D72" w:rsidRDefault="00C2366B" w:rsidP="00C2366B">
            <w:pPr>
              <w:pStyle w:val="Tableheadingboardreport"/>
            </w:pPr>
            <w:r w:rsidRPr="008C5D72">
              <w:t>Year to Date Variance £m</w:t>
            </w:r>
          </w:p>
        </w:tc>
        <w:tc>
          <w:tcPr>
            <w:tcW w:w="1772" w:type="dxa"/>
          </w:tcPr>
          <w:p w14:paraId="5810E159" w14:textId="77777777" w:rsidR="00C2366B" w:rsidRPr="008C5D72" w:rsidRDefault="00C2366B" w:rsidP="00C2366B">
            <w:pPr>
              <w:pStyle w:val="Tableheadingboardreport"/>
            </w:pPr>
            <w:r w:rsidRPr="008C5D72">
              <w:t>Year to Date Variance %</w:t>
            </w:r>
          </w:p>
        </w:tc>
      </w:tr>
      <w:tr w:rsidR="00C2366B" w:rsidRPr="008C5D72" w14:paraId="554FCACD" w14:textId="77777777" w:rsidTr="00C2366B">
        <w:tc>
          <w:tcPr>
            <w:tcW w:w="1930" w:type="dxa"/>
          </w:tcPr>
          <w:p w14:paraId="53285632" w14:textId="77777777" w:rsidR="00C2366B" w:rsidRPr="008C5D72" w:rsidRDefault="00C2366B" w:rsidP="00C2366B">
            <w:pPr>
              <w:pStyle w:val="Tabletext"/>
            </w:pPr>
            <w:r w:rsidRPr="008C5D72">
              <w:t>Pay</w:t>
            </w:r>
          </w:p>
        </w:tc>
        <w:tc>
          <w:tcPr>
            <w:tcW w:w="1771" w:type="dxa"/>
          </w:tcPr>
          <w:p w14:paraId="4D7F9268" w14:textId="77777777" w:rsidR="00C2366B" w:rsidRPr="008C5D72" w:rsidRDefault="00C2366B" w:rsidP="00C2366B">
            <w:pPr>
              <w:pStyle w:val="Tabletext"/>
              <w:jc w:val="right"/>
            </w:pPr>
            <w:r w:rsidRPr="008C5D72">
              <w:t>34.4</w:t>
            </w:r>
          </w:p>
        </w:tc>
        <w:tc>
          <w:tcPr>
            <w:tcW w:w="1772" w:type="dxa"/>
          </w:tcPr>
          <w:p w14:paraId="32207C3E" w14:textId="77777777" w:rsidR="00C2366B" w:rsidRPr="008C5D72" w:rsidRDefault="00C2366B" w:rsidP="00C2366B">
            <w:pPr>
              <w:pStyle w:val="Tabletext"/>
              <w:jc w:val="right"/>
            </w:pPr>
            <w:r w:rsidRPr="008C5D72">
              <w:t>31.4</w:t>
            </w:r>
          </w:p>
        </w:tc>
        <w:tc>
          <w:tcPr>
            <w:tcW w:w="1771" w:type="dxa"/>
          </w:tcPr>
          <w:p w14:paraId="234B35E9" w14:textId="77777777" w:rsidR="00C2366B" w:rsidRPr="008C5D72" w:rsidRDefault="00C2366B" w:rsidP="00C2366B">
            <w:pPr>
              <w:pStyle w:val="Tabletext"/>
              <w:jc w:val="right"/>
            </w:pPr>
            <w:r w:rsidRPr="008C5D72">
              <w:t>(3.0)</w:t>
            </w:r>
          </w:p>
        </w:tc>
        <w:tc>
          <w:tcPr>
            <w:tcW w:w="1772" w:type="dxa"/>
          </w:tcPr>
          <w:p w14:paraId="175FE7E4" w14:textId="77777777" w:rsidR="00C2366B" w:rsidRPr="008C5D72" w:rsidRDefault="00C2366B" w:rsidP="00C2366B">
            <w:pPr>
              <w:pStyle w:val="Tabletext"/>
              <w:jc w:val="right"/>
            </w:pPr>
            <w:r w:rsidRPr="008C5D72">
              <w:t>(9%)</w:t>
            </w:r>
          </w:p>
        </w:tc>
      </w:tr>
      <w:tr w:rsidR="00C2366B" w:rsidRPr="008C5D72" w14:paraId="329E6428" w14:textId="77777777" w:rsidTr="00C2366B">
        <w:tc>
          <w:tcPr>
            <w:tcW w:w="1930" w:type="dxa"/>
          </w:tcPr>
          <w:p w14:paraId="7124046B" w14:textId="77777777" w:rsidR="00C2366B" w:rsidRPr="008C5D72" w:rsidRDefault="00C2366B" w:rsidP="00C2366B">
            <w:pPr>
              <w:pStyle w:val="Tabletext"/>
            </w:pPr>
            <w:r w:rsidRPr="008C5D72">
              <w:t>Non pay</w:t>
            </w:r>
          </w:p>
        </w:tc>
        <w:tc>
          <w:tcPr>
            <w:tcW w:w="1771" w:type="dxa"/>
          </w:tcPr>
          <w:p w14:paraId="0DCA76EF" w14:textId="77777777" w:rsidR="00C2366B" w:rsidRPr="008C5D72" w:rsidRDefault="00C2366B" w:rsidP="00C2366B">
            <w:pPr>
              <w:pStyle w:val="Tabletext"/>
              <w:jc w:val="right"/>
            </w:pPr>
            <w:r w:rsidRPr="008C5D72">
              <w:t>22.3</w:t>
            </w:r>
          </w:p>
        </w:tc>
        <w:tc>
          <w:tcPr>
            <w:tcW w:w="1772" w:type="dxa"/>
          </w:tcPr>
          <w:p w14:paraId="2B415E41" w14:textId="77777777" w:rsidR="00C2366B" w:rsidRPr="008C5D72" w:rsidRDefault="00C2366B" w:rsidP="00C2366B">
            <w:pPr>
              <w:pStyle w:val="Tabletext"/>
              <w:jc w:val="right"/>
            </w:pPr>
            <w:r w:rsidRPr="008C5D72">
              <w:t>19.9</w:t>
            </w:r>
          </w:p>
        </w:tc>
        <w:tc>
          <w:tcPr>
            <w:tcW w:w="1771" w:type="dxa"/>
          </w:tcPr>
          <w:p w14:paraId="05C9BCA2" w14:textId="77777777" w:rsidR="00C2366B" w:rsidRPr="008C5D72" w:rsidRDefault="00C2366B" w:rsidP="00C2366B">
            <w:pPr>
              <w:pStyle w:val="Tabletext"/>
              <w:jc w:val="right"/>
            </w:pPr>
            <w:r w:rsidRPr="008C5D72">
              <w:t>(2.4)</w:t>
            </w:r>
          </w:p>
        </w:tc>
        <w:tc>
          <w:tcPr>
            <w:tcW w:w="1772" w:type="dxa"/>
          </w:tcPr>
          <w:p w14:paraId="27563E3D" w14:textId="77777777" w:rsidR="00C2366B" w:rsidRPr="008C5D72" w:rsidRDefault="00C2366B" w:rsidP="00C2366B">
            <w:pPr>
              <w:pStyle w:val="Tabletext"/>
              <w:jc w:val="right"/>
            </w:pPr>
            <w:r w:rsidRPr="008C5D72">
              <w:t>(11%)</w:t>
            </w:r>
          </w:p>
        </w:tc>
      </w:tr>
      <w:tr w:rsidR="00C2366B" w:rsidRPr="008C5D72" w14:paraId="3F6FE829" w14:textId="77777777" w:rsidTr="00C2366B">
        <w:tc>
          <w:tcPr>
            <w:tcW w:w="1930" w:type="dxa"/>
          </w:tcPr>
          <w:p w14:paraId="01751CA4" w14:textId="77777777" w:rsidR="00C2366B" w:rsidRPr="008C5D72" w:rsidRDefault="00C2366B" w:rsidP="00C2366B">
            <w:pPr>
              <w:pStyle w:val="Tabletext"/>
            </w:pPr>
            <w:r w:rsidRPr="008C5D72">
              <w:t>Income</w:t>
            </w:r>
          </w:p>
        </w:tc>
        <w:tc>
          <w:tcPr>
            <w:tcW w:w="1771" w:type="dxa"/>
          </w:tcPr>
          <w:p w14:paraId="04D86559" w14:textId="77777777" w:rsidR="00C2366B" w:rsidRPr="008C5D72" w:rsidRDefault="00C2366B" w:rsidP="00C2366B">
            <w:pPr>
              <w:pStyle w:val="Tabletext"/>
              <w:jc w:val="right"/>
            </w:pPr>
            <w:r w:rsidRPr="008C5D72">
              <w:t>(16.6)</w:t>
            </w:r>
          </w:p>
        </w:tc>
        <w:tc>
          <w:tcPr>
            <w:tcW w:w="1772" w:type="dxa"/>
          </w:tcPr>
          <w:p w14:paraId="7CB4A96C" w14:textId="77777777" w:rsidR="00C2366B" w:rsidRPr="008C5D72" w:rsidRDefault="00C2366B" w:rsidP="00C2366B">
            <w:pPr>
              <w:pStyle w:val="Tabletext"/>
              <w:jc w:val="right"/>
            </w:pPr>
            <w:r w:rsidRPr="008C5D72">
              <w:t>(14.7)</w:t>
            </w:r>
          </w:p>
        </w:tc>
        <w:tc>
          <w:tcPr>
            <w:tcW w:w="1771" w:type="dxa"/>
          </w:tcPr>
          <w:p w14:paraId="39D4925F" w14:textId="77777777" w:rsidR="00C2366B" w:rsidRPr="008C5D72" w:rsidRDefault="00C2366B" w:rsidP="00C2366B">
            <w:pPr>
              <w:pStyle w:val="Tabletext"/>
              <w:jc w:val="right"/>
            </w:pPr>
            <w:r w:rsidRPr="008C5D72">
              <w:t>2.0</w:t>
            </w:r>
          </w:p>
        </w:tc>
        <w:tc>
          <w:tcPr>
            <w:tcW w:w="1772" w:type="dxa"/>
          </w:tcPr>
          <w:p w14:paraId="2B0023F3" w14:textId="77777777" w:rsidR="00C2366B" w:rsidRPr="008C5D72" w:rsidRDefault="00C2366B" w:rsidP="00C2366B">
            <w:pPr>
              <w:pStyle w:val="Tabletext"/>
              <w:jc w:val="right"/>
            </w:pPr>
            <w:r w:rsidRPr="008C5D72">
              <w:t>12%</w:t>
            </w:r>
          </w:p>
        </w:tc>
      </w:tr>
      <w:tr w:rsidR="00C2366B" w:rsidRPr="008C5D72" w14:paraId="14DF071A" w14:textId="77777777" w:rsidTr="00C2366B">
        <w:tc>
          <w:tcPr>
            <w:tcW w:w="1930" w:type="dxa"/>
          </w:tcPr>
          <w:p w14:paraId="432A404A" w14:textId="77777777" w:rsidR="00C2366B" w:rsidRPr="008C5D72" w:rsidRDefault="00C2366B" w:rsidP="00C2366B">
            <w:pPr>
              <w:pStyle w:val="Tabletext"/>
              <w:rPr>
                <w:b/>
                <w:bCs/>
              </w:rPr>
            </w:pPr>
            <w:r w:rsidRPr="008C5D72">
              <w:rPr>
                <w:b/>
                <w:bCs/>
              </w:rPr>
              <w:t>Total</w:t>
            </w:r>
          </w:p>
        </w:tc>
        <w:tc>
          <w:tcPr>
            <w:tcW w:w="1771" w:type="dxa"/>
          </w:tcPr>
          <w:p w14:paraId="46F13717" w14:textId="77777777" w:rsidR="00C2366B" w:rsidRPr="008C5D72" w:rsidRDefault="00C2366B" w:rsidP="00C2366B">
            <w:pPr>
              <w:pStyle w:val="Tabletext"/>
              <w:jc w:val="right"/>
              <w:rPr>
                <w:b/>
                <w:bCs/>
              </w:rPr>
            </w:pPr>
            <w:r w:rsidRPr="008C5D72">
              <w:rPr>
                <w:b/>
                <w:bCs/>
              </w:rPr>
              <w:t>40.1</w:t>
            </w:r>
          </w:p>
        </w:tc>
        <w:tc>
          <w:tcPr>
            <w:tcW w:w="1772" w:type="dxa"/>
          </w:tcPr>
          <w:p w14:paraId="2EDB4FE3" w14:textId="77777777" w:rsidR="00C2366B" w:rsidRPr="008C5D72" w:rsidRDefault="00C2366B" w:rsidP="00C2366B">
            <w:pPr>
              <w:pStyle w:val="Tabletext"/>
              <w:jc w:val="right"/>
              <w:rPr>
                <w:b/>
                <w:bCs/>
              </w:rPr>
            </w:pPr>
            <w:r w:rsidRPr="008C5D72">
              <w:rPr>
                <w:b/>
                <w:bCs/>
              </w:rPr>
              <w:t>36.6</w:t>
            </w:r>
          </w:p>
        </w:tc>
        <w:tc>
          <w:tcPr>
            <w:tcW w:w="1771" w:type="dxa"/>
          </w:tcPr>
          <w:p w14:paraId="2E948BD6" w14:textId="77777777" w:rsidR="00C2366B" w:rsidRPr="008C5D72" w:rsidRDefault="00C2366B" w:rsidP="00C2366B">
            <w:pPr>
              <w:pStyle w:val="Tabletext"/>
              <w:jc w:val="right"/>
              <w:rPr>
                <w:b/>
                <w:bCs/>
              </w:rPr>
            </w:pPr>
            <w:r w:rsidRPr="008C5D72">
              <w:rPr>
                <w:b/>
                <w:bCs/>
              </w:rPr>
              <w:t>(3.4)</w:t>
            </w:r>
          </w:p>
        </w:tc>
        <w:tc>
          <w:tcPr>
            <w:tcW w:w="1772" w:type="dxa"/>
          </w:tcPr>
          <w:p w14:paraId="13C55874" w14:textId="77777777" w:rsidR="00C2366B" w:rsidRPr="008C5D72" w:rsidRDefault="00C2366B" w:rsidP="00C2366B">
            <w:pPr>
              <w:pStyle w:val="Tabletext"/>
              <w:jc w:val="right"/>
              <w:rPr>
                <w:b/>
                <w:bCs/>
              </w:rPr>
            </w:pPr>
            <w:r w:rsidRPr="008C5D72">
              <w:rPr>
                <w:b/>
                <w:bCs/>
              </w:rPr>
              <w:t>(9%)</w:t>
            </w:r>
          </w:p>
        </w:tc>
      </w:tr>
    </w:tbl>
    <w:p w14:paraId="719DC134" w14:textId="77777777" w:rsidR="00691AAE" w:rsidRPr="008C5D72" w:rsidRDefault="00691AAE" w:rsidP="00691AAE">
      <w:pPr>
        <w:pStyle w:val="NICEnormalnumbered"/>
        <w:numPr>
          <w:ilvl w:val="0"/>
          <w:numId w:val="0"/>
        </w:numPr>
      </w:pPr>
    </w:p>
    <w:p w14:paraId="1AA8DDA0" w14:textId="42CBFCA0" w:rsidR="00691AAE" w:rsidRPr="008C5D72" w:rsidRDefault="00691AAE" w:rsidP="00691AAE">
      <w:pPr>
        <w:pStyle w:val="NICEnormalnumbered"/>
      </w:pPr>
      <w:r w:rsidRPr="008C5D72">
        <w:t xml:space="preserve">Overall, the </w:t>
      </w:r>
      <w:proofErr w:type="gramStart"/>
      <w:r w:rsidRPr="008C5D72">
        <w:t>year to date</w:t>
      </w:r>
      <w:proofErr w:type="gramEnd"/>
      <w:r w:rsidRPr="008C5D72">
        <w:t xml:space="preserve"> position to 3</w:t>
      </w:r>
      <w:r w:rsidR="007A2078" w:rsidRPr="008C5D72">
        <w:t>1</w:t>
      </w:r>
      <w:r w:rsidRPr="008C5D72">
        <w:t xml:space="preserve"> </w:t>
      </w:r>
      <w:r w:rsidR="007A2078" w:rsidRPr="008C5D72">
        <w:t>December</w:t>
      </w:r>
      <w:r w:rsidRPr="008C5D72">
        <w:t xml:space="preserve"> 2020 was an underspend of £</w:t>
      </w:r>
      <w:r w:rsidR="007A2078" w:rsidRPr="008C5D72">
        <w:t>3</w:t>
      </w:r>
      <w:r w:rsidRPr="008C5D72">
        <w:t>.4m (</w:t>
      </w:r>
      <w:r w:rsidR="007A2078" w:rsidRPr="008C5D72">
        <w:t>9</w:t>
      </w:r>
      <w:r w:rsidRPr="008C5D72">
        <w:t xml:space="preserve">%) as shown in Table 1 above. </w:t>
      </w:r>
    </w:p>
    <w:p w14:paraId="180BB2E2" w14:textId="1B018F18" w:rsidR="00691AAE" w:rsidRPr="008C5D72" w:rsidRDefault="00691AAE" w:rsidP="00691AAE">
      <w:pPr>
        <w:pStyle w:val="Heading2boardreport"/>
      </w:pPr>
      <w:r w:rsidRPr="008C5D72">
        <w:t>Pay expenditure</w:t>
      </w:r>
    </w:p>
    <w:p w14:paraId="464A6558" w14:textId="662DF329" w:rsidR="00691AAE" w:rsidRPr="008C5D72" w:rsidRDefault="00691AAE" w:rsidP="00691AAE">
      <w:pPr>
        <w:pStyle w:val="NICEnormalnumbered"/>
      </w:pPr>
      <w:r w:rsidRPr="008C5D72">
        <w:t>Pay expenditure to 3</w:t>
      </w:r>
      <w:r w:rsidR="00371C58" w:rsidRPr="008C5D72">
        <w:t>1</w:t>
      </w:r>
      <w:r w:rsidRPr="008C5D72">
        <w:t xml:space="preserve"> </w:t>
      </w:r>
      <w:r w:rsidR="00371C58" w:rsidRPr="008C5D72">
        <w:t>Decembe</w:t>
      </w:r>
      <w:r w:rsidRPr="008C5D72">
        <w:t>r 2020 was £</w:t>
      </w:r>
      <w:r w:rsidR="00371C58" w:rsidRPr="008C5D72">
        <w:t>31.4</w:t>
      </w:r>
      <w:r w:rsidRPr="008C5D72">
        <w:t>m against a budget of £</w:t>
      </w:r>
      <w:r w:rsidR="00371C58" w:rsidRPr="008C5D72">
        <w:t>34.4</w:t>
      </w:r>
      <w:r w:rsidRPr="008C5D72">
        <w:t>m, resulting in an underspend of £</w:t>
      </w:r>
      <w:r w:rsidR="00371C58" w:rsidRPr="008C5D72">
        <w:t>3.0</w:t>
      </w:r>
      <w:r w:rsidRPr="008C5D72">
        <w:t xml:space="preserve">m (9%). </w:t>
      </w:r>
    </w:p>
    <w:p w14:paraId="25DB415F" w14:textId="322AD2FD" w:rsidR="00691AAE" w:rsidRPr="008C5D72" w:rsidRDefault="003F7C7E" w:rsidP="00691AAE">
      <w:pPr>
        <w:pStyle w:val="NICEnormalnumbered"/>
      </w:pPr>
      <w:r w:rsidRPr="008C5D72">
        <w:t xml:space="preserve">Between October and December NICE has recorded 27 new starters and </w:t>
      </w:r>
      <w:r w:rsidR="008C5D72" w:rsidRPr="008C5D72">
        <w:t>17</w:t>
      </w:r>
      <w:r w:rsidRPr="008C5D72">
        <w:t xml:space="preserve"> leavers. This has reduced the number of vacancies from 101 whole time equivalents (WTE) to 91 WTE as </w:t>
      </w:r>
      <w:proofErr w:type="gramStart"/>
      <w:r w:rsidRPr="008C5D72">
        <w:t>at</w:t>
      </w:r>
      <w:proofErr w:type="gramEnd"/>
      <w:r w:rsidRPr="008C5D72">
        <w:t xml:space="preserve"> 31 December 2020. </w:t>
      </w:r>
      <w:r w:rsidR="00691AAE" w:rsidRPr="008C5D72">
        <w:t>These vacancies are a mixture of vacancies relating to general staff turnover and new posts to support transformation and new activity for which recruitment had been planned to begin in the latter half of 2020-21.</w:t>
      </w:r>
    </w:p>
    <w:p w14:paraId="1EE0004E" w14:textId="1FDCB62B" w:rsidR="00714C42" w:rsidRDefault="00714C42" w:rsidP="00714C42">
      <w:pPr>
        <w:pStyle w:val="Heading2boardreport"/>
      </w:pPr>
      <w:r w:rsidRPr="00714C42">
        <w:lastRenderedPageBreak/>
        <w:t>Non-pay expenditure</w:t>
      </w:r>
    </w:p>
    <w:p w14:paraId="7145645D" w14:textId="2FED140B" w:rsidR="00714C42" w:rsidRDefault="00714C42" w:rsidP="00714C42">
      <w:pPr>
        <w:pStyle w:val="NICEnormalnumbered"/>
      </w:pPr>
      <w:r w:rsidRPr="00714C42">
        <w:t>Non-</w:t>
      </w:r>
      <w:r w:rsidR="00A477A3">
        <w:t>p</w:t>
      </w:r>
      <w:r w:rsidRPr="00714C42">
        <w:t>ay expenditure to 3</w:t>
      </w:r>
      <w:r w:rsidR="009B2285">
        <w:t>1</w:t>
      </w:r>
      <w:r w:rsidRPr="00714C42">
        <w:t xml:space="preserve"> </w:t>
      </w:r>
      <w:r w:rsidR="009B2285">
        <w:t>December</w:t>
      </w:r>
      <w:r w:rsidRPr="00714C42">
        <w:t xml:space="preserve"> 2020 was £1</w:t>
      </w:r>
      <w:r w:rsidR="009B2285">
        <w:t>9.9</w:t>
      </w:r>
      <w:r w:rsidRPr="00714C42">
        <w:t>m against a budget of £</w:t>
      </w:r>
      <w:r w:rsidR="009B2285">
        <w:t>22.3</w:t>
      </w:r>
      <w:r w:rsidRPr="00714C42">
        <w:t>m, resulting in an underspend of £</w:t>
      </w:r>
      <w:r w:rsidR="009B2285">
        <w:t>2.4</w:t>
      </w:r>
      <w:r w:rsidRPr="00714C42">
        <w:t xml:space="preserve">m (11%). The </w:t>
      </w:r>
      <w:proofErr w:type="gramStart"/>
      <w:r w:rsidRPr="00714C42">
        <w:t>year to date</w:t>
      </w:r>
      <w:proofErr w:type="gramEnd"/>
      <w:r w:rsidRPr="00714C42">
        <w:t xml:space="preserve"> underspend is mainly due to the following:</w:t>
      </w:r>
    </w:p>
    <w:p w14:paraId="18F89429" w14:textId="53DBE011" w:rsidR="00714C42" w:rsidRPr="00A2194E" w:rsidRDefault="00714C42" w:rsidP="00714C42">
      <w:pPr>
        <w:pStyle w:val="Bulletindent1"/>
      </w:pPr>
      <w:r w:rsidRPr="00A2194E">
        <w:t>£0.</w:t>
      </w:r>
      <w:r w:rsidR="00A2194E" w:rsidRPr="00A2194E">
        <w:t>5</w:t>
      </w:r>
      <w:r w:rsidRPr="00A2194E">
        <w:t>m underspend against the flexible element of the MedTech External Assessment Centre contracts.</w:t>
      </w:r>
      <w:r w:rsidR="00B739A3">
        <w:t xml:space="preserve"> </w:t>
      </w:r>
      <w:r w:rsidR="00A2194E" w:rsidRPr="00A2194E">
        <w:t xml:space="preserve">A small amount of </w:t>
      </w:r>
      <w:r w:rsidRPr="00A2194E">
        <w:t>the variable budget will be used this year</w:t>
      </w:r>
      <w:r w:rsidR="00A2194E" w:rsidRPr="00A2194E">
        <w:t xml:space="preserve"> where centres have carried out more work than expected.</w:t>
      </w:r>
      <w:r w:rsidRPr="00A2194E">
        <w:t xml:space="preserve"> </w:t>
      </w:r>
    </w:p>
    <w:p w14:paraId="135898A0" w14:textId="471E6F6C" w:rsidR="00714C42" w:rsidRPr="00A2194E" w:rsidRDefault="00714C42" w:rsidP="00714C42">
      <w:pPr>
        <w:pStyle w:val="Bulletindent1"/>
      </w:pPr>
      <w:r w:rsidRPr="00A2194E">
        <w:t>£</w:t>
      </w:r>
      <w:r w:rsidR="00A2194E" w:rsidRPr="00A2194E">
        <w:t>1.3</w:t>
      </w:r>
      <w:r w:rsidRPr="00A2194E">
        <w:t>m underspend on travel and subsistence and committee costs across NICE. This will likely continue for the rest of the financial year.</w:t>
      </w:r>
    </w:p>
    <w:p w14:paraId="48E400A6" w14:textId="69E2296E" w:rsidR="00714C42" w:rsidRPr="00A2194E" w:rsidRDefault="00714C42" w:rsidP="00714C42">
      <w:pPr>
        <w:pStyle w:val="Bulletindent1"/>
      </w:pPr>
      <w:r w:rsidRPr="00A2194E">
        <w:t>£0.</w:t>
      </w:r>
      <w:r w:rsidR="00A2194E" w:rsidRPr="00A2194E">
        <w:t>4</w:t>
      </w:r>
      <w:r w:rsidRPr="00A2194E">
        <w:t xml:space="preserve">m underspend against the project budget within NICE Connect set aside for contractor / consultancy spend on the content development strategy and operational productivity (including </w:t>
      </w:r>
      <w:r w:rsidR="00325C88">
        <w:t xml:space="preserve">Microsoft Office 365 and </w:t>
      </w:r>
      <w:r w:rsidRPr="00A2194E">
        <w:t xml:space="preserve">SharePoint Online implementation). </w:t>
      </w:r>
    </w:p>
    <w:p w14:paraId="0F21B932" w14:textId="52DD1720" w:rsidR="00714C42" w:rsidRDefault="00847D22" w:rsidP="00847D22">
      <w:pPr>
        <w:pStyle w:val="Heading2boardreport"/>
      </w:pPr>
      <w:r w:rsidRPr="00847D22">
        <w:t>Income</w:t>
      </w:r>
    </w:p>
    <w:p w14:paraId="5A6E824D" w14:textId="10F259D1" w:rsidR="00847D22" w:rsidRPr="00847D22" w:rsidRDefault="00847D22" w:rsidP="007D5B48">
      <w:pPr>
        <w:pStyle w:val="NICEnormalnumbered"/>
      </w:pPr>
      <w:r w:rsidRPr="00847D22">
        <w:t>Income generated to 3</w:t>
      </w:r>
      <w:r w:rsidR="00853BD8">
        <w:t>1</w:t>
      </w:r>
      <w:r w:rsidRPr="00847D22">
        <w:t xml:space="preserve"> </w:t>
      </w:r>
      <w:r w:rsidR="00853BD8">
        <w:t>Decemb</w:t>
      </w:r>
      <w:r w:rsidRPr="00847D22">
        <w:t>er 2020 was £</w:t>
      </w:r>
      <w:r w:rsidR="00853BD8">
        <w:t>14.7</w:t>
      </w:r>
      <w:r w:rsidRPr="00847D22">
        <w:t>m against a budget of £1</w:t>
      </w:r>
      <w:r w:rsidR="00853BD8">
        <w:t>6.6</w:t>
      </w:r>
      <w:r w:rsidRPr="00847D22">
        <w:t>m, resulting in an under recovery of £2.</w:t>
      </w:r>
      <w:r w:rsidR="00853BD8">
        <w:t>0m</w:t>
      </w:r>
      <w:r w:rsidRPr="00847D22">
        <w:t xml:space="preserve"> (</w:t>
      </w:r>
      <w:r w:rsidR="00853BD8">
        <w:t>12</w:t>
      </w:r>
      <w:r w:rsidRPr="00847D22">
        <w:t xml:space="preserve">%). </w:t>
      </w:r>
      <w:r w:rsidRPr="00853BD8">
        <w:t xml:space="preserve">This is due to </w:t>
      </w:r>
      <w:r w:rsidR="00853BD8">
        <w:t xml:space="preserve">a </w:t>
      </w:r>
      <w:r w:rsidRPr="00853BD8">
        <w:t>£</w:t>
      </w:r>
      <w:r w:rsidR="00853BD8" w:rsidRPr="00853BD8">
        <w:t>3.0</w:t>
      </w:r>
      <w:r w:rsidRPr="00853BD8">
        <w:t>m under recovery of income from the</w:t>
      </w:r>
      <w:r w:rsidR="007D5B48" w:rsidRPr="007D5B48">
        <w:t xml:space="preserve"> Technology Appraisals and Highly Specialised Technologies (TA/HST</w:t>
      </w:r>
      <w:r w:rsidR="007D5B48">
        <w:t xml:space="preserve">) </w:t>
      </w:r>
      <w:r w:rsidRPr="00853BD8">
        <w:t xml:space="preserve">programme </w:t>
      </w:r>
      <w:r w:rsidR="00325C88">
        <w:t>related to</w:t>
      </w:r>
      <w:r w:rsidRPr="00853BD8">
        <w:t xml:space="preserve"> the impact of the COVID-19 pandemic.</w:t>
      </w:r>
      <w:r w:rsidRPr="00847D22">
        <w:t xml:space="preserve"> </w:t>
      </w:r>
    </w:p>
    <w:p w14:paraId="06CCF800" w14:textId="7A36AF2B" w:rsidR="00847D22" w:rsidRDefault="00847D22" w:rsidP="00847D22">
      <w:pPr>
        <w:pStyle w:val="NICEnormalnumbered"/>
      </w:pPr>
      <w:r w:rsidRPr="00847D22">
        <w:t>The under recovery of income is partially offset by NICE Scientific Advice (NSA) which has generated a surplus of £0.</w:t>
      </w:r>
      <w:r w:rsidR="00853BD8">
        <w:t>5</w:t>
      </w:r>
      <w:r w:rsidRPr="00847D22">
        <w:t xml:space="preserve">m due to </w:t>
      </w:r>
      <w:proofErr w:type="gramStart"/>
      <w:r w:rsidRPr="00847D22">
        <w:t>higher than expected</w:t>
      </w:r>
      <w:proofErr w:type="gramEnd"/>
      <w:r w:rsidRPr="00847D22">
        <w:t xml:space="preserve"> income generation</w:t>
      </w:r>
      <w:r w:rsidR="00853BD8">
        <w:t xml:space="preserve">. </w:t>
      </w:r>
    </w:p>
    <w:p w14:paraId="1EEB0952" w14:textId="6D313565" w:rsidR="003F7C7E" w:rsidRDefault="003F7C7E" w:rsidP="003F7C7E">
      <w:pPr>
        <w:pStyle w:val="NICEnormalnumbered"/>
        <w:numPr>
          <w:ilvl w:val="0"/>
          <w:numId w:val="0"/>
        </w:numPr>
        <w:ind w:left="644"/>
      </w:pPr>
    </w:p>
    <w:p w14:paraId="13DA671E" w14:textId="53996392" w:rsidR="00C2366B" w:rsidRDefault="00C2366B" w:rsidP="003F7C7E">
      <w:pPr>
        <w:pStyle w:val="NICEnormalnumbered"/>
        <w:numPr>
          <w:ilvl w:val="0"/>
          <w:numId w:val="0"/>
        </w:numPr>
        <w:ind w:left="644"/>
      </w:pPr>
    </w:p>
    <w:p w14:paraId="3E8DCCED" w14:textId="77777777" w:rsidR="00C2366B" w:rsidRDefault="00C2366B" w:rsidP="003F7C7E">
      <w:pPr>
        <w:pStyle w:val="NICEnormalnumbered"/>
        <w:numPr>
          <w:ilvl w:val="0"/>
          <w:numId w:val="0"/>
        </w:numPr>
        <w:ind w:left="644"/>
      </w:pPr>
    </w:p>
    <w:p w14:paraId="5ECDCB83" w14:textId="1E0DCF47" w:rsidR="00FE116A" w:rsidRDefault="00FE116A" w:rsidP="00FE116A">
      <w:pPr>
        <w:pStyle w:val="Heading1boardreport"/>
      </w:pPr>
      <w:r w:rsidRPr="00FE116A">
        <w:lastRenderedPageBreak/>
        <w:t>Forecast Outturn</w:t>
      </w:r>
    </w:p>
    <w:p w14:paraId="211E076A" w14:textId="403FC1E4" w:rsidR="00C00F7A" w:rsidRPr="00C00F7A" w:rsidRDefault="00C00F7A" w:rsidP="00C00F7A">
      <w:pPr>
        <w:pStyle w:val="NICEnormalnumbered"/>
      </w:pPr>
      <w:r w:rsidRPr="00C00F7A">
        <w:t>The estimated outturn financial position is an underspend of £</w:t>
      </w:r>
      <w:r w:rsidR="0078188E">
        <w:t>3.4</w:t>
      </w:r>
      <w:r w:rsidRPr="00C00F7A">
        <w:t>m as shown in table 2 below.</w:t>
      </w:r>
    </w:p>
    <w:p w14:paraId="788C3731" w14:textId="1BB74F10" w:rsidR="00C94E7F" w:rsidRDefault="00C00F7A" w:rsidP="00C2366B">
      <w:pPr>
        <w:pStyle w:val="Tableheadingboardreport"/>
      </w:pPr>
      <w:r w:rsidRPr="00C00F7A">
        <w:t>Table 2: Estimated outturn to 31 March 2021</w:t>
      </w:r>
    </w:p>
    <w:p w14:paraId="6260CA57" w14:textId="77777777" w:rsidR="00734E7B" w:rsidRDefault="00734E7B" w:rsidP="00C2366B">
      <w:pPr>
        <w:pStyle w:val="Tableheadingboardreport"/>
      </w:pPr>
    </w:p>
    <w:tbl>
      <w:tblPr>
        <w:tblpPr w:leftFromText="180" w:rightFromText="180" w:vertAnchor="text" w:horzAnchor="margin" w:tblpY="2"/>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stimated outturn to 31 March 2021"/>
        <w:tblDescription w:val="Table 2: Estimated outturn financial position, April 2020 to March 2021"/>
      </w:tblPr>
      <w:tblGrid>
        <w:gridCol w:w="1930"/>
        <w:gridCol w:w="1771"/>
        <w:gridCol w:w="1772"/>
        <w:gridCol w:w="1771"/>
        <w:gridCol w:w="1772"/>
      </w:tblGrid>
      <w:tr w:rsidR="0038661C" w14:paraId="12166ACA" w14:textId="77777777" w:rsidTr="0038661C">
        <w:trPr>
          <w:cantSplit/>
          <w:tblHeader/>
        </w:trPr>
        <w:tc>
          <w:tcPr>
            <w:tcW w:w="1930" w:type="dxa"/>
          </w:tcPr>
          <w:p w14:paraId="41DB17AD" w14:textId="77777777" w:rsidR="0038661C" w:rsidRPr="007277C3" w:rsidRDefault="0038661C" w:rsidP="0038661C">
            <w:pPr>
              <w:pStyle w:val="Tableheadingboardreport"/>
            </w:pPr>
            <w:r>
              <w:t>Spend Category</w:t>
            </w:r>
          </w:p>
        </w:tc>
        <w:tc>
          <w:tcPr>
            <w:tcW w:w="1771" w:type="dxa"/>
          </w:tcPr>
          <w:p w14:paraId="0D282609" w14:textId="77777777" w:rsidR="0038661C" w:rsidRPr="007277C3" w:rsidRDefault="0038661C" w:rsidP="0038661C">
            <w:pPr>
              <w:pStyle w:val="Tableheadingboardreport"/>
            </w:pPr>
            <w:r w:rsidRPr="007F472E">
              <w:t>Annual Budget £m</w:t>
            </w:r>
          </w:p>
        </w:tc>
        <w:tc>
          <w:tcPr>
            <w:tcW w:w="1772" w:type="dxa"/>
          </w:tcPr>
          <w:p w14:paraId="5847E71B" w14:textId="77777777" w:rsidR="0038661C" w:rsidRPr="007277C3" w:rsidRDefault="0038661C" w:rsidP="0038661C">
            <w:pPr>
              <w:pStyle w:val="Tableheadingboardreport"/>
            </w:pPr>
            <w:r w:rsidRPr="00872C0D">
              <w:t>Estimated Outturn £m</w:t>
            </w:r>
          </w:p>
        </w:tc>
        <w:tc>
          <w:tcPr>
            <w:tcW w:w="1771" w:type="dxa"/>
          </w:tcPr>
          <w:p w14:paraId="5979EDB8" w14:textId="77777777" w:rsidR="0038661C" w:rsidRPr="007277C3" w:rsidRDefault="0038661C" w:rsidP="0038661C">
            <w:pPr>
              <w:pStyle w:val="Tableheadingboardreport"/>
            </w:pPr>
            <w:r w:rsidRPr="00872C0D">
              <w:t>Estimated Outturn Variance £m</w:t>
            </w:r>
          </w:p>
        </w:tc>
        <w:tc>
          <w:tcPr>
            <w:tcW w:w="1772" w:type="dxa"/>
          </w:tcPr>
          <w:p w14:paraId="35A18FCD" w14:textId="77777777" w:rsidR="0038661C" w:rsidRPr="00350D6E" w:rsidRDefault="0038661C" w:rsidP="0038661C">
            <w:pPr>
              <w:pStyle w:val="Tableheadingboardreport"/>
            </w:pPr>
            <w:r w:rsidRPr="00872C0D">
              <w:t>Estimated Outturn Variance %</w:t>
            </w:r>
          </w:p>
        </w:tc>
      </w:tr>
      <w:tr w:rsidR="00C2749A" w14:paraId="2B6F4489" w14:textId="77777777" w:rsidTr="0038661C">
        <w:tc>
          <w:tcPr>
            <w:tcW w:w="1930" w:type="dxa"/>
          </w:tcPr>
          <w:p w14:paraId="010B8D85" w14:textId="77777777" w:rsidR="00C2749A" w:rsidRPr="007277C3" w:rsidRDefault="00C2749A" w:rsidP="00C2749A">
            <w:pPr>
              <w:pStyle w:val="Tabletext"/>
            </w:pPr>
            <w:r>
              <w:t>Pay</w:t>
            </w:r>
          </w:p>
        </w:tc>
        <w:tc>
          <w:tcPr>
            <w:tcW w:w="1771" w:type="dxa"/>
          </w:tcPr>
          <w:p w14:paraId="3340DB65" w14:textId="49B60974" w:rsidR="00C2749A" w:rsidRPr="007277C3" w:rsidRDefault="00C2749A" w:rsidP="00C2749A">
            <w:pPr>
              <w:pStyle w:val="Tabletext"/>
              <w:jc w:val="right"/>
            </w:pPr>
            <w:r w:rsidRPr="00454FAC">
              <w:t>46.1</w:t>
            </w:r>
          </w:p>
        </w:tc>
        <w:tc>
          <w:tcPr>
            <w:tcW w:w="1772" w:type="dxa"/>
          </w:tcPr>
          <w:p w14:paraId="5A2D6E62" w14:textId="6DB5AC86" w:rsidR="00C2749A" w:rsidRPr="007277C3" w:rsidRDefault="00C2749A" w:rsidP="00C2749A">
            <w:pPr>
              <w:pStyle w:val="Tabletext"/>
              <w:jc w:val="right"/>
            </w:pPr>
            <w:r w:rsidRPr="00454FAC">
              <w:t>43.0</w:t>
            </w:r>
          </w:p>
        </w:tc>
        <w:tc>
          <w:tcPr>
            <w:tcW w:w="1771" w:type="dxa"/>
          </w:tcPr>
          <w:p w14:paraId="1BF08FE4" w14:textId="771B7C39" w:rsidR="00C2749A" w:rsidRPr="007277C3" w:rsidRDefault="00C2749A" w:rsidP="00C2749A">
            <w:pPr>
              <w:pStyle w:val="Tabletext"/>
              <w:jc w:val="right"/>
            </w:pPr>
            <w:r w:rsidRPr="00454FAC">
              <w:t>(3.1)</w:t>
            </w:r>
          </w:p>
        </w:tc>
        <w:tc>
          <w:tcPr>
            <w:tcW w:w="1772" w:type="dxa"/>
          </w:tcPr>
          <w:p w14:paraId="76CCD75F" w14:textId="7890AF86" w:rsidR="00C2749A" w:rsidRPr="00EF73EC" w:rsidRDefault="00C2749A" w:rsidP="00C2749A">
            <w:pPr>
              <w:pStyle w:val="Tabletext"/>
              <w:jc w:val="right"/>
            </w:pPr>
            <w:r w:rsidRPr="00454FAC">
              <w:t>(7%)</w:t>
            </w:r>
          </w:p>
        </w:tc>
      </w:tr>
      <w:tr w:rsidR="00C2749A" w14:paraId="7AB0647B" w14:textId="77777777" w:rsidTr="0038661C">
        <w:tc>
          <w:tcPr>
            <w:tcW w:w="1930" w:type="dxa"/>
          </w:tcPr>
          <w:p w14:paraId="66A4FA55" w14:textId="77777777" w:rsidR="00C2749A" w:rsidRPr="007277C3" w:rsidRDefault="00C2749A" w:rsidP="00C2749A">
            <w:pPr>
              <w:pStyle w:val="Tabletext"/>
            </w:pPr>
            <w:r>
              <w:t>Non pay</w:t>
            </w:r>
          </w:p>
        </w:tc>
        <w:tc>
          <w:tcPr>
            <w:tcW w:w="1771" w:type="dxa"/>
          </w:tcPr>
          <w:p w14:paraId="6224826B" w14:textId="6BD1D104" w:rsidR="00C2749A" w:rsidRPr="007277C3" w:rsidRDefault="00C2749A" w:rsidP="00C2749A">
            <w:pPr>
              <w:pStyle w:val="Tabletext"/>
              <w:jc w:val="right"/>
            </w:pPr>
            <w:r w:rsidRPr="00454FAC">
              <w:t>29.2</w:t>
            </w:r>
          </w:p>
        </w:tc>
        <w:tc>
          <w:tcPr>
            <w:tcW w:w="1772" w:type="dxa"/>
          </w:tcPr>
          <w:p w14:paraId="2DAC2029" w14:textId="71DF4C76" w:rsidR="00C2749A" w:rsidRPr="007277C3" w:rsidRDefault="00C2749A" w:rsidP="00C2749A">
            <w:pPr>
              <w:pStyle w:val="Tabletext"/>
              <w:jc w:val="right"/>
            </w:pPr>
            <w:r w:rsidRPr="00454FAC">
              <w:t>26.2</w:t>
            </w:r>
          </w:p>
        </w:tc>
        <w:tc>
          <w:tcPr>
            <w:tcW w:w="1771" w:type="dxa"/>
          </w:tcPr>
          <w:p w14:paraId="3F5A7DD7" w14:textId="7ACBC137" w:rsidR="00C2749A" w:rsidRPr="007277C3" w:rsidRDefault="00C2749A" w:rsidP="00C2749A">
            <w:pPr>
              <w:pStyle w:val="Tabletext"/>
              <w:jc w:val="right"/>
            </w:pPr>
            <w:r w:rsidRPr="00454FAC">
              <w:t>(3.0)</w:t>
            </w:r>
          </w:p>
        </w:tc>
        <w:tc>
          <w:tcPr>
            <w:tcW w:w="1772" w:type="dxa"/>
          </w:tcPr>
          <w:p w14:paraId="0D9A7CBF" w14:textId="6C4F303C" w:rsidR="00C2749A" w:rsidRPr="00EF73EC" w:rsidRDefault="00C2749A" w:rsidP="00C2749A">
            <w:pPr>
              <w:pStyle w:val="Tabletext"/>
              <w:jc w:val="right"/>
            </w:pPr>
            <w:r w:rsidRPr="00454FAC">
              <w:t>(10%)</w:t>
            </w:r>
          </w:p>
        </w:tc>
      </w:tr>
      <w:tr w:rsidR="00C2749A" w14:paraId="6EA5FEC7" w14:textId="77777777" w:rsidTr="0038661C">
        <w:tc>
          <w:tcPr>
            <w:tcW w:w="1930" w:type="dxa"/>
          </w:tcPr>
          <w:p w14:paraId="5C0BAC42" w14:textId="77777777" w:rsidR="00C2749A" w:rsidRPr="007277C3" w:rsidRDefault="00C2749A" w:rsidP="00C2749A">
            <w:pPr>
              <w:pStyle w:val="Tabletext"/>
            </w:pPr>
            <w:r>
              <w:t>Income</w:t>
            </w:r>
          </w:p>
        </w:tc>
        <w:tc>
          <w:tcPr>
            <w:tcW w:w="1771" w:type="dxa"/>
          </w:tcPr>
          <w:p w14:paraId="46DC3745" w14:textId="03B46646" w:rsidR="00C2749A" w:rsidRPr="007277C3" w:rsidRDefault="00C2749A" w:rsidP="00C2749A">
            <w:pPr>
              <w:pStyle w:val="Tabletext"/>
              <w:jc w:val="right"/>
            </w:pPr>
            <w:r w:rsidRPr="00454FAC">
              <w:t>(22.1)</w:t>
            </w:r>
          </w:p>
        </w:tc>
        <w:tc>
          <w:tcPr>
            <w:tcW w:w="1772" w:type="dxa"/>
          </w:tcPr>
          <w:p w14:paraId="09411D00" w14:textId="12EDDBA4" w:rsidR="00C2749A" w:rsidRPr="007277C3" w:rsidRDefault="00C2749A" w:rsidP="00C2749A">
            <w:pPr>
              <w:pStyle w:val="Tabletext"/>
              <w:jc w:val="right"/>
            </w:pPr>
            <w:r w:rsidRPr="00454FAC">
              <w:t>(19.4)</w:t>
            </w:r>
          </w:p>
        </w:tc>
        <w:tc>
          <w:tcPr>
            <w:tcW w:w="1771" w:type="dxa"/>
          </w:tcPr>
          <w:p w14:paraId="22022EB1" w14:textId="5E56F474" w:rsidR="00C2749A" w:rsidRPr="007277C3" w:rsidRDefault="00C2749A" w:rsidP="00C2749A">
            <w:pPr>
              <w:pStyle w:val="Tabletext"/>
              <w:jc w:val="right"/>
            </w:pPr>
            <w:r w:rsidRPr="00454FAC">
              <w:t>2.7</w:t>
            </w:r>
          </w:p>
        </w:tc>
        <w:tc>
          <w:tcPr>
            <w:tcW w:w="1772" w:type="dxa"/>
          </w:tcPr>
          <w:p w14:paraId="48C5FDCA" w14:textId="430E89B5" w:rsidR="00C2749A" w:rsidRPr="00EF73EC" w:rsidRDefault="00C2749A" w:rsidP="00C2749A">
            <w:pPr>
              <w:pStyle w:val="Tabletext"/>
              <w:jc w:val="right"/>
            </w:pPr>
            <w:r w:rsidRPr="00454FAC">
              <w:t>12%</w:t>
            </w:r>
          </w:p>
        </w:tc>
      </w:tr>
      <w:tr w:rsidR="00C2749A" w14:paraId="016AE2A2" w14:textId="77777777" w:rsidTr="0038661C">
        <w:tc>
          <w:tcPr>
            <w:tcW w:w="1930" w:type="dxa"/>
          </w:tcPr>
          <w:p w14:paraId="712C14AC" w14:textId="77777777" w:rsidR="00C2749A" w:rsidRPr="0038661C" w:rsidRDefault="00C2749A" w:rsidP="00C2749A">
            <w:pPr>
              <w:pStyle w:val="Tabletext"/>
              <w:rPr>
                <w:b/>
                <w:bCs/>
              </w:rPr>
            </w:pPr>
            <w:r w:rsidRPr="0038661C">
              <w:rPr>
                <w:b/>
                <w:bCs/>
              </w:rPr>
              <w:t>Total</w:t>
            </w:r>
          </w:p>
        </w:tc>
        <w:tc>
          <w:tcPr>
            <w:tcW w:w="1771" w:type="dxa"/>
          </w:tcPr>
          <w:p w14:paraId="4321F868" w14:textId="01727048" w:rsidR="00C2749A" w:rsidRPr="00C2749A" w:rsidRDefault="00C2749A" w:rsidP="00C2749A">
            <w:pPr>
              <w:pStyle w:val="Tabletext"/>
              <w:jc w:val="right"/>
              <w:rPr>
                <w:b/>
                <w:bCs/>
              </w:rPr>
            </w:pPr>
            <w:r w:rsidRPr="00C2749A">
              <w:rPr>
                <w:b/>
                <w:bCs/>
              </w:rPr>
              <w:t>53.3</w:t>
            </w:r>
          </w:p>
        </w:tc>
        <w:tc>
          <w:tcPr>
            <w:tcW w:w="1772" w:type="dxa"/>
          </w:tcPr>
          <w:p w14:paraId="0943733E" w14:textId="1DE81B7C" w:rsidR="00C2749A" w:rsidRPr="00C2749A" w:rsidRDefault="00C2749A" w:rsidP="00C2749A">
            <w:pPr>
              <w:pStyle w:val="Tabletext"/>
              <w:jc w:val="right"/>
              <w:rPr>
                <w:b/>
                <w:bCs/>
              </w:rPr>
            </w:pPr>
            <w:r w:rsidRPr="00C2749A">
              <w:rPr>
                <w:b/>
                <w:bCs/>
              </w:rPr>
              <w:t>49.9</w:t>
            </w:r>
          </w:p>
        </w:tc>
        <w:tc>
          <w:tcPr>
            <w:tcW w:w="1771" w:type="dxa"/>
          </w:tcPr>
          <w:p w14:paraId="7BA8D39B" w14:textId="1991CC4D" w:rsidR="00C2749A" w:rsidRPr="00C2749A" w:rsidRDefault="00C2749A" w:rsidP="00C2749A">
            <w:pPr>
              <w:pStyle w:val="Tabletext"/>
              <w:jc w:val="right"/>
              <w:rPr>
                <w:b/>
                <w:bCs/>
              </w:rPr>
            </w:pPr>
            <w:r w:rsidRPr="00C2749A">
              <w:rPr>
                <w:b/>
                <w:bCs/>
              </w:rPr>
              <w:t>(3.4)</w:t>
            </w:r>
          </w:p>
        </w:tc>
        <w:tc>
          <w:tcPr>
            <w:tcW w:w="1772" w:type="dxa"/>
          </w:tcPr>
          <w:p w14:paraId="16CAE975" w14:textId="7B2B731D" w:rsidR="00C2749A" w:rsidRPr="00C2749A" w:rsidRDefault="00C2749A" w:rsidP="00C2749A">
            <w:pPr>
              <w:pStyle w:val="Tabletext"/>
              <w:jc w:val="right"/>
              <w:rPr>
                <w:b/>
                <w:bCs/>
              </w:rPr>
            </w:pPr>
            <w:r w:rsidRPr="00C2749A">
              <w:rPr>
                <w:b/>
                <w:bCs/>
              </w:rPr>
              <w:t>(6%)</w:t>
            </w:r>
          </w:p>
        </w:tc>
      </w:tr>
    </w:tbl>
    <w:p w14:paraId="1D69E362" w14:textId="77777777" w:rsidR="0038661C" w:rsidRDefault="0038661C" w:rsidP="00C00F7A">
      <w:pPr>
        <w:pStyle w:val="NICEnormal"/>
      </w:pPr>
    </w:p>
    <w:p w14:paraId="7C713E51" w14:textId="61C12B62" w:rsidR="00B7043C" w:rsidRPr="00B7043C" w:rsidRDefault="00B7043C" w:rsidP="00B7043C">
      <w:pPr>
        <w:pStyle w:val="NICEnormalnumbered"/>
      </w:pPr>
      <w:r w:rsidRPr="00B7043C">
        <w:t xml:space="preserve">The </w:t>
      </w:r>
      <w:r w:rsidR="003366C3">
        <w:t>November</w:t>
      </w:r>
      <w:r w:rsidRPr="00B7043C">
        <w:t xml:space="preserve"> Resources Board paper stated a forecast </w:t>
      </w:r>
      <w:r w:rsidR="0019503B">
        <w:t>underspend</w:t>
      </w:r>
      <w:r w:rsidRPr="00B7043C">
        <w:t xml:space="preserve"> of £</w:t>
      </w:r>
      <w:r w:rsidR="003366C3">
        <w:t>1</w:t>
      </w:r>
      <w:r w:rsidRPr="00B7043C">
        <w:t>.</w:t>
      </w:r>
      <w:r w:rsidR="003366C3">
        <w:t>3</w:t>
      </w:r>
      <w:r w:rsidRPr="00B7043C">
        <w:t xml:space="preserve">m. This was based on the financial position and uncertainties as at the end of </w:t>
      </w:r>
      <w:r w:rsidR="003366C3">
        <w:t>September</w:t>
      </w:r>
      <w:r w:rsidRPr="00B7043C">
        <w:t>. Following a forecast review we now expect the forecast outturn to be an underspend of £</w:t>
      </w:r>
      <w:r w:rsidR="003366C3">
        <w:t>3</w:t>
      </w:r>
      <w:r w:rsidRPr="00B7043C">
        <w:t>.</w:t>
      </w:r>
      <w:r w:rsidR="003366C3">
        <w:t>4</w:t>
      </w:r>
      <w:r w:rsidRPr="00B7043C">
        <w:t xml:space="preserve">m in 2020/21. </w:t>
      </w:r>
    </w:p>
    <w:p w14:paraId="7BD2FC43" w14:textId="2A53721E" w:rsidR="00A8484B" w:rsidRPr="00A8484B" w:rsidRDefault="00B7043C" w:rsidP="00A8484B">
      <w:pPr>
        <w:pStyle w:val="NICEnormalnumbered"/>
      </w:pPr>
      <w:r w:rsidRPr="00A8484B">
        <w:t>The £</w:t>
      </w:r>
      <w:r w:rsidR="008F4D6E" w:rsidRPr="00A8484B">
        <w:t>2.1</w:t>
      </w:r>
      <w:r w:rsidRPr="00A8484B">
        <w:t>m change in forecast variance</w:t>
      </w:r>
      <w:r w:rsidR="008F462D">
        <w:t xml:space="preserve"> is </w:t>
      </w:r>
      <w:r w:rsidRPr="00A8484B">
        <w:t>due to the following:</w:t>
      </w:r>
    </w:p>
    <w:p w14:paraId="799EBD77" w14:textId="5E1632A2" w:rsidR="00A8484B" w:rsidRPr="00943405" w:rsidRDefault="00A8484B" w:rsidP="00A8484B">
      <w:pPr>
        <w:pStyle w:val="Bulletindent1"/>
      </w:pPr>
      <w:r w:rsidRPr="00943405">
        <w:t>£0.</w:t>
      </w:r>
      <w:r w:rsidR="003A2488" w:rsidRPr="00943405">
        <w:t>8</w:t>
      </w:r>
      <w:r w:rsidRPr="00943405">
        <w:t xml:space="preserve">m improved TA and HST income forecast due to </w:t>
      </w:r>
      <w:proofErr w:type="gramStart"/>
      <w:r w:rsidRPr="00943405">
        <w:t>higher than expected</w:t>
      </w:r>
      <w:proofErr w:type="gramEnd"/>
      <w:r w:rsidRPr="00943405">
        <w:t xml:space="preserve"> income </w:t>
      </w:r>
      <w:r w:rsidR="003A2488" w:rsidRPr="00943405">
        <w:t>between October and December.</w:t>
      </w:r>
      <w:r w:rsidRPr="00943405">
        <w:t xml:space="preserve">  </w:t>
      </w:r>
    </w:p>
    <w:p w14:paraId="59D76D93" w14:textId="7A506795" w:rsidR="00A8484B" w:rsidRDefault="00865C57" w:rsidP="00A8484B">
      <w:pPr>
        <w:pStyle w:val="Bulletindent1"/>
      </w:pPr>
      <w:r w:rsidRPr="00943405">
        <w:t>£0.3m</w:t>
      </w:r>
      <w:r w:rsidR="00475774" w:rsidRPr="00943405">
        <w:t xml:space="preserve"> reduction in expected spend</w:t>
      </w:r>
      <w:r w:rsidRPr="00943405">
        <w:t xml:space="preserve"> </w:t>
      </w:r>
      <w:r w:rsidR="00325C88">
        <w:t>due</w:t>
      </w:r>
      <w:r w:rsidR="00A8484B" w:rsidRPr="00943405">
        <w:t xml:space="preserve"> to </w:t>
      </w:r>
      <w:r w:rsidR="00325C88">
        <w:t>planned investment in the Digital Workplace project being deferred into 2021-22</w:t>
      </w:r>
      <w:r w:rsidR="001D0D29">
        <w:t>.</w:t>
      </w:r>
    </w:p>
    <w:p w14:paraId="66B0B0BD" w14:textId="6FC56172" w:rsidR="001C199B" w:rsidRPr="00943405" w:rsidRDefault="001C199B" w:rsidP="00A8484B">
      <w:pPr>
        <w:pStyle w:val="Bulletindent1"/>
      </w:pPr>
      <w:r>
        <w:t>£0.1m reduction in the depreciation forecast due to the disposal of equipment at the London and Manchester offices.</w:t>
      </w:r>
    </w:p>
    <w:p w14:paraId="3893773F" w14:textId="0472A53D" w:rsidR="00A8484B" w:rsidRPr="00943405" w:rsidRDefault="00A8484B" w:rsidP="00A8484B">
      <w:pPr>
        <w:pStyle w:val="Bulletindent1"/>
      </w:pPr>
      <w:r w:rsidRPr="00943405">
        <w:t>£0.</w:t>
      </w:r>
      <w:r w:rsidR="00943405" w:rsidRPr="00943405">
        <w:t>2</w:t>
      </w:r>
      <w:r w:rsidRPr="00943405">
        <w:t>m of potential costs in London due to overlapping rent and rates costs have been avoided due to slippage in the lease start date.</w:t>
      </w:r>
    </w:p>
    <w:p w14:paraId="0C52735F" w14:textId="6E335578" w:rsidR="00A8484B" w:rsidRPr="00943405" w:rsidRDefault="00A8484B" w:rsidP="00A8484B">
      <w:pPr>
        <w:pStyle w:val="Bulletindent1"/>
      </w:pPr>
      <w:r w:rsidRPr="00943405">
        <w:t>£0.</w:t>
      </w:r>
      <w:r w:rsidR="00E74814" w:rsidRPr="00943405">
        <w:t>2</w:t>
      </w:r>
      <w:r w:rsidRPr="00943405">
        <w:t xml:space="preserve">m improved income forecast for Scientific Advice with continued strong performance. </w:t>
      </w:r>
    </w:p>
    <w:p w14:paraId="7DE2555A" w14:textId="31E4C3AB" w:rsidR="00363772" w:rsidRDefault="00A8484B" w:rsidP="00BA519E">
      <w:pPr>
        <w:pStyle w:val="Bulletindent1last"/>
      </w:pPr>
      <w:r w:rsidRPr="009170E3">
        <w:t xml:space="preserve">A further £0.2m slippage in pay costs. </w:t>
      </w:r>
      <w:r w:rsidR="00BA519E">
        <w:t>This has been partially offset by an i</w:t>
      </w:r>
      <w:r w:rsidR="00E04F21" w:rsidRPr="00E04F21">
        <w:t xml:space="preserve">ncreased accrual for annual leave that </w:t>
      </w:r>
      <w:r w:rsidR="00BA519E" w:rsidRPr="00E04F21">
        <w:t>has not</w:t>
      </w:r>
      <w:r w:rsidR="00E04F21" w:rsidRPr="00E04F21">
        <w:t xml:space="preserve"> been taken in the first 9 months of the year</w:t>
      </w:r>
      <w:r w:rsidR="003C6573">
        <w:t>.</w:t>
      </w:r>
      <w:r w:rsidR="00E04F21" w:rsidRPr="00E04F21">
        <w:t xml:space="preserve"> </w:t>
      </w:r>
    </w:p>
    <w:p w14:paraId="30334D84" w14:textId="77777777" w:rsidR="00C94E7F" w:rsidRPr="00C94E7F" w:rsidRDefault="00C94E7F" w:rsidP="00C94E7F">
      <w:pPr>
        <w:pStyle w:val="NICEnormal"/>
      </w:pPr>
    </w:p>
    <w:p w14:paraId="5D8116DF" w14:textId="77777777" w:rsidR="00A8484B" w:rsidRPr="009170E3" w:rsidRDefault="00A8484B" w:rsidP="00A8484B">
      <w:pPr>
        <w:pStyle w:val="NICEnormalnumbered"/>
      </w:pPr>
      <w:r w:rsidRPr="009170E3">
        <w:lastRenderedPageBreak/>
        <w:t>The following known pressures have been included in the forecast:</w:t>
      </w:r>
    </w:p>
    <w:p w14:paraId="3C12B765" w14:textId="79A2C433" w:rsidR="009170E3" w:rsidRPr="009170E3" w:rsidRDefault="009170E3" w:rsidP="009170E3">
      <w:pPr>
        <w:pStyle w:val="Bulletindent1"/>
      </w:pPr>
      <w:r w:rsidRPr="009170E3">
        <w:t xml:space="preserve">£100,000 for Organisation Development (OD) Design and Strategic engagement </w:t>
      </w:r>
      <w:r w:rsidR="0019503B">
        <w:t>work</w:t>
      </w:r>
      <w:r w:rsidRPr="009170E3">
        <w:t xml:space="preserve">.  </w:t>
      </w:r>
    </w:p>
    <w:p w14:paraId="332F101F" w14:textId="55A51EBB" w:rsidR="00A15BB3" w:rsidRDefault="00A15BB3" w:rsidP="00A15BB3">
      <w:pPr>
        <w:pStyle w:val="Bulletindent1"/>
      </w:pPr>
      <w:r w:rsidRPr="00A15BB3">
        <w:t xml:space="preserve">£100,000 prudently set aside for unexpected pressures that may arise before financial year-end. </w:t>
      </w:r>
    </w:p>
    <w:p w14:paraId="570C1FA9" w14:textId="659228AB" w:rsidR="009170E3" w:rsidRPr="009170E3" w:rsidRDefault="009170E3" w:rsidP="009170E3">
      <w:pPr>
        <w:pStyle w:val="Bulletindent1"/>
      </w:pPr>
      <w:r w:rsidRPr="009170E3">
        <w:t>£95,000 potential redundancy costs.</w:t>
      </w:r>
    </w:p>
    <w:p w14:paraId="3A8A9129" w14:textId="77777777" w:rsidR="001D0D29" w:rsidRDefault="00A8484B" w:rsidP="001D0D29">
      <w:pPr>
        <w:pStyle w:val="Bulletindent1"/>
      </w:pPr>
      <w:r w:rsidRPr="008F462D">
        <w:t>£</w:t>
      </w:r>
      <w:r w:rsidR="008F462D">
        <w:t>70,000</w:t>
      </w:r>
      <w:r w:rsidRPr="008F462D">
        <w:t xml:space="preserve"> additional laptop purchases for the roll out across the </w:t>
      </w:r>
      <w:r w:rsidRPr="009170E3">
        <w:t>organisation and new starters.</w:t>
      </w:r>
    </w:p>
    <w:p w14:paraId="27FA6E30" w14:textId="01732CCE" w:rsidR="00E41C3C" w:rsidRDefault="00A8484B" w:rsidP="003C6573">
      <w:pPr>
        <w:pStyle w:val="Bulletindent1last"/>
      </w:pPr>
      <w:r w:rsidRPr="009170E3">
        <w:t>£</w:t>
      </w:r>
      <w:r w:rsidR="008F462D" w:rsidRPr="009170E3">
        <w:t>45,000</w:t>
      </w:r>
      <w:r w:rsidRPr="009170E3">
        <w:t xml:space="preserve"> for the Manchester </w:t>
      </w:r>
      <w:r w:rsidR="00E42CFB">
        <w:t>o</w:t>
      </w:r>
      <w:r w:rsidRPr="009170E3">
        <w:t>ffice refurbishment.</w:t>
      </w:r>
    </w:p>
    <w:p w14:paraId="444FEA68" w14:textId="2DF19A3A" w:rsidR="00453FF9" w:rsidRDefault="00453FF9" w:rsidP="00453FF9">
      <w:pPr>
        <w:pStyle w:val="Heading1boardreport"/>
      </w:pPr>
      <w:r>
        <w:t>Technology Appraisals and Highly Specialised Technologies (TA/HST) charging performance</w:t>
      </w:r>
    </w:p>
    <w:p w14:paraId="2A33EFCE" w14:textId="22B607C3" w:rsidR="000844B8" w:rsidRPr="000844B8" w:rsidRDefault="000844B8" w:rsidP="0079117B">
      <w:pPr>
        <w:pStyle w:val="NICEnormalnumbered"/>
      </w:pPr>
      <w:r>
        <w:t>TA/HST income</w:t>
      </w:r>
      <w:r w:rsidRPr="000844B8">
        <w:t xml:space="preserve"> to 31 December 2020 was £</w:t>
      </w:r>
      <w:r>
        <w:t>5.1</w:t>
      </w:r>
      <w:r w:rsidRPr="000844B8">
        <w:t>m against a</w:t>
      </w:r>
      <w:r>
        <w:t xml:space="preserve"> full cost recovery target </w:t>
      </w:r>
      <w:r w:rsidRPr="000844B8">
        <w:t>of £</w:t>
      </w:r>
      <w:r>
        <w:t>8</w:t>
      </w:r>
      <w:r w:rsidRPr="000844B8">
        <w:t>m,</w:t>
      </w:r>
      <w:r>
        <w:t xml:space="preserve"> </w:t>
      </w:r>
      <w:r w:rsidRPr="000844B8">
        <w:t>an under recovery of £</w:t>
      </w:r>
      <w:r>
        <w:t>3</w:t>
      </w:r>
      <w:r w:rsidRPr="000844B8">
        <w:t>.0m (</w:t>
      </w:r>
      <w:r>
        <w:t>37</w:t>
      </w:r>
      <w:r w:rsidRPr="000844B8">
        <w:t>%).</w:t>
      </w:r>
    </w:p>
    <w:p w14:paraId="6D097BB1" w14:textId="22EA9322" w:rsidR="000844B8" w:rsidRDefault="000844B8" w:rsidP="0079117B">
      <w:pPr>
        <w:pStyle w:val="NICEnormalnumbered"/>
      </w:pPr>
      <w:r>
        <w:t>The estimated outturn position was £7.0m against a full cost recovery target of £10.7m, an estimated under recovery of £3</w:t>
      </w:r>
      <w:r w:rsidR="004F72DF">
        <w:t>.</w:t>
      </w:r>
      <w:r>
        <w:t>7m (35%).</w:t>
      </w:r>
    </w:p>
    <w:p w14:paraId="3E055B8D" w14:textId="363F47EB" w:rsidR="001E6EA3" w:rsidRDefault="001E6EA3" w:rsidP="001E6EA3">
      <w:pPr>
        <w:pStyle w:val="Tableheadingboardreport"/>
      </w:pPr>
      <w:r w:rsidRPr="00691AAE">
        <w:t xml:space="preserve">Table </w:t>
      </w:r>
      <w:r>
        <w:t>3</w:t>
      </w:r>
      <w:r w:rsidRPr="00691AAE">
        <w:t xml:space="preserve">: </w:t>
      </w:r>
      <w:r>
        <w:t>TA/HST cost recovery income, year-to-date and estimated outturn</w:t>
      </w:r>
    </w:p>
    <w:p w14:paraId="34B6D3D2" w14:textId="77777777" w:rsidR="00734E7B" w:rsidRDefault="00734E7B" w:rsidP="001E6EA3">
      <w:pPr>
        <w:pStyle w:val="Tableheadingboardreport"/>
      </w:pPr>
    </w:p>
    <w:tbl>
      <w:tblPr>
        <w:tblpPr w:leftFromText="180" w:rightFromText="180" w:vertAnchor="text" w:horzAnchor="margin" w:tblpY="2"/>
        <w:tblW w:w="10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HST cost recovery income, year-to-date and estimated outturn"/>
        <w:tblDescription w:val="Table 3: TA/HST cost recovery income, year-to-date and estimated outturn"/>
      </w:tblPr>
      <w:tblGrid>
        <w:gridCol w:w="1170"/>
        <w:gridCol w:w="974"/>
        <w:gridCol w:w="987"/>
        <w:gridCol w:w="1134"/>
        <w:gridCol w:w="1134"/>
        <w:gridCol w:w="974"/>
        <w:gridCol w:w="1268"/>
        <w:gridCol w:w="1268"/>
        <w:gridCol w:w="1268"/>
      </w:tblGrid>
      <w:tr w:rsidR="002F3E8D" w14:paraId="1064F0AA" w14:textId="77777777" w:rsidTr="007918A5">
        <w:trPr>
          <w:cantSplit/>
          <w:trHeight w:val="1175"/>
          <w:tblHeader/>
        </w:trPr>
        <w:tc>
          <w:tcPr>
            <w:tcW w:w="1170" w:type="dxa"/>
          </w:tcPr>
          <w:p w14:paraId="1AFED200" w14:textId="407F8281" w:rsidR="001E6EA3" w:rsidRPr="007277C3" w:rsidRDefault="001E6EA3" w:rsidP="001E6EA3">
            <w:pPr>
              <w:pStyle w:val="Tableheadingboardreport"/>
            </w:pPr>
            <w:r w:rsidRPr="00591955">
              <w:t>Spend Category</w:t>
            </w:r>
          </w:p>
        </w:tc>
        <w:tc>
          <w:tcPr>
            <w:tcW w:w="974" w:type="dxa"/>
          </w:tcPr>
          <w:p w14:paraId="3CCB0E2F" w14:textId="6D6FDEE3" w:rsidR="001E6EA3" w:rsidRPr="007277C3" w:rsidRDefault="001E6EA3" w:rsidP="001E6EA3">
            <w:pPr>
              <w:pStyle w:val="Tableheadingboardreport"/>
            </w:pPr>
            <w:r w:rsidRPr="00591955">
              <w:t xml:space="preserve">Year to Date Budget </w:t>
            </w:r>
            <w:r w:rsidR="002F3E8D">
              <w:t>£m</w:t>
            </w:r>
          </w:p>
        </w:tc>
        <w:tc>
          <w:tcPr>
            <w:tcW w:w="987" w:type="dxa"/>
          </w:tcPr>
          <w:p w14:paraId="54EC0627" w14:textId="3A115569" w:rsidR="001E6EA3" w:rsidRPr="007277C3" w:rsidRDefault="001E6EA3" w:rsidP="001E6EA3">
            <w:pPr>
              <w:pStyle w:val="Tableheadingboardreport"/>
            </w:pPr>
            <w:r w:rsidRPr="00591955">
              <w:t>Year to Date Income</w:t>
            </w:r>
            <w:r w:rsidR="002F3E8D">
              <w:t xml:space="preserve"> £m</w:t>
            </w:r>
          </w:p>
        </w:tc>
        <w:tc>
          <w:tcPr>
            <w:tcW w:w="1134" w:type="dxa"/>
          </w:tcPr>
          <w:p w14:paraId="18DAE465" w14:textId="42FD7039" w:rsidR="001E6EA3" w:rsidRPr="00872C0D" w:rsidRDefault="001E6EA3" w:rsidP="001E6EA3">
            <w:pPr>
              <w:pStyle w:val="Tableheadingboardreport"/>
            </w:pPr>
            <w:r w:rsidRPr="00591955">
              <w:t xml:space="preserve">Year to Date Variance </w:t>
            </w:r>
            <w:r w:rsidR="002F3E8D">
              <w:t>£m</w:t>
            </w:r>
          </w:p>
        </w:tc>
        <w:tc>
          <w:tcPr>
            <w:tcW w:w="1134" w:type="dxa"/>
          </w:tcPr>
          <w:p w14:paraId="756204AD" w14:textId="2B089B1A" w:rsidR="001E6EA3" w:rsidRPr="00872C0D" w:rsidRDefault="001E6EA3" w:rsidP="001E6EA3">
            <w:pPr>
              <w:pStyle w:val="Tableheadingboardreport"/>
            </w:pPr>
            <w:r w:rsidRPr="00591955">
              <w:t xml:space="preserve">Year to Date Variance </w:t>
            </w:r>
            <w:r w:rsidR="002F3E8D">
              <w:t>%</w:t>
            </w:r>
          </w:p>
        </w:tc>
        <w:tc>
          <w:tcPr>
            <w:tcW w:w="974" w:type="dxa"/>
          </w:tcPr>
          <w:p w14:paraId="62092A9F" w14:textId="04DBE070" w:rsidR="001E6EA3" w:rsidRPr="00872C0D" w:rsidRDefault="001E6EA3" w:rsidP="001E6EA3">
            <w:pPr>
              <w:pStyle w:val="Tableheadingboardreport"/>
            </w:pPr>
            <w:r w:rsidRPr="00591955">
              <w:t xml:space="preserve">Annual Budget </w:t>
            </w:r>
            <w:r w:rsidR="002F3E8D">
              <w:t>£m</w:t>
            </w:r>
          </w:p>
        </w:tc>
        <w:tc>
          <w:tcPr>
            <w:tcW w:w="1268" w:type="dxa"/>
          </w:tcPr>
          <w:p w14:paraId="0DCCBE94" w14:textId="431A126F" w:rsidR="001E6EA3" w:rsidRPr="00872C0D" w:rsidRDefault="001E6EA3" w:rsidP="001E6EA3">
            <w:pPr>
              <w:pStyle w:val="Tableheadingboardreport"/>
            </w:pPr>
            <w:r w:rsidRPr="00591955">
              <w:t xml:space="preserve">Estimated Outturn Spend </w:t>
            </w:r>
            <w:r w:rsidR="002F3E8D">
              <w:t>£m</w:t>
            </w:r>
          </w:p>
        </w:tc>
        <w:tc>
          <w:tcPr>
            <w:tcW w:w="1268" w:type="dxa"/>
          </w:tcPr>
          <w:p w14:paraId="7DB4E147" w14:textId="4ED5E61E" w:rsidR="001E6EA3" w:rsidRPr="007277C3" w:rsidRDefault="001E6EA3" w:rsidP="001E6EA3">
            <w:pPr>
              <w:pStyle w:val="Tableheadingboardreport"/>
            </w:pPr>
            <w:r w:rsidRPr="00591955">
              <w:t xml:space="preserve">Estimated Outturn Variance </w:t>
            </w:r>
            <w:r w:rsidR="002F3E8D">
              <w:t>£m</w:t>
            </w:r>
            <w:r w:rsidRPr="00591955">
              <w:t xml:space="preserve"> </w:t>
            </w:r>
          </w:p>
        </w:tc>
        <w:tc>
          <w:tcPr>
            <w:tcW w:w="1268" w:type="dxa"/>
          </w:tcPr>
          <w:p w14:paraId="1F335C34" w14:textId="03D2146D" w:rsidR="001E6EA3" w:rsidRPr="00350D6E" w:rsidRDefault="001E6EA3" w:rsidP="001E6EA3">
            <w:pPr>
              <w:pStyle w:val="Tableheadingboardreport"/>
            </w:pPr>
            <w:r w:rsidRPr="00591955">
              <w:t xml:space="preserve">Estimated Outturn Variance </w:t>
            </w:r>
            <w:r w:rsidR="002F3E8D">
              <w:t>%</w:t>
            </w:r>
          </w:p>
        </w:tc>
      </w:tr>
      <w:tr w:rsidR="002F3E8D" w14:paraId="51BF5866" w14:textId="77777777" w:rsidTr="00F87BAD">
        <w:trPr>
          <w:trHeight w:val="494"/>
        </w:trPr>
        <w:tc>
          <w:tcPr>
            <w:tcW w:w="1170" w:type="dxa"/>
          </w:tcPr>
          <w:p w14:paraId="0B715EF6" w14:textId="6B8C3C2A" w:rsidR="002F3E8D" w:rsidRPr="007277C3" w:rsidRDefault="002F3E8D" w:rsidP="002F3E8D">
            <w:pPr>
              <w:pStyle w:val="Tabletext"/>
            </w:pPr>
            <w:r w:rsidRPr="001E6EA3">
              <w:t>TA/HST Income</w:t>
            </w:r>
          </w:p>
        </w:tc>
        <w:tc>
          <w:tcPr>
            <w:tcW w:w="974" w:type="dxa"/>
          </w:tcPr>
          <w:p w14:paraId="1754B57F" w14:textId="6F2EE02E" w:rsidR="002F3E8D" w:rsidRPr="007277C3" w:rsidRDefault="002F3E8D" w:rsidP="002F3E8D">
            <w:pPr>
              <w:pStyle w:val="Tabletext"/>
              <w:jc w:val="right"/>
            </w:pPr>
            <w:r w:rsidRPr="0067645B">
              <w:t>(8.0)</w:t>
            </w:r>
          </w:p>
        </w:tc>
        <w:tc>
          <w:tcPr>
            <w:tcW w:w="987" w:type="dxa"/>
          </w:tcPr>
          <w:p w14:paraId="27C39078" w14:textId="745B346D" w:rsidR="002F3E8D" w:rsidRPr="007277C3" w:rsidRDefault="002F3E8D" w:rsidP="002F3E8D">
            <w:pPr>
              <w:pStyle w:val="Tabletext"/>
              <w:jc w:val="right"/>
            </w:pPr>
            <w:r w:rsidRPr="0067645B">
              <w:t>(5.1)</w:t>
            </w:r>
          </w:p>
        </w:tc>
        <w:tc>
          <w:tcPr>
            <w:tcW w:w="1134" w:type="dxa"/>
          </w:tcPr>
          <w:p w14:paraId="532762A2" w14:textId="69F73334" w:rsidR="002F3E8D" w:rsidRPr="00454FAC" w:rsidRDefault="002F3E8D" w:rsidP="002F3E8D">
            <w:pPr>
              <w:pStyle w:val="Tabletext"/>
              <w:jc w:val="right"/>
            </w:pPr>
            <w:r w:rsidRPr="0067645B">
              <w:t>3.0</w:t>
            </w:r>
          </w:p>
        </w:tc>
        <w:tc>
          <w:tcPr>
            <w:tcW w:w="1134" w:type="dxa"/>
          </w:tcPr>
          <w:p w14:paraId="424441BA" w14:textId="4B744A9A" w:rsidR="002F3E8D" w:rsidRPr="00454FAC" w:rsidRDefault="002F3E8D" w:rsidP="002F3E8D">
            <w:pPr>
              <w:pStyle w:val="Tabletext"/>
              <w:jc w:val="right"/>
            </w:pPr>
            <w:r w:rsidRPr="0067645B">
              <w:t>37%</w:t>
            </w:r>
          </w:p>
        </w:tc>
        <w:tc>
          <w:tcPr>
            <w:tcW w:w="974" w:type="dxa"/>
          </w:tcPr>
          <w:p w14:paraId="009A279B" w14:textId="475EC153" w:rsidR="002F3E8D" w:rsidRPr="00454FAC" w:rsidRDefault="002F3E8D" w:rsidP="002F3E8D">
            <w:pPr>
              <w:pStyle w:val="Tabletext"/>
              <w:jc w:val="right"/>
            </w:pPr>
            <w:r w:rsidRPr="0067645B">
              <w:t>(10.7)</w:t>
            </w:r>
          </w:p>
        </w:tc>
        <w:tc>
          <w:tcPr>
            <w:tcW w:w="1268" w:type="dxa"/>
          </w:tcPr>
          <w:p w14:paraId="62EA35CF" w14:textId="192B5CA7" w:rsidR="002F3E8D" w:rsidRPr="00454FAC" w:rsidRDefault="002F3E8D" w:rsidP="002F3E8D">
            <w:pPr>
              <w:pStyle w:val="Tabletext"/>
              <w:jc w:val="right"/>
            </w:pPr>
            <w:r w:rsidRPr="0067645B">
              <w:t>(7.0)</w:t>
            </w:r>
          </w:p>
        </w:tc>
        <w:tc>
          <w:tcPr>
            <w:tcW w:w="1268" w:type="dxa"/>
          </w:tcPr>
          <w:p w14:paraId="148A2270" w14:textId="2F8E41CB" w:rsidR="002F3E8D" w:rsidRPr="007277C3" w:rsidRDefault="002F3E8D" w:rsidP="002F3E8D">
            <w:pPr>
              <w:pStyle w:val="Tabletext"/>
              <w:jc w:val="right"/>
            </w:pPr>
            <w:r w:rsidRPr="0067645B">
              <w:t>3.7</w:t>
            </w:r>
          </w:p>
        </w:tc>
        <w:tc>
          <w:tcPr>
            <w:tcW w:w="1268" w:type="dxa"/>
          </w:tcPr>
          <w:p w14:paraId="1257EA2C" w14:textId="7F7EDB63" w:rsidR="002F3E8D" w:rsidRPr="00EF73EC" w:rsidRDefault="002F3E8D" w:rsidP="002F3E8D">
            <w:pPr>
              <w:pStyle w:val="Tabletext"/>
              <w:jc w:val="right"/>
            </w:pPr>
            <w:r w:rsidRPr="0067645B">
              <w:t>35%</w:t>
            </w:r>
          </w:p>
        </w:tc>
      </w:tr>
    </w:tbl>
    <w:p w14:paraId="0D151B2B" w14:textId="77777777" w:rsidR="001E6EA3" w:rsidRPr="001D27BE" w:rsidRDefault="001E6EA3" w:rsidP="001E6EA3">
      <w:pPr>
        <w:pStyle w:val="NICEnormalnumbered"/>
        <w:numPr>
          <w:ilvl w:val="0"/>
          <w:numId w:val="0"/>
        </w:numPr>
        <w:ind w:left="644"/>
      </w:pPr>
    </w:p>
    <w:p w14:paraId="35580894" w14:textId="142F9840" w:rsidR="00E72C85" w:rsidRDefault="0079117B" w:rsidP="0079117B">
      <w:pPr>
        <w:pStyle w:val="NICEnormalnumbered"/>
      </w:pPr>
      <w:r w:rsidRPr="001D27BE">
        <w:t xml:space="preserve">The estimated income for the year </w:t>
      </w:r>
      <w:r>
        <w:t xml:space="preserve">has </w:t>
      </w:r>
      <w:r w:rsidR="00E72C85">
        <w:t xml:space="preserve">gradually increased over recent months as we continue to generate higher than expected levels of income. In the </w:t>
      </w:r>
      <w:r w:rsidR="003C6573">
        <w:t>November</w:t>
      </w:r>
      <w:r w:rsidR="00E72C85">
        <w:t xml:space="preserve"> </w:t>
      </w:r>
      <w:r w:rsidR="0037147B">
        <w:t>R</w:t>
      </w:r>
      <w:r w:rsidR="00E72C85">
        <w:t xml:space="preserve">esources </w:t>
      </w:r>
      <w:r w:rsidR="0037147B">
        <w:t>B</w:t>
      </w:r>
      <w:r w:rsidR="00E72C85">
        <w:t xml:space="preserve">oard report we </w:t>
      </w:r>
      <w:r w:rsidR="0037147B">
        <w:t>estimated</w:t>
      </w:r>
      <w:r w:rsidR="00E72C85">
        <w:t xml:space="preserve"> an outturn of £6.2m, this</w:t>
      </w:r>
      <w:r w:rsidR="00325C88">
        <w:t xml:space="preserve"> assumption</w:t>
      </w:r>
      <w:r w:rsidR="00E72C85">
        <w:t xml:space="preserve"> has now</w:t>
      </w:r>
      <w:r w:rsidR="00325C88">
        <w:t xml:space="preserve"> </w:t>
      </w:r>
      <w:r w:rsidR="00E72C85">
        <w:t xml:space="preserve">increased to £7m. </w:t>
      </w:r>
    </w:p>
    <w:p w14:paraId="2938A0C9" w14:textId="2AEB109B" w:rsidR="0079117B" w:rsidRDefault="0079117B" w:rsidP="0079117B">
      <w:pPr>
        <w:pStyle w:val="NICEnormalnumbered"/>
      </w:pPr>
      <w:r>
        <w:t>We will continue to monitor the expected income over the remaining months of the year</w:t>
      </w:r>
      <w:r w:rsidR="00E72C85">
        <w:t xml:space="preserve"> especially considering the new national lockdown </w:t>
      </w:r>
      <w:r w:rsidR="00325C88">
        <w:t xml:space="preserve">from 5 January </w:t>
      </w:r>
      <w:r w:rsidR="00325C88">
        <w:lastRenderedPageBreak/>
        <w:t xml:space="preserve">2021 </w:t>
      </w:r>
      <w:r w:rsidR="00E72C85">
        <w:t xml:space="preserve">which has been put in place across the UK. </w:t>
      </w:r>
      <w:r w:rsidR="00325C88">
        <w:t>T</w:t>
      </w:r>
      <w:r w:rsidR="00E72C85">
        <w:t>he impact this will have on staff capacity</w:t>
      </w:r>
      <w:r w:rsidR="00325C88">
        <w:t xml:space="preserve"> and productivity</w:t>
      </w:r>
      <w:r w:rsidR="00E72C85">
        <w:t xml:space="preserve"> due to the closure of schools</w:t>
      </w:r>
      <w:r w:rsidR="00325C88">
        <w:t xml:space="preserve"> is not yet clear</w:t>
      </w:r>
      <w:r w:rsidR="00E72C85">
        <w:t xml:space="preserve">. </w:t>
      </w:r>
    </w:p>
    <w:p w14:paraId="60D73F27" w14:textId="26BC9963" w:rsidR="0079117B" w:rsidRDefault="0079117B" w:rsidP="0079117B">
      <w:pPr>
        <w:pStyle w:val="NICEnormalnumbered"/>
      </w:pPr>
      <w:r w:rsidRPr="00F053B2">
        <w:t xml:space="preserve">Chart 1 </w:t>
      </w:r>
      <w:r w:rsidRPr="00F053B2">
        <w:rPr>
          <w:bCs/>
        </w:rPr>
        <w:t xml:space="preserve">below shows the </w:t>
      </w:r>
      <w:r w:rsidRPr="00F053B2">
        <w:t xml:space="preserve">income generated each month </w:t>
      </w:r>
      <w:r w:rsidR="00E72C85">
        <w:t xml:space="preserve">between April 2019, when charging began, and December 2020. </w:t>
      </w:r>
    </w:p>
    <w:p w14:paraId="4989AD62" w14:textId="5F42CEB0" w:rsidR="00D679E5" w:rsidRDefault="00D679E5" w:rsidP="00D679E5">
      <w:pPr>
        <w:pStyle w:val="Tableheadingboardreport"/>
      </w:pPr>
      <w:r>
        <w:t>Chart 1</w:t>
      </w:r>
      <w:r w:rsidRPr="00691AAE">
        <w:t xml:space="preserve">: </w:t>
      </w:r>
      <w:r>
        <w:t>TA/HST income recognition, April 2019 to December 2020</w:t>
      </w:r>
    </w:p>
    <w:p w14:paraId="21002356" w14:textId="77777777" w:rsidR="00EE49A3" w:rsidRDefault="00EE49A3" w:rsidP="00D679E5">
      <w:pPr>
        <w:pStyle w:val="Tableheadingboardreport"/>
      </w:pPr>
    </w:p>
    <w:p w14:paraId="60272247" w14:textId="3D0CC0D3" w:rsidR="00D679E5" w:rsidRDefault="003A0674" w:rsidP="00D679E5">
      <w:pPr>
        <w:pStyle w:val="Tableheadingboardreport"/>
      </w:pPr>
      <w:r>
        <w:rPr>
          <w:noProof/>
        </w:rPr>
        <w:drawing>
          <wp:inline distT="0" distB="0" distL="0" distR="0" wp14:anchorId="3AE6AA10" wp14:editId="25269039">
            <wp:extent cx="5731510" cy="3107055"/>
            <wp:effectExtent l="0" t="0" r="2540" b="17145"/>
            <wp:docPr id="1" name="Chart 1" descr="TA/HST income recognised by month and income target by month, April 2019 to December 2020">
              <a:extLst xmlns:a="http://schemas.openxmlformats.org/drawingml/2006/main">
                <a:ext uri="{FF2B5EF4-FFF2-40B4-BE49-F238E27FC236}">
                  <a16:creationId xmlns:a16="http://schemas.microsoft.com/office/drawing/2014/main" id="{658E64AA-4E26-48C1-ADFF-84F338AE2A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D4E3592" w14:textId="4C108E27" w:rsidR="00FE07DE" w:rsidRDefault="00FE07DE" w:rsidP="00D679E5">
      <w:pPr>
        <w:pStyle w:val="Tableheadingboardreport"/>
      </w:pPr>
    </w:p>
    <w:p w14:paraId="0561D9EF" w14:textId="7DE7B304" w:rsidR="00A6607E" w:rsidRPr="00A6607E" w:rsidRDefault="00A6607E" w:rsidP="00A6607E">
      <w:pPr>
        <w:pStyle w:val="NICEnormalnumbered"/>
      </w:pPr>
      <w:r w:rsidRPr="00A6607E">
        <w:t xml:space="preserve">As chart 1 shows, we have seen a gradual upwards trend in monthly income recognition since charging began in April 2019. Notably, income recognition suffered during the early months of 2020-21 due to NICE’s response to the COVID-19 pandemic and </w:t>
      </w:r>
      <w:r>
        <w:t xml:space="preserve">the decision to </w:t>
      </w:r>
      <w:r w:rsidRPr="00A6607E">
        <w:t>pause non-therapeutically critical topics. However, there has been a strong recovery from August 2020 onwards with November 2020 being the best performing month (£0.9m) since the move to full cost recovery.</w:t>
      </w:r>
    </w:p>
    <w:p w14:paraId="5029EA7C" w14:textId="33D31CFF" w:rsidR="00E72C85" w:rsidRDefault="00E72C85" w:rsidP="00A6607E">
      <w:pPr>
        <w:pStyle w:val="NICEnormalnumbered"/>
        <w:numPr>
          <w:ilvl w:val="0"/>
          <w:numId w:val="0"/>
        </w:numPr>
        <w:ind w:left="644" w:hanging="360"/>
      </w:pPr>
    </w:p>
    <w:p w14:paraId="450C3715" w14:textId="7FEDF330" w:rsidR="001D0D29" w:rsidRDefault="001D0D29" w:rsidP="00A6607E">
      <w:pPr>
        <w:pStyle w:val="NICEnormalnumbered"/>
        <w:numPr>
          <w:ilvl w:val="0"/>
          <w:numId w:val="0"/>
        </w:numPr>
        <w:ind w:left="644" w:hanging="360"/>
      </w:pPr>
    </w:p>
    <w:p w14:paraId="66977318" w14:textId="5B2746E5" w:rsidR="001D0D29" w:rsidRDefault="001D0D29" w:rsidP="00A6607E">
      <w:pPr>
        <w:pStyle w:val="NICEnormalnumbered"/>
        <w:numPr>
          <w:ilvl w:val="0"/>
          <w:numId w:val="0"/>
        </w:numPr>
        <w:ind w:left="644" w:hanging="360"/>
      </w:pPr>
    </w:p>
    <w:p w14:paraId="0CD79D9B" w14:textId="77777777" w:rsidR="001D0D29" w:rsidRDefault="001D0D29" w:rsidP="00A6607E">
      <w:pPr>
        <w:pStyle w:val="NICEnormalnumbered"/>
        <w:numPr>
          <w:ilvl w:val="0"/>
          <w:numId w:val="0"/>
        </w:numPr>
        <w:ind w:left="644" w:hanging="360"/>
      </w:pPr>
    </w:p>
    <w:p w14:paraId="3A2090C8" w14:textId="1C548F63" w:rsidR="000B3FCE" w:rsidRPr="00B32B26" w:rsidRDefault="00184700" w:rsidP="00184700">
      <w:pPr>
        <w:pStyle w:val="Heading1boardreport"/>
      </w:pPr>
      <w:r w:rsidRPr="00B32B26">
        <w:lastRenderedPageBreak/>
        <w:t xml:space="preserve">Human Resources &amp; Organisational Development Update: </w:t>
      </w:r>
      <w:r w:rsidR="00313FFC" w:rsidRPr="00B32B26">
        <w:t>November</w:t>
      </w:r>
      <w:r w:rsidRPr="00B32B26">
        <w:t xml:space="preserve"> and </w:t>
      </w:r>
      <w:r w:rsidR="00313FFC" w:rsidRPr="00B32B26">
        <w:t>December</w:t>
      </w:r>
      <w:r w:rsidRPr="00B32B26">
        <w:t xml:space="preserve"> 2020</w:t>
      </w:r>
    </w:p>
    <w:p w14:paraId="03BEA31A" w14:textId="1B8AC280" w:rsidR="00184700" w:rsidRPr="00B32B26" w:rsidRDefault="00925E66" w:rsidP="00925E66">
      <w:pPr>
        <w:pStyle w:val="NICEnormalnumbered"/>
      </w:pPr>
      <w:r w:rsidRPr="00B32B26">
        <w:t>This section is to provide an update on people issues and activities in November and December 2020.</w:t>
      </w:r>
    </w:p>
    <w:p w14:paraId="56C819BF" w14:textId="450AEF98" w:rsidR="00A072D2" w:rsidRPr="00B32B26" w:rsidRDefault="00184700" w:rsidP="00A072D2">
      <w:pPr>
        <w:pStyle w:val="Heading2boardreport"/>
      </w:pPr>
      <w:r w:rsidRPr="00B32B26">
        <w:t>Values and behaviours</w:t>
      </w:r>
    </w:p>
    <w:p w14:paraId="2CEFE076" w14:textId="37DF473F" w:rsidR="00A072D2" w:rsidRPr="00B32B26" w:rsidRDefault="00A072D2" w:rsidP="00A072D2">
      <w:pPr>
        <w:pStyle w:val="NICEnormalnumbered"/>
      </w:pPr>
      <w:r w:rsidRPr="00B32B26">
        <w:t xml:space="preserve">We have devised a comprehensive programme of activity to bring the </w:t>
      </w:r>
      <w:r w:rsidR="00A477A3">
        <w:t xml:space="preserve">new </w:t>
      </w:r>
      <w:r w:rsidRPr="00B32B26">
        <w:t>values and behaviours</w:t>
      </w:r>
      <w:r w:rsidR="000179C5">
        <w:t xml:space="preserve"> (collaborative, kind, respectful, dynamic, inclusive, excellent, empowered)</w:t>
      </w:r>
      <w:r w:rsidRPr="00B32B26">
        <w:t xml:space="preserve"> to life. This includes a programme of workshops, work to incorporate our values and behaviours into core people activity, such as induction, recruitment, appraisals and </w:t>
      </w:r>
      <w:r w:rsidR="009763ED">
        <w:t xml:space="preserve">learning and development (L&amp;D) </w:t>
      </w:r>
      <w:r w:rsidRPr="00B32B26">
        <w:t xml:space="preserve">activity, as well as the design and launch of a recognition scheme. </w:t>
      </w:r>
    </w:p>
    <w:p w14:paraId="0982CFFC" w14:textId="77777777" w:rsidR="00A072D2" w:rsidRPr="00B32B26" w:rsidRDefault="00A072D2" w:rsidP="00A072D2">
      <w:pPr>
        <w:pStyle w:val="NICEnormalnumbered"/>
      </w:pPr>
      <w:r w:rsidRPr="00B32B26">
        <w:t xml:space="preserve">We have held the first of our all-staff values and behaviours workshops which provided an opportunity for staff to explore what our values mean to them, share stories of where we are already living the values, and to consider what we can do to bring the values and behaviours to life. </w:t>
      </w:r>
    </w:p>
    <w:p w14:paraId="7A71A41A" w14:textId="77777777" w:rsidR="00A072D2" w:rsidRPr="00B32B26" w:rsidRDefault="00A072D2" w:rsidP="00A072D2">
      <w:pPr>
        <w:pStyle w:val="NICEnormalnumbered"/>
      </w:pPr>
      <w:r w:rsidRPr="00B32B26">
        <w:t>To further embed the values and behaviours, we launched a NICE values champions initiative - a group of around 15 staff from all levels and directorates who will support HR with embedding the values and behaviours in our working lives. Meeting regularly, they will act as role models within their directorates, playing a key role in team and directorate meetings, and providing input as we progress the work to integrate values and behaviours into our key people activity.</w:t>
      </w:r>
    </w:p>
    <w:p w14:paraId="74B16411" w14:textId="3B26795A" w:rsidR="00A072D2" w:rsidRPr="00B32B26" w:rsidRDefault="00A072D2" w:rsidP="00A072D2">
      <w:pPr>
        <w:pStyle w:val="NICEnormalnumbered"/>
      </w:pPr>
      <w:r w:rsidRPr="00B32B26">
        <w:t xml:space="preserve">Working closely with the Communications team, a suite of memorable visual graphics and digital assets are being designed with an external provider. </w:t>
      </w:r>
    </w:p>
    <w:p w14:paraId="4E0A4025" w14:textId="0F3674CA" w:rsidR="00A072D2" w:rsidRPr="00B32B26" w:rsidRDefault="00A072D2" w:rsidP="00A072D2">
      <w:pPr>
        <w:pStyle w:val="Heading2boardreport"/>
      </w:pPr>
      <w:r w:rsidRPr="00B32B26">
        <w:t>Diversity and inclusion</w:t>
      </w:r>
    </w:p>
    <w:p w14:paraId="415F832E" w14:textId="50CE5E3D" w:rsidR="00A072D2" w:rsidRPr="00B32B26" w:rsidRDefault="00A072D2" w:rsidP="00625429">
      <w:pPr>
        <w:pStyle w:val="NICEnormalnumbered"/>
      </w:pPr>
      <w:r w:rsidRPr="00B32B26">
        <w:t xml:space="preserve">Following the approval of our organisational </w:t>
      </w:r>
      <w:proofErr w:type="gramStart"/>
      <w:r w:rsidRPr="00B32B26">
        <w:t>equalities</w:t>
      </w:r>
      <w:proofErr w:type="gramEnd"/>
      <w:r w:rsidRPr="00B32B26">
        <w:t xml:space="preserve"> objectives at the November board meeting, we have developed a draft action plan to start delivering the objectives</w:t>
      </w:r>
      <w:r w:rsidR="00A477A3">
        <w:t>,</w:t>
      </w:r>
      <w:r w:rsidR="00625429">
        <w:t xml:space="preserve"> which</w:t>
      </w:r>
      <w:r w:rsidRPr="00B32B26">
        <w:t xml:space="preserve"> </w:t>
      </w:r>
      <w:r w:rsidR="00625429" w:rsidRPr="00625429">
        <w:t xml:space="preserve">is being shared </w:t>
      </w:r>
      <w:r w:rsidRPr="00B32B26">
        <w:t xml:space="preserve">with the Executive Team in </w:t>
      </w:r>
      <w:r w:rsidRPr="00B32B26">
        <w:lastRenderedPageBreak/>
        <w:t>January</w:t>
      </w:r>
      <w:r w:rsidR="00625429">
        <w:t>.</w:t>
      </w:r>
      <w:r w:rsidRPr="00B32B26">
        <w:t xml:space="preserve"> </w:t>
      </w:r>
      <w:r w:rsidR="00625429">
        <w:t>This</w:t>
      </w:r>
      <w:r w:rsidRPr="00B32B26">
        <w:t xml:space="preserve"> includes a short-term goal of increasing the diversity of our interview panels.</w:t>
      </w:r>
    </w:p>
    <w:p w14:paraId="372B34D6" w14:textId="51513FC9" w:rsidR="00A072D2" w:rsidRPr="00B32B26" w:rsidRDefault="00A072D2" w:rsidP="00A072D2">
      <w:pPr>
        <w:pStyle w:val="NICEnormalnumbered"/>
      </w:pPr>
      <w:r w:rsidRPr="00B32B26">
        <w:t xml:space="preserve">We will be holding more listening events in </w:t>
      </w:r>
      <w:r w:rsidR="00D23804">
        <w:t>quarter 4</w:t>
      </w:r>
      <w:r w:rsidRPr="00B32B26">
        <w:t xml:space="preserve"> as part of our ongoing dialogue about equalities issues, </w:t>
      </w:r>
      <w:proofErr w:type="gramStart"/>
      <w:r w:rsidRPr="00B32B26">
        <w:t xml:space="preserve">and </w:t>
      </w:r>
      <w:r w:rsidR="00F00415">
        <w:t>also</w:t>
      </w:r>
      <w:proofErr w:type="gramEnd"/>
      <w:r w:rsidR="00F00415">
        <w:t xml:space="preserve"> </w:t>
      </w:r>
      <w:r w:rsidRPr="00B32B26">
        <w:t>asking staff for their help in shaping and delivering our equalities action plans.</w:t>
      </w:r>
    </w:p>
    <w:p w14:paraId="0022AF8E" w14:textId="751BA666" w:rsidR="00184700" w:rsidRPr="00B32B26" w:rsidRDefault="00184700" w:rsidP="00184700">
      <w:pPr>
        <w:pStyle w:val="Heading2boardreport"/>
      </w:pPr>
      <w:r w:rsidRPr="00B32B26">
        <w:t>Workforce planning</w:t>
      </w:r>
    </w:p>
    <w:p w14:paraId="75ACEB74" w14:textId="28652BB8" w:rsidR="00A072D2" w:rsidRPr="00B32B26" w:rsidRDefault="00A072D2" w:rsidP="00A072D2">
      <w:pPr>
        <w:pStyle w:val="NICEnormalnumbered"/>
      </w:pPr>
      <w:r w:rsidRPr="00B32B26">
        <w:t xml:space="preserve">The recruitment and workforce planning working group has conducted a root cause analysis to review the barriers experienced in recruitment and to discuss and implement innovative ideas for resourcing. The group will also consider an organisation wide approach to workforce planning. </w:t>
      </w:r>
    </w:p>
    <w:p w14:paraId="40CB8859" w14:textId="45FAAB73" w:rsidR="00A072D2" w:rsidRPr="00B32B26" w:rsidRDefault="00A072D2" w:rsidP="00A072D2">
      <w:pPr>
        <w:pStyle w:val="NICEnormalnumbered"/>
      </w:pPr>
      <w:r w:rsidRPr="00B32B26">
        <w:t>Our digital marketplace, which was established to match skills, capacity, and demand more effectively, was also successfully used to support the recruitment to the NICE Connect programme. We are now reviewing how this system can be used more broadly to support talent management and development.</w:t>
      </w:r>
    </w:p>
    <w:p w14:paraId="74ED5433" w14:textId="09CFF6E3" w:rsidR="00184700" w:rsidRPr="00B32B26" w:rsidRDefault="00184700" w:rsidP="00184700">
      <w:pPr>
        <w:pStyle w:val="Heading2boardreport"/>
      </w:pPr>
      <w:r w:rsidRPr="00B32B26">
        <w:t>Employee Relations</w:t>
      </w:r>
    </w:p>
    <w:p w14:paraId="7AE42AA3" w14:textId="6914B193" w:rsidR="00A072D2" w:rsidRPr="00B32B26" w:rsidRDefault="00A072D2" w:rsidP="00A072D2">
      <w:pPr>
        <w:pStyle w:val="NICEnormalnumbered"/>
      </w:pPr>
      <w:r w:rsidRPr="00B32B26">
        <w:t xml:space="preserve">The HR operations team are continuing to support </w:t>
      </w:r>
      <w:proofErr w:type="gramStart"/>
      <w:r w:rsidRPr="00B32B26">
        <w:t>a number of</w:t>
      </w:r>
      <w:proofErr w:type="gramEnd"/>
      <w:r w:rsidRPr="00B32B26">
        <w:t xml:space="preserve"> ongoing employee relations cases and we have returned to our usual </w:t>
      </w:r>
      <w:r w:rsidR="00913FE9">
        <w:t>operating</w:t>
      </w:r>
      <w:r w:rsidR="002A2BF8">
        <w:t xml:space="preserve"> </w:t>
      </w:r>
      <w:r w:rsidRPr="00B32B26">
        <w:t xml:space="preserve">levels pre-pandemic. The team are successfully managing employee relations issues remotely, albeit with appropriately adapted processes to ensure that everyone affected has the support that they need. </w:t>
      </w:r>
    </w:p>
    <w:p w14:paraId="1E449844" w14:textId="72E1D733" w:rsidR="00A072D2" w:rsidRPr="00B32B26" w:rsidRDefault="00A072D2" w:rsidP="00A072D2">
      <w:pPr>
        <w:pStyle w:val="NICEnormalnumbered"/>
      </w:pPr>
      <w:r w:rsidRPr="00B32B26">
        <w:t xml:space="preserve">There has been a marked reduction in staff sickness absence overall when compared to the same period last year, with small pockets of higher rates in certain teams, however, absence levels remain low across the organisation. We are continuing to monitor the time it takes for absences to be recorded, and the effect this has on absence figures across the organisation. </w:t>
      </w:r>
    </w:p>
    <w:p w14:paraId="0A3F1BF0" w14:textId="46092974" w:rsidR="00A072D2" w:rsidRPr="00B32B26" w:rsidRDefault="00A072D2" w:rsidP="00A072D2">
      <w:pPr>
        <w:pStyle w:val="NICEnormalnumbered"/>
      </w:pPr>
      <w:r w:rsidRPr="00B32B26">
        <w:t xml:space="preserve">Mental health and stress-related absences have been showing a small upward trajectory when compared to the same periods last year. We will continue to </w:t>
      </w:r>
      <w:r w:rsidRPr="00B32B26">
        <w:lastRenderedPageBreak/>
        <w:t>monitor this on a month-by-month basis. Stress-related illnesses are supported informally by HR and we continue to see resolution on an individual level.</w:t>
      </w:r>
    </w:p>
    <w:p w14:paraId="28CAF89A" w14:textId="7CAF224C" w:rsidR="00184700" w:rsidRPr="00B32B26" w:rsidRDefault="00A072D2" w:rsidP="00184700">
      <w:pPr>
        <w:pStyle w:val="Heading2boardreport"/>
      </w:pPr>
      <w:r w:rsidRPr="00B32B26">
        <w:t>Health and wellbeing</w:t>
      </w:r>
    </w:p>
    <w:p w14:paraId="2327C330" w14:textId="1CC936F6" w:rsidR="00A072D2" w:rsidRPr="00B32B26" w:rsidRDefault="00A072D2" w:rsidP="00A072D2">
      <w:pPr>
        <w:pStyle w:val="NICEnormalnumbered"/>
      </w:pPr>
      <w:r w:rsidRPr="00B32B26">
        <w:t xml:space="preserve">We continue to prioritise staff </w:t>
      </w:r>
      <w:r w:rsidR="00D23804" w:rsidRPr="00B32B26">
        <w:t>wellbeing and</w:t>
      </w:r>
      <w:r w:rsidRPr="00B32B26">
        <w:t xml:space="preserve"> have recently focussed on winter wellbeing. We have produced a suite of toolkits to help staff and managers have effective wellbeing </w:t>
      </w:r>
      <w:proofErr w:type="gramStart"/>
      <w:r w:rsidRPr="00B32B26">
        <w:t>conversations, and</w:t>
      </w:r>
      <w:proofErr w:type="gramEnd"/>
      <w:r w:rsidRPr="00B32B26">
        <w:t xml:space="preserve"> post weekly tips in</w:t>
      </w:r>
      <w:r w:rsidR="00F00415">
        <w:t xml:space="preserve"> the weekly staff newsletter</w:t>
      </w:r>
      <w:r w:rsidRPr="00B32B26">
        <w:t xml:space="preserve"> </w:t>
      </w:r>
      <w:r w:rsidR="00D23804">
        <w:t xml:space="preserve">Your </w:t>
      </w:r>
      <w:proofErr w:type="spellStart"/>
      <w:r w:rsidR="00D23804">
        <w:t>Week@NICE</w:t>
      </w:r>
      <w:proofErr w:type="spellEnd"/>
      <w:r w:rsidR="00D23804">
        <w:t>.</w:t>
      </w:r>
    </w:p>
    <w:p w14:paraId="4777DFCE" w14:textId="77777777" w:rsidR="00A072D2" w:rsidRPr="00B32B26" w:rsidRDefault="00A072D2" w:rsidP="00A072D2">
      <w:pPr>
        <w:pStyle w:val="NICEnormalnumbered"/>
      </w:pPr>
      <w:r w:rsidRPr="00B32B26">
        <w:t xml:space="preserve">Following the success of our virtual Healthy Work Week in September, we will run another in January. Activities and resources will be focused on the </w:t>
      </w:r>
      <w:hyperlink r:id="rId9" w:history="1">
        <w:r w:rsidRPr="00B32B26">
          <w:rPr>
            <w:rStyle w:val="Hyperlink"/>
          </w:rPr>
          <w:t>five ways to mental wellbeing</w:t>
        </w:r>
      </w:hyperlink>
      <w:r w:rsidRPr="00B32B26">
        <w:t xml:space="preserve">. Activities include sessions on menopause, mindfulness, yoga, resilience during Covid-19, volunteering, crafts and running. </w:t>
      </w:r>
    </w:p>
    <w:p w14:paraId="5CD1B3BB" w14:textId="77777777" w:rsidR="00A072D2" w:rsidRPr="00B32B26" w:rsidRDefault="00A072D2" w:rsidP="00A072D2">
      <w:pPr>
        <w:pStyle w:val="NICEnormalnumbered"/>
      </w:pPr>
      <w:r w:rsidRPr="00B32B26">
        <w:t xml:space="preserve">We will pilot an online wellbeing platform which aims to increase engagement with health and wellbeing activity and encourage involvement for remote teams, through a series of challenges focused on reducing stress, getting teams talking, physical activity, improving sleep, and nutrition. </w:t>
      </w:r>
    </w:p>
    <w:p w14:paraId="73E8FB3A" w14:textId="77777777" w:rsidR="00A072D2" w:rsidRPr="00B32B26" w:rsidRDefault="00A072D2" w:rsidP="00A072D2">
      <w:pPr>
        <w:pStyle w:val="NICEnormalnumbered"/>
        <w:rPr>
          <w:rFonts w:cs="Arial"/>
          <w:shd w:val="clear" w:color="auto" w:fill="FFFFFF"/>
        </w:rPr>
      </w:pPr>
      <w:r w:rsidRPr="00B32B26">
        <w:rPr>
          <w:rFonts w:cs="Arial"/>
        </w:rPr>
        <w:t xml:space="preserve">Following the interest and engagement of staff with World Menopause Day, we have established a menopause support network which will provide an opportunity for staff to share common experiences, alleviate feelings of isolation and share useful resources. The first network meeting will share the NICE guidance on menopause in terms of the symptoms, diagnosis, and management of menopause. A range of resources and toolkits have been designed and made available on NICE space for both staff and managers. </w:t>
      </w:r>
    </w:p>
    <w:p w14:paraId="4EF0CB1A" w14:textId="479EB4BD" w:rsidR="00A072D2" w:rsidRDefault="00A072D2" w:rsidP="00A072D2">
      <w:pPr>
        <w:pStyle w:val="NICEnormalnumbered"/>
        <w:numPr>
          <w:ilvl w:val="0"/>
          <w:numId w:val="0"/>
        </w:numPr>
      </w:pPr>
    </w:p>
    <w:p w14:paraId="2E8883C3" w14:textId="4633A628" w:rsidR="007918A5" w:rsidRDefault="007918A5" w:rsidP="00A072D2">
      <w:pPr>
        <w:pStyle w:val="NICEnormalnumbered"/>
        <w:numPr>
          <w:ilvl w:val="0"/>
          <w:numId w:val="0"/>
        </w:numPr>
      </w:pPr>
    </w:p>
    <w:p w14:paraId="467A2FF6" w14:textId="77777777" w:rsidR="007918A5" w:rsidRDefault="007918A5" w:rsidP="00A072D2">
      <w:pPr>
        <w:pStyle w:val="NICEnormalnumbered"/>
        <w:numPr>
          <w:ilvl w:val="0"/>
          <w:numId w:val="0"/>
        </w:numPr>
      </w:pPr>
    </w:p>
    <w:p w14:paraId="51E28738" w14:textId="323BC3A8" w:rsidR="00184700" w:rsidRPr="00412439" w:rsidRDefault="00D55B61" w:rsidP="00184700">
      <w:pPr>
        <w:pStyle w:val="Heading1boardreport"/>
      </w:pPr>
      <w:r>
        <w:lastRenderedPageBreak/>
        <w:t>T</w:t>
      </w:r>
      <w:r w:rsidR="00184700" w:rsidRPr="00412439">
        <w:t xml:space="preserve">ransformation update: </w:t>
      </w:r>
      <w:r w:rsidR="00412439" w:rsidRPr="00412439">
        <w:t>November</w:t>
      </w:r>
      <w:r w:rsidR="00184700" w:rsidRPr="00412439">
        <w:t xml:space="preserve"> and </w:t>
      </w:r>
      <w:r w:rsidR="00412439" w:rsidRPr="00412439">
        <w:t>December</w:t>
      </w:r>
      <w:r w:rsidR="00184700" w:rsidRPr="00412439">
        <w:t xml:space="preserve"> 2020</w:t>
      </w:r>
    </w:p>
    <w:p w14:paraId="1B250659" w14:textId="7926C277" w:rsidR="007666BD" w:rsidRDefault="00412439" w:rsidP="001D0D29">
      <w:pPr>
        <w:pStyle w:val="NICEnormalnumbered"/>
      </w:pPr>
      <w:r w:rsidRPr="00412439">
        <w:t>Appendix B reflects the key 20</w:t>
      </w:r>
      <w:r w:rsidR="007918A5">
        <w:t>20</w:t>
      </w:r>
      <w:r w:rsidRPr="00412439">
        <w:t>-21 final quarter deliverables and their respective status. Each Expert Group is reviewing these in detail to ensure optimum focus and momentum on these outputs.</w:t>
      </w:r>
    </w:p>
    <w:p w14:paraId="52BAD8F8" w14:textId="7C797A55" w:rsidR="00B739A3" w:rsidRDefault="00B739A3" w:rsidP="00B739A3">
      <w:pPr>
        <w:pStyle w:val="Heading1boardreport"/>
      </w:pPr>
      <w:r>
        <w:t xml:space="preserve">Key risks for </w:t>
      </w:r>
      <w:r w:rsidR="00422CAA">
        <w:t xml:space="preserve">the </w:t>
      </w:r>
      <w:r>
        <w:t>directorate</w:t>
      </w:r>
    </w:p>
    <w:p w14:paraId="2AE48C3D" w14:textId="4A7F1261" w:rsidR="00EB1C36" w:rsidRDefault="003948C1" w:rsidP="008A6557">
      <w:pPr>
        <w:pStyle w:val="NICEnormalnumbered"/>
      </w:pPr>
      <w:r>
        <w:t>We risk staff becoming demotivated due to capacity issues within teams caused by the number of vacancies and the impact of another lockdown including school closures. Steps to mitigate this problem has been taken by the HR team, including seconding in extra staff to support recruitment to address the high level of vacancies, promoting the Employee Assistance Programme and launching bite sized support sessions on topics including working in a virtual environment, stress management and improving health and wellbeing.</w:t>
      </w:r>
    </w:p>
    <w:p w14:paraId="07F0DFAB" w14:textId="24FD7F73" w:rsidR="003948C1" w:rsidRDefault="003948C1" w:rsidP="008A6557">
      <w:pPr>
        <w:pStyle w:val="NICEnormalnumbered"/>
      </w:pPr>
      <w:r>
        <w:t xml:space="preserve">The relocation of the London office presented the risk of </w:t>
      </w:r>
      <w:r w:rsidR="006E7C1F">
        <w:t xml:space="preserve">possible business disruption. There have been delays caused by unplanned work relating to the office work and the IT server room, but </w:t>
      </w:r>
      <w:r w:rsidR="00D55B61">
        <w:t xml:space="preserve">interim </w:t>
      </w:r>
      <w:r w:rsidR="006E7C1F">
        <w:t xml:space="preserve">solutions have been found. The office </w:t>
      </w:r>
      <w:r w:rsidR="00D55B61">
        <w:t>was</w:t>
      </w:r>
      <w:r w:rsidR="006E7C1F">
        <w:t xml:space="preserve"> ready to open from 18 January 2021, although office use from this date is expected to be very limited until Covid-19 restrictions are gradually eased.</w:t>
      </w:r>
    </w:p>
    <w:p w14:paraId="022F8D77" w14:textId="282C92FC" w:rsidR="006E7C1F" w:rsidRDefault="006E7C1F" w:rsidP="008A6557">
      <w:pPr>
        <w:pStyle w:val="NICEnormalnumbered"/>
      </w:pPr>
      <w:r>
        <w:t>The risk to our statutory duty to break even due to the impact of Covid-19, including reduced TA/HST fees and redeploying staff to the pandemic response was set out in our business plan. The risk this year has receded due to the vacancies and o</w:t>
      </w:r>
      <w:r w:rsidR="005F6254">
        <w:t xml:space="preserve">ther </w:t>
      </w:r>
      <w:r>
        <w:t>underspends and it is not expected that we overspend even if there is a significant impact on TA/HST fees in the final quarter due to the lockdown and other winter pressures.</w:t>
      </w:r>
    </w:p>
    <w:p w14:paraId="4E514373" w14:textId="7E7576E6" w:rsidR="001D0D29" w:rsidRDefault="001D0D29" w:rsidP="001D0D29">
      <w:pPr>
        <w:pStyle w:val="NICEnormalnumbered"/>
      </w:pPr>
      <w:r w:rsidRPr="001D0D29">
        <w:t>The</w:t>
      </w:r>
      <w:r>
        <w:t xml:space="preserve"> overall</w:t>
      </w:r>
      <w:r w:rsidRPr="001D0D29">
        <w:t xml:space="preserve"> </w:t>
      </w:r>
      <w:r w:rsidR="003C6573">
        <w:t>Transformation</w:t>
      </w:r>
      <w:r>
        <w:t xml:space="preserve"> </w:t>
      </w:r>
      <w:r w:rsidRPr="001D0D29">
        <w:t>programme remains amber due to gaps in resource capacity, as backfill is not yet fully in place for all the staff assigned to work on Connect. This position is being mitigated through project prioritisation.</w:t>
      </w:r>
    </w:p>
    <w:p w14:paraId="07209083" w14:textId="77777777" w:rsidR="003948C1" w:rsidRDefault="003948C1" w:rsidP="003948C1">
      <w:pPr>
        <w:pStyle w:val="NICEnormalnumbered"/>
        <w:numPr>
          <w:ilvl w:val="0"/>
          <w:numId w:val="0"/>
        </w:numPr>
        <w:ind w:left="644" w:hanging="360"/>
      </w:pPr>
    </w:p>
    <w:p w14:paraId="1D177179" w14:textId="77777777" w:rsidR="00C214BC" w:rsidRDefault="00C214BC" w:rsidP="00C214BC">
      <w:pPr>
        <w:pStyle w:val="Heading1boardreport"/>
        <w:rPr>
          <w:lang w:eastAsia="en-US"/>
        </w:rPr>
      </w:pPr>
      <w:r w:rsidRPr="004C612D">
        <w:rPr>
          <w:lang w:eastAsia="en-US"/>
        </w:rPr>
        <w:lastRenderedPageBreak/>
        <w:t>Appendix A: NICE financial position</w:t>
      </w:r>
    </w:p>
    <w:p w14:paraId="27690101" w14:textId="77777777" w:rsidR="00C214BC" w:rsidRPr="00B739A3" w:rsidRDefault="00C214BC" w:rsidP="007918A5">
      <w:pPr>
        <w:pStyle w:val="NICEnormalnumbered"/>
      </w:pPr>
      <w:r w:rsidRPr="00B739A3">
        <w:t xml:space="preserve">The table below is a summary of the financial position per centre and directorate as </w:t>
      </w:r>
      <w:proofErr w:type="gramStart"/>
      <w:r w:rsidRPr="00B739A3">
        <w:t>at</w:t>
      </w:r>
      <w:proofErr w:type="gramEnd"/>
      <w:r w:rsidRPr="00B739A3">
        <w:t xml:space="preserve"> 31 December 2020 and gives an estimated outturn to March 2021.</w:t>
      </w:r>
    </w:p>
    <w:p w14:paraId="6C4A0FD7" w14:textId="602C3236" w:rsidR="00C214BC" w:rsidRDefault="00C214BC" w:rsidP="007918A5">
      <w:pPr>
        <w:pStyle w:val="Tableheadingboardreport"/>
      </w:pPr>
      <w:r w:rsidRPr="008D2418">
        <w:t>NICE financial position per centre</w:t>
      </w:r>
      <w:r>
        <w:t>/</w:t>
      </w:r>
      <w:r w:rsidRPr="008D2418">
        <w:t xml:space="preserve">directorate as </w:t>
      </w:r>
      <w:proofErr w:type="gramStart"/>
      <w:r w:rsidRPr="008D2418">
        <w:t>at</w:t>
      </w:r>
      <w:proofErr w:type="gramEnd"/>
      <w:r w:rsidRPr="008D2418">
        <w:t xml:space="preserve"> 3</w:t>
      </w:r>
      <w:r>
        <w:t>1</w:t>
      </w:r>
      <w:r w:rsidRPr="008D2418">
        <w:t xml:space="preserve"> </w:t>
      </w:r>
      <w:r>
        <w:t>December</w:t>
      </w:r>
      <w:r w:rsidRPr="008D2418">
        <w:t xml:space="preserve"> 2020</w:t>
      </w:r>
    </w:p>
    <w:p w14:paraId="1A8F1876" w14:textId="77777777" w:rsidR="007918A5" w:rsidRDefault="007918A5" w:rsidP="007918A5">
      <w:pPr>
        <w:pStyle w:val="Tableheadingboardreport"/>
      </w:pPr>
    </w:p>
    <w:tbl>
      <w:tblPr>
        <w:tblpPr w:leftFromText="180" w:rightFromText="180" w:vertAnchor="text" w:horzAnchor="margin" w:tblpXSpec="center" w:tblpY="2"/>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NICE financial position"/>
        <w:tblDescription w:val="Appendix A: year to date and estimated outturn financial position, split by centre/directorate"/>
      </w:tblPr>
      <w:tblGrid>
        <w:gridCol w:w="2306"/>
        <w:gridCol w:w="1279"/>
        <w:gridCol w:w="1279"/>
        <w:gridCol w:w="1279"/>
        <w:gridCol w:w="1279"/>
        <w:gridCol w:w="1279"/>
        <w:gridCol w:w="1279"/>
      </w:tblGrid>
      <w:tr w:rsidR="00C214BC" w14:paraId="6AE51FC0" w14:textId="77777777" w:rsidTr="007918A5">
        <w:trPr>
          <w:cantSplit/>
          <w:trHeight w:val="163"/>
          <w:tblHeader/>
        </w:trPr>
        <w:tc>
          <w:tcPr>
            <w:tcW w:w="2306" w:type="dxa"/>
          </w:tcPr>
          <w:p w14:paraId="2947A847" w14:textId="77777777" w:rsidR="00C214BC" w:rsidRPr="007277C3" w:rsidRDefault="00C214BC" w:rsidP="005C2255">
            <w:pPr>
              <w:pStyle w:val="Tableheadingboardreport"/>
            </w:pPr>
            <w:r w:rsidRPr="00130DDA">
              <w:t>Centre / Directorate</w:t>
            </w:r>
          </w:p>
        </w:tc>
        <w:tc>
          <w:tcPr>
            <w:tcW w:w="1279" w:type="dxa"/>
          </w:tcPr>
          <w:p w14:paraId="3D0F7B4B" w14:textId="77777777" w:rsidR="00C214BC" w:rsidRPr="007277C3" w:rsidRDefault="00C214BC" w:rsidP="005C2255">
            <w:pPr>
              <w:pStyle w:val="Tableheadingboardreport"/>
            </w:pPr>
            <w:r w:rsidRPr="00542A6B">
              <w:t>Year to Date Budget £m</w:t>
            </w:r>
          </w:p>
        </w:tc>
        <w:tc>
          <w:tcPr>
            <w:tcW w:w="1279" w:type="dxa"/>
          </w:tcPr>
          <w:p w14:paraId="15F9BB60" w14:textId="77777777" w:rsidR="00C214BC" w:rsidRPr="007277C3" w:rsidRDefault="00C214BC" w:rsidP="005C2255">
            <w:pPr>
              <w:pStyle w:val="Tableheadingboardreport"/>
            </w:pPr>
            <w:r w:rsidRPr="00D36DCB">
              <w:t>Year to Date Actual £m</w:t>
            </w:r>
          </w:p>
        </w:tc>
        <w:tc>
          <w:tcPr>
            <w:tcW w:w="1279" w:type="dxa"/>
          </w:tcPr>
          <w:p w14:paraId="2895FE29" w14:textId="77777777" w:rsidR="00C214BC" w:rsidRPr="00C82097" w:rsidRDefault="00C214BC" w:rsidP="005C2255">
            <w:pPr>
              <w:pStyle w:val="Tableheadingboardreport"/>
            </w:pPr>
            <w:r w:rsidRPr="00940397">
              <w:t>Year to Date Variance £m</w:t>
            </w:r>
          </w:p>
        </w:tc>
        <w:tc>
          <w:tcPr>
            <w:tcW w:w="1279" w:type="dxa"/>
          </w:tcPr>
          <w:p w14:paraId="1D442BC9" w14:textId="77777777" w:rsidR="00C214BC" w:rsidRPr="00C82097" w:rsidRDefault="00C214BC" w:rsidP="005C2255">
            <w:pPr>
              <w:pStyle w:val="Tableheadingboardreport"/>
            </w:pPr>
            <w:r w:rsidRPr="003141AE">
              <w:t>Annual Budget £m</w:t>
            </w:r>
          </w:p>
        </w:tc>
        <w:tc>
          <w:tcPr>
            <w:tcW w:w="1279" w:type="dxa"/>
          </w:tcPr>
          <w:p w14:paraId="5B507D08" w14:textId="77777777" w:rsidR="00C214BC" w:rsidRPr="00C82097" w:rsidRDefault="00C214BC" w:rsidP="005C2255">
            <w:pPr>
              <w:pStyle w:val="Tableheadingboardreport"/>
            </w:pPr>
            <w:r w:rsidRPr="00C57E9D">
              <w:t>Estimated Outturn £m</w:t>
            </w:r>
          </w:p>
        </w:tc>
        <w:tc>
          <w:tcPr>
            <w:tcW w:w="1279" w:type="dxa"/>
          </w:tcPr>
          <w:p w14:paraId="39D992E5" w14:textId="77777777" w:rsidR="00C214BC" w:rsidRPr="00C82097" w:rsidRDefault="00C214BC" w:rsidP="005C2255">
            <w:pPr>
              <w:pStyle w:val="Tableheadingboardreport"/>
            </w:pPr>
            <w:r w:rsidRPr="00A56A4E">
              <w:t>Estimated Outturn Variance £m</w:t>
            </w:r>
          </w:p>
        </w:tc>
      </w:tr>
      <w:tr w:rsidR="00C214BC" w14:paraId="32D1537F" w14:textId="77777777" w:rsidTr="00C214BC">
        <w:trPr>
          <w:trHeight w:val="269"/>
        </w:trPr>
        <w:tc>
          <w:tcPr>
            <w:tcW w:w="2306" w:type="dxa"/>
          </w:tcPr>
          <w:p w14:paraId="72FFEA4E" w14:textId="77777777" w:rsidR="00C214BC" w:rsidRPr="007277C3" w:rsidRDefault="00C214BC" w:rsidP="005C2255">
            <w:pPr>
              <w:pStyle w:val="Tabletext"/>
            </w:pPr>
            <w:r w:rsidRPr="00A8328E">
              <w:t>Income from TA and HST cost recovery</w:t>
            </w:r>
          </w:p>
        </w:tc>
        <w:tc>
          <w:tcPr>
            <w:tcW w:w="1279" w:type="dxa"/>
          </w:tcPr>
          <w:p w14:paraId="5ECC9F5B" w14:textId="77777777" w:rsidR="00C214BC" w:rsidRPr="007277C3" w:rsidRDefault="00C214BC" w:rsidP="005C2255">
            <w:pPr>
              <w:pStyle w:val="Tabletext"/>
              <w:jc w:val="right"/>
            </w:pPr>
            <w:r w:rsidRPr="009420A4">
              <w:t>(8.0)</w:t>
            </w:r>
          </w:p>
        </w:tc>
        <w:tc>
          <w:tcPr>
            <w:tcW w:w="1279" w:type="dxa"/>
          </w:tcPr>
          <w:p w14:paraId="6B0A4AFC" w14:textId="77777777" w:rsidR="00C214BC" w:rsidRPr="007277C3" w:rsidRDefault="00C214BC" w:rsidP="005C2255">
            <w:pPr>
              <w:pStyle w:val="Tabletext"/>
              <w:jc w:val="right"/>
            </w:pPr>
            <w:r w:rsidRPr="009420A4">
              <w:t>(5.1)</w:t>
            </w:r>
          </w:p>
        </w:tc>
        <w:tc>
          <w:tcPr>
            <w:tcW w:w="1279" w:type="dxa"/>
          </w:tcPr>
          <w:p w14:paraId="04EB9917" w14:textId="77777777" w:rsidR="00C214BC" w:rsidRPr="00CB47B9" w:rsidRDefault="00C214BC" w:rsidP="005C2255">
            <w:pPr>
              <w:pStyle w:val="Tabletext"/>
              <w:jc w:val="right"/>
            </w:pPr>
            <w:r w:rsidRPr="009420A4">
              <w:t>3.0</w:t>
            </w:r>
          </w:p>
        </w:tc>
        <w:tc>
          <w:tcPr>
            <w:tcW w:w="1279" w:type="dxa"/>
          </w:tcPr>
          <w:p w14:paraId="5D5CBE6D" w14:textId="77777777" w:rsidR="00C214BC" w:rsidRPr="00CB47B9" w:rsidRDefault="00C214BC" w:rsidP="005C2255">
            <w:pPr>
              <w:pStyle w:val="Tabletext"/>
              <w:jc w:val="right"/>
            </w:pPr>
            <w:r w:rsidRPr="009420A4">
              <w:t>(10.7)</w:t>
            </w:r>
          </w:p>
        </w:tc>
        <w:tc>
          <w:tcPr>
            <w:tcW w:w="1279" w:type="dxa"/>
          </w:tcPr>
          <w:p w14:paraId="4A0248D8" w14:textId="77777777" w:rsidR="00C214BC" w:rsidRPr="00CB47B9" w:rsidRDefault="00C214BC" w:rsidP="005C2255">
            <w:pPr>
              <w:pStyle w:val="Tabletext"/>
              <w:jc w:val="right"/>
            </w:pPr>
            <w:r w:rsidRPr="009420A4">
              <w:t>(7.0)</w:t>
            </w:r>
          </w:p>
        </w:tc>
        <w:tc>
          <w:tcPr>
            <w:tcW w:w="1279" w:type="dxa"/>
          </w:tcPr>
          <w:p w14:paraId="54B159DD" w14:textId="77777777" w:rsidR="00C214BC" w:rsidRPr="00CB47B9" w:rsidRDefault="00C214BC" w:rsidP="005C2255">
            <w:pPr>
              <w:pStyle w:val="Tabletext"/>
              <w:jc w:val="right"/>
            </w:pPr>
            <w:r w:rsidRPr="009420A4">
              <w:t>3.7</w:t>
            </w:r>
          </w:p>
        </w:tc>
      </w:tr>
      <w:tr w:rsidR="00C214BC" w14:paraId="02288ECD" w14:textId="77777777" w:rsidTr="00C214BC">
        <w:trPr>
          <w:trHeight w:val="215"/>
        </w:trPr>
        <w:tc>
          <w:tcPr>
            <w:tcW w:w="2306" w:type="dxa"/>
          </w:tcPr>
          <w:p w14:paraId="237CEB4E" w14:textId="77777777" w:rsidR="00C214BC" w:rsidRPr="007277C3" w:rsidRDefault="00C214BC" w:rsidP="005C2255">
            <w:pPr>
              <w:pStyle w:val="Tabletext"/>
            </w:pPr>
            <w:r w:rsidRPr="00A8328E">
              <w:t xml:space="preserve">Other funding </w:t>
            </w:r>
            <w:r>
              <w:t>f</w:t>
            </w:r>
            <w:r w:rsidRPr="00A8328E">
              <w:t>rom other ALBs, Devolved Administrations</w:t>
            </w:r>
          </w:p>
        </w:tc>
        <w:tc>
          <w:tcPr>
            <w:tcW w:w="1279" w:type="dxa"/>
          </w:tcPr>
          <w:p w14:paraId="0A5BE3B5" w14:textId="77777777" w:rsidR="00C214BC" w:rsidRPr="007277C3" w:rsidRDefault="00C214BC" w:rsidP="005C2255">
            <w:pPr>
              <w:pStyle w:val="Tabletext"/>
              <w:jc w:val="right"/>
            </w:pPr>
            <w:r w:rsidRPr="009420A4">
              <w:t>(5.6)</w:t>
            </w:r>
          </w:p>
        </w:tc>
        <w:tc>
          <w:tcPr>
            <w:tcW w:w="1279" w:type="dxa"/>
          </w:tcPr>
          <w:p w14:paraId="023B5E77" w14:textId="77777777" w:rsidR="00C214BC" w:rsidRPr="007277C3" w:rsidRDefault="00C214BC" w:rsidP="005C2255">
            <w:pPr>
              <w:pStyle w:val="Tabletext"/>
              <w:jc w:val="right"/>
            </w:pPr>
            <w:r w:rsidRPr="009420A4">
              <w:t>(5.8)</w:t>
            </w:r>
          </w:p>
        </w:tc>
        <w:tc>
          <w:tcPr>
            <w:tcW w:w="1279" w:type="dxa"/>
          </w:tcPr>
          <w:p w14:paraId="3AA3A830" w14:textId="77777777" w:rsidR="00C214BC" w:rsidRPr="00365840" w:rsidRDefault="00C214BC" w:rsidP="005C2255">
            <w:pPr>
              <w:pStyle w:val="Tabletext"/>
              <w:jc w:val="right"/>
            </w:pPr>
            <w:r w:rsidRPr="009420A4">
              <w:t>(0.3)</w:t>
            </w:r>
          </w:p>
        </w:tc>
        <w:tc>
          <w:tcPr>
            <w:tcW w:w="1279" w:type="dxa"/>
          </w:tcPr>
          <w:p w14:paraId="337812AE" w14:textId="77777777" w:rsidR="00C214BC" w:rsidRPr="00365840" w:rsidRDefault="00C214BC" w:rsidP="005C2255">
            <w:pPr>
              <w:pStyle w:val="Tabletext"/>
              <w:jc w:val="right"/>
            </w:pPr>
            <w:r w:rsidRPr="009420A4">
              <w:t>(7.4)</w:t>
            </w:r>
          </w:p>
        </w:tc>
        <w:tc>
          <w:tcPr>
            <w:tcW w:w="1279" w:type="dxa"/>
          </w:tcPr>
          <w:p w14:paraId="20717481" w14:textId="77777777" w:rsidR="00C214BC" w:rsidRPr="00365840" w:rsidRDefault="00C214BC" w:rsidP="005C2255">
            <w:pPr>
              <w:pStyle w:val="Tabletext"/>
              <w:jc w:val="right"/>
            </w:pPr>
            <w:r w:rsidRPr="009420A4">
              <w:t>(7.5)</w:t>
            </w:r>
          </w:p>
        </w:tc>
        <w:tc>
          <w:tcPr>
            <w:tcW w:w="1279" w:type="dxa"/>
          </w:tcPr>
          <w:p w14:paraId="3B8F43CB" w14:textId="77777777" w:rsidR="00C214BC" w:rsidRPr="00365840" w:rsidRDefault="00C214BC" w:rsidP="005C2255">
            <w:pPr>
              <w:pStyle w:val="Tabletext"/>
              <w:jc w:val="right"/>
            </w:pPr>
            <w:r w:rsidRPr="009420A4">
              <w:t>(0.1)</w:t>
            </w:r>
          </w:p>
        </w:tc>
      </w:tr>
      <w:tr w:rsidR="00C214BC" w14:paraId="6C3B0E7C" w14:textId="77777777" w:rsidTr="00C214BC">
        <w:trPr>
          <w:trHeight w:val="163"/>
        </w:trPr>
        <w:tc>
          <w:tcPr>
            <w:tcW w:w="2306" w:type="dxa"/>
          </w:tcPr>
          <w:p w14:paraId="68FB0FF5" w14:textId="77777777" w:rsidR="00C214BC" w:rsidRPr="007277C3" w:rsidRDefault="00C214BC" w:rsidP="005C2255">
            <w:pPr>
              <w:pStyle w:val="Tabletext"/>
            </w:pPr>
            <w:r w:rsidRPr="00A8328E">
              <w:t>Centre for Guidelines</w:t>
            </w:r>
          </w:p>
        </w:tc>
        <w:tc>
          <w:tcPr>
            <w:tcW w:w="1279" w:type="dxa"/>
          </w:tcPr>
          <w:p w14:paraId="02A020C6" w14:textId="77777777" w:rsidR="00C214BC" w:rsidRPr="007277C3" w:rsidRDefault="00C214BC" w:rsidP="005C2255">
            <w:pPr>
              <w:pStyle w:val="Tabletext"/>
              <w:jc w:val="right"/>
            </w:pPr>
            <w:r w:rsidRPr="009420A4">
              <w:t>15.4</w:t>
            </w:r>
          </w:p>
        </w:tc>
        <w:tc>
          <w:tcPr>
            <w:tcW w:w="1279" w:type="dxa"/>
          </w:tcPr>
          <w:p w14:paraId="5415EC39" w14:textId="77777777" w:rsidR="00C214BC" w:rsidRPr="007277C3" w:rsidRDefault="00C214BC" w:rsidP="005C2255">
            <w:pPr>
              <w:pStyle w:val="Tabletext"/>
              <w:jc w:val="right"/>
            </w:pPr>
            <w:r w:rsidRPr="009420A4">
              <w:t>15.0</w:t>
            </w:r>
          </w:p>
        </w:tc>
        <w:tc>
          <w:tcPr>
            <w:tcW w:w="1279" w:type="dxa"/>
          </w:tcPr>
          <w:p w14:paraId="68142B90" w14:textId="77777777" w:rsidR="00C214BC" w:rsidRPr="00775CEA" w:rsidRDefault="00C214BC" w:rsidP="005C2255">
            <w:pPr>
              <w:pStyle w:val="Tabletext"/>
              <w:jc w:val="right"/>
            </w:pPr>
            <w:r w:rsidRPr="009420A4">
              <w:t>(0.4)</w:t>
            </w:r>
          </w:p>
        </w:tc>
        <w:tc>
          <w:tcPr>
            <w:tcW w:w="1279" w:type="dxa"/>
          </w:tcPr>
          <w:p w14:paraId="68D81085" w14:textId="77777777" w:rsidR="00C214BC" w:rsidRPr="00775CEA" w:rsidRDefault="00C214BC" w:rsidP="005C2255">
            <w:pPr>
              <w:pStyle w:val="Tabletext"/>
              <w:jc w:val="right"/>
            </w:pPr>
            <w:r w:rsidRPr="009420A4">
              <w:t>20.3</w:t>
            </w:r>
          </w:p>
        </w:tc>
        <w:tc>
          <w:tcPr>
            <w:tcW w:w="1279" w:type="dxa"/>
          </w:tcPr>
          <w:p w14:paraId="43FEBD05" w14:textId="77777777" w:rsidR="00C214BC" w:rsidRPr="00775CEA" w:rsidRDefault="00C214BC" w:rsidP="005C2255">
            <w:pPr>
              <w:pStyle w:val="Tabletext"/>
              <w:jc w:val="right"/>
            </w:pPr>
            <w:r w:rsidRPr="009420A4">
              <w:t>19.9</w:t>
            </w:r>
          </w:p>
        </w:tc>
        <w:tc>
          <w:tcPr>
            <w:tcW w:w="1279" w:type="dxa"/>
          </w:tcPr>
          <w:p w14:paraId="1EA64894" w14:textId="77777777" w:rsidR="00C214BC" w:rsidRPr="00775CEA" w:rsidRDefault="00C214BC" w:rsidP="005C2255">
            <w:pPr>
              <w:pStyle w:val="Tabletext"/>
              <w:jc w:val="right"/>
            </w:pPr>
            <w:r w:rsidRPr="009420A4">
              <w:t>(0.5)</w:t>
            </w:r>
          </w:p>
        </w:tc>
      </w:tr>
      <w:tr w:rsidR="00C214BC" w14:paraId="34390A78" w14:textId="77777777" w:rsidTr="00C214BC">
        <w:trPr>
          <w:trHeight w:val="166"/>
        </w:trPr>
        <w:tc>
          <w:tcPr>
            <w:tcW w:w="2306" w:type="dxa"/>
          </w:tcPr>
          <w:p w14:paraId="30A79825" w14:textId="77777777" w:rsidR="00C214BC" w:rsidRDefault="00C214BC" w:rsidP="005C2255">
            <w:pPr>
              <w:pStyle w:val="Tabletext"/>
            </w:pPr>
            <w:r w:rsidRPr="00A8328E">
              <w:t>Centre for Health Technology Evaluation</w:t>
            </w:r>
          </w:p>
        </w:tc>
        <w:tc>
          <w:tcPr>
            <w:tcW w:w="1279" w:type="dxa"/>
          </w:tcPr>
          <w:p w14:paraId="288488E7" w14:textId="77777777" w:rsidR="00C214BC" w:rsidRPr="007F472E" w:rsidRDefault="00C214BC" w:rsidP="005C2255">
            <w:pPr>
              <w:pStyle w:val="Tabletext"/>
              <w:jc w:val="right"/>
            </w:pPr>
            <w:r w:rsidRPr="009420A4">
              <w:t>10.1</w:t>
            </w:r>
          </w:p>
        </w:tc>
        <w:tc>
          <w:tcPr>
            <w:tcW w:w="1279" w:type="dxa"/>
          </w:tcPr>
          <w:p w14:paraId="7F84C800" w14:textId="77777777" w:rsidR="00C214BC" w:rsidRPr="00872C0D" w:rsidRDefault="00C214BC" w:rsidP="005C2255">
            <w:pPr>
              <w:pStyle w:val="Tabletext"/>
              <w:jc w:val="right"/>
            </w:pPr>
            <w:r w:rsidRPr="009420A4">
              <w:t>8.4</w:t>
            </w:r>
          </w:p>
        </w:tc>
        <w:tc>
          <w:tcPr>
            <w:tcW w:w="1279" w:type="dxa"/>
          </w:tcPr>
          <w:p w14:paraId="23F9B026" w14:textId="77777777" w:rsidR="00C214BC" w:rsidRPr="001F3843" w:rsidRDefault="00C214BC" w:rsidP="005C2255">
            <w:pPr>
              <w:pStyle w:val="Tabletext"/>
              <w:jc w:val="right"/>
            </w:pPr>
            <w:r w:rsidRPr="009420A4">
              <w:t>(1.6)</w:t>
            </w:r>
          </w:p>
        </w:tc>
        <w:tc>
          <w:tcPr>
            <w:tcW w:w="1279" w:type="dxa"/>
          </w:tcPr>
          <w:p w14:paraId="3CE756EE" w14:textId="77777777" w:rsidR="00C214BC" w:rsidRPr="001F3843" w:rsidRDefault="00C214BC" w:rsidP="005C2255">
            <w:pPr>
              <w:pStyle w:val="Tabletext"/>
              <w:jc w:val="right"/>
            </w:pPr>
            <w:r w:rsidRPr="009420A4">
              <w:t>13.7</w:t>
            </w:r>
          </w:p>
        </w:tc>
        <w:tc>
          <w:tcPr>
            <w:tcW w:w="1279" w:type="dxa"/>
          </w:tcPr>
          <w:p w14:paraId="11FEB9FC" w14:textId="77777777" w:rsidR="00C214BC" w:rsidRPr="001F3843" w:rsidRDefault="00C214BC" w:rsidP="005C2255">
            <w:pPr>
              <w:pStyle w:val="Tabletext"/>
              <w:jc w:val="right"/>
            </w:pPr>
            <w:r w:rsidRPr="009420A4">
              <w:t>11.5</w:t>
            </w:r>
          </w:p>
        </w:tc>
        <w:tc>
          <w:tcPr>
            <w:tcW w:w="1279" w:type="dxa"/>
          </w:tcPr>
          <w:p w14:paraId="7431C3FF" w14:textId="77777777" w:rsidR="00C214BC" w:rsidRPr="001F3843" w:rsidRDefault="00C214BC" w:rsidP="005C2255">
            <w:pPr>
              <w:pStyle w:val="Tabletext"/>
              <w:jc w:val="right"/>
            </w:pPr>
            <w:r w:rsidRPr="009420A4">
              <w:t>(2.2)</w:t>
            </w:r>
          </w:p>
        </w:tc>
      </w:tr>
      <w:tr w:rsidR="00C214BC" w14:paraId="10299554" w14:textId="77777777" w:rsidTr="00C214BC">
        <w:trPr>
          <w:trHeight w:val="166"/>
        </w:trPr>
        <w:tc>
          <w:tcPr>
            <w:tcW w:w="2306" w:type="dxa"/>
          </w:tcPr>
          <w:p w14:paraId="0B5368C0" w14:textId="77777777" w:rsidR="00C214BC" w:rsidRDefault="00C214BC" w:rsidP="005C2255">
            <w:pPr>
              <w:pStyle w:val="Tabletext"/>
            </w:pPr>
            <w:r w:rsidRPr="00A8328E">
              <w:t>Health &amp; Social Care</w:t>
            </w:r>
          </w:p>
        </w:tc>
        <w:tc>
          <w:tcPr>
            <w:tcW w:w="1279" w:type="dxa"/>
          </w:tcPr>
          <w:p w14:paraId="19E64859" w14:textId="77777777" w:rsidR="00C214BC" w:rsidRPr="007F472E" w:rsidRDefault="00C214BC" w:rsidP="005C2255">
            <w:pPr>
              <w:pStyle w:val="Tabletext"/>
              <w:jc w:val="right"/>
            </w:pPr>
            <w:r w:rsidRPr="009420A4">
              <w:t>5.2</w:t>
            </w:r>
          </w:p>
        </w:tc>
        <w:tc>
          <w:tcPr>
            <w:tcW w:w="1279" w:type="dxa"/>
          </w:tcPr>
          <w:p w14:paraId="32723375" w14:textId="77777777" w:rsidR="00C214BC" w:rsidRPr="00872C0D" w:rsidRDefault="00C214BC" w:rsidP="005C2255">
            <w:pPr>
              <w:pStyle w:val="Tabletext"/>
              <w:jc w:val="right"/>
            </w:pPr>
            <w:r w:rsidRPr="009420A4">
              <w:t>4.7</w:t>
            </w:r>
          </w:p>
        </w:tc>
        <w:tc>
          <w:tcPr>
            <w:tcW w:w="1279" w:type="dxa"/>
          </w:tcPr>
          <w:p w14:paraId="622CE106" w14:textId="77777777" w:rsidR="00C214BC" w:rsidRPr="001F3843" w:rsidRDefault="00C214BC" w:rsidP="005C2255">
            <w:pPr>
              <w:pStyle w:val="Tabletext"/>
              <w:jc w:val="right"/>
            </w:pPr>
            <w:r w:rsidRPr="009420A4">
              <w:t>(0.5)</w:t>
            </w:r>
          </w:p>
        </w:tc>
        <w:tc>
          <w:tcPr>
            <w:tcW w:w="1279" w:type="dxa"/>
          </w:tcPr>
          <w:p w14:paraId="6EC194FE" w14:textId="77777777" w:rsidR="00C214BC" w:rsidRPr="001F3843" w:rsidRDefault="00C214BC" w:rsidP="005C2255">
            <w:pPr>
              <w:pStyle w:val="Tabletext"/>
              <w:jc w:val="right"/>
            </w:pPr>
            <w:r w:rsidRPr="009420A4">
              <w:t>7.0</w:t>
            </w:r>
          </w:p>
        </w:tc>
        <w:tc>
          <w:tcPr>
            <w:tcW w:w="1279" w:type="dxa"/>
          </w:tcPr>
          <w:p w14:paraId="137DD11B" w14:textId="77777777" w:rsidR="00C214BC" w:rsidRPr="001F3843" w:rsidRDefault="00C214BC" w:rsidP="005C2255">
            <w:pPr>
              <w:pStyle w:val="Tabletext"/>
              <w:jc w:val="right"/>
            </w:pPr>
            <w:r w:rsidRPr="009420A4">
              <w:t>6.2</w:t>
            </w:r>
          </w:p>
        </w:tc>
        <w:tc>
          <w:tcPr>
            <w:tcW w:w="1279" w:type="dxa"/>
          </w:tcPr>
          <w:p w14:paraId="5CCBC3F6" w14:textId="77777777" w:rsidR="00C214BC" w:rsidRPr="001F3843" w:rsidRDefault="00C214BC" w:rsidP="005C2255">
            <w:pPr>
              <w:pStyle w:val="Tabletext"/>
              <w:jc w:val="right"/>
            </w:pPr>
            <w:r w:rsidRPr="009420A4">
              <w:t>(0.7)</w:t>
            </w:r>
          </w:p>
        </w:tc>
      </w:tr>
      <w:tr w:rsidR="00C214BC" w14:paraId="0E10328E" w14:textId="77777777" w:rsidTr="00C214BC">
        <w:trPr>
          <w:trHeight w:val="166"/>
        </w:trPr>
        <w:tc>
          <w:tcPr>
            <w:tcW w:w="2306" w:type="dxa"/>
          </w:tcPr>
          <w:p w14:paraId="26526CA4" w14:textId="77777777" w:rsidR="00C214BC" w:rsidRDefault="00C214BC" w:rsidP="005C2255">
            <w:pPr>
              <w:pStyle w:val="Tabletext"/>
            </w:pPr>
            <w:r w:rsidRPr="00A8328E">
              <w:t>Digital, Information and Technology</w:t>
            </w:r>
          </w:p>
        </w:tc>
        <w:tc>
          <w:tcPr>
            <w:tcW w:w="1279" w:type="dxa"/>
          </w:tcPr>
          <w:p w14:paraId="431EA11A" w14:textId="77777777" w:rsidR="00C214BC" w:rsidRPr="007F472E" w:rsidRDefault="00C214BC" w:rsidP="005C2255">
            <w:pPr>
              <w:pStyle w:val="Tabletext"/>
              <w:jc w:val="right"/>
            </w:pPr>
            <w:r w:rsidRPr="009420A4">
              <w:t>4.9</w:t>
            </w:r>
          </w:p>
        </w:tc>
        <w:tc>
          <w:tcPr>
            <w:tcW w:w="1279" w:type="dxa"/>
          </w:tcPr>
          <w:p w14:paraId="09172DE7" w14:textId="77777777" w:rsidR="00C214BC" w:rsidRPr="00872C0D" w:rsidRDefault="00C214BC" w:rsidP="005C2255">
            <w:pPr>
              <w:pStyle w:val="Tabletext"/>
              <w:jc w:val="right"/>
            </w:pPr>
            <w:r w:rsidRPr="009420A4">
              <w:t>4.6</w:t>
            </w:r>
          </w:p>
        </w:tc>
        <w:tc>
          <w:tcPr>
            <w:tcW w:w="1279" w:type="dxa"/>
          </w:tcPr>
          <w:p w14:paraId="5948A705" w14:textId="77777777" w:rsidR="00C214BC" w:rsidRPr="001F3843" w:rsidRDefault="00C214BC" w:rsidP="005C2255">
            <w:pPr>
              <w:pStyle w:val="Tabletext"/>
              <w:jc w:val="right"/>
            </w:pPr>
            <w:r w:rsidRPr="009420A4">
              <w:t>(0.3)</w:t>
            </w:r>
          </w:p>
        </w:tc>
        <w:tc>
          <w:tcPr>
            <w:tcW w:w="1279" w:type="dxa"/>
          </w:tcPr>
          <w:p w14:paraId="533C5C2F" w14:textId="77777777" w:rsidR="00C214BC" w:rsidRPr="001F3843" w:rsidRDefault="00C214BC" w:rsidP="005C2255">
            <w:pPr>
              <w:pStyle w:val="Tabletext"/>
              <w:jc w:val="right"/>
            </w:pPr>
            <w:r w:rsidRPr="009420A4">
              <w:t>6.5</w:t>
            </w:r>
          </w:p>
        </w:tc>
        <w:tc>
          <w:tcPr>
            <w:tcW w:w="1279" w:type="dxa"/>
          </w:tcPr>
          <w:p w14:paraId="4DA94A18" w14:textId="77777777" w:rsidR="00C214BC" w:rsidRPr="001F3843" w:rsidRDefault="00C214BC" w:rsidP="005C2255">
            <w:pPr>
              <w:pStyle w:val="Tabletext"/>
              <w:jc w:val="right"/>
            </w:pPr>
            <w:r w:rsidRPr="009420A4">
              <w:t>6.2</w:t>
            </w:r>
          </w:p>
        </w:tc>
        <w:tc>
          <w:tcPr>
            <w:tcW w:w="1279" w:type="dxa"/>
          </w:tcPr>
          <w:p w14:paraId="728C5E72" w14:textId="77777777" w:rsidR="00C214BC" w:rsidRPr="001F3843" w:rsidRDefault="00C214BC" w:rsidP="005C2255">
            <w:pPr>
              <w:pStyle w:val="Tabletext"/>
              <w:jc w:val="right"/>
            </w:pPr>
            <w:r w:rsidRPr="009420A4">
              <w:t>(0.3)</w:t>
            </w:r>
          </w:p>
        </w:tc>
      </w:tr>
      <w:tr w:rsidR="00C214BC" w14:paraId="66B24F19" w14:textId="77777777" w:rsidTr="00C214BC">
        <w:trPr>
          <w:trHeight w:val="166"/>
        </w:trPr>
        <w:tc>
          <w:tcPr>
            <w:tcW w:w="2306" w:type="dxa"/>
          </w:tcPr>
          <w:p w14:paraId="1E701DDF" w14:textId="77777777" w:rsidR="00C214BC" w:rsidRDefault="00C214BC" w:rsidP="005C2255">
            <w:pPr>
              <w:pStyle w:val="Tabletext"/>
            </w:pPr>
            <w:r w:rsidRPr="00A8328E">
              <w:t>Science, Evidence and Analytics</w:t>
            </w:r>
          </w:p>
        </w:tc>
        <w:tc>
          <w:tcPr>
            <w:tcW w:w="1279" w:type="dxa"/>
          </w:tcPr>
          <w:p w14:paraId="4E36B4E6" w14:textId="77777777" w:rsidR="00C214BC" w:rsidRPr="007F472E" w:rsidRDefault="00C214BC" w:rsidP="005C2255">
            <w:pPr>
              <w:pStyle w:val="Tabletext"/>
              <w:jc w:val="right"/>
            </w:pPr>
            <w:r w:rsidRPr="009420A4">
              <w:t>5.6</w:t>
            </w:r>
          </w:p>
        </w:tc>
        <w:tc>
          <w:tcPr>
            <w:tcW w:w="1279" w:type="dxa"/>
          </w:tcPr>
          <w:p w14:paraId="23C6C0EF" w14:textId="77777777" w:rsidR="00C214BC" w:rsidRPr="00872C0D" w:rsidRDefault="00C214BC" w:rsidP="005C2255">
            <w:pPr>
              <w:pStyle w:val="Tabletext"/>
              <w:jc w:val="right"/>
            </w:pPr>
            <w:r w:rsidRPr="009420A4">
              <w:t>5.4</w:t>
            </w:r>
          </w:p>
        </w:tc>
        <w:tc>
          <w:tcPr>
            <w:tcW w:w="1279" w:type="dxa"/>
          </w:tcPr>
          <w:p w14:paraId="1AE46173" w14:textId="77777777" w:rsidR="00C214BC" w:rsidRPr="001F3843" w:rsidRDefault="00C214BC" w:rsidP="005C2255">
            <w:pPr>
              <w:pStyle w:val="Tabletext"/>
              <w:jc w:val="right"/>
            </w:pPr>
            <w:r w:rsidRPr="009420A4">
              <w:t>(0.2)</w:t>
            </w:r>
          </w:p>
        </w:tc>
        <w:tc>
          <w:tcPr>
            <w:tcW w:w="1279" w:type="dxa"/>
          </w:tcPr>
          <w:p w14:paraId="467B3D56" w14:textId="77777777" w:rsidR="00C214BC" w:rsidRPr="001F3843" w:rsidRDefault="00C214BC" w:rsidP="005C2255">
            <w:pPr>
              <w:pStyle w:val="Tabletext"/>
              <w:jc w:val="right"/>
            </w:pPr>
            <w:r w:rsidRPr="009420A4">
              <w:t>7.6</w:t>
            </w:r>
          </w:p>
        </w:tc>
        <w:tc>
          <w:tcPr>
            <w:tcW w:w="1279" w:type="dxa"/>
          </w:tcPr>
          <w:p w14:paraId="00ECEDCE" w14:textId="77777777" w:rsidR="00C214BC" w:rsidRPr="001F3843" w:rsidRDefault="00C214BC" w:rsidP="005C2255">
            <w:pPr>
              <w:pStyle w:val="Tabletext"/>
              <w:jc w:val="right"/>
            </w:pPr>
            <w:r w:rsidRPr="009420A4">
              <w:t>7.4</w:t>
            </w:r>
          </w:p>
        </w:tc>
        <w:tc>
          <w:tcPr>
            <w:tcW w:w="1279" w:type="dxa"/>
          </w:tcPr>
          <w:p w14:paraId="1C6B97FC" w14:textId="77777777" w:rsidR="00C214BC" w:rsidRPr="001F3843" w:rsidRDefault="00C214BC" w:rsidP="005C2255">
            <w:pPr>
              <w:pStyle w:val="Tabletext"/>
              <w:jc w:val="right"/>
            </w:pPr>
            <w:r w:rsidRPr="009420A4">
              <w:t>(0.2)</w:t>
            </w:r>
          </w:p>
        </w:tc>
      </w:tr>
      <w:tr w:rsidR="00C214BC" w14:paraId="6F0B61BE" w14:textId="77777777" w:rsidTr="00C214BC">
        <w:trPr>
          <w:trHeight w:val="166"/>
        </w:trPr>
        <w:tc>
          <w:tcPr>
            <w:tcW w:w="2306" w:type="dxa"/>
          </w:tcPr>
          <w:p w14:paraId="61917265" w14:textId="77777777" w:rsidR="00C214BC" w:rsidRDefault="00C214BC" w:rsidP="005C2255">
            <w:pPr>
              <w:pStyle w:val="Tabletext"/>
            </w:pPr>
            <w:r w:rsidRPr="00A8328E">
              <w:t>Finance, Strategy and Transformation</w:t>
            </w:r>
          </w:p>
        </w:tc>
        <w:tc>
          <w:tcPr>
            <w:tcW w:w="1279" w:type="dxa"/>
          </w:tcPr>
          <w:p w14:paraId="23DE7C09" w14:textId="77777777" w:rsidR="00C214BC" w:rsidRPr="007F472E" w:rsidRDefault="00C214BC" w:rsidP="005C2255">
            <w:pPr>
              <w:pStyle w:val="Tabletext"/>
              <w:jc w:val="right"/>
            </w:pPr>
            <w:r w:rsidRPr="009420A4">
              <w:t>6.6</w:t>
            </w:r>
          </w:p>
        </w:tc>
        <w:tc>
          <w:tcPr>
            <w:tcW w:w="1279" w:type="dxa"/>
          </w:tcPr>
          <w:p w14:paraId="29493BF7" w14:textId="77777777" w:rsidR="00C214BC" w:rsidRPr="00872C0D" w:rsidRDefault="00C214BC" w:rsidP="005C2255">
            <w:pPr>
              <w:pStyle w:val="Tabletext"/>
              <w:jc w:val="right"/>
            </w:pPr>
            <w:r w:rsidRPr="009420A4">
              <w:t>6.0</w:t>
            </w:r>
          </w:p>
        </w:tc>
        <w:tc>
          <w:tcPr>
            <w:tcW w:w="1279" w:type="dxa"/>
          </w:tcPr>
          <w:p w14:paraId="798E2C46" w14:textId="77777777" w:rsidR="00C214BC" w:rsidRPr="001F3843" w:rsidRDefault="00C214BC" w:rsidP="005C2255">
            <w:pPr>
              <w:pStyle w:val="Tabletext"/>
              <w:jc w:val="right"/>
            </w:pPr>
            <w:r w:rsidRPr="009420A4">
              <w:t>(0.5)</w:t>
            </w:r>
          </w:p>
        </w:tc>
        <w:tc>
          <w:tcPr>
            <w:tcW w:w="1279" w:type="dxa"/>
          </w:tcPr>
          <w:p w14:paraId="5E456673" w14:textId="77777777" w:rsidR="00C214BC" w:rsidRPr="001F3843" w:rsidRDefault="00C214BC" w:rsidP="005C2255">
            <w:pPr>
              <w:pStyle w:val="Tabletext"/>
              <w:jc w:val="right"/>
            </w:pPr>
            <w:r w:rsidRPr="009420A4">
              <w:t>9.1</w:t>
            </w:r>
          </w:p>
        </w:tc>
        <w:tc>
          <w:tcPr>
            <w:tcW w:w="1279" w:type="dxa"/>
          </w:tcPr>
          <w:p w14:paraId="27782EB5" w14:textId="77777777" w:rsidR="00C214BC" w:rsidRPr="001F3843" w:rsidRDefault="00C214BC" w:rsidP="005C2255">
            <w:pPr>
              <w:pStyle w:val="Tabletext"/>
              <w:jc w:val="right"/>
            </w:pPr>
            <w:r w:rsidRPr="009420A4">
              <w:t>8.3</w:t>
            </w:r>
          </w:p>
        </w:tc>
        <w:tc>
          <w:tcPr>
            <w:tcW w:w="1279" w:type="dxa"/>
          </w:tcPr>
          <w:p w14:paraId="48A4A2EE" w14:textId="77777777" w:rsidR="00C214BC" w:rsidRPr="001F3843" w:rsidRDefault="00C214BC" w:rsidP="005C2255">
            <w:pPr>
              <w:pStyle w:val="Tabletext"/>
              <w:jc w:val="right"/>
            </w:pPr>
            <w:r w:rsidRPr="009420A4">
              <w:t>(0.8)</w:t>
            </w:r>
          </w:p>
        </w:tc>
      </w:tr>
      <w:tr w:rsidR="00C214BC" w14:paraId="5838558D" w14:textId="77777777" w:rsidTr="00C214BC">
        <w:trPr>
          <w:trHeight w:val="166"/>
        </w:trPr>
        <w:tc>
          <w:tcPr>
            <w:tcW w:w="2306" w:type="dxa"/>
          </w:tcPr>
          <w:p w14:paraId="22B1BBB3" w14:textId="77777777" w:rsidR="00C214BC" w:rsidRDefault="00C214BC" w:rsidP="005C2255">
            <w:pPr>
              <w:pStyle w:val="Tabletext"/>
            </w:pPr>
            <w:r w:rsidRPr="00A8328E">
              <w:t>Communications</w:t>
            </w:r>
          </w:p>
        </w:tc>
        <w:tc>
          <w:tcPr>
            <w:tcW w:w="1279" w:type="dxa"/>
          </w:tcPr>
          <w:p w14:paraId="177A774E" w14:textId="77777777" w:rsidR="00C214BC" w:rsidRPr="007F472E" w:rsidRDefault="00C214BC" w:rsidP="005C2255">
            <w:pPr>
              <w:pStyle w:val="Tabletext"/>
              <w:jc w:val="right"/>
            </w:pPr>
            <w:r w:rsidRPr="009420A4">
              <w:t>1.8</w:t>
            </w:r>
          </w:p>
        </w:tc>
        <w:tc>
          <w:tcPr>
            <w:tcW w:w="1279" w:type="dxa"/>
          </w:tcPr>
          <w:p w14:paraId="503FA46E" w14:textId="77777777" w:rsidR="00C214BC" w:rsidRPr="00872C0D" w:rsidRDefault="00C214BC" w:rsidP="005C2255">
            <w:pPr>
              <w:pStyle w:val="Tabletext"/>
              <w:jc w:val="right"/>
            </w:pPr>
            <w:r w:rsidRPr="009420A4">
              <w:t>1.7</w:t>
            </w:r>
          </w:p>
        </w:tc>
        <w:tc>
          <w:tcPr>
            <w:tcW w:w="1279" w:type="dxa"/>
          </w:tcPr>
          <w:p w14:paraId="3493F989" w14:textId="77777777" w:rsidR="00C214BC" w:rsidRPr="001F3843" w:rsidRDefault="00C214BC" w:rsidP="005C2255">
            <w:pPr>
              <w:pStyle w:val="Tabletext"/>
              <w:jc w:val="right"/>
            </w:pPr>
            <w:r w:rsidRPr="009420A4">
              <w:t>(0.1)</w:t>
            </w:r>
          </w:p>
        </w:tc>
        <w:tc>
          <w:tcPr>
            <w:tcW w:w="1279" w:type="dxa"/>
          </w:tcPr>
          <w:p w14:paraId="2BD8D3FD" w14:textId="77777777" w:rsidR="00C214BC" w:rsidRPr="001F3843" w:rsidRDefault="00C214BC" w:rsidP="005C2255">
            <w:pPr>
              <w:pStyle w:val="Tabletext"/>
              <w:jc w:val="right"/>
            </w:pPr>
            <w:r w:rsidRPr="009420A4">
              <w:t>2.5</w:t>
            </w:r>
          </w:p>
        </w:tc>
        <w:tc>
          <w:tcPr>
            <w:tcW w:w="1279" w:type="dxa"/>
          </w:tcPr>
          <w:p w14:paraId="384954DF" w14:textId="77777777" w:rsidR="00C214BC" w:rsidRPr="001F3843" w:rsidRDefault="00C214BC" w:rsidP="005C2255">
            <w:pPr>
              <w:pStyle w:val="Tabletext"/>
              <w:jc w:val="right"/>
            </w:pPr>
            <w:r w:rsidRPr="009420A4">
              <w:t>2.3</w:t>
            </w:r>
          </w:p>
        </w:tc>
        <w:tc>
          <w:tcPr>
            <w:tcW w:w="1279" w:type="dxa"/>
          </w:tcPr>
          <w:p w14:paraId="7049BF2F" w14:textId="77777777" w:rsidR="00C214BC" w:rsidRPr="001F3843" w:rsidRDefault="00C214BC" w:rsidP="005C2255">
            <w:pPr>
              <w:pStyle w:val="Tabletext"/>
              <w:jc w:val="right"/>
            </w:pPr>
            <w:r w:rsidRPr="009420A4">
              <w:t>(0.2)</w:t>
            </w:r>
          </w:p>
        </w:tc>
      </w:tr>
      <w:tr w:rsidR="00C214BC" w14:paraId="59927AB7" w14:textId="77777777" w:rsidTr="00C214BC">
        <w:trPr>
          <w:trHeight w:val="166"/>
        </w:trPr>
        <w:tc>
          <w:tcPr>
            <w:tcW w:w="2306" w:type="dxa"/>
          </w:tcPr>
          <w:p w14:paraId="0436D639" w14:textId="77777777" w:rsidR="00C214BC" w:rsidRDefault="00C214BC" w:rsidP="005C2255">
            <w:pPr>
              <w:pStyle w:val="Tabletext"/>
            </w:pPr>
            <w:r w:rsidRPr="00A8328E">
              <w:t>NHS Pension</w:t>
            </w:r>
            <w:r>
              <w:t xml:space="preserve"> (6.3% increase)</w:t>
            </w:r>
            <w:r w:rsidRPr="00A8328E">
              <w:t xml:space="preserve"> </w:t>
            </w:r>
            <w:r>
              <w:t xml:space="preserve">and other staff </w:t>
            </w:r>
            <w:r w:rsidRPr="00A8328E">
              <w:t>costs</w:t>
            </w:r>
          </w:p>
        </w:tc>
        <w:tc>
          <w:tcPr>
            <w:tcW w:w="1279" w:type="dxa"/>
          </w:tcPr>
          <w:p w14:paraId="46C4ED92" w14:textId="77777777" w:rsidR="00C214BC" w:rsidRPr="007F472E" w:rsidRDefault="00C214BC" w:rsidP="005C2255">
            <w:pPr>
              <w:pStyle w:val="Tabletext"/>
              <w:jc w:val="right"/>
            </w:pPr>
            <w:r w:rsidRPr="009849C0">
              <w:t>1.3</w:t>
            </w:r>
          </w:p>
        </w:tc>
        <w:tc>
          <w:tcPr>
            <w:tcW w:w="1279" w:type="dxa"/>
          </w:tcPr>
          <w:p w14:paraId="0BDAE1F8" w14:textId="77777777" w:rsidR="00C214BC" w:rsidRPr="00872C0D" w:rsidRDefault="00C214BC" w:rsidP="005C2255">
            <w:pPr>
              <w:pStyle w:val="Tabletext"/>
              <w:jc w:val="right"/>
            </w:pPr>
            <w:r w:rsidRPr="009849C0">
              <w:t>1.3</w:t>
            </w:r>
          </w:p>
        </w:tc>
        <w:tc>
          <w:tcPr>
            <w:tcW w:w="1279" w:type="dxa"/>
          </w:tcPr>
          <w:p w14:paraId="671B9818" w14:textId="77777777" w:rsidR="00C214BC" w:rsidRPr="001F3843" w:rsidRDefault="00C214BC" w:rsidP="005C2255">
            <w:pPr>
              <w:pStyle w:val="Tabletext"/>
              <w:jc w:val="right"/>
            </w:pPr>
            <w:r w:rsidRPr="009849C0">
              <w:t>0.0</w:t>
            </w:r>
          </w:p>
        </w:tc>
        <w:tc>
          <w:tcPr>
            <w:tcW w:w="1279" w:type="dxa"/>
          </w:tcPr>
          <w:p w14:paraId="28A6C8FB" w14:textId="77777777" w:rsidR="00C214BC" w:rsidRPr="001F3843" w:rsidRDefault="00C214BC" w:rsidP="005C2255">
            <w:pPr>
              <w:pStyle w:val="Tabletext"/>
              <w:jc w:val="right"/>
            </w:pPr>
            <w:r w:rsidRPr="003A65D5">
              <w:t>1.8</w:t>
            </w:r>
          </w:p>
        </w:tc>
        <w:tc>
          <w:tcPr>
            <w:tcW w:w="1279" w:type="dxa"/>
          </w:tcPr>
          <w:p w14:paraId="21790D1E" w14:textId="77777777" w:rsidR="00C214BC" w:rsidRPr="001F3843" w:rsidRDefault="00C214BC" w:rsidP="005C2255">
            <w:pPr>
              <w:pStyle w:val="Tabletext"/>
              <w:jc w:val="right"/>
            </w:pPr>
            <w:r w:rsidRPr="003A65D5">
              <w:t>2.0</w:t>
            </w:r>
          </w:p>
        </w:tc>
        <w:tc>
          <w:tcPr>
            <w:tcW w:w="1279" w:type="dxa"/>
          </w:tcPr>
          <w:p w14:paraId="3BF8F9C3" w14:textId="77777777" w:rsidR="00C214BC" w:rsidRPr="001F3843" w:rsidRDefault="00C214BC" w:rsidP="005C2255">
            <w:pPr>
              <w:pStyle w:val="Tabletext"/>
              <w:jc w:val="right"/>
            </w:pPr>
            <w:r w:rsidRPr="003A65D5">
              <w:t>0.3</w:t>
            </w:r>
          </w:p>
        </w:tc>
      </w:tr>
      <w:tr w:rsidR="00C214BC" w14:paraId="33047533" w14:textId="77777777" w:rsidTr="00C214BC">
        <w:trPr>
          <w:trHeight w:val="166"/>
        </w:trPr>
        <w:tc>
          <w:tcPr>
            <w:tcW w:w="2306" w:type="dxa"/>
          </w:tcPr>
          <w:p w14:paraId="637AA641" w14:textId="77777777" w:rsidR="00C214BC" w:rsidRDefault="00C214BC" w:rsidP="005C2255">
            <w:pPr>
              <w:pStyle w:val="Tabletext"/>
            </w:pPr>
            <w:r w:rsidRPr="00A8328E">
              <w:t>Depreciation (non-cash)</w:t>
            </w:r>
          </w:p>
        </w:tc>
        <w:tc>
          <w:tcPr>
            <w:tcW w:w="1279" w:type="dxa"/>
          </w:tcPr>
          <w:p w14:paraId="7348FB67" w14:textId="77777777" w:rsidR="00C214BC" w:rsidRPr="007F472E" w:rsidRDefault="00C214BC" w:rsidP="005C2255">
            <w:pPr>
              <w:pStyle w:val="Tabletext"/>
              <w:jc w:val="right"/>
            </w:pPr>
            <w:r w:rsidRPr="009420A4">
              <w:t>0.5</w:t>
            </w:r>
          </w:p>
        </w:tc>
        <w:tc>
          <w:tcPr>
            <w:tcW w:w="1279" w:type="dxa"/>
          </w:tcPr>
          <w:p w14:paraId="51E19EEB" w14:textId="77777777" w:rsidR="00C214BC" w:rsidRPr="00872C0D" w:rsidRDefault="00C214BC" w:rsidP="005C2255">
            <w:pPr>
              <w:pStyle w:val="Tabletext"/>
              <w:jc w:val="right"/>
            </w:pPr>
            <w:r w:rsidRPr="009420A4">
              <w:t>0.4</w:t>
            </w:r>
          </w:p>
        </w:tc>
        <w:tc>
          <w:tcPr>
            <w:tcW w:w="1279" w:type="dxa"/>
          </w:tcPr>
          <w:p w14:paraId="579A8AFD" w14:textId="77777777" w:rsidR="00C214BC" w:rsidRPr="001F3843" w:rsidRDefault="00C214BC" w:rsidP="005C2255">
            <w:pPr>
              <w:pStyle w:val="Tabletext"/>
              <w:jc w:val="right"/>
            </w:pPr>
            <w:r w:rsidRPr="009420A4">
              <w:t>(0.1)</w:t>
            </w:r>
          </w:p>
        </w:tc>
        <w:tc>
          <w:tcPr>
            <w:tcW w:w="1279" w:type="dxa"/>
          </w:tcPr>
          <w:p w14:paraId="5ED30225" w14:textId="77777777" w:rsidR="00C214BC" w:rsidRPr="001F3843" w:rsidRDefault="00C214BC" w:rsidP="005C2255">
            <w:pPr>
              <w:pStyle w:val="Tabletext"/>
              <w:jc w:val="right"/>
            </w:pPr>
            <w:r w:rsidRPr="009420A4">
              <w:t>0.7</w:t>
            </w:r>
          </w:p>
        </w:tc>
        <w:tc>
          <w:tcPr>
            <w:tcW w:w="1279" w:type="dxa"/>
          </w:tcPr>
          <w:p w14:paraId="60063768" w14:textId="77777777" w:rsidR="00C214BC" w:rsidRPr="001F3843" w:rsidRDefault="00C214BC" w:rsidP="005C2255">
            <w:pPr>
              <w:pStyle w:val="Tabletext"/>
              <w:jc w:val="right"/>
            </w:pPr>
            <w:r w:rsidRPr="009420A4">
              <w:t>0.5</w:t>
            </w:r>
          </w:p>
        </w:tc>
        <w:tc>
          <w:tcPr>
            <w:tcW w:w="1279" w:type="dxa"/>
          </w:tcPr>
          <w:p w14:paraId="6988752F" w14:textId="77777777" w:rsidR="00C214BC" w:rsidRPr="001F3843" w:rsidRDefault="00C214BC" w:rsidP="005C2255">
            <w:pPr>
              <w:pStyle w:val="Tabletext"/>
              <w:jc w:val="right"/>
            </w:pPr>
            <w:r w:rsidRPr="009420A4">
              <w:t>(0.2)</w:t>
            </w:r>
          </w:p>
        </w:tc>
      </w:tr>
      <w:tr w:rsidR="00C214BC" w14:paraId="44BA3F20" w14:textId="77777777" w:rsidTr="00C214BC">
        <w:trPr>
          <w:trHeight w:val="166"/>
        </w:trPr>
        <w:tc>
          <w:tcPr>
            <w:tcW w:w="2306" w:type="dxa"/>
          </w:tcPr>
          <w:p w14:paraId="4D10F94C" w14:textId="77777777" w:rsidR="00C214BC" w:rsidRDefault="00C214BC" w:rsidP="005C2255">
            <w:pPr>
              <w:pStyle w:val="Tabletext"/>
            </w:pPr>
            <w:r w:rsidRPr="00A8328E">
              <w:t>Part-year effect Pay budget adjustment</w:t>
            </w:r>
          </w:p>
        </w:tc>
        <w:tc>
          <w:tcPr>
            <w:tcW w:w="1279" w:type="dxa"/>
          </w:tcPr>
          <w:p w14:paraId="1F38B54C" w14:textId="77777777" w:rsidR="00C214BC" w:rsidRPr="007F472E" w:rsidRDefault="00C214BC" w:rsidP="005C2255">
            <w:pPr>
              <w:pStyle w:val="Tabletext"/>
              <w:jc w:val="right"/>
            </w:pPr>
            <w:r w:rsidRPr="00B7051C">
              <w:t>2.2</w:t>
            </w:r>
          </w:p>
        </w:tc>
        <w:tc>
          <w:tcPr>
            <w:tcW w:w="1279" w:type="dxa"/>
          </w:tcPr>
          <w:p w14:paraId="5D8FF289" w14:textId="77777777" w:rsidR="00C214BC" w:rsidRPr="00872C0D" w:rsidRDefault="00C214BC" w:rsidP="005C2255">
            <w:pPr>
              <w:pStyle w:val="Tabletext"/>
              <w:jc w:val="right"/>
            </w:pPr>
            <w:r w:rsidRPr="00B7051C">
              <w:t>0.0</w:t>
            </w:r>
          </w:p>
        </w:tc>
        <w:tc>
          <w:tcPr>
            <w:tcW w:w="1279" w:type="dxa"/>
          </w:tcPr>
          <w:p w14:paraId="76584802" w14:textId="77777777" w:rsidR="00C214BC" w:rsidRPr="001F3843" w:rsidRDefault="00C214BC" w:rsidP="005C2255">
            <w:pPr>
              <w:pStyle w:val="Tabletext"/>
              <w:jc w:val="right"/>
            </w:pPr>
            <w:r w:rsidRPr="00B7051C">
              <w:t>(2.2)</w:t>
            </w:r>
          </w:p>
        </w:tc>
        <w:tc>
          <w:tcPr>
            <w:tcW w:w="1279" w:type="dxa"/>
          </w:tcPr>
          <w:p w14:paraId="33CF778D" w14:textId="77777777" w:rsidR="00C214BC" w:rsidRPr="001F3843" w:rsidRDefault="00C214BC" w:rsidP="005C2255">
            <w:pPr>
              <w:pStyle w:val="Tabletext"/>
              <w:jc w:val="right"/>
            </w:pPr>
            <w:r w:rsidRPr="005362FB">
              <w:t>2.3</w:t>
            </w:r>
          </w:p>
        </w:tc>
        <w:tc>
          <w:tcPr>
            <w:tcW w:w="1279" w:type="dxa"/>
          </w:tcPr>
          <w:p w14:paraId="392A3BC2" w14:textId="77777777" w:rsidR="00C214BC" w:rsidRPr="001F3843" w:rsidRDefault="00C214BC" w:rsidP="005C2255">
            <w:pPr>
              <w:pStyle w:val="Tabletext"/>
              <w:jc w:val="right"/>
            </w:pPr>
            <w:r w:rsidRPr="005362FB">
              <w:t>0.0</w:t>
            </w:r>
          </w:p>
        </w:tc>
        <w:tc>
          <w:tcPr>
            <w:tcW w:w="1279" w:type="dxa"/>
          </w:tcPr>
          <w:p w14:paraId="24434BA8" w14:textId="77777777" w:rsidR="00C214BC" w:rsidRPr="001F3843" w:rsidRDefault="00C214BC" w:rsidP="005C2255">
            <w:pPr>
              <w:pStyle w:val="Tabletext"/>
              <w:jc w:val="right"/>
            </w:pPr>
            <w:r w:rsidRPr="005362FB">
              <w:t>(2.3)</w:t>
            </w:r>
          </w:p>
        </w:tc>
      </w:tr>
      <w:tr w:rsidR="00C214BC" w14:paraId="0D05F3D1" w14:textId="77777777" w:rsidTr="00C214BC">
        <w:trPr>
          <w:trHeight w:val="163"/>
        </w:trPr>
        <w:tc>
          <w:tcPr>
            <w:tcW w:w="2306" w:type="dxa"/>
          </w:tcPr>
          <w:p w14:paraId="38149953" w14:textId="77777777" w:rsidR="00C214BC" w:rsidRPr="0008202A" w:rsidRDefault="00C214BC" w:rsidP="005C2255">
            <w:pPr>
              <w:pStyle w:val="Tabletext"/>
              <w:rPr>
                <w:b/>
                <w:bCs/>
              </w:rPr>
            </w:pPr>
            <w:r w:rsidRPr="0008202A">
              <w:rPr>
                <w:b/>
                <w:bCs/>
              </w:rPr>
              <w:t>Grand total</w:t>
            </w:r>
          </w:p>
        </w:tc>
        <w:tc>
          <w:tcPr>
            <w:tcW w:w="1279" w:type="dxa"/>
          </w:tcPr>
          <w:p w14:paraId="094AD1CF" w14:textId="77777777" w:rsidR="00C214BC" w:rsidRPr="00A72C7E" w:rsidRDefault="00C214BC" w:rsidP="005C2255">
            <w:pPr>
              <w:pStyle w:val="Tabletext"/>
              <w:jc w:val="right"/>
              <w:rPr>
                <w:b/>
                <w:bCs/>
              </w:rPr>
            </w:pPr>
            <w:r w:rsidRPr="00A72C7E">
              <w:rPr>
                <w:b/>
                <w:bCs/>
              </w:rPr>
              <w:t>40.1</w:t>
            </w:r>
          </w:p>
        </w:tc>
        <w:tc>
          <w:tcPr>
            <w:tcW w:w="1279" w:type="dxa"/>
          </w:tcPr>
          <w:p w14:paraId="165F9EB6" w14:textId="77777777" w:rsidR="00C214BC" w:rsidRPr="00A72C7E" w:rsidRDefault="00C214BC" w:rsidP="005C2255">
            <w:pPr>
              <w:pStyle w:val="Tabletext"/>
              <w:jc w:val="right"/>
              <w:rPr>
                <w:b/>
                <w:bCs/>
              </w:rPr>
            </w:pPr>
            <w:r w:rsidRPr="00A72C7E">
              <w:rPr>
                <w:b/>
                <w:bCs/>
              </w:rPr>
              <w:t>36.6</w:t>
            </w:r>
          </w:p>
        </w:tc>
        <w:tc>
          <w:tcPr>
            <w:tcW w:w="1279" w:type="dxa"/>
          </w:tcPr>
          <w:p w14:paraId="6D585B8B" w14:textId="77777777" w:rsidR="00C214BC" w:rsidRPr="00A72C7E" w:rsidRDefault="00C214BC" w:rsidP="005C2255">
            <w:pPr>
              <w:pStyle w:val="Tabletext"/>
              <w:jc w:val="right"/>
              <w:rPr>
                <w:b/>
                <w:bCs/>
              </w:rPr>
            </w:pPr>
            <w:r w:rsidRPr="00A72C7E">
              <w:rPr>
                <w:b/>
                <w:bCs/>
              </w:rPr>
              <w:t>(3.4)</w:t>
            </w:r>
          </w:p>
        </w:tc>
        <w:tc>
          <w:tcPr>
            <w:tcW w:w="1279" w:type="dxa"/>
          </w:tcPr>
          <w:p w14:paraId="71BCE2DF" w14:textId="77777777" w:rsidR="00C214BC" w:rsidRPr="00A72C7E" w:rsidRDefault="00C214BC" w:rsidP="005C2255">
            <w:pPr>
              <w:pStyle w:val="Tabletext"/>
              <w:jc w:val="right"/>
              <w:rPr>
                <w:b/>
                <w:bCs/>
              </w:rPr>
            </w:pPr>
            <w:r w:rsidRPr="00A72C7E">
              <w:rPr>
                <w:b/>
                <w:bCs/>
              </w:rPr>
              <w:t>53.3</w:t>
            </w:r>
          </w:p>
        </w:tc>
        <w:tc>
          <w:tcPr>
            <w:tcW w:w="1279" w:type="dxa"/>
          </w:tcPr>
          <w:p w14:paraId="76587D1E" w14:textId="77777777" w:rsidR="00C214BC" w:rsidRPr="00A72C7E" w:rsidRDefault="00C214BC" w:rsidP="005C2255">
            <w:pPr>
              <w:pStyle w:val="Tabletext"/>
              <w:jc w:val="right"/>
              <w:rPr>
                <w:b/>
                <w:bCs/>
              </w:rPr>
            </w:pPr>
            <w:r w:rsidRPr="00A72C7E">
              <w:rPr>
                <w:b/>
                <w:bCs/>
              </w:rPr>
              <w:t>49.9</w:t>
            </w:r>
          </w:p>
        </w:tc>
        <w:tc>
          <w:tcPr>
            <w:tcW w:w="1279" w:type="dxa"/>
          </w:tcPr>
          <w:p w14:paraId="3BC4EEB2" w14:textId="77777777" w:rsidR="00C214BC" w:rsidRPr="00A72C7E" w:rsidRDefault="00C214BC" w:rsidP="005C2255">
            <w:pPr>
              <w:pStyle w:val="Tabletext"/>
              <w:jc w:val="right"/>
              <w:rPr>
                <w:b/>
                <w:bCs/>
              </w:rPr>
            </w:pPr>
            <w:r w:rsidRPr="00A72C7E">
              <w:rPr>
                <w:b/>
                <w:bCs/>
              </w:rPr>
              <w:t>(3.4)</w:t>
            </w:r>
          </w:p>
        </w:tc>
      </w:tr>
    </w:tbl>
    <w:p w14:paraId="296AE042" w14:textId="06BD4C8A" w:rsidR="00C214BC" w:rsidRPr="00C214BC" w:rsidRDefault="00C214BC" w:rsidP="00C214BC">
      <w:pPr>
        <w:pStyle w:val="NICEnormal"/>
        <w:sectPr w:rsidR="00C214BC" w:rsidRPr="00C214BC" w:rsidSect="0017149E">
          <w:headerReference w:type="default" r:id="rId10"/>
          <w:footerReference w:type="default" r:id="rId11"/>
          <w:pgSz w:w="11906" w:h="16838"/>
          <w:pgMar w:top="1440" w:right="1440" w:bottom="1440" w:left="1440" w:header="708" w:footer="708" w:gutter="0"/>
          <w:cols w:space="708"/>
          <w:docGrid w:linePitch="360"/>
        </w:sectPr>
      </w:pPr>
    </w:p>
    <w:p w14:paraId="25FDAE5D" w14:textId="77777777" w:rsidR="00C214BC" w:rsidRDefault="009262FA" w:rsidP="00C214BC">
      <w:pPr>
        <w:pStyle w:val="Heading1boardreport"/>
        <w:rPr>
          <w:lang w:eastAsia="en-US"/>
        </w:rPr>
      </w:pPr>
      <w:r w:rsidRPr="004C612D">
        <w:rPr>
          <w:lang w:eastAsia="en-US"/>
        </w:rPr>
        <w:lastRenderedPageBreak/>
        <w:t xml:space="preserve">Appendix </w:t>
      </w:r>
      <w:r>
        <w:rPr>
          <w:lang w:eastAsia="en-US"/>
        </w:rPr>
        <w:t>B</w:t>
      </w:r>
      <w:r w:rsidRPr="004C612D">
        <w:rPr>
          <w:lang w:eastAsia="en-US"/>
        </w:rPr>
        <w:t xml:space="preserve">: </w:t>
      </w:r>
      <w:r w:rsidRPr="00F90BAE">
        <w:rPr>
          <w:lang w:eastAsia="en-US"/>
        </w:rPr>
        <w:t>Transformation update: November and December 2020</w:t>
      </w:r>
    </w:p>
    <w:p w14:paraId="26FF25E9" w14:textId="56CF324C" w:rsidR="00C214BC" w:rsidRDefault="009262FA" w:rsidP="00C214BC">
      <w:pPr>
        <w:pStyle w:val="Tableheadingboardreport"/>
      </w:pPr>
      <w:r w:rsidRPr="00FE16EF">
        <w:t xml:space="preserve">Content Expert Group 20-21 key deliverables status </w:t>
      </w:r>
    </w:p>
    <w:tbl>
      <w:tblPr>
        <w:tblpPr w:leftFromText="180" w:rightFromText="180" w:vertAnchor="text" w:horzAnchor="margin" w:tblpY="241"/>
        <w:tblW w:w="15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ntent Expert Group 20-21 key deliverables status "/>
        <w:tblDescription w:val="Table outlining the progress and next steps for outputs of the content expert group."/>
      </w:tblPr>
      <w:tblGrid>
        <w:gridCol w:w="3476"/>
        <w:gridCol w:w="1161"/>
        <w:gridCol w:w="2814"/>
        <w:gridCol w:w="2601"/>
        <w:gridCol w:w="2213"/>
        <w:gridCol w:w="1102"/>
        <w:gridCol w:w="1998"/>
      </w:tblGrid>
      <w:tr w:rsidR="00AC1045" w:rsidRPr="008C5D72" w14:paraId="1AECD87E" w14:textId="77777777" w:rsidTr="00AC1045">
        <w:trPr>
          <w:cantSplit/>
          <w:trHeight w:val="291"/>
          <w:tblHeader/>
        </w:trPr>
        <w:tc>
          <w:tcPr>
            <w:tcW w:w="3476" w:type="dxa"/>
          </w:tcPr>
          <w:p w14:paraId="7DF97143" w14:textId="69F2B0E0" w:rsidR="00CC0F37" w:rsidRPr="008C5D72" w:rsidRDefault="00CC0F37" w:rsidP="00AC1045">
            <w:pPr>
              <w:pStyle w:val="Tableheadingboardreport"/>
            </w:pPr>
            <w:r w:rsidRPr="008E3651">
              <w:t>Output</w:t>
            </w:r>
          </w:p>
        </w:tc>
        <w:tc>
          <w:tcPr>
            <w:tcW w:w="1161" w:type="dxa"/>
          </w:tcPr>
          <w:p w14:paraId="657B0209" w14:textId="1E786C86" w:rsidR="00CC0F37" w:rsidRPr="008C5D72" w:rsidRDefault="00CC0F37" w:rsidP="00AC1045">
            <w:pPr>
              <w:pStyle w:val="Tableheadingboardreport"/>
            </w:pPr>
            <w:r w:rsidRPr="008E3651">
              <w:t>Lead</w:t>
            </w:r>
          </w:p>
        </w:tc>
        <w:tc>
          <w:tcPr>
            <w:tcW w:w="2814" w:type="dxa"/>
          </w:tcPr>
          <w:p w14:paraId="3B0A0649" w14:textId="0CE820C8" w:rsidR="00CC0F37" w:rsidRPr="008C5D72" w:rsidRDefault="00CC0F37" w:rsidP="00AC1045">
            <w:pPr>
              <w:pStyle w:val="Tableheadingboardreport"/>
            </w:pPr>
            <w:r w:rsidRPr="008E3651">
              <w:t>Update</w:t>
            </w:r>
          </w:p>
        </w:tc>
        <w:tc>
          <w:tcPr>
            <w:tcW w:w="2601" w:type="dxa"/>
          </w:tcPr>
          <w:p w14:paraId="0A9FF165" w14:textId="403E52CD" w:rsidR="00CC0F37" w:rsidRPr="008C5D72" w:rsidRDefault="00CC0F37" w:rsidP="00AC1045">
            <w:pPr>
              <w:pStyle w:val="Tableheadingboardreport"/>
            </w:pPr>
            <w:r w:rsidRPr="008E3651">
              <w:t>Next Steps</w:t>
            </w:r>
          </w:p>
        </w:tc>
        <w:tc>
          <w:tcPr>
            <w:tcW w:w="2213" w:type="dxa"/>
          </w:tcPr>
          <w:p w14:paraId="34FC5F1F" w14:textId="31FB5A84" w:rsidR="00CC0F37" w:rsidRPr="008C5D72" w:rsidRDefault="00CC0F37" w:rsidP="00AC1045">
            <w:pPr>
              <w:pStyle w:val="Tableheadingboardreport"/>
            </w:pPr>
            <w:r w:rsidRPr="008E3651">
              <w:t>Risks &amp; Issues</w:t>
            </w:r>
          </w:p>
        </w:tc>
        <w:tc>
          <w:tcPr>
            <w:tcW w:w="1102" w:type="dxa"/>
          </w:tcPr>
          <w:p w14:paraId="50DA0147" w14:textId="12CC3DD7" w:rsidR="00CC0F37" w:rsidRPr="008C5D72" w:rsidRDefault="00CC0F37" w:rsidP="00AC1045">
            <w:pPr>
              <w:pStyle w:val="Tableheadingboardreport"/>
            </w:pPr>
            <w:r w:rsidRPr="008E3651">
              <w:t>Due Date</w:t>
            </w:r>
          </w:p>
        </w:tc>
        <w:tc>
          <w:tcPr>
            <w:tcW w:w="1998" w:type="dxa"/>
          </w:tcPr>
          <w:p w14:paraId="566FD28A" w14:textId="406D2A50" w:rsidR="00CC0F37" w:rsidRPr="008C5D72" w:rsidRDefault="00CC0F37" w:rsidP="00AC1045">
            <w:pPr>
              <w:pStyle w:val="Tableheadingboardreport"/>
            </w:pPr>
            <w:r w:rsidRPr="008E3651">
              <w:t>RAG (c denotes complete)</w:t>
            </w:r>
          </w:p>
        </w:tc>
      </w:tr>
      <w:tr w:rsidR="00AC1045" w:rsidRPr="008C5D72" w14:paraId="1C48026F" w14:textId="77777777" w:rsidTr="00AC1045">
        <w:trPr>
          <w:trHeight w:val="291"/>
        </w:trPr>
        <w:tc>
          <w:tcPr>
            <w:tcW w:w="3476" w:type="dxa"/>
          </w:tcPr>
          <w:p w14:paraId="0B3A23E2" w14:textId="469AED7F" w:rsidR="00CC0F37" w:rsidRPr="00AC1045" w:rsidRDefault="00AC1045" w:rsidP="00AC1045">
            <w:pPr>
              <w:pStyle w:val="Tabletext"/>
              <w:rPr>
                <w:b/>
                <w:bCs/>
              </w:rPr>
            </w:pPr>
            <w:r w:rsidRPr="00AC1045">
              <w:rPr>
                <w:b/>
                <w:bCs/>
              </w:rPr>
              <w:t>Integrated Guidance</w:t>
            </w:r>
          </w:p>
        </w:tc>
        <w:tc>
          <w:tcPr>
            <w:tcW w:w="1161" w:type="dxa"/>
          </w:tcPr>
          <w:p w14:paraId="507F3ADD" w14:textId="51515E4A" w:rsidR="00CC0F37" w:rsidRPr="008C5D72" w:rsidRDefault="00AC1045" w:rsidP="00AC1045">
            <w:pPr>
              <w:pStyle w:val="Tabletext"/>
            </w:pPr>
            <w:r w:rsidRPr="00AC1045">
              <w:t>JH</w:t>
            </w:r>
          </w:p>
        </w:tc>
        <w:tc>
          <w:tcPr>
            <w:tcW w:w="2814" w:type="dxa"/>
          </w:tcPr>
          <w:p w14:paraId="3C021F1B" w14:textId="6F19DE25" w:rsidR="00CC0F37" w:rsidRPr="008C5D72" w:rsidRDefault="00AC1045" w:rsidP="00AC1045">
            <w:pPr>
              <w:pStyle w:val="Tabletext"/>
            </w:pPr>
            <w:r w:rsidRPr="00AC1045">
              <w:t>A core multidisciplinary team is in place.  Work is underway with Content Design London to support the production of a prototype. Presentations have been given by two external content platform organisations and an options appraisal is being developed.</w:t>
            </w:r>
          </w:p>
        </w:tc>
        <w:tc>
          <w:tcPr>
            <w:tcW w:w="2601" w:type="dxa"/>
          </w:tcPr>
          <w:p w14:paraId="38701B16" w14:textId="33D53B16" w:rsidR="00CC0F37" w:rsidRPr="008C5D72" w:rsidRDefault="00AC1045" w:rsidP="00AC1045">
            <w:pPr>
              <w:pStyle w:val="Tabletext"/>
            </w:pPr>
            <w:r w:rsidRPr="00AC1045">
              <w:t>Prototype work undertaken in Q4 and options appraisal for content platform produced</w:t>
            </w:r>
          </w:p>
        </w:tc>
        <w:tc>
          <w:tcPr>
            <w:tcW w:w="2213" w:type="dxa"/>
          </w:tcPr>
          <w:p w14:paraId="37DE6E37" w14:textId="77777777" w:rsidR="00AC1045" w:rsidRDefault="00AC1045" w:rsidP="00AC1045">
            <w:pPr>
              <w:pStyle w:val="Tabletext"/>
            </w:pPr>
            <w:r>
              <w:t>Resourcing of staff and capacity with the right skills to do the work.</w:t>
            </w:r>
          </w:p>
          <w:p w14:paraId="3FCBF163" w14:textId="04C1DF74" w:rsidR="00CC0F37" w:rsidRPr="008C5D72" w:rsidRDefault="00AC1045" w:rsidP="00AC1045">
            <w:pPr>
              <w:pStyle w:val="Tabletext"/>
            </w:pPr>
            <w:r>
              <w:t>Costs of working with an external content platform provider may be prohibitive.</w:t>
            </w:r>
          </w:p>
        </w:tc>
        <w:tc>
          <w:tcPr>
            <w:tcW w:w="1102" w:type="dxa"/>
          </w:tcPr>
          <w:p w14:paraId="0DF82701" w14:textId="7274713F" w:rsidR="00CC0F37" w:rsidRPr="00AC1045" w:rsidRDefault="00AC1045" w:rsidP="00AC1045">
            <w:pPr>
              <w:pStyle w:val="Tabletext"/>
              <w:rPr>
                <w:b/>
                <w:bCs/>
              </w:rPr>
            </w:pPr>
            <w:r w:rsidRPr="00AC1045">
              <w:rPr>
                <w:b/>
                <w:bCs/>
              </w:rPr>
              <w:t>Q4</w:t>
            </w:r>
          </w:p>
        </w:tc>
        <w:tc>
          <w:tcPr>
            <w:tcW w:w="1998" w:type="dxa"/>
          </w:tcPr>
          <w:p w14:paraId="03FD0225" w14:textId="41F9A276" w:rsidR="00CC0F37" w:rsidRPr="00AC1045" w:rsidRDefault="00AC1045" w:rsidP="00AC1045">
            <w:pPr>
              <w:pStyle w:val="Tabletext"/>
              <w:rPr>
                <w:b/>
                <w:bCs/>
              </w:rPr>
            </w:pPr>
            <w:r w:rsidRPr="00AC1045">
              <w:rPr>
                <w:b/>
                <w:bCs/>
              </w:rPr>
              <w:t>Amber</w:t>
            </w:r>
          </w:p>
        </w:tc>
      </w:tr>
      <w:tr w:rsidR="00AC1045" w:rsidRPr="008C5D72" w14:paraId="0CB638F3" w14:textId="77777777" w:rsidTr="00AC1045">
        <w:trPr>
          <w:trHeight w:val="291"/>
        </w:trPr>
        <w:tc>
          <w:tcPr>
            <w:tcW w:w="3476" w:type="dxa"/>
          </w:tcPr>
          <w:p w14:paraId="1192309F" w14:textId="4D82BCD0" w:rsidR="00AC1045" w:rsidRPr="00AC1045" w:rsidRDefault="00AC1045" w:rsidP="00AC1045">
            <w:pPr>
              <w:pStyle w:val="Tabletext"/>
              <w:rPr>
                <w:b/>
                <w:bCs/>
              </w:rPr>
            </w:pPr>
            <w:r w:rsidRPr="00AC1045">
              <w:rPr>
                <w:b/>
                <w:bCs/>
              </w:rPr>
              <w:t>NICE &amp; Office for National Statistics Recommendations Matching Algorithm (NORMA)– rollout within Centre for Guidelines</w:t>
            </w:r>
          </w:p>
        </w:tc>
        <w:tc>
          <w:tcPr>
            <w:tcW w:w="1161" w:type="dxa"/>
          </w:tcPr>
          <w:p w14:paraId="30600480" w14:textId="64BD43CB" w:rsidR="00AC1045" w:rsidRPr="008C5D72" w:rsidRDefault="00AC1045" w:rsidP="00AC1045">
            <w:pPr>
              <w:pStyle w:val="Tabletext"/>
            </w:pPr>
            <w:r w:rsidRPr="00733432">
              <w:t>FD</w:t>
            </w:r>
          </w:p>
        </w:tc>
        <w:tc>
          <w:tcPr>
            <w:tcW w:w="2814" w:type="dxa"/>
          </w:tcPr>
          <w:p w14:paraId="6E9979F0" w14:textId="4BDEA367" w:rsidR="00AC1045" w:rsidRPr="008C5D72" w:rsidRDefault="00AC1045" w:rsidP="00AC1045">
            <w:pPr>
              <w:pStyle w:val="Tabletext"/>
            </w:pPr>
            <w:r w:rsidRPr="00733432">
              <w:t>Rollout completed</w:t>
            </w:r>
          </w:p>
        </w:tc>
        <w:tc>
          <w:tcPr>
            <w:tcW w:w="2601" w:type="dxa"/>
          </w:tcPr>
          <w:p w14:paraId="10E7EB6B" w14:textId="372F8C65" w:rsidR="00AC1045" w:rsidRPr="008C5D72" w:rsidRDefault="00AC1045" w:rsidP="00AC1045">
            <w:pPr>
              <w:pStyle w:val="Tabletext"/>
            </w:pPr>
            <w:r w:rsidRPr="00733432">
              <w:t>Proposal for wider rollout across NICE</w:t>
            </w:r>
          </w:p>
        </w:tc>
        <w:tc>
          <w:tcPr>
            <w:tcW w:w="2213" w:type="dxa"/>
          </w:tcPr>
          <w:p w14:paraId="2C3F2BD5" w14:textId="1B88A3E5" w:rsidR="00AC1045" w:rsidRPr="008C5D72" w:rsidRDefault="007918A5" w:rsidP="00AC1045">
            <w:pPr>
              <w:pStyle w:val="Tabletext"/>
            </w:pPr>
            <w:r>
              <w:t>n/a</w:t>
            </w:r>
          </w:p>
        </w:tc>
        <w:tc>
          <w:tcPr>
            <w:tcW w:w="1102" w:type="dxa"/>
          </w:tcPr>
          <w:p w14:paraId="0E815A8E" w14:textId="3629E0B3" w:rsidR="00AC1045" w:rsidRPr="00AC1045" w:rsidRDefault="00AC1045" w:rsidP="00AC1045">
            <w:pPr>
              <w:pStyle w:val="Tabletext"/>
              <w:rPr>
                <w:b/>
                <w:bCs/>
              </w:rPr>
            </w:pPr>
            <w:r w:rsidRPr="00AC1045">
              <w:rPr>
                <w:b/>
                <w:bCs/>
              </w:rPr>
              <w:t>Q4</w:t>
            </w:r>
          </w:p>
        </w:tc>
        <w:tc>
          <w:tcPr>
            <w:tcW w:w="1998" w:type="dxa"/>
          </w:tcPr>
          <w:p w14:paraId="137BBAB4" w14:textId="2683FA47" w:rsidR="00AC1045" w:rsidRPr="00AC1045" w:rsidRDefault="00AC1045" w:rsidP="00AC1045">
            <w:pPr>
              <w:pStyle w:val="Tabletext"/>
              <w:rPr>
                <w:b/>
                <w:bCs/>
              </w:rPr>
            </w:pPr>
            <w:r w:rsidRPr="00AC1045">
              <w:rPr>
                <w:b/>
                <w:bCs/>
              </w:rPr>
              <w:t>Complete</w:t>
            </w:r>
          </w:p>
        </w:tc>
      </w:tr>
      <w:tr w:rsidR="00AC1045" w:rsidRPr="008C5D72" w14:paraId="6A36B403" w14:textId="77777777" w:rsidTr="00AC1045">
        <w:trPr>
          <w:trHeight w:val="291"/>
        </w:trPr>
        <w:tc>
          <w:tcPr>
            <w:tcW w:w="3476" w:type="dxa"/>
          </w:tcPr>
          <w:p w14:paraId="45B38689" w14:textId="506DA09A" w:rsidR="00AC1045" w:rsidRPr="00AC1045" w:rsidRDefault="00AC1045" w:rsidP="00AC1045">
            <w:pPr>
              <w:pStyle w:val="Tabletext"/>
              <w:rPr>
                <w:b/>
                <w:bCs/>
              </w:rPr>
            </w:pPr>
            <w:r w:rsidRPr="00AC1045">
              <w:rPr>
                <w:b/>
                <w:bCs/>
              </w:rPr>
              <w:t>Life Sciences Hub - discovery</w:t>
            </w:r>
          </w:p>
        </w:tc>
        <w:tc>
          <w:tcPr>
            <w:tcW w:w="1161" w:type="dxa"/>
          </w:tcPr>
          <w:p w14:paraId="133D21D2" w14:textId="18B71DBF" w:rsidR="00AC1045" w:rsidRPr="008C5D72" w:rsidRDefault="00AC1045" w:rsidP="00AC1045">
            <w:pPr>
              <w:pStyle w:val="Tabletext"/>
            </w:pPr>
            <w:r w:rsidRPr="003707F8">
              <w:t xml:space="preserve">AL, JP, CD, JK, </w:t>
            </w:r>
          </w:p>
        </w:tc>
        <w:tc>
          <w:tcPr>
            <w:tcW w:w="2814" w:type="dxa"/>
          </w:tcPr>
          <w:p w14:paraId="2B4725EB" w14:textId="43FCEE25" w:rsidR="00AC1045" w:rsidRPr="008C5D72" w:rsidRDefault="00AC1045" w:rsidP="00AC1045">
            <w:pPr>
              <w:pStyle w:val="Tabletext"/>
            </w:pPr>
            <w:r w:rsidRPr="003707F8">
              <w:t>A brief has been produced and is awaiting approval</w:t>
            </w:r>
          </w:p>
        </w:tc>
        <w:tc>
          <w:tcPr>
            <w:tcW w:w="2601" w:type="dxa"/>
          </w:tcPr>
          <w:p w14:paraId="63867DCA" w14:textId="5948DF66" w:rsidR="00AC1045" w:rsidRPr="008C5D72" w:rsidRDefault="00AC1045" w:rsidP="00AC1045">
            <w:pPr>
              <w:pStyle w:val="Tabletext"/>
            </w:pPr>
            <w:r w:rsidRPr="003707F8">
              <w:t>Approve brief and undertake discovery</w:t>
            </w:r>
          </w:p>
        </w:tc>
        <w:tc>
          <w:tcPr>
            <w:tcW w:w="2213" w:type="dxa"/>
          </w:tcPr>
          <w:p w14:paraId="39948AEC" w14:textId="5BAF43B7" w:rsidR="00AC1045" w:rsidRPr="008C5D72" w:rsidRDefault="00AC1045" w:rsidP="00AC1045">
            <w:pPr>
              <w:pStyle w:val="Tabletext"/>
            </w:pPr>
            <w:r w:rsidRPr="003707F8">
              <w:t>May be impacted by higher priority deliverables given resource and time constraints</w:t>
            </w:r>
          </w:p>
        </w:tc>
        <w:tc>
          <w:tcPr>
            <w:tcW w:w="1102" w:type="dxa"/>
          </w:tcPr>
          <w:p w14:paraId="12A23FBA" w14:textId="6DC5A064" w:rsidR="00AC1045" w:rsidRPr="00AC1045" w:rsidRDefault="00AC1045" w:rsidP="00AC1045">
            <w:pPr>
              <w:pStyle w:val="Tabletext"/>
              <w:rPr>
                <w:b/>
                <w:bCs/>
              </w:rPr>
            </w:pPr>
            <w:r w:rsidRPr="00AC1045">
              <w:rPr>
                <w:b/>
                <w:bCs/>
              </w:rPr>
              <w:t>Q4</w:t>
            </w:r>
          </w:p>
        </w:tc>
        <w:tc>
          <w:tcPr>
            <w:tcW w:w="1998" w:type="dxa"/>
          </w:tcPr>
          <w:p w14:paraId="75737AB0" w14:textId="04692A41" w:rsidR="00AC1045" w:rsidRPr="00AC1045" w:rsidRDefault="00AC1045" w:rsidP="00AC1045">
            <w:pPr>
              <w:pStyle w:val="Tabletext"/>
              <w:rPr>
                <w:b/>
                <w:bCs/>
              </w:rPr>
            </w:pPr>
            <w:r w:rsidRPr="00AC1045">
              <w:rPr>
                <w:b/>
                <w:bCs/>
              </w:rPr>
              <w:t>Green</w:t>
            </w:r>
          </w:p>
        </w:tc>
      </w:tr>
      <w:tr w:rsidR="00AC1045" w:rsidRPr="008C5D72" w14:paraId="1642C596" w14:textId="77777777" w:rsidTr="00AC1045">
        <w:trPr>
          <w:trHeight w:val="291"/>
        </w:trPr>
        <w:tc>
          <w:tcPr>
            <w:tcW w:w="3476" w:type="dxa"/>
          </w:tcPr>
          <w:p w14:paraId="4FA4BD84" w14:textId="7283E5FC" w:rsidR="00AC1045" w:rsidRPr="00AC1045" w:rsidRDefault="00AC1045" w:rsidP="00AC1045">
            <w:pPr>
              <w:pStyle w:val="Tabletext"/>
              <w:rPr>
                <w:b/>
                <w:bCs/>
              </w:rPr>
            </w:pPr>
            <w:r w:rsidRPr="00AC1045">
              <w:rPr>
                <w:b/>
                <w:bCs/>
              </w:rPr>
              <w:t>Citable publications feasibility study</w:t>
            </w:r>
          </w:p>
        </w:tc>
        <w:tc>
          <w:tcPr>
            <w:tcW w:w="1161" w:type="dxa"/>
          </w:tcPr>
          <w:p w14:paraId="7E075667" w14:textId="491AEBFB" w:rsidR="00AC1045" w:rsidRPr="008C5D72" w:rsidRDefault="00AC1045" w:rsidP="00AC1045">
            <w:pPr>
              <w:pStyle w:val="Tabletext"/>
              <w:rPr>
                <w:b/>
                <w:bCs/>
              </w:rPr>
            </w:pPr>
            <w:r w:rsidRPr="00C218EF">
              <w:t>MS</w:t>
            </w:r>
          </w:p>
        </w:tc>
        <w:tc>
          <w:tcPr>
            <w:tcW w:w="2814" w:type="dxa"/>
          </w:tcPr>
          <w:p w14:paraId="7A8AAB5F" w14:textId="28DBEAB4" w:rsidR="00AC1045" w:rsidRPr="008C5D72" w:rsidRDefault="00AC1045" w:rsidP="00AC1045">
            <w:pPr>
              <w:pStyle w:val="Tabletext"/>
              <w:rPr>
                <w:b/>
                <w:bCs/>
              </w:rPr>
            </w:pPr>
            <w:r w:rsidRPr="00C218EF">
              <w:t>Meeting held with NIHR to discuss the key issues and next steps</w:t>
            </w:r>
          </w:p>
        </w:tc>
        <w:tc>
          <w:tcPr>
            <w:tcW w:w="2601" w:type="dxa"/>
          </w:tcPr>
          <w:p w14:paraId="34DD4264" w14:textId="17C7D229" w:rsidR="00AC1045" w:rsidRPr="008C5D72" w:rsidRDefault="00AC1045" w:rsidP="00AC1045">
            <w:pPr>
              <w:pStyle w:val="Tabletext"/>
              <w:rPr>
                <w:b/>
                <w:bCs/>
              </w:rPr>
            </w:pPr>
            <w:r w:rsidRPr="00C218EF">
              <w:t xml:space="preserve">Progress considerations around volume of publications, format and </w:t>
            </w:r>
            <w:r w:rsidRPr="00C218EF">
              <w:lastRenderedPageBreak/>
              <w:t>transferability, quality review mechanisms, and hosting</w:t>
            </w:r>
          </w:p>
        </w:tc>
        <w:tc>
          <w:tcPr>
            <w:tcW w:w="2213" w:type="dxa"/>
          </w:tcPr>
          <w:p w14:paraId="2748B8F1" w14:textId="67D62F68" w:rsidR="00AC1045" w:rsidRPr="008C5D72" w:rsidRDefault="00AC1045" w:rsidP="00AC1045">
            <w:pPr>
              <w:pStyle w:val="Tabletext"/>
              <w:rPr>
                <w:b/>
                <w:bCs/>
              </w:rPr>
            </w:pPr>
            <w:r w:rsidRPr="00C218EF">
              <w:lastRenderedPageBreak/>
              <w:t>Complexity and scale of work</w:t>
            </w:r>
          </w:p>
        </w:tc>
        <w:tc>
          <w:tcPr>
            <w:tcW w:w="1102" w:type="dxa"/>
          </w:tcPr>
          <w:p w14:paraId="2BEBBB63" w14:textId="1EE591AF" w:rsidR="00AC1045" w:rsidRPr="00AC1045" w:rsidRDefault="00AC1045" w:rsidP="00AC1045">
            <w:pPr>
              <w:pStyle w:val="Tabletext"/>
              <w:rPr>
                <w:b/>
                <w:bCs/>
              </w:rPr>
            </w:pPr>
            <w:r w:rsidRPr="00AC1045">
              <w:rPr>
                <w:b/>
                <w:bCs/>
              </w:rPr>
              <w:t>Q4</w:t>
            </w:r>
          </w:p>
        </w:tc>
        <w:tc>
          <w:tcPr>
            <w:tcW w:w="1998" w:type="dxa"/>
          </w:tcPr>
          <w:p w14:paraId="0D808389" w14:textId="5530E554" w:rsidR="00AC1045" w:rsidRPr="00AC1045" w:rsidRDefault="00AC1045" w:rsidP="00AC1045">
            <w:pPr>
              <w:pStyle w:val="Tabletext"/>
              <w:rPr>
                <w:b/>
                <w:bCs/>
              </w:rPr>
            </w:pPr>
            <w:r w:rsidRPr="00AC1045">
              <w:rPr>
                <w:b/>
                <w:bCs/>
              </w:rPr>
              <w:t>Green</w:t>
            </w:r>
          </w:p>
        </w:tc>
      </w:tr>
    </w:tbl>
    <w:p w14:paraId="508D5298" w14:textId="57806FBD" w:rsidR="00CC0F37" w:rsidRDefault="00CC0F37" w:rsidP="00C214BC">
      <w:pPr>
        <w:pStyle w:val="Tableheadingboardreport"/>
      </w:pPr>
    </w:p>
    <w:p w14:paraId="754B7B4D" w14:textId="6DE30D6A" w:rsidR="00CC0F37" w:rsidRDefault="00CC0F37" w:rsidP="00C214BC">
      <w:pPr>
        <w:pStyle w:val="Tableheadingboardreport"/>
      </w:pPr>
    </w:p>
    <w:p w14:paraId="3618E906" w14:textId="6ADA45B1" w:rsidR="00AB4518" w:rsidRDefault="00AB4518" w:rsidP="00C214BC">
      <w:pPr>
        <w:pStyle w:val="Tableheadingboardreport"/>
      </w:pPr>
    </w:p>
    <w:p w14:paraId="52B07B2E" w14:textId="77777777" w:rsidR="00AB4518" w:rsidRDefault="00AB4518" w:rsidP="00C214BC">
      <w:pPr>
        <w:pStyle w:val="Tableheadingboardreport"/>
      </w:pPr>
    </w:p>
    <w:p w14:paraId="548341E6" w14:textId="77777777" w:rsidR="00AB4518" w:rsidRDefault="00AB4518" w:rsidP="00C214BC">
      <w:pPr>
        <w:pStyle w:val="Tableheadingboardreport"/>
      </w:pPr>
    </w:p>
    <w:p w14:paraId="4576C6AB" w14:textId="77777777" w:rsidR="00AB4518" w:rsidRDefault="00AB4518" w:rsidP="00C214BC">
      <w:pPr>
        <w:pStyle w:val="Tableheadingboardreport"/>
      </w:pPr>
    </w:p>
    <w:p w14:paraId="2485438A" w14:textId="77777777" w:rsidR="00AB4518" w:rsidRDefault="00AB4518" w:rsidP="00C214BC">
      <w:pPr>
        <w:pStyle w:val="Tableheadingboardreport"/>
      </w:pPr>
    </w:p>
    <w:p w14:paraId="7877F6AF" w14:textId="77777777" w:rsidR="00AB4518" w:rsidRDefault="00AB4518" w:rsidP="00C214BC">
      <w:pPr>
        <w:pStyle w:val="Tableheadingboardreport"/>
      </w:pPr>
    </w:p>
    <w:p w14:paraId="79BA558A" w14:textId="77777777" w:rsidR="00AB4518" w:rsidRDefault="00AB4518" w:rsidP="00C214BC">
      <w:pPr>
        <w:pStyle w:val="Tableheadingboardreport"/>
      </w:pPr>
    </w:p>
    <w:p w14:paraId="046B911A" w14:textId="77777777" w:rsidR="00AB4518" w:rsidRDefault="00AB4518" w:rsidP="00C214BC">
      <w:pPr>
        <w:pStyle w:val="Tableheadingboardreport"/>
      </w:pPr>
    </w:p>
    <w:p w14:paraId="7615D9C0" w14:textId="77777777" w:rsidR="00AB4518" w:rsidRDefault="00AB4518" w:rsidP="00C214BC">
      <w:pPr>
        <w:pStyle w:val="Tableheadingboardreport"/>
      </w:pPr>
    </w:p>
    <w:p w14:paraId="6C37918A" w14:textId="77777777" w:rsidR="00AB4518" w:rsidRDefault="00AB4518" w:rsidP="00C214BC">
      <w:pPr>
        <w:pStyle w:val="Tableheadingboardreport"/>
      </w:pPr>
    </w:p>
    <w:p w14:paraId="21BB30B8" w14:textId="77777777" w:rsidR="00AB4518" w:rsidRDefault="00AB4518" w:rsidP="00C214BC">
      <w:pPr>
        <w:pStyle w:val="Tableheadingboardreport"/>
      </w:pPr>
    </w:p>
    <w:p w14:paraId="751C3034" w14:textId="77777777" w:rsidR="00AB4518" w:rsidRDefault="00AB4518" w:rsidP="00C214BC">
      <w:pPr>
        <w:pStyle w:val="Tableheadingboardreport"/>
      </w:pPr>
    </w:p>
    <w:p w14:paraId="663C3769" w14:textId="2F2697CE" w:rsidR="00AB4518" w:rsidRDefault="00AB4518" w:rsidP="00AB4518">
      <w:pPr>
        <w:pStyle w:val="Bulletindent1"/>
        <w:numPr>
          <w:ilvl w:val="0"/>
          <w:numId w:val="0"/>
        </w:numPr>
        <w:ind w:left="1418" w:hanging="284"/>
      </w:pPr>
    </w:p>
    <w:p w14:paraId="769A7972" w14:textId="7FB03EE8" w:rsidR="00AB4518" w:rsidRDefault="00AB4518" w:rsidP="00AB4518">
      <w:pPr>
        <w:pStyle w:val="Bulletindent1"/>
        <w:numPr>
          <w:ilvl w:val="0"/>
          <w:numId w:val="0"/>
        </w:numPr>
        <w:ind w:left="1418" w:hanging="284"/>
      </w:pPr>
    </w:p>
    <w:p w14:paraId="276A4E15" w14:textId="77777777" w:rsidR="00AB4518" w:rsidRDefault="00AB4518" w:rsidP="00AB4518">
      <w:pPr>
        <w:pStyle w:val="Bulletindent1"/>
        <w:numPr>
          <w:ilvl w:val="0"/>
          <w:numId w:val="0"/>
        </w:numPr>
        <w:ind w:left="1418" w:hanging="284"/>
      </w:pPr>
    </w:p>
    <w:p w14:paraId="10C0B5A2" w14:textId="1F3212C9" w:rsidR="009262FA" w:rsidRDefault="009262FA" w:rsidP="00C214BC">
      <w:pPr>
        <w:pStyle w:val="Tableheadingboardreport"/>
      </w:pPr>
      <w:r>
        <w:lastRenderedPageBreak/>
        <w:t>Data Management Expert Group</w:t>
      </w:r>
      <w:r w:rsidRPr="00FE16EF">
        <w:t xml:space="preserve"> 20-21 key deliverables status </w:t>
      </w:r>
    </w:p>
    <w:tbl>
      <w:tblPr>
        <w:tblpPr w:leftFromText="180" w:rightFromText="180" w:vertAnchor="text" w:horzAnchor="margin" w:tblpY="241"/>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ata Management Expert Group 20-21 key deliverables status"/>
        <w:tblDescription w:val="Table outlining the progress and next steps for outputs of the data management expert group."/>
      </w:tblPr>
      <w:tblGrid>
        <w:gridCol w:w="2761"/>
        <w:gridCol w:w="1280"/>
        <w:gridCol w:w="2996"/>
        <w:gridCol w:w="2310"/>
        <w:gridCol w:w="2634"/>
        <w:gridCol w:w="1215"/>
        <w:gridCol w:w="2202"/>
      </w:tblGrid>
      <w:tr w:rsidR="00AB4518" w:rsidRPr="008C5D72" w14:paraId="6C0375D8" w14:textId="77777777" w:rsidTr="00AB4518">
        <w:trPr>
          <w:cantSplit/>
          <w:trHeight w:val="260"/>
          <w:tblHeader/>
        </w:trPr>
        <w:tc>
          <w:tcPr>
            <w:tcW w:w="2761" w:type="dxa"/>
          </w:tcPr>
          <w:p w14:paraId="0B808E39" w14:textId="5A7F962B" w:rsidR="00AC1045" w:rsidRPr="008C5D72" w:rsidRDefault="00AC1045" w:rsidP="00AC1045">
            <w:pPr>
              <w:pStyle w:val="Tableheadingboardreport"/>
            </w:pPr>
            <w:r w:rsidRPr="008E3651">
              <w:t>Output</w:t>
            </w:r>
          </w:p>
        </w:tc>
        <w:tc>
          <w:tcPr>
            <w:tcW w:w="1280" w:type="dxa"/>
          </w:tcPr>
          <w:p w14:paraId="5DDCE5F0" w14:textId="6BB0DF0A" w:rsidR="00AC1045" w:rsidRPr="008C5D72" w:rsidRDefault="00AC1045" w:rsidP="00AC1045">
            <w:pPr>
              <w:pStyle w:val="Tableheadingboardreport"/>
            </w:pPr>
            <w:r w:rsidRPr="008E3651">
              <w:t>Lead</w:t>
            </w:r>
          </w:p>
        </w:tc>
        <w:tc>
          <w:tcPr>
            <w:tcW w:w="2996" w:type="dxa"/>
          </w:tcPr>
          <w:p w14:paraId="7E6E2218" w14:textId="7B69604A" w:rsidR="00AC1045" w:rsidRPr="008C5D72" w:rsidRDefault="00AC1045" w:rsidP="00AC1045">
            <w:pPr>
              <w:pStyle w:val="Tableheadingboardreport"/>
            </w:pPr>
            <w:r w:rsidRPr="008E3651">
              <w:t>Update</w:t>
            </w:r>
          </w:p>
        </w:tc>
        <w:tc>
          <w:tcPr>
            <w:tcW w:w="2310" w:type="dxa"/>
          </w:tcPr>
          <w:p w14:paraId="621EE0DD" w14:textId="149FF930" w:rsidR="00AC1045" w:rsidRPr="008C5D72" w:rsidRDefault="00AC1045" w:rsidP="00AC1045">
            <w:pPr>
              <w:pStyle w:val="Tableheadingboardreport"/>
            </w:pPr>
            <w:r w:rsidRPr="008E3651">
              <w:t>Next Steps</w:t>
            </w:r>
          </w:p>
        </w:tc>
        <w:tc>
          <w:tcPr>
            <w:tcW w:w="2634" w:type="dxa"/>
          </w:tcPr>
          <w:p w14:paraId="55A558B9" w14:textId="5827551E" w:rsidR="00AC1045" w:rsidRPr="008C5D72" w:rsidRDefault="00AC1045" w:rsidP="00AC1045">
            <w:pPr>
              <w:pStyle w:val="Tableheadingboardreport"/>
            </w:pPr>
            <w:r w:rsidRPr="008E3651">
              <w:t>Risks &amp; Issues</w:t>
            </w:r>
          </w:p>
        </w:tc>
        <w:tc>
          <w:tcPr>
            <w:tcW w:w="1215" w:type="dxa"/>
          </w:tcPr>
          <w:p w14:paraId="43499443" w14:textId="77F93FF4" w:rsidR="00AC1045" w:rsidRPr="008C5D72" w:rsidRDefault="00AC1045" w:rsidP="00AC1045">
            <w:pPr>
              <w:pStyle w:val="Tableheadingboardreport"/>
            </w:pPr>
            <w:r w:rsidRPr="008E3651">
              <w:t>Due Date</w:t>
            </w:r>
          </w:p>
        </w:tc>
        <w:tc>
          <w:tcPr>
            <w:tcW w:w="2202" w:type="dxa"/>
          </w:tcPr>
          <w:p w14:paraId="78C9AD1F" w14:textId="30176E99" w:rsidR="00AC1045" w:rsidRPr="008C5D72" w:rsidRDefault="00AC1045" w:rsidP="00AC1045">
            <w:pPr>
              <w:pStyle w:val="Tableheadingboardreport"/>
            </w:pPr>
            <w:r w:rsidRPr="008E3651">
              <w:t>RAG (c denotes complete)</w:t>
            </w:r>
          </w:p>
        </w:tc>
      </w:tr>
      <w:tr w:rsidR="00AB4518" w:rsidRPr="008C5D72" w14:paraId="771B3719" w14:textId="77777777" w:rsidTr="00AB4518">
        <w:trPr>
          <w:trHeight w:val="260"/>
        </w:trPr>
        <w:tc>
          <w:tcPr>
            <w:tcW w:w="2761" w:type="dxa"/>
          </w:tcPr>
          <w:p w14:paraId="5BCCDBC6" w14:textId="6DAF50A7" w:rsidR="00AC1045" w:rsidRPr="00AB4518" w:rsidRDefault="00AC1045" w:rsidP="00AB4518">
            <w:pPr>
              <w:pStyle w:val="Tabletext"/>
              <w:rPr>
                <w:b/>
                <w:bCs/>
              </w:rPr>
            </w:pPr>
            <w:r w:rsidRPr="00AB4518">
              <w:rPr>
                <w:b/>
                <w:bCs/>
              </w:rPr>
              <w:t>Record and Data Management Strategy</w:t>
            </w:r>
          </w:p>
        </w:tc>
        <w:tc>
          <w:tcPr>
            <w:tcW w:w="1280" w:type="dxa"/>
          </w:tcPr>
          <w:p w14:paraId="5D1821F4" w14:textId="2C4E0D4B" w:rsidR="00AC1045" w:rsidRPr="00AB4518" w:rsidRDefault="00AC1045" w:rsidP="00AB4518">
            <w:pPr>
              <w:pStyle w:val="Tabletext"/>
            </w:pPr>
            <w:r w:rsidRPr="00AB4518">
              <w:t>AL</w:t>
            </w:r>
          </w:p>
        </w:tc>
        <w:tc>
          <w:tcPr>
            <w:tcW w:w="2996" w:type="dxa"/>
          </w:tcPr>
          <w:p w14:paraId="01DB847B" w14:textId="5B54113E" w:rsidR="00AC1045" w:rsidRPr="00AB4518" w:rsidRDefault="00AC1045" w:rsidP="00AB4518">
            <w:pPr>
              <w:pStyle w:val="Tabletext"/>
            </w:pPr>
            <w:r w:rsidRPr="00AB4518">
              <w:t>Detailed record and data management policies will be developed as part of the implementation of SharePoint</w:t>
            </w:r>
          </w:p>
        </w:tc>
        <w:tc>
          <w:tcPr>
            <w:tcW w:w="2310" w:type="dxa"/>
          </w:tcPr>
          <w:p w14:paraId="5D76194E" w14:textId="5FDECEC8" w:rsidR="00AC1045" w:rsidRPr="00AB4518" w:rsidRDefault="00AC1045" w:rsidP="00AB4518">
            <w:pPr>
              <w:pStyle w:val="Tabletext"/>
            </w:pPr>
            <w:r w:rsidRPr="00AB4518">
              <w:t>Being taken forward as part of Digital Workplace</w:t>
            </w:r>
          </w:p>
        </w:tc>
        <w:tc>
          <w:tcPr>
            <w:tcW w:w="2634" w:type="dxa"/>
          </w:tcPr>
          <w:p w14:paraId="16B5AF24" w14:textId="28E57DAC" w:rsidR="00AC1045" w:rsidRPr="00AB4518" w:rsidRDefault="00AC1045" w:rsidP="00AB4518">
            <w:pPr>
              <w:pStyle w:val="Tabletext"/>
            </w:pPr>
            <w:r w:rsidRPr="00AB4518">
              <w:t>Capacity of the records management and IG team</w:t>
            </w:r>
          </w:p>
        </w:tc>
        <w:tc>
          <w:tcPr>
            <w:tcW w:w="1215" w:type="dxa"/>
          </w:tcPr>
          <w:p w14:paraId="530CAE7A" w14:textId="5E2DBEF3" w:rsidR="00AC1045" w:rsidRPr="00AB4518" w:rsidRDefault="00AC1045" w:rsidP="00AB4518">
            <w:pPr>
              <w:pStyle w:val="Tabletext"/>
              <w:rPr>
                <w:b/>
                <w:bCs/>
              </w:rPr>
            </w:pPr>
            <w:r w:rsidRPr="00AB4518">
              <w:rPr>
                <w:b/>
                <w:bCs/>
              </w:rPr>
              <w:t>Q1</w:t>
            </w:r>
          </w:p>
        </w:tc>
        <w:tc>
          <w:tcPr>
            <w:tcW w:w="2202" w:type="dxa"/>
          </w:tcPr>
          <w:p w14:paraId="288E5337" w14:textId="6F53761D" w:rsidR="00AC1045" w:rsidRPr="00AB4518" w:rsidRDefault="00AC1045" w:rsidP="00AB4518">
            <w:pPr>
              <w:pStyle w:val="Tabletext"/>
              <w:rPr>
                <w:b/>
                <w:bCs/>
              </w:rPr>
            </w:pPr>
            <w:r w:rsidRPr="00AB4518">
              <w:rPr>
                <w:b/>
                <w:bCs/>
              </w:rPr>
              <w:t>Complete</w:t>
            </w:r>
          </w:p>
        </w:tc>
      </w:tr>
      <w:tr w:rsidR="00AB4518" w:rsidRPr="008C5D72" w14:paraId="45E4C19F" w14:textId="77777777" w:rsidTr="00AB4518">
        <w:trPr>
          <w:trHeight w:val="260"/>
        </w:trPr>
        <w:tc>
          <w:tcPr>
            <w:tcW w:w="2761" w:type="dxa"/>
          </w:tcPr>
          <w:p w14:paraId="6A1DBD47" w14:textId="28295F88" w:rsidR="00AC1045" w:rsidRPr="00AB4518" w:rsidRDefault="00AC1045" w:rsidP="00AB4518">
            <w:pPr>
              <w:pStyle w:val="Tabletext"/>
              <w:rPr>
                <w:b/>
                <w:bCs/>
              </w:rPr>
            </w:pPr>
            <w:r w:rsidRPr="00AB4518">
              <w:rPr>
                <w:b/>
                <w:bCs/>
              </w:rPr>
              <w:t>SharePoint investment decision</w:t>
            </w:r>
          </w:p>
        </w:tc>
        <w:tc>
          <w:tcPr>
            <w:tcW w:w="1280" w:type="dxa"/>
          </w:tcPr>
          <w:p w14:paraId="11F34F19" w14:textId="5642A957" w:rsidR="00AC1045" w:rsidRPr="00AB4518" w:rsidRDefault="00AC1045" w:rsidP="00AB4518">
            <w:pPr>
              <w:pStyle w:val="Tabletext"/>
            </w:pPr>
            <w:r w:rsidRPr="00AB4518">
              <w:t>AL</w:t>
            </w:r>
          </w:p>
        </w:tc>
        <w:tc>
          <w:tcPr>
            <w:tcW w:w="2996" w:type="dxa"/>
          </w:tcPr>
          <w:p w14:paraId="3E2E20B0" w14:textId="56674CA4" w:rsidR="00AC1045" w:rsidRPr="00AB4518" w:rsidRDefault="00AC1045" w:rsidP="00AB4518">
            <w:pPr>
              <w:pStyle w:val="Tabletext"/>
            </w:pPr>
            <w:r w:rsidRPr="00AB4518">
              <w:t>Continue more detailed work on plans, benefits, and value. Engagement with NHSX and GDS on the next stages of approvals</w:t>
            </w:r>
          </w:p>
        </w:tc>
        <w:tc>
          <w:tcPr>
            <w:tcW w:w="2310" w:type="dxa"/>
          </w:tcPr>
          <w:p w14:paraId="0AA8D908" w14:textId="53F407D8" w:rsidR="00AC1045" w:rsidRPr="00AB4518" w:rsidRDefault="00AC1045" w:rsidP="00AB4518">
            <w:pPr>
              <w:pStyle w:val="Tabletext"/>
            </w:pPr>
            <w:r w:rsidRPr="00AB4518">
              <w:t>Revise report and carry out quality review to enable a submission to Board in April</w:t>
            </w:r>
          </w:p>
        </w:tc>
        <w:tc>
          <w:tcPr>
            <w:tcW w:w="2634" w:type="dxa"/>
          </w:tcPr>
          <w:p w14:paraId="0A9ABA43" w14:textId="53DDC242" w:rsidR="00AC1045" w:rsidRPr="00AB4518" w:rsidRDefault="00AC1045" w:rsidP="00AB4518">
            <w:pPr>
              <w:pStyle w:val="Tabletext"/>
            </w:pPr>
            <w:r w:rsidRPr="00AB4518">
              <w:t>Achieving a revised submission that provides assurance and justifies approval</w:t>
            </w:r>
          </w:p>
        </w:tc>
        <w:tc>
          <w:tcPr>
            <w:tcW w:w="1215" w:type="dxa"/>
          </w:tcPr>
          <w:p w14:paraId="6CE85236" w14:textId="7D72412E" w:rsidR="00AC1045" w:rsidRPr="00AB4518" w:rsidRDefault="00AC1045" w:rsidP="00AB4518">
            <w:pPr>
              <w:pStyle w:val="Tabletext"/>
              <w:rPr>
                <w:b/>
                <w:bCs/>
              </w:rPr>
            </w:pPr>
            <w:r w:rsidRPr="00AB4518">
              <w:rPr>
                <w:b/>
                <w:bCs/>
              </w:rPr>
              <w:t>Q1 21-22</w:t>
            </w:r>
          </w:p>
        </w:tc>
        <w:tc>
          <w:tcPr>
            <w:tcW w:w="2202" w:type="dxa"/>
          </w:tcPr>
          <w:p w14:paraId="27A6D276" w14:textId="41832B38" w:rsidR="00AC1045" w:rsidRPr="00AB4518" w:rsidRDefault="00AC1045" w:rsidP="00AB4518">
            <w:pPr>
              <w:pStyle w:val="Tabletext"/>
              <w:rPr>
                <w:b/>
                <w:bCs/>
              </w:rPr>
            </w:pPr>
            <w:r w:rsidRPr="00AB4518">
              <w:rPr>
                <w:b/>
                <w:bCs/>
              </w:rPr>
              <w:t>A</w:t>
            </w:r>
            <w:r w:rsidR="00AB4518" w:rsidRPr="00AB4518">
              <w:rPr>
                <w:b/>
                <w:bCs/>
              </w:rPr>
              <w:t>mber</w:t>
            </w:r>
          </w:p>
        </w:tc>
      </w:tr>
      <w:tr w:rsidR="00AB4518" w:rsidRPr="008C5D72" w14:paraId="7C31C40F" w14:textId="77777777" w:rsidTr="00AB4518">
        <w:trPr>
          <w:trHeight w:val="260"/>
        </w:trPr>
        <w:tc>
          <w:tcPr>
            <w:tcW w:w="2761" w:type="dxa"/>
          </w:tcPr>
          <w:p w14:paraId="78BBDA96" w14:textId="57E7A7ED" w:rsidR="00AC1045" w:rsidRPr="00AB4518" w:rsidRDefault="00AC1045" w:rsidP="00AB4518">
            <w:pPr>
              <w:pStyle w:val="Tabletext"/>
              <w:rPr>
                <w:b/>
                <w:bCs/>
              </w:rPr>
            </w:pPr>
            <w:r w:rsidRPr="00AB4518">
              <w:rPr>
                <w:b/>
                <w:bCs/>
              </w:rPr>
              <w:t>Introduce one central place for stakeholders to register for all NICE involvement</w:t>
            </w:r>
          </w:p>
        </w:tc>
        <w:tc>
          <w:tcPr>
            <w:tcW w:w="1280" w:type="dxa"/>
          </w:tcPr>
          <w:p w14:paraId="59BDB6A9" w14:textId="345A01A2" w:rsidR="00AC1045" w:rsidRPr="00AB4518" w:rsidRDefault="00AC1045" w:rsidP="00AB4518">
            <w:pPr>
              <w:pStyle w:val="Tabletext"/>
            </w:pPr>
            <w:r w:rsidRPr="00AB4518">
              <w:t>AL</w:t>
            </w:r>
          </w:p>
        </w:tc>
        <w:tc>
          <w:tcPr>
            <w:tcW w:w="2996" w:type="dxa"/>
          </w:tcPr>
          <w:p w14:paraId="5E154922" w14:textId="0EF8CE8C" w:rsidR="00AC1045" w:rsidRPr="00AB4518" w:rsidRDefault="00AC1045" w:rsidP="00AB4518">
            <w:pPr>
              <w:pStyle w:val="Tabletext"/>
            </w:pPr>
            <w:r w:rsidRPr="00AB4518">
              <w:t>Discussed with PIP team to identify where immediate value can be offered.</w:t>
            </w:r>
            <w:r w:rsidR="0077288F">
              <w:t xml:space="preserve"> Work now complete.</w:t>
            </w:r>
          </w:p>
        </w:tc>
        <w:tc>
          <w:tcPr>
            <w:tcW w:w="2310" w:type="dxa"/>
          </w:tcPr>
          <w:p w14:paraId="71A39216" w14:textId="4E6AC458" w:rsidR="00AC1045" w:rsidRPr="00AB4518" w:rsidRDefault="0077288F" w:rsidP="00AB4518">
            <w:pPr>
              <w:pStyle w:val="Tabletext"/>
            </w:pPr>
            <w:r>
              <w:t>No further action required</w:t>
            </w:r>
          </w:p>
        </w:tc>
        <w:tc>
          <w:tcPr>
            <w:tcW w:w="2634" w:type="dxa"/>
          </w:tcPr>
          <w:p w14:paraId="2B28560C" w14:textId="263F69A6" w:rsidR="00AC1045" w:rsidRPr="00AB4518" w:rsidRDefault="007918A5" w:rsidP="00AB4518">
            <w:pPr>
              <w:pStyle w:val="Tabletext"/>
            </w:pPr>
            <w:r>
              <w:t>n/a</w:t>
            </w:r>
          </w:p>
        </w:tc>
        <w:tc>
          <w:tcPr>
            <w:tcW w:w="1215" w:type="dxa"/>
          </w:tcPr>
          <w:p w14:paraId="4579CE2B" w14:textId="46137FBF" w:rsidR="00AC1045" w:rsidRPr="00AB4518" w:rsidRDefault="00AC1045" w:rsidP="00AB4518">
            <w:pPr>
              <w:pStyle w:val="Tabletext"/>
              <w:rPr>
                <w:b/>
                <w:bCs/>
              </w:rPr>
            </w:pPr>
            <w:r w:rsidRPr="00AB4518">
              <w:rPr>
                <w:b/>
                <w:bCs/>
              </w:rPr>
              <w:t>Q4</w:t>
            </w:r>
          </w:p>
        </w:tc>
        <w:tc>
          <w:tcPr>
            <w:tcW w:w="2202" w:type="dxa"/>
          </w:tcPr>
          <w:p w14:paraId="6CE73038" w14:textId="729DD75B" w:rsidR="00AC1045" w:rsidRPr="00AB4518" w:rsidRDefault="0077288F" w:rsidP="00AB4518">
            <w:pPr>
              <w:pStyle w:val="Tabletext"/>
              <w:rPr>
                <w:b/>
                <w:bCs/>
              </w:rPr>
            </w:pPr>
            <w:r>
              <w:rPr>
                <w:b/>
                <w:bCs/>
              </w:rPr>
              <w:t>Complete</w:t>
            </w:r>
          </w:p>
        </w:tc>
      </w:tr>
      <w:tr w:rsidR="00AB4518" w:rsidRPr="008C5D72" w14:paraId="39C5118F" w14:textId="77777777" w:rsidTr="00AB4518">
        <w:trPr>
          <w:trHeight w:val="260"/>
        </w:trPr>
        <w:tc>
          <w:tcPr>
            <w:tcW w:w="2761" w:type="dxa"/>
          </w:tcPr>
          <w:p w14:paraId="73E4D8E9" w14:textId="3FB89930" w:rsidR="00AC1045" w:rsidRPr="00AB4518" w:rsidRDefault="00AC1045" w:rsidP="00AB4518">
            <w:pPr>
              <w:pStyle w:val="Tabletext"/>
              <w:rPr>
                <w:b/>
                <w:bCs/>
              </w:rPr>
            </w:pPr>
            <w:r w:rsidRPr="00AB4518">
              <w:rPr>
                <w:b/>
                <w:bCs/>
              </w:rPr>
              <w:t>Continue roll out of next phase of comment collection tool</w:t>
            </w:r>
          </w:p>
        </w:tc>
        <w:tc>
          <w:tcPr>
            <w:tcW w:w="1280" w:type="dxa"/>
          </w:tcPr>
          <w:p w14:paraId="2D624EEB" w14:textId="67681547" w:rsidR="00AC1045" w:rsidRPr="00AB4518" w:rsidRDefault="00AC1045" w:rsidP="00AB4518">
            <w:pPr>
              <w:pStyle w:val="Tabletext"/>
            </w:pPr>
            <w:r w:rsidRPr="00AB4518">
              <w:t>AL</w:t>
            </w:r>
          </w:p>
        </w:tc>
        <w:tc>
          <w:tcPr>
            <w:tcW w:w="2996" w:type="dxa"/>
          </w:tcPr>
          <w:p w14:paraId="2F7A52FB" w14:textId="3F5E55EC" w:rsidR="00AC1045" w:rsidRPr="00AB4518" w:rsidRDefault="00AC1045" w:rsidP="00AB4518">
            <w:pPr>
              <w:pStyle w:val="Tabletext"/>
            </w:pPr>
            <w:r w:rsidRPr="00AB4518">
              <w:t>This is a tool to make it easier for external stakeholders to provide feedback on our consultations.</w:t>
            </w:r>
          </w:p>
        </w:tc>
        <w:tc>
          <w:tcPr>
            <w:tcW w:w="2310" w:type="dxa"/>
          </w:tcPr>
          <w:p w14:paraId="02CE3736" w14:textId="73927DE8" w:rsidR="00AC1045" w:rsidRPr="00AB4518" w:rsidRDefault="00AC1045" w:rsidP="00AB4518">
            <w:pPr>
              <w:pStyle w:val="Tabletext"/>
            </w:pPr>
            <w:r w:rsidRPr="00AB4518">
              <w:t>Complete rollout by end of Q4 20-21</w:t>
            </w:r>
          </w:p>
        </w:tc>
        <w:tc>
          <w:tcPr>
            <w:tcW w:w="2634" w:type="dxa"/>
          </w:tcPr>
          <w:p w14:paraId="3C28C5CB" w14:textId="3D35E24D" w:rsidR="00AC1045" w:rsidRPr="00AB4518" w:rsidRDefault="007918A5" w:rsidP="00AB4518">
            <w:pPr>
              <w:pStyle w:val="Tabletext"/>
            </w:pPr>
            <w:r>
              <w:t>n/a</w:t>
            </w:r>
          </w:p>
        </w:tc>
        <w:tc>
          <w:tcPr>
            <w:tcW w:w="1215" w:type="dxa"/>
          </w:tcPr>
          <w:p w14:paraId="0338D8EA" w14:textId="19B3C731" w:rsidR="00AC1045" w:rsidRPr="00AB4518" w:rsidRDefault="00AC1045" w:rsidP="00AB4518">
            <w:pPr>
              <w:pStyle w:val="Tabletext"/>
              <w:rPr>
                <w:b/>
                <w:bCs/>
              </w:rPr>
            </w:pPr>
            <w:r w:rsidRPr="00AB4518">
              <w:rPr>
                <w:b/>
                <w:bCs/>
              </w:rPr>
              <w:t>Q4</w:t>
            </w:r>
          </w:p>
        </w:tc>
        <w:tc>
          <w:tcPr>
            <w:tcW w:w="2202" w:type="dxa"/>
          </w:tcPr>
          <w:p w14:paraId="36E63D29" w14:textId="08CA7B12" w:rsidR="00AC1045" w:rsidRPr="00AB4518" w:rsidRDefault="00AC1045" w:rsidP="00AB4518">
            <w:pPr>
              <w:pStyle w:val="Tabletext"/>
              <w:rPr>
                <w:b/>
                <w:bCs/>
              </w:rPr>
            </w:pPr>
            <w:r w:rsidRPr="00AB4518">
              <w:rPr>
                <w:b/>
                <w:bCs/>
              </w:rPr>
              <w:t>Green</w:t>
            </w:r>
          </w:p>
        </w:tc>
      </w:tr>
      <w:tr w:rsidR="00AB4518" w:rsidRPr="008C5D72" w14:paraId="0FE6AD61" w14:textId="77777777" w:rsidTr="00AB4518">
        <w:trPr>
          <w:trHeight w:val="260"/>
        </w:trPr>
        <w:tc>
          <w:tcPr>
            <w:tcW w:w="2761" w:type="dxa"/>
          </w:tcPr>
          <w:p w14:paraId="583F6640" w14:textId="5D4A7E9D" w:rsidR="00AC1045" w:rsidRPr="00AB4518" w:rsidRDefault="00AC1045" w:rsidP="00AB4518">
            <w:pPr>
              <w:pStyle w:val="Tabletext"/>
              <w:rPr>
                <w:b/>
                <w:bCs/>
              </w:rPr>
            </w:pPr>
            <w:r w:rsidRPr="00AB4518">
              <w:rPr>
                <w:b/>
                <w:bCs/>
              </w:rPr>
              <w:t>Integration of new identity management tool with comment collection tool</w:t>
            </w:r>
          </w:p>
        </w:tc>
        <w:tc>
          <w:tcPr>
            <w:tcW w:w="1280" w:type="dxa"/>
          </w:tcPr>
          <w:p w14:paraId="13429426" w14:textId="7EBED296" w:rsidR="00AC1045" w:rsidRPr="00AB4518" w:rsidRDefault="00AC1045" w:rsidP="00AB4518">
            <w:pPr>
              <w:pStyle w:val="Tabletext"/>
            </w:pPr>
            <w:r w:rsidRPr="00AB4518">
              <w:t>AL</w:t>
            </w:r>
          </w:p>
        </w:tc>
        <w:tc>
          <w:tcPr>
            <w:tcW w:w="2996" w:type="dxa"/>
          </w:tcPr>
          <w:p w14:paraId="7C3A22AF" w14:textId="6A6FF646" w:rsidR="00AC1045" w:rsidRPr="00AB4518" w:rsidRDefault="00AC1045" w:rsidP="00AB4518">
            <w:pPr>
              <w:pStyle w:val="Tabletext"/>
            </w:pPr>
            <w:r w:rsidRPr="00AB4518">
              <w:t>Deliverable completed – no further action required</w:t>
            </w:r>
          </w:p>
        </w:tc>
        <w:tc>
          <w:tcPr>
            <w:tcW w:w="2310" w:type="dxa"/>
          </w:tcPr>
          <w:p w14:paraId="5D518C35" w14:textId="286DFA19" w:rsidR="00AC1045" w:rsidRPr="00AB4518" w:rsidRDefault="007918A5" w:rsidP="00AB4518">
            <w:pPr>
              <w:pStyle w:val="Tabletext"/>
            </w:pPr>
            <w:r>
              <w:t>n/a</w:t>
            </w:r>
          </w:p>
        </w:tc>
        <w:tc>
          <w:tcPr>
            <w:tcW w:w="2634" w:type="dxa"/>
          </w:tcPr>
          <w:p w14:paraId="1C7CB82E" w14:textId="4FC3E6DB" w:rsidR="00AC1045" w:rsidRPr="00AB4518" w:rsidRDefault="007918A5" w:rsidP="00AB4518">
            <w:pPr>
              <w:pStyle w:val="Tabletext"/>
            </w:pPr>
            <w:r>
              <w:t>n/a</w:t>
            </w:r>
          </w:p>
        </w:tc>
        <w:tc>
          <w:tcPr>
            <w:tcW w:w="1215" w:type="dxa"/>
          </w:tcPr>
          <w:p w14:paraId="77B277E7" w14:textId="2D5D641F" w:rsidR="00AC1045" w:rsidRPr="00AB4518" w:rsidRDefault="00AC1045" w:rsidP="00AB4518">
            <w:pPr>
              <w:pStyle w:val="Tabletext"/>
              <w:rPr>
                <w:b/>
                <w:bCs/>
              </w:rPr>
            </w:pPr>
            <w:r w:rsidRPr="00AB4518">
              <w:rPr>
                <w:b/>
                <w:bCs/>
              </w:rPr>
              <w:t>Q1</w:t>
            </w:r>
          </w:p>
        </w:tc>
        <w:tc>
          <w:tcPr>
            <w:tcW w:w="2202" w:type="dxa"/>
          </w:tcPr>
          <w:p w14:paraId="14AEC5CB" w14:textId="690C85B3" w:rsidR="00AC1045" w:rsidRPr="00AB4518" w:rsidRDefault="00AC1045" w:rsidP="00AB4518">
            <w:pPr>
              <w:pStyle w:val="Tabletext"/>
              <w:rPr>
                <w:b/>
                <w:bCs/>
              </w:rPr>
            </w:pPr>
            <w:r w:rsidRPr="00AB4518">
              <w:rPr>
                <w:b/>
                <w:bCs/>
              </w:rPr>
              <w:t>Complete</w:t>
            </w:r>
          </w:p>
        </w:tc>
      </w:tr>
    </w:tbl>
    <w:p w14:paraId="40730E8D" w14:textId="2FAB10DB" w:rsidR="009262FA" w:rsidRDefault="009262FA" w:rsidP="00C214BC">
      <w:pPr>
        <w:pStyle w:val="Tableheadingboardreport"/>
      </w:pPr>
      <w:r w:rsidRPr="00C214BC">
        <w:lastRenderedPageBreak/>
        <w:t xml:space="preserve">Process, Methods &amp; Analytics Expert Group 20-21 key deliverables status </w:t>
      </w:r>
    </w:p>
    <w:tbl>
      <w:tblPr>
        <w:tblpPr w:leftFromText="180" w:rightFromText="180" w:vertAnchor="text" w:horzAnchor="margin" w:tblpY="241"/>
        <w:tblW w:w="15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cess, Methods &amp; Analytics Expert Group 20-21 key deliverables status"/>
        <w:tblDescription w:val="Table outlining the progress and next steps for outputs of the process, methods and analytics expert group."/>
      </w:tblPr>
      <w:tblGrid>
        <w:gridCol w:w="2637"/>
        <w:gridCol w:w="1262"/>
        <w:gridCol w:w="2743"/>
        <w:gridCol w:w="3519"/>
        <w:gridCol w:w="2053"/>
        <w:gridCol w:w="1198"/>
        <w:gridCol w:w="2173"/>
      </w:tblGrid>
      <w:tr w:rsidR="00AB4518" w:rsidRPr="008C5D72" w14:paraId="60075D40" w14:textId="77777777" w:rsidTr="00AB4518">
        <w:trPr>
          <w:cantSplit/>
          <w:trHeight w:val="286"/>
          <w:tblHeader/>
        </w:trPr>
        <w:tc>
          <w:tcPr>
            <w:tcW w:w="2637" w:type="dxa"/>
          </w:tcPr>
          <w:p w14:paraId="69E44D58" w14:textId="73AAEF52" w:rsidR="00AB4518" w:rsidRPr="00AB4518" w:rsidRDefault="00AB4518" w:rsidP="00AB4518">
            <w:pPr>
              <w:pStyle w:val="Tableheadingboardreport"/>
              <w:rPr>
                <w:b w:val="0"/>
                <w:bCs/>
              </w:rPr>
            </w:pPr>
            <w:r w:rsidRPr="008E3651">
              <w:t>Output</w:t>
            </w:r>
          </w:p>
        </w:tc>
        <w:tc>
          <w:tcPr>
            <w:tcW w:w="1262" w:type="dxa"/>
          </w:tcPr>
          <w:p w14:paraId="76782905" w14:textId="7FAC0097" w:rsidR="00AB4518" w:rsidRPr="00AB4518" w:rsidRDefault="00AB4518" w:rsidP="00AB4518">
            <w:pPr>
              <w:pStyle w:val="Tableheadingboardreport"/>
              <w:rPr>
                <w:b w:val="0"/>
                <w:bCs/>
              </w:rPr>
            </w:pPr>
            <w:r w:rsidRPr="008E3651">
              <w:t>Lead</w:t>
            </w:r>
          </w:p>
        </w:tc>
        <w:tc>
          <w:tcPr>
            <w:tcW w:w="2743" w:type="dxa"/>
          </w:tcPr>
          <w:p w14:paraId="7ACA8EE9" w14:textId="049F9EF7" w:rsidR="00AB4518" w:rsidRPr="00AB4518" w:rsidRDefault="00AB4518" w:rsidP="00AB4518">
            <w:pPr>
              <w:pStyle w:val="Tableheadingboardreport"/>
              <w:rPr>
                <w:b w:val="0"/>
                <w:bCs/>
              </w:rPr>
            </w:pPr>
            <w:r w:rsidRPr="008E3651">
              <w:t>Update</w:t>
            </w:r>
          </w:p>
        </w:tc>
        <w:tc>
          <w:tcPr>
            <w:tcW w:w="3519" w:type="dxa"/>
          </w:tcPr>
          <w:p w14:paraId="47D988A4" w14:textId="7AA211D0" w:rsidR="00AB4518" w:rsidRPr="00AB4518" w:rsidRDefault="00AB4518" w:rsidP="00AB4518">
            <w:pPr>
              <w:pStyle w:val="Tableheadingboardreport"/>
              <w:rPr>
                <w:b w:val="0"/>
                <w:bCs/>
              </w:rPr>
            </w:pPr>
            <w:r w:rsidRPr="008E3651">
              <w:t>Next Steps</w:t>
            </w:r>
          </w:p>
        </w:tc>
        <w:tc>
          <w:tcPr>
            <w:tcW w:w="2053" w:type="dxa"/>
          </w:tcPr>
          <w:p w14:paraId="7F5BC920" w14:textId="36925F96" w:rsidR="00AB4518" w:rsidRPr="00AB4518" w:rsidRDefault="00AB4518" w:rsidP="00AB4518">
            <w:pPr>
              <w:pStyle w:val="Tableheadingboardreport"/>
              <w:rPr>
                <w:b w:val="0"/>
                <w:bCs/>
              </w:rPr>
            </w:pPr>
            <w:r w:rsidRPr="008E3651">
              <w:t>Risks &amp; Issues</w:t>
            </w:r>
          </w:p>
        </w:tc>
        <w:tc>
          <w:tcPr>
            <w:tcW w:w="1198" w:type="dxa"/>
          </w:tcPr>
          <w:p w14:paraId="7F3FD0C0" w14:textId="2869BD42" w:rsidR="00AB4518" w:rsidRPr="00AB4518" w:rsidRDefault="00AB4518" w:rsidP="00AB4518">
            <w:pPr>
              <w:pStyle w:val="Tableheadingboardreport"/>
              <w:rPr>
                <w:b w:val="0"/>
                <w:bCs/>
              </w:rPr>
            </w:pPr>
            <w:r w:rsidRPr="008E3651">
              <w:t>Due Date</w:t>
            </w:r>
          </w:p>
        </w:tc>
        <w:tc>
          <w:tcPr>
            <w:tcW w:w="2173" w:type="dxa"/>
          </w:tcPr>
          <w:p w14:paraId="4E3846F7" w14:textId="7B8E568E" w:rsidR="00AB4518" w:rsidRPr="00AB4518" w:rsidRDefault="00AB4518" w:rsidP="00AB4518">
            <w:pPr>
              <w:pStyle w:val="Tableheadingboardreport"/>
              <w:rPr>
                <w:b w:val="0"/>
                <w:bCs/>
              </w:rPr>
            </w:pPr>
            <w:r w:rsidRPr="008E3651">
              <w:t>RAG (c denotes complete)</w:t>
            </w:r>
          </w:p>
        </w:tc>
      </w:tr>
      <w:tr w:rsidR="00AB4518" w:rsidRPr="008C5D72" w14:paraId="4694EBAC" w14:textId="77777777" w:rsidTr="00AB4518">
        <w:trPr>
          <w:trHeight w:val="286"/>
        </w:trPr>
        <w:tc>
          <w:tcPr>
            <w:tcW w:w="2637" w:type="dxa"/>
          </w:tcPr>
          <w:p w14:paraId="15915331" w14:textId="2A54357A" w:rsidR="00AB4518" w:rsidRPr="00AB4518" w:rsidRDefault="00AB4518" w:rsidP="00AB4518">
            <w:pPr>
              <w:pStyle w:val="Tabletext"/>
              <w:rPr>
                <w:b/>
                <w:bCs/>
              </w:rPr>
            </w:pPr>
            <w:r w:rsidRPr="00AB4518">
              <w:rPr>
                <w:b/>
                <w:bCs/>
              </w:rPr>
              <w:t>Evidence for Public Practice Information</w:t>
            </w:r>
            <w:r w:rsidR="00734E7B">
              <w:rPr>
                <w:b/>
                <w:bCs/>
              </w:rPr>
              <w:t xml:space="preserve"> </w:t>
            </w:r>
            <w:r w:rsidRPr="00AB4518">
              <w:rPr>
                <w:b/>
                <w:bCs/>
              </w:rPr>
              <w:t>(EPPI) Reviewer Tool rollout</w:t>
            </w:r>
          </w:p>
        </w:tc>
        <w:tc>
          <w:tcPr>
            <w:tcW w:w="1262" w:type="dxa"/>
          </w:tcPr>
          <w:p w14:paraId="03314AB5" w14:textId="1D2907AD" w:rsidR="00AB4518" w:rsidRPr="00AB4518" w:rsidRDefault="00AB4518" w:rsidP="00AB4518">
            <w:pPr>
              <w:pStyle w:val="Tabletext"/>
            </w:pPr>
            <w:r w:rsidRPr="00AB4518">
              <w:t>FG &amp; VD</w:t>
            </w:r>
          </w:p>
        </w:tc>
        <w:tc>
          <w:tcPr>
            <w:tcW w:w="2743" w:type="dxa"/>
          </w:tcPr>
          <w:p w14:paraId="150BB54F" w14:textId="4A1828B3" w:rsidR="00AB4518" w:rsidRPr="00AB4518" w:rsidRDefault="00AB4518" w:rsidP="00AB4518">
            <w:pPr>
              <w:pStyle w:val="Tabletext"/>
            </w:pPr>
            <w:r w:rsidRPr="00AB4518">
              <w:t xml:space="preserve">Successfully rolled out to the Collaborating Centres. </w:t>
            </w:r>
          </w:p>
        </w:tc>
        <w:tc>
          <w:tcPr>
            <w:tcW w:w="3519" w:type="dxa"/>
          </w:tcPr>
          <w:p w14:paraId="7D3749FA" w14:textId="1BDE455A" w:rsidR="00AB4518" w:rsidRPr="00AB4518" w:rsidRDefault="00AB4518" w:rsidP="00AB4518">
            <w:pPr>
              <w:pStyle w:val="Tabletext"/>
            </w:pPr>
            <w:r w:rsidRPr="00AB4518">
              <w:t>Review to enable greater and continuous improvement</w:t>
            </w:r>
          </w:p>
        </w:tc>
        <w:tc>
          <w:tcPr>
            <w:tcW w:w="2053" w:type="dxa"/>
          </w:tcPr>
          <w:p w14:paraId="4D1DE817" w14:textId="676AE007" w:rsidR="00AB4518" w:rsidRPr="00AB4518" w:rsidRDefault="007918A5" w:rsidP="00AB4518">
            <w:pPr>
              <w:pStyle w:val="Tabletext"/>
            </w:pPr>
            <w:r>
              <w:t>n/a</w:t>
            </w:r>
          </w:p>
        </w:tc>
        <w:tc>
          <w:tcPr>
            <w:tcW w:w="1198" w:type="dxa"/>
          </w:tcPr>
          <w:p w14:paraId="0F5DA655" w14:textId="7E7201AA" w:rsidR="00AB4518" w:rsidRPr="00AB4518" w:rsidRDefault="00AB4518" w:rsidP="00AB4518">
            <w:pPr>
              <w:pStyle w:val="Tabletext"/>
              <w:rPr>
                <w:b/>
                <w:bCs/>
              </w:rPr>
            </w:pPr>
            <w:r w:rsidRPr="00AB4518">
              <w:rPr>
                <w:b/>
                <w:bCs/>
              </w:rPr>
              <w:t>Q2</w:t>
            </w:r>
          </w:p>
        </w:tc>
        <w:tc>
          <w:tcPr>
            <w:tcW w:w="2173" w:type="dxa"/>
          </w:tcPr>
          <w:p w14:paraId="16C2B48B" w14:textId="28D0A030" w:rsidR="00AB4518" w:rsidRPr="00AB4518" w:rsidRDefault="00AB4518" w:rsidP="00AB4518">
            <w:pPr>
              <w:pStyle w:val="Tabletext"/>
              <w:rPr>
                <w:b/>
                <w:bCs/>
              </w:rPr>
            </w:pPr>
            <w:r w:rsidRPr="00AB4518">
              <w:rPr>
                <w:b/>
                <w:bCs/>
              </w:rPr>
              <w:t>Complete</w:t>
            </w:r>
          </w:p>
        </w:tc>
      </w:tr>
      <w:tr w:rsidR="00AB4518" w:rsidRPr="008C5D72" w14:paraId="5BC8D4B5" w14:textId="77777777" w:rsidTr="00AB4518">
        <w:trPr>
          <w:trHeight w:val="286"/>
        </w:trPr>
        <w:tc>
          <w:tcPr>
            <w:tcW w:w="2637" w:type="dxa"/>
          </w:tcPr>
          <w:p w14:paraId="4E2E36F2" w14:textId="16AE7B4D" w:rsidR="00AB4518" w:rsidRPr="00AB4518" w:rsidRDefault="00AB4518" w:rsidP="00AB4518">
            <w:pPr>
              <w:pStyle w:val="Tabletext"/>
              <w:rPr>
                <w:b/>
                <w:bCs/>
              </w:rPr>
            </w:pPr>
            <w:r w:rsidRPr="00AB4518">
              <w:rPr>
                <w:b/>
                <w:bCs/>
              </w:rPr>
              <w:t>Integrated Surveillance</w:t>
            </w:r>
          </w:p>
        </w:tc>
        <w:tc>
          <w:tcPr>
            <w:tcW w:w="1262" w:type="dxa"/>
          </w:tcPr>
          <w:p w14:paraId="5DFECE7C" w14:textId="3EBCE6D4" w:rsidR="00AB4518" w:rsidRPr="00AB4518" w:rsidRDefault="00AB4518" w:rsidP="00AB4518">
            <w:pPr>
              <w:pStyle w:val="Tabletext"/>
            </w:pPr>
            <w:r w:rsidRPr="00AB4518">
              <w:t>KN &amp; JP</w:t>
            </w:r>
          </w:p>
        </w:tc>
        <w:tc>
          <w:tcPr>
            <w:tcW w:w="2743" w:type="dxa"/>
          </w:tcPr>
          <w:p w14:paraId="13444C75" w14:textId="6FF03325" w:rsidR="00AB4518" w:rsidRPr="00AB4518" w:rsidRDefault="00AB4518" w:rsidP="00AB4518">
            <w:pPr>
              <w:pStyle w:val="Tabletext"/>
            </w:pPr>
            <w:r w:rsidRPr="00AB4518">
              <w:t>4 options are being drawn up including reviewing the anticipated scale and cost of organisational change for the possible future models</w:t>
            </w:r>
          </w:p>
        </w:tc>
        <w:tc>
          <w:tcPr>
            <w:tcW w:w="3519" w:type="dxa"/>
          </w:tcPr>
          <w:p w14:paraId="3E35DD13" w14:textId="6CE7145D" w:rsidR="00AB4518" w:rsidRPr="00AB4518" w:rsidRDefault="00AB4518" w:rsidP="00AB4518">
            <w:pPr>
              <w:pStyle w:val="Tabletext"/>
            </w:pPr>
            <w:r w:rsidRPr="00AB4518">
              <w:t>Options appraisal submitted for agreement</w:t>
            </w:r>
          </w:p>
        </w:tc>
        <w:tc>
          <w:tcPr>
            <w:tcW w:w="2053" w:type="dxa"/>
          </w:tcPr>
          <w:p w14:paraId="336F0110" w14:textId="278D42A2" w:rsidR="00AB4518" w:rsidRPr="00AB4518" w:rsidRDefault="00873B01" w:rsidP="00AB4518">
            <w:pPr>
              <w:pStyle w:val="Tabletext"/>
            </w:pPr>
            <w:r>
              <w:t>n/a</w:t>
            </w:r>
          </w:p>
        </w:tc>
        <w:tc>
          <w:tcPr>
            <w:tcW w:w="1198" w:type="dxa"/>
          </w:tcPr>
          <w:p w14:paraId="44889083" w14:textId="7536BE9C" w:rsidR="00AB4518" w:rsidRPr="00AB4518" w:rsidRDefault="00AB4518" w:rsidP="00AB4518">
            <w:pPr>
              <w:pStyle w:val="Tabletext"/>
              <w:rPr>
                <w:b/>
                <w:bCs/>
              </w:rPr>
            </w:pPr>
            <w:r w:rsidRPr="00AB4518">
              <w:rPr>
                <w:b/>
                <w:bCs/>
              </w:rPr>
              <w:t>Q4</w:t>
            </w:r>
          </w:p>
        </w:tc>
        <w:tc>
          <w:tcPr>
            <w:tcW w:w="2173" w:type="dxa"/>
          </w:tcPr>
          <w:p w14:paraId="461CD94A" w14:textId="078201BA" w:rsidR="00AB4518" w:rsidRPr="00AB4518" w:rsidRDefault="00AB4518" w:rsidP="00AB4518">
            <w:pPr>
              <w:pStyle w:val="Tabletext"/>
              <w:rPr>
                <w:b/>
                <w:bCs/>
              </w:rPr>
            </w:pPr>
            <w:r w:rsidRPr="00AB4518">
              <w:rPr>
                <w:b/>
                <w:bCs/>
              </w:rPr>
              <w:t>Green</w:t>
            </w:r>
          </w:p>
        </w:tc>
      </w:tr>
      <w:tr w:rsidR="00AB4518" w:rsidRPr="008C5D72" w14:paraId="47EAACD5" w14:textId="77777777" w:rsidTr="00AB4518">
        <w:trPr>
          <w:trHeight w:val="286"/>
        </w:trPr>
        <w:tc>
          <w:tcPr>
            <w:tcW w:w="2637" w:type="dxa"/>
          </w:tcPr>
          <w:p w14:paraId="5A2201A5" w14:textId="3A42C43D" w:rsidR="00AB4518" w:rsidRPr="00AB4518" w:rsidRDefault="00AB4518" w:rsidP="00AB4518">
            <w:pPr>
              <w:pStyle w:val="Tabletext"/>
              <w:rPr>
                <w:b/>
                <w:bCs/>
              </w:rPr>
            </w:pPr>
            <w:r w:rsidRPr="00AB4518">
              <w:rPr>
                <w:b/>
                <w:bCs/>
              </w:rPr>
              <w:t>CHTE updated methods &amp; processes</w:t>
            </w:r>
          </w:p>
        </w:tc>
        <w:tc>
          <w:tcPr>
            <w:tcW w:w="1262" w:type="dxa"/>
          </w:tcPr>
          <w:p w14:paraId="65A600D0" w14:textId="2E6F2B8F" w:rsidR="00AB4518" w:rsidRPr="00AB4518" w:rsidRDefault="00AB4518" w:rsidP="00AB4518">
            <w:pPr>
              <w:pStyle w:val="Tabletext"/>
            </w:pPr>
            <w:r w:rsidRPr="00AB4518">
              <w:t>JP &amp; HK</w:t>
            </w:r>
          </w:p>
        </w:tc>
        <w:tc>
          <w:tcPr>
            <w:tcW w:w="2743" w:type="dxa"/>
          </w:tcPr>
          <w:p w14:paraId="2C7A1EA7" w14:textId="79E6C6CA" w:rsidR="00AB4518" w:rsidRPr="00AB4518" w:rsidRDefault="00AB4518" w:rsidP="00AB4518">
            <w:pPr>
              <w:pStyle w:val="Tabletext"/>
            </w:pPr>
            <w:r w:rsidRPr="00AB4518">
              <w:t>Consultation on methods completed</w:t>
            </w:r>
          </w:p>
        </w:tc>
        <w:tc>
          <w:tcPr>
            <w:tcW w:w="3519" w:type="dxa"/>
          </w:tcPr>
          <w:p w14:paraId="63F6C681" w14:textId="25653C47" w:rsidR="00AB4518" w:rsidRPr="00AB4518" w:rsidRDefault="00AB4518" w:rsidP="00AB4518">
            <w:pPr>
              <w:pStyle w:val="Tabletext"/>
            </w:pPr>
            <w:r w:rsidRPr="00AB4518">
              <w:t>CHTE updated methods &amp; processes</w:t>
            </w:r>
          </w:p>
        </w:tc>
        <w:tc>
          <w:tcPr>
            <w:tcW w:w="2053" w:type="dxa"/>
          </w:tcPr>
          <w:p w14:paraId="0D2A3AE7" w14:textId="30B0DB3E" w:rsidR="00AB4518" w:rsidRPr="00AB4518" w:rsidRDefault="00873B01" w:rsidP="00AB4518">
            <w:pPr>
              <w:pStyle w:val="Tabletext"/>
            </w:pPr>
            <w:r>
              <w:t>n/a</w:t>
            </w:r>
          </w:p>
        </w:tc>
        <w:tc>
          <w:tcPr>
            <w:tcW w:w="1198" w:type="dxa"/>
          </w:tcPr>
          <w:p w14:paraId="282262F2" w14:textId="36BCC16B" w:rsidR="00AB4518" w:rsidRPr="00AB4518" w:rsidRDefault="00AB4518" w:rsidP="00AB4518">
            <w:pPr>
              <w:pStyle w:val="Tabletext"/>
              <w:rPr>
                <w:b/>
                <w:bCs/>
              </w:rPr>
            </w:pPr>
            <w:r w:rsidRPr="00AB4518">
              <w:rPr>
                <w:b/>
                <w:bCs/>
              </w:rPr>
              <w:t>Oct 21</w:t>
            </w:r>
          </w:p>
        </w:tc>
        <w:tc>
          <w:tcPr>
            <w:tcW w:w="2173" w:type="dxa"/>
          </w:tcPr>
          <w:p w14:paraId="4A3AAC24" w14:textId="1F52FD4A" w:rsidR="00AB4518" w:rsidRPr="00AB4518" w:rsidRDefault="00AB4518" w:rsidP="00AB4518">
            <w:pPr>
              <w:pStyle w:val="Tabletext"/>
              <w:rPr>
                <w:b/>
                <w:bCs/>
              </w:rPr>
            </w:pPr>
            <w:r w:rsidRPr="00AB4518">
              <w:rPr>
                <w:b/>
                <w:bCs/>
              </w:rPr>
              <w:t>Green</w:t>
            </w:r>
          </w:p>
        </w:tc>
      </w:tr>
      <w:tr w:rsidR="00AB4518" w:rsidRPr="008C5D72" w14:paraId="42DAD83A" w14:textId="77777777" w:rsidTr="00AB4518">
        <w:trPr>
          <w:trHeight w:val="286"/>
        </w:trPr>
        <w:tc>
          <w:tcPr>
            <w:tcW w:w="2637" w:type="dxa"/>
          </w:tcPr>
          <w:p w14:paraId="10F5335C" w14:textId="4EAF84EE" w:rsidR="00AB4518" w:rsidRPr="00AB4518" w:rsidRDefault="00AB4518" w:rsidP="00AB4518">
            <w:pPr>
              <w:pStyle w:val="Tabletext"/>
              <w:rPr>
                <w:b/>
                <w:bCs/>
              </w:rPr>
            </w:pPr>
            <w:r w:rsidRPr="00AB4518">
              <w:rPr>
                <w:b/>
                <w:bCs/>
              </w:rPr>
              <w:t>NICE-wide consultation activities (for guidance products)</w:t>
            </w:r>
          </w:p>
        </w:tc>
        <w:tc>
          <w:tcPr>
            <w:tcW w:w="1262" w:type="dxa"/>
          </w:tcPr>
          <w:p w14:paraId="29C00AF1" w14:textId="3E8B771A" w:rsidR="00AB4518" w:rsidRPr="00AB4518" w:rsidRDefault="00AB4518" w:rsidP="00AB4518">
            <w:pPr>
              <w:pStyle w:val="Tabletext"/>
            </w:pPr>
            <w:r w:rsidRPr="00AB4518">
              <w:t>JP</w:t>
            </w:r>
          </w:p>
        </w:tc>
        <w:tc>
          <w:tcPr>
            <w:tcW w:w="2743" w:type="dxa"/>
          </w:tcPr>
          <w:p w14:paraId="47709412" w14:textId="0764F5B8" w:rsidR="00AB4518" w:rsidRPr="00AB4518" w:rsidRDefault="00AB4518" w:rsidP="00AB4518">
            <w:pPr>
              <w:pStyle w:val="Tabletext"/>
            </w:pPr>
            <w:r w:rsidRPr="00AB4518">
              <w:t xml:space="preserve">Key resources in place and work </w:t>
            </w:r>
            <w:proofErr w:type="gramStart"/>
            <w:r w:rsidRPr="00AB4518">
              <w:t>is</w:t>
            </w:r>
            <w:proofErr w:type="gramEnd"/>
            <w:r w:rsidRPr="00AB4518">
              <w:t xml:space="preserve"> underway</w:t>
            </w:r>
          </w:p>
        </w:tc>
        <w:tc>
          <w:tcPr>
            <w:tcW w:w="3519" w:type="dxa"/>
          </w:tcPr>
          <w:p w14:paraId="44ED4C2F" w14:textId="43756B5E" w:rsidR="00AB4518" w:rsidRPr="00AB4518" w:rsidRDefault="00AB4518" w:rsidP="00AB4518">
            <w:pPr>
              <w:pStyle w:val="Tabletext"/>
            </w:pPr>
            <w:r w:rsidRPr="00AB4518">
              <w:t>Complete phases 1&amp;2 and present recommendations for change</w:t>
            </w:r>
          </w:p>
        </w:tc>
        <w:tc>
          <w:tcPr>
            <w:tcW w:w="2053" w:type="dxa"/>
          </w:tcPr>
          <w:p w14:paraId="5E907227" w14:textId="2FE29D90" w:rsidR="00AB4518" w:rsidRPr="00AB4518" w:rsidRDefault="00AB4518" w:rsidP="00AB4518">
            <w:pPr>
              <w:pStyle w:val="Tabletext"/>
            </w:pPr>
            <w:r w:rsidRPr="00AB4518">
              <w:t>Resource / Backfill delay</w:t>
            </w:r>
          </w:p>
        </w:tc>
        <w:tc>
          <w:tcPr>
            <w:tcW w:w="1198" w:type="dxa"/>
          </w:tcPr>
          <w:p w14:paraId="66781C28" w14:textId="4D36FB58" w:rsidR="00AB4518" w:rsidRPr="00AB4518" w:rsidRDefault="00AB4518" w:rsidP="00AB4518">
            <w:pPr>
              <w:pStyle w:val="Tabletext"/>
              <w:rPr>
                <w:b/>
                <w:bCs/>
              </w:rPr>
            </w:pPr>
            <w:r w:rsidRPr="00AB4518">
              <w:rPr>
                <w:b/>
                <w:bCs/>
              </w:rPr>
              <w:t>Q4</w:t>
            </w:r>
          </w:p>
        </w:tc>
        <w:tc>
          <w:tcPr>
            <w:tcW w:w="2173" w:type="dxa"/>
          </w:tcPr>
          <w:p w14:paraId="28DD0A24" w14:textId="1A4BD74F" w:rsidR="00AB4518" w:rsidRPr="00AB4518" w:rsidRDefault="00AB4518" w:rsidP="00AB4518">
            <w:pPr>
              <w:pStyle w:val="Tabletext"/>
              <w:rPr>
                <w:b/>
                <w:bCs/>
              </w:rPr>
            </w:pPr>
            <w:r w:rsidRPr="00AB4518">
              <w:rPr>
                <w:b/>
                <w:bCs/>
              </w:rPr>
              <w:t>Amber</w:t>
            </w:r>
          </w:p>
        </w:tc>
      </w:tr>
      <w:tr w:rsidR="00AB4518" w:rsidRPr="008C5D72" w14:paraId="44135FAB" w14:textId="77777777" w:rsidTr="00AB4518">
        <w:trPr>
          <w:trHeight w:val="286"/>
        </w:trPr>
        <w:tc>
          <w:tcPr>
            <w:tcW w:w="2637" w:type="dxa"/>
          </w:tcPr>
          <w:p w14:paraId="60A5F80B" w14:textId="49BEED16" w:rsidR="00AB4518" w:rsidRPr="00AB4518" w:rsidRDefault="00AB4518" w:rsidP="00AB4518">
            <w:pPr>
              <w:pStyle w:val="Tabletext"/>
              <w:rPr>
                <w:b/>
                <w:bCs/>
              </w:rPr>
            </w:pPr>
            <w:r w:rsidRPr="00AB4518">
              <w:rPr>
                <w:b/>
                <w:bCs/>
              </w:rPr>
              <w:t>Data &amp; Analytics methods &amp; standards framework</w:t>
            </w:r>
          </w:p>
        </w:tc>
        <w:tc>
          <w:tcPr>
            <w:tcW w:w="1262" w:type="dxa"/>
          </w:tcPr>
          <w:p w14:paraId="5A29A911" w14:textId="3C9A3098" w:rsidR="00AB4518" w:rsidRPr="00AB4518" w:rsidRDefault="00AB4518" w:rsidP="00AB4518">
            <w:pPr>
              <w:pStyle w:val="Tabletext"/>
            </w:pPr>
            <w:r w:rsidRPr="00AB4518">
              <w:t>AJ</w:t>
            </w:r>
          </w:p>
        </w:tc>
        <w:tc>
          <w:tcPr>
            <w:tcW w:w="2743" w:type="dxa"/>
          </w:tcPr>
          <w:p w14:paraId="0B47E0AC" w14:textId="02471BA0" w:rsidR="00AB4518" w:rsidRPr="00AB4518" w:rsidRDefault="00AB4518" w:rsidP="00AB4518">
            <w:pPr>
              <w:pStyle w:val="Tabletext"/>
            </w:pPr>
            <w:r w:rsidRPr="00AB4518">
              <w:t>Proposed programme approach written and reviewed</w:t>
            </w:r>
          </w:p>
        </w:tc>
        <w:tc>
          <w:tcPr>
            <w:tcW w:w="3519" w:type="dxa"/>
          </w:tcPr>
          <w:p w14:paraId="68F5240C" w14:textId="5E05F1A5" w:rsidR="008133CB" w:rsidRPr="008133CB" w:rsidRDefault="008133CB" w:rsidP="008133CB">
            <w:pPr>
              <w:pStyle w:val="Tabletext"/>
            </w:pPr>
            <w:r w:rsidRPr="008133CB">
              <w:t>Review by</w:t>
            </w:r>
            <w:r w:rsidR="001B593F">
              <w:t xml:space="preserve"> Boar</w:t>
            </w:r>
            <w:r w:rsidRPr="008133CB">
              <w:t>d in January</w:t>
            </w:r>
          </w:p>
          <w:p w14:paraId="5F82E4C0" w14:textId="28FC0FC1" w:rsidR="00AB4518" w:rsidRPr="00AB4518" w:rsidRDefault="00AB4518" w:rsidP="00AB4518">
            <w:pPr>
              <w:pStyle w:val="Tabletext"/>
            </w:pPr>
          </w:p>
        </w:tc>
        <w:tc>
          <w:tcPr>
            <w:tcW w:w="2053" w:type="dxa"/>
          </w:tcPr>
          <w:p w14:paraId="3B8E716B" w14:textId="325201C1" w:rsidR="00AB4518" w:rsidRPr="00AB4518" w:rsidRDefault="00873B01" w:rsidP="00AB4518">
            <w:pPr>
              <w:pStyle w:val="Tabletext"/>
            </w:pPr>
            <w:r>
              <w:t>n/a</w:t>
            </w:r>
          </w:p>
        </w:tc>
        <w:tc>
          <w:tcPr>
            <w:tcW w:w="1198" w:type="dxa"/>
          </w:tcPr>
          <w:p w14:paraId="62A1DD47" w14:textId="2D1B31C9" w:rsidR="00AB4518" w:rsidRPr="00AB4518" w:rsidRDefault="00AB4518" w:rsidP="00AB4518">
            <w:pPr>
              <w:pStyle w:val="Tabletext"/>
              <w:rPr>
                <w:b/>
                <w:bCs/>
              </w:rPr>
            </w:pPr>
            <w:r w:rsidRPr="00AB4518">
              <w:rPr>
                <w:b/>
                <w:bCs/>
              </w:rPr>
              <w:t>Q4</w:t>
            </w:r>
          </w:p>
        </w:tc>
        <w:tc>
          <w:tcPr>
            <w:tcW w:w="2173" w:type="dxa"/>
          </w:tcPr>
          <w:p w14:paraId="76B2CA9A" w14:textId="66A1C7C0" w:rsidR="00AB4518" w:rsidRPr="00AB4518" w:rsidRDefault="00AB4518" w:rsidP="00AB4518">
            <w:pPr>
              <w:pStyle w:val="Tabletext"/>
              <w:rPr>
                <w:b/>
                <w:bCs/>
              </w:rPr>
            </w:pPr>
            <w:r w:rsidRPr="00AB4518">
              <w:rPr>
                <w:b/>
                <w:bCs/>
              </w:rPr>
              <w:t>Green</w:t>
            </w:r>
          </w:p>
        </w:tc>
      </w:tr>
    </w:tbl>
    <w:p w14:paraId="50B2794D" w14:textId="77777777" w:rsidR="00AB4518" w:rsidRPr="00C214BC" w:rsidRDefault="00AB4518" w:rsidP="00C214BC">
      <w:pPr>
        <w:pStyle w:val="Tableheadingboardreport"/>
      </w:pPr>
    </w:p>
    <w:p w14:paraId="38C197CF" w14:textId="77777777" w:rsidR="001903B5" w:rsidRPr="00070124" w:rsidRDefault="001903B5" w:rsidP="001903B5">
      <w:pPr>
        <w:pStyle w:val="NICEnormal"/>
      </w:pPr>
      <w:r w:rsidRPr="00070124">
        <w:t xml:space="preserve">© NICE </w:t>
      </w:r>
      <w:r>
        <w:t>2021</w:t>
      </w:r>
      <w:r w:rsidRPr="00070124">
        <w:t xml:space="preserve">. All rights reserved. </w:t>
      </w:r>
      <w:hyperlink r:id="rId12" w:anchor="notice-of-rights" w:history="1">
        <w:r w:rsidRPr="00070124">
          <w:rPr>
            <w:rStyle w:val="Hyperlink"/>
          </w:rPr>
          <w:t>Subject to Notice of rights</w:t>
        </w:r>
      </w:hyperlink>
      <w:r w:rsidRPr="00070124">
        <w:t>.</w:t>
      </w:r>
    </w:p>
    <w:p w14:paraId="39841B0D" w14:textId="3921495D" w:rsidR="00CC0F37" w:rsidRDefault="001903B5" w:rsidP="008D2418">
      <w:pPr>
        <w:pStyle w:val="NICEnormal"/>
      </w:pPr>
      <w:r>
        <w:t>January 2021</w:t>
      </w:r>
    </w:p>
    <w:sectPr w:rsidR="00CC0F37" w:rsidSect="001903B5">
      <w:headerReference w:type="default" r:id="rId13"/>
      <w:footerReference w:type="default" r:id="rId14"/>
      <w:pgSz w:w="16840" w:h="11907" w:orient="landscape" w:code="9"/>
      <w:pgMar w:top="1797" w:right="1440" w:bottom="1797"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57DFBF" w14:textId="77777777" w:rsidR="00375F98" w:rsidRDefault="00375F98">
      <w:r>
        <w:separator/>
      </w:r>
    </w:p>
  </w:endnote>
  <w:endnote w:type="continuationSeparator" w:id="0">
    <w:p w14:paraId="417B9D3A" w14:textId="77777777" w:rsidR="00375F98" w:rsidRDefault="00375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262F8" w14:textId="77777777" w:rsidR="00E20EF2" w:rsidRPr="00BA589F" w:rsidRDefault="00E20EF2" w:rsidP="00E20EF2">
    <w:pPr>
      <w:pStyle w:val="Footer"/>
    </w:pPr>
    <w:r w:rsidRPr="00BA589F">
      <w:t>National Institute for Health and Care Excellence</w:t>
    </w:r>
    <w:r w:rsidRPr="00BA589F">
      <w:tab/>
    </w:r>
    <w:r w:rsidRPr="00BA589F">
      <w:tab/>
      <w:t xml:space="preserve">Page </w:t>
    </w:r>
    <w:r w:rsidRPr="00BA589F">
      <w:fldChar w:fldCharType="begin"/>
    </w:r>
    <w:r w:rsidRPr="00BA589F">
      <w:instrText xml:space="preserve"> PAGE  \* Arabic  \* MERGEFORMAT </w:instrText>
    </w:r>
    <w:r w:rsidRPr="00BA589F">
      <w:fldChar w:fldCharType="separate"/>
    </w:r>
    <w:r>
      <w:t>1</w:t>
    </w:r>
    <w:r w:rsidRPr="00BA589F">
      <w:fldChar w:fldCharType="end"/>
    </w:r>
    <w:r w:rsidRPr="00BA589F">
      <w:t xml:space="preserve"> of </w:t>
    </w:r>
    <w:fldSimple w:instr=" NUMPAGES  \* Arabic  \* MERGEFORMAT ">
      <w:r>
        <w:t>14</w:t>
      </w:r>
    </w:fldSimple>
  </w:p>
  <w:p w14:paraId="170B9B2A" w14:textId="77777777" w:rsidR="00E20EF2" w:rsidRPr="00634FE0" w:rsidRDefault="00E20EF2" w:rsidP="00E20EF2">
    <w:pPr>
      <w:pStyle w:val="Footer"/>
    </w:pPr>
    <w:r w:rsidRPr="00634FE0">
      <w:t>Resources Report</w:t>
    </w:r>
    <w:r w:rsidRPr="00634FE0">
      <w:tab/>
    </w:r>
  </w:p>
  <w:p w14:paraId="334C5048" w14:textId="77777777" w:rsidR="00E20EF2" w:rsidRPr="00DE3B39" w:rsidRDefault="00E20EF2" w:rsidP="00E20EF2">
    <w:pPr>
      <w:pStyle w:val="Footer"/>
    </w:pPr>
    <w:r w:rsidRPr="00634FE0">
      <w:t>Date: 27 January 2021</w:t>
    </w:r>
  </w:p>
  <w:p w14:paraId="11B0B293" w14:textId="77777777" w:rsidR="00E20EF2" w:rsidRPr="00F33119" w:rsidRDefault="00E20EF2" w:rsidP="00E20EF2">
    <w:pPr>
      <w:pStyle w:val="Footer"/>
    </w:pPr>
    <w:r w:rsidRPr="00634FE0">
      <w:t>Reference: 21/011</w:t>
    </w:r>
  </w:p>
  <w:p w14:paraId="53A5D8D9" w14:textId="481A7CCB" w:rsidR="00EB1C36" w:rsidRPr="00F33119" w:rsidRDefault="00EB1C36" w:rsidP="00E20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3F666" w14:textId="77777777" w:rsidR="00EB1C36" w:rsidRPr="00BA589F" w:rsidRDefault="00EB1C36" w:rsidP="00C30FD9">
    <w:pPr>
      <w:pStyle w:val="Footer"/>
    </w:pPr>
  </w:p>
  <w:p w14:paraId="1950CCCA" w14:textId="679C3D53" w:rsidR="00E20EF2" w:rsidRPr="00BA589F" w:rsidRDefault="00E20EF2" w:rsidP="00E20EF2">
    <w:pPr>
      <w:pStyle w:val="Footer"/>
    </w:pPr>
    <w:r w:rsidRPr="00BA589F">
      <w:t>National Institute for Health and Care Excellence</w:t>
    </w:r>
    <w:r w:rsidRPr="00BA589F">
      <w:tab/>
    </w:r>
    <w:r>
      <w:tab/>
    </w:r>
    <w:r>
      <w:tab/>
    </w:r>
    <w:r>
      <w:tab/>
    </w:r>
    <w:r>
      <w:tab/>
    </w:r>
    <w:r>
      <w:tab/>
    </w:r>
    <w:r>
      <w:tab/>
    </w:r>
    <w:r w:rsidRPr="00BA589F">
      <w:tab/>
      <w:t xml:space="preserve">Page </w:t>
    </w:r>
    <w:r w:rsidRPr="00BA589F">
      <w:fldChar w:fldCharType="begin"/>
    </w:r>
    <w:r w:rsidRPr="00BA589F">
      <w:instrText xml:space="preserve"> PAGE  \* Arabic  \* MERGEFORMAT </w:instrText>
    </w:r>
    <w:r w:rsidRPr="00BA589F">
      <w:fldChar w:fldCharType="separate"/>
    </w:r>
    <w:r>
      <w:t>1</w:t>
    </w:r>
    <w:r w:rsidRPr="00BA589F">
      <w:fldChar w:fldCharType="end"/>
    </w:r>
    <w:r w:rsidRPr="00BA589F">
      <w:t xml:space="preserve"> of </w:t>
    </w:r>
    <w:fldSimple w:instr=" NUMPAGES  \* Arabic  \* MERGEFORMAT ">
      <w:r>
        <w:t>14</w:t>
      </w:r>
    </w:fldSimple>
  </w:p>
  <w:p w14:paraId="4BCD11A3" w14:textId="77777777" w:rsidR="00E20EF2" w:rsidRPr="00634FE0" w:rsidRDefault="00E20EF2" w:rsidP="00E20EF2">
    <w:pPr>
      <w:pStyle w:val="Footer"/>
    </w:pPr>
    <w:r w:rsidRPr="00634FE0">
      <w:t>Resources Report</w:t>
    </w:r>
    <w:r w:rsidRPr="00634FE0">
      <w:tab/>
    </w:r>
  </w:p>
  <w:p w14:paraId="152A7328" w14:textId="77777777" w:rsidR="00E20EF2" w:rsidRPr="00DE3B39" w:rsidRDefault="00E20EF2" w:rsidP="00E20EF2">
    <w:pPr>
      <w:pStyle w:val="Footer"/>
    </w:pPr>
    <w:r w:rsidRPr="00634FE0">
      <w:t>Date: 27 January 2021</w:t>
    </w:r>
  </w:p>
  <w:p w14:paraId="18909050" w14:textId="77777777" w:rsidR="00E20EF2" w:rsidRPr="00F33119" w:rsidRDefault="00E20EF2" w:rsidP="00E20EF2">
    <w:pPr>
      <w:pStyle w:val="Footer"/>
    </w:pPr>
    <w:r w:rsidRPr="00634FE0">
      <w:t>Reference: 21/011</w:t>
    </w:r>
  </w:p>
  <w:p w14:paraId="0BD2A258" w14:textId="0D448937" w:rsidR="00EB1C36" w:rsidRPr="00BA589F" w:rsidRDefault="00EB1C36" w:rsidP="00E20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DC06B7" w14:textId="77777777" w:rsidR="00375F98" w:rsidRDefault="00375F98">
      <w:r>
        <w:separator/>
      </w:r>
    </w:p>
  </w:footnote>
  <w:footnote w:type="continuationSeparator" w:id="0">
    <w:p w14:paraId="4872F4CD" w14:textId="77777777" w:rsidR="00375F98" w:rsidRDefault="00375F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B4942" w14:textId="5BF47A1D" w:rsidR="002F15CF" w:rsidRPr="000578E2" w:rsidRDefault="002F15CF" w:rsidP="002F15CF">
    <w:pPr>
      <w:pStyle w:val="Header"/>
    </w:pPr>
    <w:r w:rsidRPr="000578E2">
      <w:tab/>
      <w:t xml:space="preserve">Item </w:t>
    </w:r>
    <w:r w:rsidR="00E20EF2">
      <w:t>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1BDA9" w14:textId="38DCE4DB" w:rsidR="00EB1C36" w:rsidRPr="002F15CF" w:rsidRDefault="002F15CF" w:rsidP="002F15CF">
    <w:pPr>
      <w:pStyle w:val="Header"/>
      <w:ind w:left="0"/>
      <w:jc w:val="right"/>
    </w:pPr>
    <w:r w:rsidRPr="00F07534">
      <w:t xml:space="preserve">Item </w:t>
    </w:r>
    <w:r w:rsidR="00E20EF2">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6BA6316C"/>
    <w:lvl w:ilvl="0" w:tplc="7F9E7226">
      <w:start w:val="1"/>
      <w:numFmt w:val="decimal"/>
      <w:pStyle w:val="Paragraph"/>
      <w:lvlText w:val="%1."/>
      <w:lvlJc w:val="left"/>
      <w:pPr>
        <w:ind w:left="64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2015FC6"/>
    <w:multiLevelType w:val="multilevel"/>
    <w:tmpl w:val="A670A766"/>
    <w:lvl w:ilvl="0">
      <w:start w:val="1"/>
      <w:numFmt w:val="none"/>
      <w:suff w:val="nothing"/>
      <w:lvlText w:val="%1"/>
      <w:lvlJc w:val="left"/>
      <w:pPr>
        <w:ind w:left="0" w:firstLine="0"/>
      </w:pPr>
      <w:rPr>
        <w:rFonts w:ascii="Arial" w:hAnsi="Arial" w:hint="default"/>
        <w:sz w:val="24"/>
      </w:rPr>
    </w:lvl>
    <w:lvl w:ilvl="1">
      <w:start w:val="1"/>
      <w:numFmt w:val="decimal"/>
      <w:lvlText w:val="%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8"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6"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7" w15:restartNumberingAfterBreak="0">
    <w:nsid w:val="67FC0D21"/>
    <w:multiLevelType w:val="hybridMultilevel"/>
    <w:tmpl w:val="D8827AE4"/>
    <w:lvl w:ilvl="0" w:tplc="E24E62C0">
      <w:start w:val="1"/>
      <w:numFmt w:val="decimal"/>
      <w:lvlText w:val="%1."/>
      <w:lvlJc w:val="left"/>
      <w:pPr>
        <w:ind w:left="360" w:hanging="360"/>
      </w:pPr>
      <w:rPr>
        <w:rFonts w:hint="default"/>
        <w:b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7C2889"/>
    <w:multiLevelType w:val="hybridMultilevel"/>
    <w:tmpl w:val="8DF80CB8"/>
    <w:lvl w:ilvl="0" w:tplc="9FE237B6">
      <w:numFmt w:val="bullet"/>
      <w:lvlText w:val="-"/>
      <w:lvlJc w:val="left"/>
      <w:pPr>
        <w:ind w:left="405" w:hanging="360"/>
      </w:pPr>
      <w:rPr>
        <w:rFonts w:ascii="Times New Roman" w:eastAsia="Times New Roman"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0"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26"/>
  </w:num>
  <w:num w:numId="3">
    <w:abstractNumId w:val="16"/>
  </w:num>
  <w:num w:numId="4">
    <w:abstractNumId w:val="17"/>
  </w:num>
  <w:num w:numId="5">
    <w:abstractNumId w:val="4"/>
  </w:num>
  <w:num w:numId="6">
    <w:abstractNumId w:val="7"/>
  </w:num>
  <w:num w:numId="7">
    <w:abstractNumId w:val="12"/>
  </w:num>
  <w:num w:numId="8">
    <w:abstractNumId w:val="14"/>
  </w:num>
  <w:num w:numId="9">
    <w:abstractNumId w:val="19"/>
  </w:num>
  <w:num w:numId="10">
    <w:abstractNumId w:val="6"/>
  </w:num>
  <w:num w:numId="11">
    <w:abstractNumId w:val="24"/>
  </w:num>
  <w:num w:numId="12">
    <w:abstractNumId w:val="10"/>
  </w:num>
  <w:num w:numId="13">
    <w:abstractNumId w:val="18"/>
  </w:num>
  <w:num w:numId="14">
    <w:abstractNumId w:val="21"/>
  </w:num>
  <w:num w:numId="15">
    <w:abstractNumId w:val="11"/>
  </w:num>
  <w:num w:numId="16">
    <w:abstractNumId w:val="0"/>
  </w:num>
  <w:num w:numId="17">
    <w:abstractNumId w:val="1"/>
  </w:num>
  <w:num w:numId="18">
    <w:abstractNumId w:val="8"/>
  </w:num>
  <w:num w:numId="19">
    <w:abstractNumId w:val="13"/>
  </w:num>
  <w:num w:numId="20">
    <w:abstractNumId w:val="5"/>
  </w:num>
  <w:num w:numId="21">
    <w:abstractNumId w:val="25"/>
  </w:num>
  <w:num w:numId="22">
    <w:abstractNumId w:val="23"/>
  </w:num>
  <w:num w:numId="23">
    <w:abstractNumId w:val="28"/>
  </w:num>
  <w:num w:numId="24">
    <w:abstractNumId w:val="9"/>
  </w:num>
  <w:num w:numId="25">
    <w:abstractNumId w:val="3"/>
  </w:num>
  <w:num w:numId="26">
    <w:abstractNumId w:val="29"/>
  </w:num>
  <w:num w:numId="27">
    <w:abstractNumId w:val="28"/>
    <w:lvlOverride w:ilvl="0">
      <w:startOverride w:val="1"/>
    </w:lvlOverride>
  </w:num>
  <w:num w:numId="28">
    <w:abstractNumId w:val="27"/>
  </w:num>
  <w:num w:numId="29">
    <w:abstractNumId w:val="3"/>
  </w:num>
  <w:num w:numId="30">
    <w:abstractNumId w:val="3"/>
    <w:lvlOverride w:ilvl="0">
      <w:startOverride w:val="1"/>
    </w:lvlOverride>
  </w:num>
  <w:num w:numId="31">
    <w:abstractNumId w:val="3"/>
  </w:num>
  <w:num w:numId="32">
    <w:abstractNumId w:val="15"/>
  </w:num>
  <w:num w:numId="33">
    <w:abstractNumId w:val="3"/>
    <w:lvlOverride w:ilvl="0">
      <w:startOverride w:val="1"/>
    </w:lvlOverride>
  </w:num>
  <w:num w:numId="34">
    <w:abstractNumId w:val="22"/>
  </w:num>
  <w:num w:numId="35">
    <w:abstractNumId w:val="3"/>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removePersonalInformation/>
  <w:removeDateAndTime/>
  <w:displayBackgroundShape/>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F98"/>
    <w:rsid w:val="000119FB"/>
    <w:rsid w:val="0001264D"/>
    <w:rsid w:val="000179C5"/>
    <w:rsid w:val="000242AA"/>
    <w:rsid w:val="00026A4C"/>
    <w:rsid w:val="0005389F"/>
    <w:rsid w:val="000578E2"/>
    <w:rsid w:val="0008202A"/>
    <w:rsid w:val="000844B8"/>
    <w:rsid w:val="00090479"/>
    <w:rsid w:val="00096B21"/>
    <w:rsid w:val="000A1EC0"/>
    <w:rsid w:val="000B382E"/>
    <w:rsid w:val="000B3FCE"/>
    <w:rsid w:val="000B6695"/>
    <w:rsid w:val="000C4168"/>
    <w:rsid w:val="000E6C5F"/>
    <w:rsid w:val="00101F34"/>
    <w:rsid w:val="001172E1"/>
    <w:rsid w:val="001219F1"/>
    <w:rsid w:val="00123D3F"/>
    <w:rsid w:val="00131EB8"/>
    <w:rsid w:val="00161AA0"/>
    <w:rsid w:val="001663D9"/>
    <w:rsid w:val="001727F1"/>
    <w:rsid w:val="00176A69"/>
    <w:rsid w:val="00184700"/>
    <w:rsid w:val="001903B5"/>
    <w:rsid w:val="0019503B"/>
    <w:rsid w:val="001A6F90"/>
    <w:rsid w:val="001B0506"/>
    <w:rsid w:val="001B593F"/>
    <w:rsid w:val="001C032E"/>
    <w:rsid w:val="001C199B"/>
    <w:rsid w:val="001C39BF"/>
    <w:rsid w:val="001D0D29"/>
    <w:rsid w:val="001E6EA3"/>
    <w:rsid w:val="00214E8F"/>
    <w:rsid w:val="002169E7"/>
    <w:rsid w:val="00235CAB"/>
    <w:rsid w:val="0024275B"/>
    <w:rsid w:val="00251D56"/>
    <w:rsid w:val="002526E6"/>
    <w:rsid w:val="002535B1"/>
    <w:rsid w:val="002A2BF8"/>
    <w:rsid w:val="002A3712"/>
    <w:rsid w:val="002C3FAA"/>
    <w:rsid w:val="002D175C"/>
    <w:rsid w:val="002D56CA"/>
    <w:rsid w:val="002F15CF"/>
    <w:rsid w:val="002F348E"/>
    <w:rsid w:val="002F3E8D"/>
    <w:rsid w:val="003101B3"/>
    <w:rsid w:val="00313FFC"/>
    <w:rsid w:val="0031664C"/>
    <w:rsid w:val="0032570E"/>
    <w:rsid w:val="00325C88"/>
    <w:rsid w:val="00331CD2"/>
    <w:rsid w:val="003330E6"/>
    <w:rsid w:val="003366C3"/>
    <w:rsid w:val="00336BE2"/>
    <w:rsid w:val="00350D6E"/>
    <w:rsid w:val="00353D3E"/>
    <w:rsid w:val="00362226"/>
    <w:rsid w:val="00363772"/>
    <w:rsid w:val="0037147B"/>
    <w:rsid w:val="00371C58"/>
    <w:rsid w:val="00375F98"/>
    <w:rsid w:val="00377E36"/>
    <w:rsid w:val="003814B7"/>
    <w:rsid w:val="0038661C"/>
    <w:rsid w:val="003948C1"/>
    <w:rsid w:val="003A0674"/>
    <w:rsid w:val="003A2488"/>
    <w:rsid w:val="003B1379"/>
    <w:rsid w:val="003C36AC"/>
    <w:rsid w:val="003C62C1"/>
    <w:rsid w:val="003C6573"/>
    <w:rsid w:val="003D2094"/>
    <w:rsid w:val="003D32D5"/>
    <w:rsid w:val="003E48CE"/>
    <w:rsid w:val="003F7C7E"/>
    <w:rsid w:val="00412439"/>
    <w:rsid w:val="00422CAA"/>
    <w:rsid w:val="00441BB7"/>
    <w:rsid w:val="004519B2"/>
    <w:rsid w:val="00453FF9"/>
    <w:rsid w:val="00461997"/>
    <w:rsid w:val="00475774"/>
    <w:rsid w:val="004820E9"/>
    <w:rsid w:val="0048361F"/>
    <w:rsid w:val="00484FE9"/>
    <w:rsid w:val="0048535F"/>
    <w:rsid w:val="00485B88"/>
    <w:rsid w:val="004914C0"/>
    <w:rsid w:val="004B514C"/>
    <w:rsid w:val="004C612D"/>
    <w:rsid w:val="004D3DAD"/>
    <w:rsid w:val="004E5BC7"/>
    <w:rsid w:val="004F72DF"/>
    <w:rsid w:val="00523A4F"/>
    <w:rsid w:val="00526C07"/>
    <w:rsid w:val="0053387C"/>
    <w:rsid w:val="00535E15"/>
    <w:rsid w:val="0057246C"/>
    <w:rsid w:val="005860F4"/>
    <w:rsid w:val="005866B1"/>
    <w:rsid w:val="005A57BD"/>
    <w:rsid w:val="005A5E10"/>
    <w:rsid w:val="005C051F"/>
    <w:rsid w:val="005C762E"/>
    <w:rsid w:val="005D098C"/>
    <w:rsid w:val="005F0635"/>
    <w:rsid w:val="005F6254"/>
    <w:rsid w:val="005F6CE3"/>
    <w:rsid w:val="00600422"/>
    <w:rsid w:val="00600DBE"/>
    <w:rsid w:val="00603E56"/>
    <w:rsid w:val="0060662A"/>
    <w:rsid w:val="006071CB"/>
    <w:rsid w:val="00613368"/>
    <w:rsid w:val="00614BDA"/>
    <w:rsid w:val="00617519"/>
    <w:rsid w:val="00625429"/>
    <w:rsid w:val="006331B4"/>
    <w:rsid w:val="006340D4"/>
    <w:rsid w:val="006343F3"/>
    <w:rsid w:val="00642906"/>
    <w:rsid w:val="006571D4"/>
    <w:rsid w:val="00680B94"/>
    <w:rsid w:val="00691AAE"/>
    <w:rsid w:val="00693CFE"/>
    <w:rsid w:val="006A721F"/>
    <w:rsid w:val="006D73F1"/>
    <w:rsid w:val="006E0BC7"/>
    <w:rsid w:val="006E7C1F"/>
    <w:rsid w:val="00711977"/>
    <w:rsid w:val="00714C42"/>
    <w:rsid w:val="007277C3"/>
    <w:rsid w:val="00732519"/>
    <w:rsid w:val="00734E7B"/>
    <w:rsid w:val="00737F9C"/>
    <w:rsid w:val="00741254"/>
    <w:rsid w:val="00753E4B"/>
    <w:rsid w:val="007666BD"/>
    <w:rsid w:val="0077288F"/>
    <w:rsid w:val="0078188E"/>
    <w:rsid w:val="0079117B"/>
    <w:rsid w:val="007918A5"/>
    <w:rsid w:val="007A174B"/>
    <w:rsid w:val="007A2078"/>
    <w:rsid w:val="007A4EEE"/>
    <w:rsid w:val="007B1D9B"/>
    <w:rsid w:val="007D5B48"/>
    <w:rsid w:val="008133CB"/>
    <w:rsid w:val="00847D22"/>
    <w:rsid w:val="008505C3"/>
    <w:rsid w:val="00853BD8"/>
    <w:rsid w:val="00862C0C"/>
    <w:rsid w:val="00865C57"/>
    <w:rsid w:val="00873B01"/>
    <w:rsid w:val="008853CB"/>
    <w:rsid w:val="008A3CB5"/>
    <w:rsid w:val="008A6557"/>
    <w:rsid w:val="008B3A08"/>
    <w:rsid w:val="008C5D72"/>
    <w:rsid w:val="008C782E"/>
    <w:rsid w:val="008D2418"/>
    <w:rsid w:val="008D6069"/>
    <w:rsid w:val="008E7585"/>
    <w:rsid w:val="008F462D"/>
    <w:rsid w:val="008F4D6E"/>
    <w:rsid w:val="00903D10"/>
    <w:rsid w:val="00913FE9"/>
    <w:rsid w:val="009170E3"/>
    <w:rsid w:val="00921354"/>
    <w:rsid w:val="00925E66"/>
    <w:rsid w:val="009262FA"/>
    <w:rsid w:val="00943405"/>
    <w:rsid w:val="0094366C"/>
    <w:rsid w:val="00953ADF"/>
    <w:rsid w:val="0095576B"/>
    <w:rsid w:val="009573A0"/>
    <w:rsid w:val="00971131"/>
    <w:rsid w:val="009763ED"/>
    <w:rsid w:val="00982788"/>
    <w:rsid w:val="009871F3"/>
    <w:rsid w:val="009A0289"/>
    <w:rsid w:val="009B2285"/>
    <w:rsid w:val="009B621A"/>
    <w:rsid w:val="009C45D9"/>
    <w:rsid w:val="009E5239"/>
    <w:rsid w:val="00A03056"/>
    <w:rsid w:val="00A06657"/>
    <w:rsid w:val="00A072D2"/>
    <w:rsid w:val="00A10F7D"/>
    <w:rsid w:val="00A15BB3"/>
    <w:rsid w:val="00A2194E"/>
    <w:rsid w:val="00A24C1C"/>
    <w:rsid w:val="00A36575"/>
    <w:rsid w:val="00A477A3"/>
    <w:rsid w:val="00A554D7"/>
    <w:rsid w:val="00A6607E"/>
    <w:rsid w:val="00A72C7E"/>
    <w:rsid w:val="00A8409F"/>
    <w:rsid w:val="00A8484B"/>
    <w:rsid w:val="00A86D3D"/>
    <w:rsid w:val="00A956DE"/>
    <w:rsid w:val="00AB2948"/>
    <w:rsid w:val="00AB39FA"/>
    <w:rsid w:val="00AB4518"/>
    <w:rsid w:val="00AC1045"/>
    <w:rsid w:val="00AD5CB7"/>
    <w:rsid w:val="00AD5E0B"/>
    <w:rsid w:val="00AD6933"/>
    <w:rsid w:val="00AD6B7B"/>
    <w:rsid w:val="00AD7341"/>
    <w:rsid w:val="00AF0644"/>
    <w:rsid w:val="00AF32F4"/>
    <w:rsid w:val="00B15262"/>
    <w:rsid w:val="00B32B26"/>
    <w:rsid w:val="00B60D70"/>
    <w:rsid w:val="00B65211"/>
    <w:rsid w:val="00B6565B"/>
    <w:rsid w:val="00B7043C"/>
    <w:rsid w:val="00B739A3"/>
    <w:rsid w:val="00B84BC1"/>
    <w:rsid w:val="00BA0179"/>
    <w:rsid w:val="00BA519E"/>
    <w:rsid w:val="00BA51EA"/>
    <w:rsid w:val="00BA589F"/>
    <w:rsid w:val="00BB047B"/>
    <w:rsid w:val="00BB6398"/>
    <w:rsid w:val="00BC0E86"/>
    <w:rsid w:val="00BD0372"/>
    <w:rsid w:val="00BD246E"/>
    <w:rsid w:val="00BF4768"/>
    <w:rsid w:val="00C00F7A"/>
    <w:rsid w:val="00C139CA"/>
    <w:rsid w:val="00C14BF7"/>
    <w:rsid w:val="00C214BC"/>
    <w:rsid w:val="00C2366B"/>
    <w:rsid w:val="00C2749A"/>
    <w:rsid w:val="00C433C5"/>
    <w:rsid w:val="00C51429"/>
    <w:rsid w:val="00C67027"/>
    <w:rsid w:val="00C94E7F"/>
    <w:rsid w:val="00CA3397"/>
    <w:rsid w:val="00CA33E1"/>
    <w:rsid w:val="00CB2F75"/>
    <w:rsid w:val="00CB6BEB"/>
    <w:rsid w:val="00CC0F37"/>
    <w:rsid w:val="00CE6E49"/>
    <w:rsid w:val="00CE7855"/>
    <w:rsid w:val="00D23804"/>
    <w:rsid w:val="00D33087"/>
    <w:rsid w:val="00D3612A"/>
    <w:rsid w:val="00D37703"/>
    <w:rsid w:val="00D37F25"/>
    <w:rsid w:val="00D453F6"/>
    <w:rsid w:val="00D55B61"/>
    <w:rsid w:val="00D60D8D"/>
    <w:rsid w:val="00D6117B"/>
    <w:rsid w:val="00D679E5"/>
    <w:rsid w:val="00D73C98"/>
    <w:rsid w:val="00D933B0"/>
    <w:rsid w:val="00DA11DD"/>
    <w:rsid w:val="00DB332E"/>
    <w:rsid w:val="00DC0120"/>
    <w:rsid w:val="00DD7177"/>
    <w:rsid w:val="00DE643F"/>
    <w:rsid w:val="00DE69E4"/>
    <w:rsid w:val="00E04F21"/>
    <w:rsid w:val="00E20EF2"/>
    <w:rsid w:val="00E2509B"/>
    <w:rsid w:val="00E41C3C"/>
    <w:rsid w:val="00E42CFB"/>
    <w:rsid w:val="00E4622C"/>
    <w:rsid w:val="00E46571"/>
    <w:rsid w:val="00E51FFB"/>
    <w:rsid w:val="00E545F1"/>
    <w:rsid w:val="00E63855"/>
    <w:rsid w:val="00E72C85"/>
    <w:rsid w:val="00E74814"/>
    <w:rsid w:val="00E82B8A"/>
    <w:rsid w:val="00EB03BB"/>
    <w:rsid w:val="00EB1C36"/>
    <w:rsid w:val="00EB2E1F"/>
    <w:rsid w:val="00EB5CE6"/>
    <w:rsid w:val="00EC48B8"/>
    <w:rsid w:val="00EE2EB2"/>
    <w:rsid w:val="00EE406C"/>
    <w:rsid w:val="00EE49A3"/>
    <w:rsid w:val="00F00415"/>
    <w:rsid w:val="00F0315D"/>
    <w:rsid w:val="00F07534"/>
    <w:rsid w:val="00F26A9F"/>
    <w:rsid w:val="00F26E68"/>
    <w:rsid w:val="00F33119"/>
    <w:rsid w:val="00F359DD"/>
    <w:rsid w:val="00F73C47"/>
    <w:rsid w:val="00F81F2C"/>
    <w:rsid w:val="00F87BAD"/>
    <w:rsid w:val="00F90BAE"/>
    <w:rsid w:val="00F90E63"/>
    <w:rsid w:val="00FA05A6"/>
    <w:rsid w:val="00FA26BB"/>
    <w:rsid w:val="00FA66A6"/>
    <w:rsid w:val="00FA6C4F"/>
    <w:rsid w:val="00FA6EE7"/>
    <w:rsid w:val="00FB151A"/>
    <w:rsid w:val="00FB40C7"/>
    <w:rsid w:val="00FB47DD"/>
    <w:rsid w:val="00FB73D3"/>
    <w:rsid w:val="00FD4756"/>
    <w:rsid w:val="00FE07DE"/>
    <w:rsid w:val="00FE116A"/>
    <w:rsid w:val="00FE53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06"/>
    </o:shapedefaults>
    <o:shapelayout v:ext="edit">
      <o:idmap v:ext="edit" data="1"/>
    </o:shapelayout>
  </w:shapeDefaults>
  <w:decimalSymbol w:val="."/>
  <w:listSeparator w:val=","/>
  <w14:docId w14:val="233AED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AB4518"/>
    <w:rPr>
      <w:sz w:val="24"/>
      <w:szCs w:val="24"/>
      <w:lang w:eastAsia="en-US"/>
    </w:rPr>
  </w:style>
  <w:style w:type="paragraph" w:styleId="Heading1">
    <w:name w:val="heading 1"/>
    <w:basedOn w:val="Normal"/>
    <w:next w:val="NICEnormal"/>
    <w:link w:val="Heading1Char"/>
    <w:qFormat/>
    <w:locked/>
    <w:rsid w:val="007A4EEE"/>
    <w:pPr>
      <w:keepNext/>
      <w:spacing w:before="240" w:after="120" w:line="360" w:lineRule="auto"/>
      <w:outlineLvl w:val="0"/>
    </w:pPr>
    <w:rPr>
      <w:rFonts w:ascii="Arial" w:hAnsi="Arial" w:cs="Arial"/>
      <w:b/>
      <w:bCs/>
      <w:kern w:val="32"/>
      <w:sz w:val="32"/>
      <w:szCs w:val="32"/>
      <w:lang w:eastAsia="en-GB"/>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lang w:eastAsia="en-GB"/>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lang w:eastAsia="en-GB"/>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locked/>
    <w:rsid w:val="00BB047B"/>
    <w:pPr>
      <w:keepNext/>
      <w:spacing w:before="240" w:after="240"/>
      <w:jc w:val="center"/>
      <w:outlineLvl w:val="0"/>
    </w:pPr>
    <w:rPr>
      <w:rFonts w:ascii="Arial" w:hAnsi="Arial" w:cs="Arial"/>
      <w:b/>
      <w:bCs/>
      <w:kern w:val="28"/>
      <w:sz w:val="40"/>
      <w:szCs w:val="32"/>
      <w:lang w:eastAsia="en-GB"/>
    </w:rPr>
  </w:style>
  <w:style w:type="paragraph" w:customStyle="1" w:styleId="Title2">
    <w:name w:val="Title2"/>
    <w:basedOn w:val="Title"/>
    <w:locked/>
    <w:rsid w:val="005C762E"/>
    <w:rPr>
      <w:sz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lang w:eastAsia="en-GB"/>
    </w:rPr>
  </w:style>
  <w:style w:type="paragraph" w:styleId="TOC2">
    <w:name w:val="toc 2"/>
    <w:basedOn w:val="Normal"/>
    <w:next w:val="Normal"/>
    <w:locked/>
    <w:rsid w:val="00F26E68"/>
    <w:pPr>
      <w:ind w:left="240"/>
    </w:pPr>
    <w:rPr>
      <w:rFonts w:ascii="Arial" w:hAnsi="Arial"/>
      <w:lang w:eastAsia="en-GB"/>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lang w:eastAsia="en-GB"/>
    </w:rPr>
  </w:style>
  <w:style w:type="paragraph" w:customStyle="1" w:styleId="Documentissuedate">
    <w:name w:val="Document issue date"/>
    <w:basedOn w:val="Guidanceissuedate"/>
    <w:qFormat/>
    <w:locked/>
    <w:rsid w:val="00737F9C"/>
  </w:style>
  <w:style w:type="paragraph" w:customStyle="1" w:styleId="Title20">
    <w:name w:val="Title 2"/>
    <w:basedOn w:val="Title"/>
    <w:qFormat/>
    <w:rsid w:val="001C032E"/>
    <w:rPr>
      <w:bCs w:val="0"/>
      <w:sz w:val="32"/>
    </w:rPr>
  </w:style>
  <w:style w:type="paragraph" w:styleId="Caption">
    <w:name w:val="caption"/>
    <w:basedOn w:val="Heading3"/>
    <w:next w:val="NICEnormal"/>
    <w:unhideWhenUsed/>
    <w:qFormat/>
    <w:rsid w:val="00FB73D3"/>
    <w:pPr>
      <w:spacing w:after="200"/>
    </w:pPr>
    <w:rPr>
      <w:bCs w:val="0"/>
      <w:iCs/>
      <w:color w:val="00506A"/>
      <w:sz w:val="24"/>
      <w:szCs w:val="18"/>
    </w:rPr>
  </w:style>
  <w:style w:type="table" w:styleId="TableGrid">
    <w:name w:val="Table Grid"/>
    <w:basedOn w:val="TableNormal"/>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4914C0"/>
    <w:rPr>
      <w:b/>
      <w:color w:val="00506A"/>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rPr>
      <w:lang w:eastAsia="en-GB"/>
    </w:r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Title"/>
    <w:qFormat/>
    <w:rsid w:val="001C032E"/>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lang w:eastAsia="en-GB"/>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4914C0"/>
    <w:rPr>
      <w:color w:val="00506A"/>
    </w:rPr>
  </w:style>
  <w:style w:type="paragraph" w:styleId="BodyText3">
    <w:name w:val="Body Text 3"/>
    <w:basedOn w:val="Normal"/>
    <w:link w:val="BodyText3Char"/>
    <w:locked/>
    <w:rsid w:val="004914C0"/>
    <w:pPr>
      <w:spacing w:after="120"/>
    </w:pPr>
    <w:rPr>
      <w:sz w:val="16"/>
      <w:szCs w:val="16"/>
      <w:lang w:eastAsia="en-GB"/>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F33119"/>
  </w:style>
  <w:style w:type="paragraph" w:customStyle="1" w:styleId="Heading3boardreport">
    <w:name w:val="Heading 3 board report"/>
    <w:basedOn w:val="Heading3"/>
    <w:next w:val="NICEnormal"/>
    <w:qFormat/>
    <w:rsid w:val="004914C0"/>
    <w:rPr>
      <w:color w:val="00506A"/>
    </w:rPr>
  </w:style>
  <w:style w:type="paragraph" w:customStyle="1" w:styleId="Paragraph">
    <w:name w:val="Paragraph"/>
    <w:basedOn w:val="Paragraphnonumbers"/>
    <w:uiPriority w:val="4"/>
    <w:qFormat/>
    <w:locked/>
    <w:rsid w:val="00EB1C36"/>
    <w:pPr>
      <w:numPr>
        <w:numId w:val="25"/>
      </w:numPr>
      <w:tabs>
        <w:tab w:val="left" w:pos="426"/>
      </w:tabs>
    </w:pPr>
  </w:style>
  <w:style w:type="character" w:customStyle="1" w:styleId="TitleChar">
    <w:name w:val="Title Char"/>
    <w:link w:val="Title"/>
    <w:rsid w:val="00EB1C36"/>
    <w:rPr>
      <w:rFonts w:ascii="Arial" w:hAnsi="Arial" w:cs="Arial"/>
      <w:b/>
      <w:bCs/>
      <w:kern w:val="28"/>
      <w:sz w:val="40"/>
      <w:szCs w:val="32"/>
      <w:lang w:eastAsia="en-US"/>
    </w:rPr>
  </w:style>
  <w:style w:type="paragraph" w:customStyle="1" w:styleId="Bullets">
    <w:name w:val="Bullets"/>
    <w:basedOn w:val="Normal"/>
    <w:uiPriority w:val="5"/>
    <w:qFormat/>
    <w:locked/>
    <w:rsid w:val="00EB1C36"/>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EB1C36"/>
    <w:rPr>
      <w:rFonts w:ascii="Arial" w:hAnsi="Arial" w:cs="Arial"/>
      <w:b/>
      <w:bCs/>
      <w:color w:val="00506A"/>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character" w:styleId="FollowedHyperlink">
    <w:name w:val="FollowedHyperlink"/>
    <w:basedOn w:val="DefaultParagraphFont"/>
    <w:rsid w:val="00D933B0"/>
    <w:rPr>
      <w:color w:val="954F72" w:themeColor="followedHyperlink"/>
      <w:u w:val="single"/>
    </w:rPr>
  </w:style>
  <w:style w:type="paragraph" w:styleId="CommentSubject">
    <w:name w:val="annotation subject"/>
    <w:basedOn w:val="CommentText"/>
    <w:next w:val="CommentText"/>
    <w:link w:val="CommentSubjectChar"/>
    <w:rsid w:val="009573A0"/>
    <w:rPr>
      <w:b/>
      <w:bCs/>
    </w:rPr>
  </w:style>
  <w:style w:type="character" w:customStyle="1" w:styleId="CommentSubjectChar">
    <w:name w:val="Comment Subject Char"/>
    <w:basedOn w:val="CommentTextChar"/>
    <w:link w:val="CommentSubject"/>
    <w:rsid w:val="009573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51441">
      <w:bodyDiv w:val="1"/>
      <w:marLeft w:val="0"/>
      <w:marRight w:val="0"/>
      <w:marTop w:val="0"/>
      <w:marBottom w:val="0"/>
      <w:divBdr>
        <w:top w:val="none" w:sz="0" w:space="0" w:color="auto"/>
        <w:left w:val="none" w:sz="0" w:space="0" w:color="auto"/>
        <w:bottom w:val="none" w:sz="0" w:space="0" w:color="auto"/>
        <w:right w:val="none" w:sz="0" w:space="0" w:color="auto"/>
      </w:divBdr>
    </w:div>
    <w:div w:id="432283684">
      <w:bodyDiv w:val="1"/>
      <w:marLeft w:val="0"/>
      <w:marRight w:val="0"/>
      <w:marTop w:val="0"/>
      <w:marBottom w:val="0"/>
      <w:divBdr>
        <w:top w:val="none" w:sz="0" w:space="0" w:color="auto"/>
        <w:left w:val="none" w:sz="0" w:space="0" w:color="auto"/>
        <w:bottom w:val="none" w:sz="0" w:space="0" w:color="auto"/>
        <w:right w:val="none" w:sz="0" w:space="0" w:color="auto"/>
      </w:divBdr>
    </w:div>
    <w:div w:id="118536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terms-and-condition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hs.uk/conditions/stress-anxiety-depression/improve-mental-wellbeing/"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nice.nhs.uk\Data\Planning%20&amp;%20Resources\Finance\Merged\NICE\Ongoing%20projects\Technology%20Appraisals%20Charging%20Project\TA%20Income%20Recognition%2020-21\Forecast\TA%20HST%20Programme%20Income%20Forecast%2020-21%20recovered.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latin typeface="Arial" panose="020B0604020202020204" pitchFamily="34" charset="0"/>
                <a:cs typeface="Arial" panose="020B0604020202020204" pitchFamily="34" charset="0"/>
              </a:rPr>
              <a:t>TA/HST</a:t>
            </a:r>
            <a:r>
              <a:rPr lang="en-US" sz="1200" baseline="0">
                <a:latin typeface="Arial" panose="020B0604020202020204" pitchFamily="34" charset="0"/>
                <a:cs typeface="Arial" panose="020B0604020202020204" pitchFamily="34" charset="0"/>
              </a:rPr>
              <a:t> i</a:t>
            </a:r>
            <a:r>
              <a:rPr lang="en-US" sz="1200">
                <a:latin typeface="Arial" panose="020B0604020202020204" pitchFamily="34" charset="0"/>
                <a:cs typeface="Arial" panose="020B0604020202020204" pitchFamily="34" charset="0"/>
              </a:rPr>
              <a:t>ncome recognition - April 2019 to December</a:t>
            </a:r>
            <a:r>
              <a:rPr lang="en-US" sz="1200" baseline="0">
                <a:latin typeface="Arial" panose="020B0604020202020204" pitchFamily="34" charset="0"/>
                <a:cs typeface="Arial" panose="020B0604020202020204" pitchFamily="34" charset="0"/>
              </a:rPr>
              <a:t> 2020 </a:t>
            </a:r>
            <a:r>
              <a:rPr lang="en-US" sz="1200">
                <a:latin typeface="Arial" panose="020B0604020202020204" pitchFamily="34" charset="0"/>
                <a:cs typeface="Arial" panose="020B0604020202020204" pitchFamily="34" charset="0"/>
              </a:rPr>
              <a:t>(£m)</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v>Income recognised in month (£m)</c:v>
          </c:tx>
          <c:spPr>
            <a:solidFill>
              <a:srgbClr val="004650"/>
            </a:solidFill>
            <a:ln>
              <a:solidFill>
                <a:schemeClr val="tx1"/>
              </a:solidFill>
            </a:ln>
            <a:effectLst/>
          </c:spPr>
          <c:invertIfNegative val="0"/>
          <c:cat>
            <c:numRef>
              <c:f>'Income Graph - New'!$C$7:$W$7</c:f>
              <c:numCache>
                <c:formatCode>mmm\-yy</c:formatCode>
                <c:ptCount val="21"/>
                <c:pt idx="0">
                  <c:v>43556</c:v>
                </c:pt>
                <c:pt idx="1">
                  <c:v>43586</c:v>
                </c:pt>
                <c:pt idx="2">
                  <c:v>43617</c:v>
                </c:pt>
                <c:pt idx="3">
                  <c:v>43647</c:v>
                </c:pt>
                <c:pt idx="4">
                  <c:v>43678</c:v>
                </c:pt>
                <c:pt idx="5">
                  <c:v>43709</c:v>
                </c:pt>
                <c:pt idx="6">
                  <c:v>43739</c:v>
                </c:pt>
                <c:pt idx="7">
                  <c:v>43770</c:v>
                </c:pt>
                <c:pt idx="8">
                  <c:v>43800</c:v>
                </c:pt>
                <c:pt idx="9">
                  <c:v>43831</c:v>
                </c:pt>
                <c:pt idx="10">
                  <c:v>43862</c:v>
                </c:pt>
                <c:pt idx="11">
                  <c:v>43891</c:v>
                </c:pt>
                <c:pt idx="12">
                  <c:v>43922</c:v>
                </c:pt>
                <c:pt idx="13">
                  <c:v>43952</c:v>
                </c:pt>
                <c:pt idx="14">
                  <c:v>43983</c:v>
                </c:pt>
                <c:pt idx="15">
                  <c:v>44013</c:v>
                </c:pt>
                <c:pt idx="16">
                  <c:v>44044</c:v>
                </c:pt>
                <c:pt idx="17">
                  <c:v>44075</c:v>
                </c:pt>
                <c:pt idx="18">
                  <c:v>44105</c:v>
                </c:pt>
                <c:pt idx="19">
                  <c:v>44136</c:v>
                </c:pt>
                <c:pt idx="20">
                  <c:v>44166</c:v>
                </c:pt>
              </c:numCache>
            </c:numRef>
          </c:cat>
          <c:val>
            <c:numRef>
              <c:f>'Income Graph - New'!$C$8:$W$8</c:f>
              <c:numCache>
                <c:formatCode>#,##0</c:formatCode>
                <c:ptCount val="21"/>
                <c:pt idx="0">
                  <c:v>37.799999999999997</c:v>
                </c:pt>
                <c:pt idx="1">
                  <c:v>48.5</c:v>
                </c:pt>
                <c:pt idx="2">
                  <c:v>92.6</c:v>
                </c:pt>
                <c:pt idx="3">
                  <c:v>131</c:v>
                </c:pt>
                <c:pt idx="4">
                  <c:v>146.1</c:v>
                </c:pt>
                <c:pt idx="5">
                  <c:v>189.875</c:v>
                </c:pt>
                <c:pt idx="6">
                  <c:v>452.57499999999999</c:v>
                </c:pt>
                <c:pt idx="7">
                  <c:v>337</c:v>
                </c:pt>
                <c:pt idx="8">
                  <c:v>269.55</c:v>
                </c:pt>
                <c:pt idx="9">
                  <c:v>748.85</c:v>
                </c:pt>
                <c:pt idx="10">
                  <c:v>458.67500000000001</c:v>
                </c:pt>
                <c:pt idx="11">
                  <c:v>669.72500000000002</c:v>
                </c:pt>
                <c:pt idx="12">
                  <c:v>213.4</c:v>
                </c:pt>
                <c:pt idx="13">
                  <c:v>488.15</c:v>
                </c:pt>
                <c:pt idx="14">
                  <c:v>214.6</c:v>
                </c:pt>
                <c:pt idx="15">
                  <c:v>512.1</c:v>
                </c:pt>
                <c:pt idx="16">
                  <c:v>650</c:v>
                </c:pt>
                <c:pt idx="17">
                  <c:v>584.52499999999998</c:v>
                </c:pt>
                <c:pt idx="18">
                  <c:v>818.4</c:v>
                </c:pt>
                <c:pt idx="19">
                  <c:v>884.5</c:v>
                </c:pt>
                <c:pt idx="20">
                  <c:v>701.8</c:v>
                </c:pt>
              </c:numCache>
            </c:numRef>
          </c:val>
          <c:extLst xmlns:c15="http://schemas.microsoft.com/office/drawing/2012/chart">
            <c:ext xmlns:c16="http://schemas.microsoft.com/office/drawing/2014/chart" uri="{C3380CC4-5D6E-409C-BE32-E72D297353CC}">
              <c16:uniqueId val="{00000000-B8FA-4E4D-8E5C-01EE1EFA2415}"/>
            </c:ext>
          </c:extLst>
        </c:ser>
        <c:dLbls>
          <c:showLegendKey val="0"/>
          <c:showVal val="0"/>
          <c:showCatName val="0"/>
          <c:showSerName val="0"/>
          <c:showPercent val="0"/>
          <c:showBubbleSize val="0"/>
        </c:dLbls>
        <c:gapWidth val="150"/>
        <c:axId val="614516904"/>
        <c:axId val="614517560"/>
        <c:extLst>
          <c:ext xmlns:c15="http://schemas.microsoft.com/office/drawing/2012/chart" uri="{02D57815-91ED-43cb-92C2-25804820EDAC}">
            <c15:filteredBarSeries>
              <c15:ser>
                <c:idx val="2"/>
                <c:order val="2"/>
                <c:tx>
                  <c:strRef>
                    <c:extLst>
                      <c:ext uri="{02D57815-91ED-43cb-92C2-25804820EDAC}">
                        <c15:formulaRef>
                          <c15:sqref>'Income Graph - New'!$B$14</c15:sqref>
                        </c15:formulaRef>
                      </c:ext>
                    </c:extLst>
                    <c:strCache>
                      <c:ptCount val="1"/>
                      <c:pt idx="0">
                        <c:v>Budget for month (£000s)</c:v>
                      </c:pt>
                    </c:strCache>
                  </c:strRef>
                </c:tx>
                <c:spPr>
                  <a:solidFill>
                    <a:schemeClr val="accent3"/>
                  </a:solidFill>
                  <a:ln>
                    <a:noFill/>
                  </a:ln>
                  <a:effectLst/>
                </c:spPr>
                <c:invertIfNegative val="0"/>
                <c:cat>
                  <c:numRef>
                    <c:extLst>
                      <c:ext uri="{02D57815-91ED-43cb-92C2-25804820EDAC}">
                        <c15:formulaRef>
                          <c15:sqref>'Income Graph - New'!$C$7:$W$7</c15:sqref>
                        </c15:formulaRef>
                      </c:ext>
                    </c:extLst>
                    <c:numCache>
                      <c:formatCode>mmm\-yy</c:formatCode>
                      <c:ptCount val="21"/>
                      <c:pt idx="0">
                        <c:v>43556</c:v>
                      </c:pt>
                      <c:pt idx="1">
                        <c:v>43586</c:v>
                      </c:pt>
                      <c:pt idx="2">
                        <c:v>43617</c:v>
                      </c:pt>
                      <c:pt idx="3">
                        <c:v>43647</c:v>
                      </c:pt>
                      <c:pt idx="4">
                        <c:v>43678</c:v>
                      </c:pt>
                      <c:pt idx="5">
                        <c:v>43709</c:v>
                      </c:pt>
                      <c:pt idx="6">
                        <c:v>43739</c:v>
                      </c:pt>
                      <c:pt idx="7">
                        <c:v>43770</c:v>
                      </c:pt>
                      <c:pt idx="8">
                        <c:v>43800</c:v>
                      </c:pt>
                      <c:pt idx="9">
                        <c:v>43831</c:v>
                      </c:pt>
                      <c:pt idx="10">
                        <c:v>43862</c:v>
                      </c:pt>
                      <c:pt idx="11">
                        <c:v>43891</c:v>
                      </c:pt>
                      <c:pt idx="12">
                        <c:v>43922</c:v>
                      </c:pt>
                      <c:pt idx="13">
                        <c:v>43952</c:v>
                      </c:pt>
                      <c:pt idx="14">
                        <c:v>43983</c:v>
                      </c:pt>
                      <c:pt idx="15">
                        <c:v>44013</c:v>
                      </c:pt>
                      <c:pt idx="16">
                        <c:v>44044</c:v>
                      </c:pt>
                      <c:pt idx="17">
                        <c:v>44075</c:v>
                      </c:pt>
                      <c:pt idx="18">
                        <c:v>44105</c:v>
                      </c:pt>
                      <c:pt idx="19">
                        <c:v>44136</c:v>
                      </c:pt>
                      <c:pt idx="20">
                        <c:v>44166</c:v>
                      </c:pt>
                    </c:numCache>
                  </c:numRef>
                </c:cat>
                <c:val>
                  <c:numRef>
                    <c:extLst>
                      <c:ext uri="{02D57815-91ED-43cb-92C2-25804820EDAC}">
                        <c15:formulaRef>
                          <c15:sqref>'Income Graph - New'!$C$14:$N$14</c15:sqref>
                        </c15:formulaRef>
                      </c:ext>
                    </c:extLst>
                    <c:numCache>
                      <c:formatCode>#,##0</c:formatCode>
                      <c:ptCount val="12"/>
                      <c:pt idx="0">
                        <c:v>42</c:v>
                      </c:pt>
                      <c:pt idx="1">
                        <c:v>83</c:v>
                      </c:pt>
                      <c:pt idx="2">
                        <c:v>250</c:v>
                      </c:pt>
                      <c:pt idx="3">
                        <c:v>246</c:v>
                      </c:pt>
                      <c:pt idx="4">
                        <c:v>307.5</c:v>
                      </c:pt>
                      <c:pt idx="5">
                        <c:v>369</c:v>
                      </c:pt>
                      <c:pt idx="6">
                        <c:v>430.5</c:v>
                      </c:pt>
                      <c:pt idx="7">
                        <c:v>492</c:v>
                      </c:pt>
                      <c:pt idx="8">
                        <c:v>555</c:v>
                      </c:pt>
                      <c:pt idx="9">
                        <c:v>613.5</c:v>
                      </c:pt>
                      <c:pt idx="10">
                        <c:v>675</c:v>
                      </c:pt>
                      <c:pt idx="11">
                        <c:v>736.5</c:v>
                      </c:pt>
                    </c:numCache>
                  </c:numRef>
                </c:val>
                <c:extLst>
                  <c:ext xmlns:c16="http://schemas.microsoft.com/office/drawing/2014/chart" uri="{C3380CC4-5D6E-409C-BE32-E72D297353CC}">
                    <c16:uniqueId val="{00000003-B8FA-4E4D-8E5C-01EE1EFA2415}"/>
                  </c:ext>
                </c:extLst>
              </c15:ser>
            </c15:filteredBarSeries>
            <c15:filteredBarSeries>
              <c15:ser>
                <c:idx val="4"/>
                <c:order val="3"/>
                <c:tx>
                  <c:strRef>
                    <c:extLst xmlns:c15="http://schemas.microsoft.com/office/drawing/2012/chart">
                      <c:ext xmlns:c15="http://schemas.microsoft.com/office/drawing/2012/chart" uri="{02D57815-91ED-43cb-92C2-25804820EDAC}">
                        <c15:formulaRef>
                          <c15:sqref>'Income Graph - New'!$B$17</c15:sqref>
                        </c15:formulaRef>
                      </c:ext>
                    </c:extLst>
                    <c:strCache>
                      <c:ptCount val="1"/>
                      <c:pt idx="0">
                        <c:v>Variance in month (£000s)</c:v>
                      </c:pt>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'Income Graph - New'!$C$7:$W$7</c15:sqref>
                        </c15:formulaRef>
                      </c:ext>
                    </c:extLst>
                    <c:numCache>
                      <c:formatCode>mmm\-yy</c:formatCode>
                      <c:ptCount val="21"/>
                      <c:pt idx="0">
                        <c:v>43556</c:v>
                      </c:pt>
                      <c:pt idx="1">
                        <c:v>43586</c:v>
                      </c:pt>
                      <c:pt idx="2">
                        <c:v>43617</c:v>
                      </c:pt>
                      <c:pt idx="3">
                        <c:v>43647</c:v>
                      </c:pt>
                      <c:pt idx="4">
                        <c:v>43678</c:v>
                      </c:pt>
                      <c:pt idx="5">
                        <c:v>43709</c:v>
                      </c:pt>
                      <c:pt idx="6">
                        <c:v>43739</c:v>
                      </c:pt>
                      <c:pt idx="7">
                        <c:v>43770</c:v>
                      </c:pt>
                      <c:pt idx="8">
                        <c:v>43800</c:v>
                      </c:pt>
                      <c:pt idx="9">
                        <c:v>43831</c:v>
                      </c:pt>
                      <c:pt idx="10">
                        <c:v>43862</c:v>
                      </c:pt>
                      <c:pt idx="11">
                        <c:v>43891</c:v>
                      </c:pt>
                      <c:pt idx="12">
                        <c:v>43922</c:v>
                      </c:pt>
                      <c:pt idx="13">
                        <c:v>43952</c:v>
                      </c:pt>
                      <c:pt idx="14">
                        <c:v>43983</c:v>
                      </c:pt>
                      <c:pt idx="15">
                        <c:v>44013</c:v>
                      </c:pt>
                      <c:pt idx="16">
                        <c:v>44044</c:v>
                      </c:pt>
                      <c:pt idx="17">
                        <c:v>44075</c:v>
                      </c:pt>
                      <c:pt idx="18">
                        <c:v>44105</c:v>
                      </c:pt>
                      <c:pt idx="19">
                        <c:v>44136</c:v>
                      </c:pt>
                      <c:pt idx="20">
                        <c:v>44166</c:v>
                      </c:pt>
                    </c:numCache>
                  </c:numRef>
                </c:cat>
                <c:val>
                  <c:numRef>
                    <c:extLst xmlns:c15="http://schemas.microsoft.com/office/drawing/2012/chart">
                      <c:ext xmlns:c15="http://schemas.microsoft.com/office/drawing/2012/chart" uri="{02D57815-91ED-43cb-92C2-25804820EDAC}">
                        <c15:formulaRef>
                          <c15:sqref>'Income Graph - New'!$C$17:$N$17</c15:sqref>
                        </c15:formulaRef>
                      </c:ext>
                    </c:extLst>
                    <c:numCache>
                      <c:formatCode>#,##0</c:formatCode>
                      <c:ptCount val="12"/>
                      <c:pt idx="0">
                        <c:v>-4.2000000000000028</c:v>
                      </c:pt>
                      <c:pt idx="1">
                        <c:v>-34.5</c:v>
                      </c:pt>
                      <c:pt idx="2">
                        <c:v>-157.4</c:v>
                      </c:pt>
                      <c:pt idx="3">
                        <c:v>-115</c:v>
                      </c:pt>
                      <c:pt idx="4">
                        <c:v>-161.4</c:v>
                      </c:pt>
                      <c:pt idx="5">
                        <c:v>-179.125</c:v>
                      </c:pt>
                      <c:pt idx="6">
                        <c:v>22.074999999999989</c:v>
                      </c:pt>
                      <c:pt idx="7">
                        <c:v>-155</c:v>
                      </c:pt>
                      <c:pt idx="8">
                        <c:v>-285.45</c:v>
                      </c:pt>
                      <c:pt idx="9">
                        <c:v>135.35000000000002</c:v>
                      </c:pt>
                      <c:pt idx="10">
                        <c:v>-216.32499999999999</c:v>
                      </c:pt>
                      <c:pt idx="11">
                        <c:v>-66.774999999999977</c:v>
                      </c:pt>
                    </c:numCache>
                  </c:numRef>
                </c:val>
                <c:extLst xmlns:c15="http://schemas.microsoft.com/office/drawing/2012/chart">
                  <c:ext xmlns:c16="http://schemas.microsoft.com/office/drawing/2014/chart" uri="{C3380CC4-5D6E-409C-BE32-E72D297353CC}">
                    <c16:uniqueId val="{00000004-B8FA-4E4D-8E5C-01EE1EFA2415}"/>
                  </c:ext>
                </c:extLst>
              </c15:ser>
            </c15:filteredBarSeries>
            <c15:filteredBarSeries>
              <c15:ser>
                <c:idx val="5"/>
                <c:order val="4"/>
                <c:tx>
                  <c:strRef>
                    <c:extLst xmlns:c15="http://schemas.microsoft.com/office/drawing/2012/chart">
                      <c:ext xmlns:c15="http://schemas.microsoft.com/office/drawing/2012/chart" uri="{02D57815-91ED-43cb-92C2-25804820EDAC}">
                        <c15:formulaRef>
                          <c15:sqref>'Income Graph - New'!$B$18</c15:sqref>
                        </c15:formulaRef>
                      </c:ext>
                    </c:extLst>
                    <c:strCache>
                      <c:ptCount val="1"/>
                      <c:pt idx="0">
                        <c:v>Variance - cumulative (£000s)</c:v>
                      </c:pt>
                    </c:strCache>
                  </c:strRef>
                </c:tx>
                <c:spPr>
                  <a:solidFill>
                    <a:schemeClr val="accent6"/>
                  </a:solidFill>
                  <a:ln>
                    <a:noFill/>
                  </a:ln>
                  <a:effectLst/>
                </c:spPr>
                <c:invertIfNegative val="0"/>
                <c:cat>
                  <c:numRef>
                    <c:extLst xmlns:c15="http://schemas.microsoft.com/office/drawing/2012/chart">
                      <c:ext xmlns:c15="http://schemas.microsoft.com/office/drawing/2012/chart" uri="{02D57815-91ED-43cb-92C2-25804820EDAC}">
                        <c15:formulaRef>
                          <c15:sqref>'Income Graph - New'!$C$7:$W$7</c15:sqref>
                        </c15:formulaRef>
                      </c:ext>
                    </c:extLst>
                    <c:numCache>
                      <c:formatCode>mmm\-yy</c:formatCode>
                      <c:ptCount val="21"/>
                      <c:pt idx="0">
                        <c:v>43556</c:v>
                      </c:pt>
                      <c:pt idx="1">
                        <c:v>43586</c:v>
                      </c:pt>
                      <c:pt idx="2">
                        <c:v>43617</c:v>
                      </c:pt>
                      <c:pt idx="3">
                        <c:v>43647</c:v>
                      </c:pt>
                      <c:pt idx="4">
                        <c:v>43678</c:v>
                      </c:pt>
                      <c:pt idx="5">
                        <c:v>43709</c:v>
                      </c:pt>
                      <c:pt idx="6">
                        <c:v>43739</c:v>
                      </c:pt>
                      <c:pt idx="7">
                        <c:v>43770</c:v>
                      </c:pt>
                      <c:pt idx="8">
                        <c:v>43800</c:v>
                      </c:pt>
                      <c:pt idx="9">
                        <c:v>43831</c:v>
                      </c:pt>
                      <c:pt idx="10">
                        <c:v>43862</c:v>
                      </c:pt>
                      <c:pt idx="11">
                        <c:v>43891</c:v>
                      </c:pt>
                      <c:pt idx="12">
                        <c:v>43922</c:v>
                      </c:pt>
                      <c:pt idx="13">
                        <c:v>43952</c:v>
                      </c:pt>
                      <c:pt idx="14">
                        <c:v>43983</c:v>
                      </c:pt>
                      <c:pt idx="15">
                        <c:v>44013</c:v>
                      </c:pt>
                      <c:pt idx="16">
                        <c:v>44044</c:v>
                      </c:pt>
                      <c:pt idx="17">
                        <c:v>44075</c:v>
                      </c:pt>
                      <c:pt idx="18">
                        <c:v>44105</c:v>
                      </c:pt>
                      <c:pt idx="19">
                        <c:v>44136</c:v>
                      </c:pt>
                      <c:pt idx="20">
                        <c:v>44166</c:v>
                      </c:pt>
                    </c:numCache>
                  </c:numRef>
                </c:cat>
                <c:val>
                  <c:numRef>
                    <c:extLst xmlns:c15="http://schemas.microsoft.com/office/drawing/2012/chart">
                      <c:ext xmlns:c15="http://schemas.microsoft.com/office/drawing/2012/chart" uri="{02D57815-91ED-43cb-92C2-25804820EDAC}">
                        <c15:formulaRef>
                          <c15:sqref>'Income Graph - New'!$C$18:$N$18</c15:sqref>
                        </c15:formulaRef>
                      </c:ext>
                    </c:extLst>
                    <c:numCache>
                      <c:formatCode>#,##0</c:formatCode>
                      <c:ptCount val="12"/>
                      <c:pt idx="0">
                        <c:v>-4.2000000000000028</c:v>
                      </c:pt>
                      <c:pt idx="1">
                        <c:v>-38.700000000000003</c:v>
                      </c:pt>
                      <c:pt idx="2">
                        <c:v>-196.10000000000002</c:v>
                      </c:pt>
                      <c:pt idx="3">
                        <c:v>-311.10000000000002</c:v>
                      </c:pt>
                      <c:pt idx="4">
                        <c:v>-472.5</c:v>
                      </c:pt>
                      <c:pt idx="5">
                        <c:v>-651.625</c:v>
                      </c:pt>
                      <c:pt idx="6">
                        <c:v>-629.54999999999995</c:v>
                      </c:pt>
                      <c:pt idx="7">
                        <c:v>-784.55</c:v>
                      </c:pt>
                      <c:pt idx="8">
                        <c:v>-1070</c:v>
                      </c:pt>
                      <c:pt idx="9">
                        <c:v>-934.65</c:v>
                      </c:pt>
                      <c:pt idx="10">
                        <c:v>-1150.9749999999999</c:v>
                      </c:pt>
                      <c:pt idx="11">
                        <c:v>-1217.75</c:v>
                      </c:pt>
                    </c:numCache>
                  </c:numRef>
                </c:val>
                <c:extLst xmlns:c15="http://schemas.microsoft.com/office/drawing/2012/chart">
                  <c:ext xmlns:c16="http://schemas.microsoft.com/office/drawing/2014/chart" uri="{C3380CC4-5D6E-409C-BE32-E72D297353CC}">
                    <c16:uniqueId val="{00000005-B8FA-4E4D-8E5C-01EE1EFA2415}"/>
                  </c:ext>
                </c:extLst>
              </c15:ser>
            </c15:filteredBarSeries>
            <c15:filteredBarSeries>
              <c15:ser>
                <c:idx val="6"/>
                <c:order val="5"/>
                <c:spPr>
                  <a:solidFill>
                    <a:schemeClr val="accent1">
                      <a:lumMod val="60000"/>
                    </a:schemeClr>
                  </a:solidFill>
                  <a:ln>
                    <a:solidFill>
                      <a:schemeClr val="accent2"/>
                    </a:solidFill>
                    <a:prstDash val="sysDash"/>
                  </a:ln>
                  <a:effectLst/>
                </c:spPr>
                <c:invertIfNegative val="0"/>
                <c:cat>
                  <c:numRef>
                    <c:extLst xmlns:c15="http://schemas.microsoft.com/office/drawing/2012/chart">
                      <c:ext xmlns:c15="http://schemas.microsoft.com/office/drawing/2012/chart" uri="{02D57815-91ED-43cb-92C2-25804820EDAC}">
                        <c15:formulaRef>
                          <c15:sqref>'Income Graph - New'!$C$7:$W$7</c15:sqref>
                        </c15:formulaRef>
                      </c:ext>
                    </c:extLst>
                    <c:numCache>
                      <c:formatCode>mmm\-yy</c:formatCode>
                      <c:ptCount val="21"/>
                      <c:pt idx="0">
                        <c:v>43556</c:v>
                      </c:pt>
                      <c:pt idx="1">
                        <c:v>43586</c:v>
                      </c:pt>
                      <c:pt idx="2">
                        <c:v>43617</c:v>
                      </c:pt>
                      <c:pt idx="3">
                        <c:v>43647</c:v>
                      </c:pt>
                      <c:pt idx="4">
                        <c:v>43678</c:v>
                      </c:pt>
                      <c:pt idx="5">
                        <c:v>43709</c:v>
                      </c:pt>
                      <c:pt idx="6">
                        <c:v>43739</c:v>
                      </c:pt>
                      <c:pt idx="7">
                        <c:v>43770</c:v>
                      </c:pt>
                      <c:pt idx="8">
                        <c:v>43800</c:v>
                      </c:pt>
                      <c:pt idx="9">
                        <c:v>43831</c:v>
                      </c:pt>
                      <c:pt idx="10">
                        <c:v>43862</c:v>
                      </c:pt>
                      <c:pt idx="11">
                        <c:v>43891</c:v>
                      </c:pt>
                      <c:pt idx="12">
                        <c:v>43922</c:v>
                      </c:pt>
                      <c:pt idx="13">
                        <c:v>43952</c:v>
                      </c:pt>
                      <c:pt idx="14">
                        <c:v>43983</c:v>
                      </c:pt>
                      <c:pt idx="15">
                        <c:v>44013</c:v>
                      </c:pt>
                      <c:pt idx="16">
                        <c:v>44044</c:v>
                      </c:pt>
                      <c:pt idx="17">
                        <c:v>44075</c:v>
                      </c:pt>
                      <c:pt idx="18">
                        <c:v>44105</c:v>
                      </c:pt>
                      <c:pt idx="19">
                        <c:v>44136</c:v>
                      </c:pt>
                      <c:pt idx="20">
                        <c:v>44166</c:v>
                      </c:pt>
                    </c:numCache>
                  </c:numRef>
                </c:cat>
                <c:val>
                  <c:numRef>
                    <c:extLst xmlns:c15="http://schemas.microsoft.com/office/drawing/2012/chart">
                      <c:ext xmlns:c15="http://schemas.microsoft.com/office/drawing/2012/chart" uri="{02D57815-91ED-43cb-92C2-25804820EDAC}">
                        <c15:formulaRef>
                          <c15:sqref>'Income Graph - New'!$C$12</c15:sqref>
                        </c15:formulaRef>
                      </c:ext>
                    </c:extLst>
                    <c:numCache>
                      <c:formatCode>#,##0</c:formatCode>
                      <c:ptCount val="1"/>
                      <c:pt idx="0">
                        <c:v>37.799999999999997</c:v>
                      </c:pt>
                    </c:numCache>
                  </c:numRef>
                </c:val>
                <c:extLst xmlns:c15="http://schemas.microsoft.com/office/drawing/2012/chart">
                  <c:ext xmlns:c16="http://schemas.microsoft.com/office/drawing/2014/chart" uri="{C3380CC4-5D6E-409C-BE32-E72D297353CC}">
                    <c16:uniqueId val="{00000006-B8FA-4E4D-8E5C-01EE1EFA2415}"/>
                  </c:ext>
                </c:extLst>
              </c15:ser>
            </c15:filteredBarSeries>
          </c:ext>
        </c:extLst>
      </c:barChart>
      <c:lineChart>
        <c:grouping val="standard"/>
        <c:varyColors val="0"/>
        <c:ser>
          <c:idx val="3"/>
          <c:order val="6"/>
          <c:tx>
            <c:v>Income target (£m)</c:v>
          </c:tx>
          <c:spPr>
            <a:ln w="28575" cap="rnd">
              <a:noFill/>
              <a:round/>
            </a:ln>
            <a:effectLst/>
          </c:spPr>
          <c:marker>
            <c:symbol val="dash"/>
            <c:size val="12"/>
            <c:spPr>
              <a:solidFill>
                <a:srgbClr val="FF0000"/>
              </a:solidFill>
              <a:ln w="9525">
                <a:solidFill>
                  <a:srgbClr val="FF0000"/>
                </a:solidFill>
              </a:ln>
              <a:effectLst/>
            </c:spPr>
          </c:marker>
          <c:val>
            <c:numRef>
              <c:f>'Income Graph - New'!$C$14:$Z$14</c:f>
              <c:numCache>
                <c:formatCode>#,##0</c:formatCode>
                <c:ptCount val="24"/>
                <c:pt idx="0">
                  <c:v>42</c:v>
                </c:pt>
                <c:pt idx="1">
                  <c:v>83</c:v>
                </c:pt>
                <c:pt idx="2">
                  <c:v>250</c:v>
                </c:pt>
                <c:pt idx="3">
                  <c:v>246</c:v>
                </c:pt>
                <c:pt idx="4">
                  <c:v>307.5</c:v>
                </c:pt>
                <c:pt idx="5">
                  <c:v>369</c:v>
                </c:pt>
                <c:pt idx="6">
                  <c:v>430.5</c:v>
                </c:pt>
                <c:pt idx="7">
                  <c:v>492</c:v>
                </c:pt>
                <c:pt idx="8">
                  <c:v>555</c:v>
                </c:pt>
                <c:pt idx="9">
                  <c:v>613.5</c:v>
                </c:pt>
                <c:pt idx="10">
                  <c:v>675</c:v>
                </c:pt>
                <c:pt idx="11">
                  <c:v>736.5</c:v>
                </c:pt>
                <c:pt idx="12">
                  <c:v>891.66666666666663</c:v>
                </c:pt>
                <c:pt idx="13">
                  <c:v>891.66666666666663</c:v>
                </c:pt>
                <c:pt idx="14">
                  <c:v>891.66666666666663</c:v>
                </c:pt>
                <c:pt idx="15">
                  <c:v>891.66666666666663</c:v>
                </c:pt>
                <c:pt idx="16">
                  <c:v>891.66666666666663</c:v>
                </c:pt>
                <c:pt idx="17">
                  <c:v>891.66666666666663</c:v>
                </c:pt>
                <c:pt idx="18">
                  <c:v>891.66666666666663</c:v>
                </c:pt>
                <c:pt idx="19">
                  <c:v>891.66666666666663</c:v>
                </c:pt>
                <c:pt idx="20">
                  <c:v>891.66666666666663</c:v>
                </c:pt>
                <c:pt idx="21">
                  <c:v>891.66666666666663</c:v>
                </c:pt>
                <c:pt idx="22">
                  <c:v>891.66666666666663</c:v>
                </c:pt>
                <c:pt idx="23">
                  <c:v>891.66666666666663</c:v>
                </c:pt>
              </c:numCache>
            </c:numRef>
          </c:val>
          <c:smooth val="0"/>
          <c:extLst>
            <c:ext xmlns:c16="http://schemas.microsoft.com/office/drawing/2014/chart" uri="{C3380CC4-5D6E-409C-BE32-E72D297353CC}">
              <c16:uniqueId val="{00000001-B8FA-4E4D-8E5C-01EE1EFA2415}"/>
            </c:ext>
          </c:extLst>
        </c:ser>
        <c:dLbls>
          <c:showLegendKey val="0"/>
          <c:showVal val="0"/>
          <c:showCatName val="0"/>
          <c:showSerName val="0"/>
          <c:showPercent val="0"/>
          <c:showBubbleSize val="0"/>
        </c:dLbls>
        <c:marker val="1"/>
        <c:smooth val="0"/>
        <c:axId val="614516904"/>
        <c:axId val="614517560"/>
        <c:extLst>
          <c:ext xmlns:c15="http://schemas.microsoft.com/office/drawing/2012/chart" uri="{02D57815-91ED-43cb-92C2-25804820EDAC}">
            <c15:filteredLineSeries>
              <c15:ser>
                <c:idx val="1"/>
                <c:order val="1"/>
                <c:spPr>
                  <a:ln w="28575" cap="rnd">
                    <a:solidFill>
                      <a:srgbClr val="004650"/>
                    </a:solidFill>
                    <a:prstDash val="sysDash"/>
                    <a:round/>
                  </a:ln>
                  <a:effectLst/>
                </c:spPr>
                <c:marker>
                  <c:symbol val="none"/>
                </c:marker>
                <c:cat>
                  <c:numRef>
                    <c:extLst>
                      <c:ext uri="{02D57815-91ED-43cb-92C2-25804820EDAC}">
                        <c15:formulaRef>
                          <c15:sqref>'Income Graph - New'!$C$7:$W$7</c15:sqref>
                        </c15:formulaRef>
                      </c:ext>
                    </c:extLst>
                    <c:numCache>
                      <c:formatCode>mmm\-yy</c:formatCode>
                      <c:ptCount val="21"/>
                      <c:pt idx="0">
                        <c:v>43556</c:v>
                      </c:pt>
                      <c:pt idx="1">
                        <c:v>43586</c:v>
                      </c:pt>
                      <c:pt idx="2">
                        <c:v>43617</c:v>
                      </c:pt>
                      <c:pt idx="3">
                        <c:v>43647</c:v>
                      </c:pt>
                      <c:pt idx="4">
                        <c:v>43678</c:v>
                      </c:pt>
                      <c:pt idx="5">
                        <c:v>43709</c:v>
                      </c:pt>
                      <c:pt idx="6">
                        <c:v>43739</c:v>
                      </c:pt>
                      <c:pt idx="7">
                        <c:v>43770</c:v>
                      </c:pt>
                      <c:pt idx="8">
                        <c:v>43800</c:v>
                      </c:pt>
                      <c:pt idx="9">
                        <c:v>43831</c:v>
                      </c:pt>
                      <c:pt idx="10">
                        <c:v>43862</c:v>
                      </c:pt>
                      <c:pt idx="11">
                        <c:v>43891</c:v>
                      </c:pt>
                      <c:pt idx="12">
                        <c:v>43922</c:v>
                      </c:pt>
                      <c:pt idx="13">
                        <c:v>43952</c:v>
                      </c:pt>
                      <c:pt idx="14">
                        <c:v>43983</c:v>
                      </c:pt>
                      <c:pt idx="15">
                        <c:v>44013</c:v>
                      </c:pt>
                      <c:pt idx="16">
                        <c:v>44044</c:v>
                      </c:pt>
                      <c:pt idx="17">
                        <c:v>44075</c:v>
                      </c:pt>
                      <c:pt idx="18">
                        <c:v>44105</c:v>
                      </c:pt>
                      <c:pt idx="19">
                        <c:v>44136</c:v>
                      </c:pt>
                      <c:pt idx="20">
                        <c:v>44166</c:v>
                      </c:pt>
                    </c:numCache>
                  </c:numRef>
                </c:cat>
                <c:val>
                  <c:numRef>
                    <c:extLst>
                      <c:ext uri="{02D57815-91ED-43cb-92C2-25804820EDAC}">
                        <c15:formulaRef>
                          <c15:sqref>'Income Graph - New'!$C$9:$W$9</c15:sqref>
                        </c15:formulaRef>
                      </c:ext>
                    </c:extLst>
                    <c:numCache>
                      <c:formatCode>#,##0</c:formatCode>
                      <c:ptCount val="21"/>
                      <c:pt idx="0">
                        <c:v>37.799999999999997</c:v>
                      </c:pt>
                      <c:pt idx="1">
                        <c:v>86.3</c:v>
                      </c:pt>
                      <c:pt idx="2">
                        <c:v>178.89999999999998</c:v>
                      </c:pt>
                      <c:pt idx="3">
                        <c:v>309.89999999999998</c:v>
                      </c:pt>
                      <c:pt idx="4">
                        <c:v>456</c:v>
                      </c:pt>
                      <c:pt idx="5">
                        <c:v>645.875</c:v>
                      </c:pt>
                      <c:pt idx="6">
                        <c:v>1098.45</c:v>
                      </c:pt>
                      <c:pt idx="7">
                        <c:v>1435.45</c:v>
                      </c:pt>
                      <c:pt idx="8">
                        <c:v>1705</c:v>
                      </c:pt>
                      <c:pt idx="9">
                        <c:v>2453.85</c:v>
                      </c:pt>
                      <c:pt idx="10">
                        <c:v>2912.5250000000001</c:v>
                      </c:pt>
                      <c:pt idx="11">
                        <c:v>3582.25</c:v>
                      </c:pt>
                      <c:pt idx="12">
                        <c:v>213.4</c:v>
                      </c:pt>
                      <c:pt idx="13">
                        <c:v>701.55</c:v>
                      </c:pt>
                      <c:pt idx="14">
                        <c:v>916.15</c:v>
                      </c:pt>
                      <c:pt idx="15">
                        <c:v>1428.25</c:v>
                      </c:pt>
                      <c:pt idx="16">
                        <c:v>2078.25</c:v>
                      </c:pt>
                      <c:pt idx="17">
                        <c:v>2662.7750000000001</c:v>
                      </c:pt>
                      <c:pt idx="18">
                        <c:v>3481.1750000000002</c:v>
                      </c:pt>
                      <c:pt idx="19">
                        <c:v>4365.6750000000002</c:v>
                      </c:pt>
                      <c:pt idx="20">
                        <c:v>5067.4750000000004</c:v>
                      </c:pt>
                    </c:numCache>
                  </c:numRef>
                </c:val>
                <c:smooth val="0"/>
                <c:extLst>
                  <c:ext xmlns:c16="http://schemas.microsoft.com/office/drawing/2014/chart" uri="{C3380CC4-5D6E-409C-BE32-E72D297353CC}">
                    <c16:uniqueId val="{00000002-B8FA-4E4D-8E5C-01EE1EFA2415}"/>
                  </c:ext>
                </c:extLst>
              </c15:ser>
            </c15:filteredLineSeries>
          </c:ext>
        </c:extLst>
      </c:lineChart>
      <c:dateAx>
        <c:axId val="614516904"/>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14517560"/>
        <c:crossesAt val="0"/>
        <c:auto val="1"/>
        <c:lblOffset val="100"/>
        <c:baseTimeUnit val="months"/>
      </c:dateAx>
      <c:valAx>
        <c:axId val="6145175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00">
                    <a:latin typeface="Arial" panose="020B0604020202020204" pitchFamily="34" charset="0"/>
                    <a:cs typeface="Arial" panose="020B0604020202020204" pitchFamily="34" charset="0"/>
                  </a:rPr>
                  <a:t>£m</a:t>
                </a:r>
              </a:p>
            </c:rich>
          </c:tx>
          <c:overlay val="0"/>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quot;£&quot;#,##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14516904"/>
        <c:crosses val="autoZero"/>
        <c:crossBetween val="between"/>
        <c:dispUnits>
          <c:builtInUnit val="thousands"/>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FE704-F20E-47D3-B7BE-ADEA15FE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2949</Words>
  <Characters>15716</Characters>
  <Application>Microsoft Office Word</Application>
  <DocSecurity>0</DocSecurity>
  <Lines>130</Lines>
  <Paragraphs>37</Paragraphs>
  <ScaleCrop>false</ScaleCrop>
  <Company/>
  <LinksUpToDate>false</LinksUpToDate>
  <CharactersWithSpaces>18628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2021-01-20T10:12:00Z</dcterms:created>
  <dcterms:modified xsi:type="dcterms:W3CDTF">2021-01-20T10:15:00Z</dcterms:modified>
</cp:coreProperties>
</file>