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79533E" w14:textId="77777777" w:rsidR="00EB1C36" w:rsidRPr="00D73C98" w:rsidRDefault="00EB1C36" w:rsidP="00F07534">
      <w:pPr>
        <w:pStyle w:val="Title20"/>
      </w:pPr>
      <w:r>
        <w:t>National Institute for Health and Care Excellence</w:t>
      </w:r>
    </w:p>
    <w:p w14:paraId="6B7B2DD7" w14:textId="0B71A133" w:rsidR="00EB1C36" w:rsidRPr="00D73C98" w:rsidRDefault="008B70FF" w:rsidP="00F07534">
      <w:pPr>
        <w:pStyle w:val="Title1"/>
      </w:pPr>
      <w:r>
        <w:t xml:space="preserve">Centre for Health Technology Evaluation </w:t>
      </w:r>
      <w:r w:rsidR="00EB1C36" w:rsidRPr="00D73C98">
        <w:t>progress report</w:t>
      </w:r>
    </w:p>
    <w:p w14:paraId="6F9A7369" w14:textId="4AFED27C" w:rsidR="009871F3" w:rsidRPr="007277C3" w:rsidRDefault="00EB1C36" w:rsidP="00280D9F">
      <w:pPr>
        <w:pStyle w:val="Paragraph"/>
        <w:numPr>
          <w:ilvl w:val="0"/>
          <w:numId w:val="26"/>
        </w:numPr>
      </w:pPr>
      <w:r w:rsidRPr="009871F3">
        <w:t xml:space="preserve">This report provides an </w:t>
      </w:r>
      <w:r w:rsidR="00522ABF">
        <w:t xml:space="preserve">overview of the work and achievements by staff and programmes </w:t>
      </w:r>
      <w:r w:rsidRPr="009871F3">
        <w:t xml:space="preserve">in the </w:t>
      </w:r>
      <w:r w:rsidR="008B70FF">
        <w:t>Centre for Health Technology Evaluation</w:t>
      </w:r>
      <w:r w:rsidR="00522ABF">
        <w:t xml:space="preserve">, focussing on </w:t>
      </w:r>
      <w:r w:rsidR="00AB40C5">
        <w:t xml:space="preserve">January </w:t>
      </w:r>
      <w:r w:rsidR="00EF14D1">
        <w:t xml:space="preserve">and </w:t>
      </w:r>
      <w:r w:rsidR="00AB40C5">
        <w:t xml:space="preserve">February </w:t>
      </w:r>
      <w:r w:rsidR="008B70FF" w:rsidRPr="008B70FF">
        <w:t>202</w:t>
      </w:r>
      <w:r w:rsidR="00AB40C5">
        <w:t>1</w:t>
      </w:r>
      <w:r w:rsidR="008B70FF">
        <w:t>.</w:t>
      </w:r>
    </w:p>
    <w:p w14:paraId="134A68FA" w14:textId="1780908D" w:rsidR="00EB1C36" w:rsidRDefault="00072750" w:rsidP="00E00844">
      <w:pPr>
        <w:pStyle w:val="Heading1boardreport"/>
      </w:pPr>
      <w:r>
        <w:t xml:space="preserve"> </w:t>
      </w:r>
      <w:r w:rsidR="00EB1C36">
        <w:t>Summary of activity</w:t>
      </w:r>
    </w:p>
    <w:p w14:paraId="590D2C39" w14:textId="442CA483" w:rsidR="008C0CEB" w:rsidRDefault="006F2A50" w:rsidP="008C0CEB">
      <w:pPr>
        <w:pStyle w:val="NICEnormalnumbered"/>
      </w:pPr>
      <w:bookmarkStart w:id="0" w:name="_Hlk59018013"/>
      <w:r>
        <w:t xml:space="preserve">We </w:t>
      </w:r>
      <w:r w:rsidR="00830448">
        <w:t>initiated conversations with health system partners to establish how NICE can best add value to the introduction, evaluation and use of genomics.</w:t>
      </w:r>
    </w:p>
    <w:p w14:paraId="54F92CD5" w14:textId="0C7444F9" w:rsidR="007C766D" w:rsidRDefault="00A67A76" w:rsidP="003A6417">
      <w:pPr>
        <w:pStyle w:val="NICEnormalnumbered"/>
      </w:pPr>
      <w:r>
        <w:t>We actively participated in the Innovative Licensing and Access Pathway through membership of its Steering Group and work packages, culminating in the first Innovation Passport</w:t>
      </w:r>
      <w:r w:rsidR="003A6417">
        <w:t xml:space="preserve"> awarded to a</w:t>
      </w:r>
      <w:r w:rsidR="003A6417" w:rsidRPr="003A6417">
        <w:t xml:space="preserve"> promising treatment for a cancer-causing rare disease</w:t>
      </w:r>
      <w:r>
        <w:t>.</w:t>
      </w:r>
    </w:p>
    <w:p w14:paraId="53DF7252" w14:textId="0856BECE" w:rsidR="00E57EB7" w:rsidRDefault="004C17BB" w:rsidP="007C5354">
      <w:pPr>
        <w:pStyle w:val="NICEnormalnumbered"/>
      </w:pPr>
      <w:r>
        <w:t xml:space="preserve">We celebrated the </w:t>
      </w:r>
      <w:r w:rsidR="007C5354">
        <w:t xml:space="preserve">first year of </w:t>
      </w:r>
      <w:r w:rsidR="007C5354" w:rsidRPr="007C5354">
        <w:t>NICE’s relaunched international advisory service, NICE International</w:t>
      </w:r>
      <w:r w:rsidR="00766B74">
        <w:t>,</w:t>
      </w:r>
      <w:r w:rsidR="007C5354">
        <w:t xml:space="preserve"> in a session hosted by the </w:t>
      </w:r>
      <w:r w:rsidR="007C5354" w:rsidRPr="007C5354">
        <w:t>All-Party Parliamentary Group on Global Health.</w:t>
      </w:r>
    </w:p>
    <w:p w14:paraId="02E28DD3" w14:textId="4A4B1C3A" w:rsidR="00766B74" w:rsidRDefault="00766B74" w:rsidP="007C5354">
      <w:pPr>
        <w:pStyle w:val="NICEnormalnumbered"/>
      </w:pPr>
      <w:r>
        <w:t xml:space="preserve">We </w:t>
      </w:r>
      <w:r w:rsidR="001A59AC">
        <w:t xml:space="preserve">started </w:t>
      </w:r>
      <w:r>
        <w:t xml:space="preserve">work on the second phase of the </w:t>
      </w:r>
      <w:r w:rsidR="00C045CA">
        <w:t xml:space="preserve">process and </w:t>
      </w:r>
      <w:r w:rsidR="001A59AC">
        <w:t xml:space="preserve">methods </w:t>
      </w:r>
      <w:r>
        <w:t xml:space="preserve">review </w:t>
      </w:r>
      <w:r w:rsidR="001A59AC">
        <w:t xml:space="preserve">for our </w:t>
      </w:r>
      <w:r>
        <w:t>health technology evaluation</w:t>
      </w:r>
      <w:r w:rsidR="001A59AC">
        <w:t xml:space="preserve"> programmes.</w:t>
      </w:r>
    </w:p>
    <w:p w14:paraId="3E86C705" w14:textId="32292B21" w:rsidR="00B54481" w:rsidRDefault="00B54481" w:rsidP="007C5354">
      <w:pPr>
        <w:pStyle w:val="NICEnormalnumbered"/>
      </w:pPr>
      <w:r>
        <w:t>We largely delivered the planned work in the various programmes.</w:t>
      </w:r>
    </w:p>
    <w:p w14:paraId="762E9617" w14:textId="77777777" w:rsidR="00B54481" w:rsidRPr="00B54481" w:rsidRDefault="00B54481" w:rsidP="00B54481">
      <w:pPr>
        <w:pStyle w:val="Heading1boardreport"/>
      </w:pPr>
      <w:r w:rsidRPr="00B54481">
        <w:t xml:space="preserve">Notable issues and developments </w:t>
      </w:r>
    </w:p>
    <w:p w14:paraId="4DED3879" w14:textId="4F5A5F77" w:rsidR="00EB1C36" w:rsidRDefault="00EB1C36" w:rsidP="006604CD">
      <w:pPr>
        <w:pStyle w:val="Heading2boardreport"/>
      </w:pPr>
      <w:r>
        <w:t>Ongoing response to COVID-19</w:t>
      </w:r>
    </w:p>
    <w:p w14:paraId="573C56B6" w14:textId="60324A89" w:rsidR="00027A59" w:rsidRPr="00027A59" w:rsidRDefault="00027A59" w:rsidP="008C0CEB">
      <w:pPr>
        <w:pStyle w:val="NICEnormalnumbered"/>
      </w:pPr>
      <w:bookmarkStart w:id="1" w:name="_Hlk55564833"/>
      <w:bookmarkEnd w:id="0"/>
      <w:r w:rsidRPr="00027A59">
        <w:t xml:space="preserve">RAPID-C19 </w:t>
      </w:r>
      <w:r w:rsidR="004C17BB">
        <w:t xml:space="preserve">continued to monitor </w:t>
      </w:r>
      <w:proofErr w:type="gramStart"/>
      <w:r w:rsidR="00766B74">
        <w:t>a large number of</w:t>
      </w:r>
      <w:proofErr w:type="gramEnd"/>
      <w:r w:rsidR="00766B74">
        <w:t xml:space="preserve"> potential treatments for COVID-19, supporting a multi-agency response to the pandemic. Its work has been referred to in the section on therapeutics in DHSC's COVID Spring Roadmap (</w:t>
      </w:r>
      <w:hyperlink r:id="rId8" w:history="1">
        <w:r w:rsidR="00766B74" w:rsidRPr="00A908F1">
          <w:rPr>
            <w:rStyle w:val="Hyperlink"/>
          </w:rPr>
          <w:t>https://assets.publishing.service.gov.uk/government/uploads/system/up</w:t>
        </w:r>
        <w:r w:rsidR="00766B74" w:rsidRPr="00A908F1">
          <w:rPr>
            <w:rStyle w:val="Hyperlink"/>
          </w:rPr>
          <w:lastRenderedPageBreak/>
          <w:t>loads/attachment_data/file/963491/COVID-19_Response_-_Spring_2021.pdf</w:t>
        </w:r>
      </w:hyperlink>
      <w:r w:rsidR="00766B74">
        <w:t>).</w:t>
      </w:r>
    </w:p>
    <w:p w14:paraId="6BF1E366" w14:textId="77777777" w:rsidR="00B54481" w:rsidRDefault="00B54481" w:rsidP="00B54481">
      <w:pPr>
        <w:pStyle w:val="NICEnormalnumbered"/>
      </w:pPr>
      <w:r>
        <w:t xml:space="preserve">After receipt of more data from the DHSC, the first meeting of the panel for the COVID-19 testing MIBs was held on 24 February to consider the </w:t>
      </w:r>
      <w:proofErr w:type="spellStart"/>
      <w:r>
        <w:t>OptiGene</w:t>
      </w:r>
      <w:proofErr w:type="spellEnd"/>
      <w:r>
        <w:t xml:space="preserve"> Direct Plus test. </w:t>
      </w:r>
    </w:p>
    <w:p w14:paraId="5111AE0F" w14:textId="79BC3EEA" w:rsidR="00027A59" w:rsidRDefault="00027A59" w:rsidP="00027A59">
      <w:pPr>
        <w:pStyle w:val="NICEnormalnumbered"/>
      </w:pPr>
      <w:r>
        <w:t xml:space="preserve">Technology Appraisals and Highly Specialised Technologies have prioritised guidance development, utilising the resource support offered from other programmes across the centre. In total 5 topics </w:t>
      </w:r>
      <w:r w:rsidR="00FA27FD">
        <w:t xml:space="preserve">(4 x TA and 1 x HST) </w:t>
      </w:r>
      <w:r>
        <w:t>have been delayed due to capacity constraints. The programme</w:t>
      </w:r>
      <w:r w:rsidR="00FA27FD">
        <w:t xml:space="preserve"> is</w:t>
      </w:r>
      <w:r>
        <w:t xml:space="preserve"> working to reschedule these topics at the earliest opportunity and with minimal impact.</w:t>
      </w:r>
    </w:p>
    <w:p w14:paraId="3D5A74E0" w14:textId="5D9ED754" w:rsidR="00766B74" w:rsidRDefault="000F2C67" w:rsidP="00166E81">
      <w:pPr>
        <w:pStyle w:val="NICEnormalnumbered"/>
      </w:pPr>
      <w:r>
        <w:t xml:space="preserve">NICE Scientific Advice and NICE International have continued to deliver projects over January and February </w:t>
      </w:r>
      <w:r w:rsidR="004E2FAD">
        <w:t xml:space="preserve">that were already contracted </w:t>
      </w:r>
      <w:r>
        <w:t xml:space="preserve">but were required to cancel or postpone </w:t>
      </w:r>
      <w:r w:rsidR="00766B74">
        <w:t>several</w:t>
      </w:r>
      <w:r>
        <w:t xml:space="preserve"> projects and engagements </w:t>
      </w:r>
      <w:proofErr w:type="gramStart"/>
      <w:r>
        <w:t>in order to</w:t>
      </w:r>
      <w:proofErr w:type="gramEnd"/>
      <w:r>
        <w:t xml:space="preserve"> respond to the request for additional capacity to support the guidance producing programmes during lockdown.</w:t>
      </w:r>
      <w:r w:rsidR="006314CF">
        <w:t xml:space="preserve"> </w:t>
      </w:r>
      <w:r w:rsidR="00CF729E">
        <w:t>This is reflected in figure 1 below.</w:t>
      </w:r>
    </w:p>
    <w:p w14:paraId="00D62AB7" w14:textId="592E19C1" w:rsidR="000F2C67" w:rsidRDefault="006314CF" w:rsidP="00166E81">
      <w:pPr>
        <w:pStyle w:val="NICEnormalnumbered"/>
      </w:pPr>
      <w:r>
        <w:t>OMA engagement services have been paused from February 2021 - April 2021 to allow OMA resource to be directed to support priority activities in guidance production and the AMR project.</w:t>
      </w:r>
    </w:p>
    <w:p w14:paraId="40AB0412" w14:textId="0123D7B3" w:rsidR="00027A59" w:rsidRDefault="00027A59" w:rsidP="00741178">
      <w:pPr>
        <w:pStyle w:val="NICEnormalnumbered"/>
      </w:pPr>
      <w:r w:rsidRPr="00290F2E">
        <w:t>We continue to monitor the impact of COVID-19 on data collection for existing managed access agreements and commissioning through evaluation projects, with an awareness that the latest surge has had further impact on patient treatment and data collection.</w:t>
      </w:r>
    </w:p>
    <w:bookmarkEnd w:id="1"/>
    <w:p w14:paraId="7C25DAD8" w14:textId="64747135" w:rsidR="008B70FF" w:rsidRPr="008B70FF" w:rsidRDefault="008B70FF" w:rsidP="008B70FF">
      <w:pPr>
        <w:pStyle w:val="Heading2boardreport"/>
      </w:pPr>
      <w:r w:rsidRPr="008B70FF">
        <w:t>Supporting innovation</w:t>
      </w:r>
    </w:p>
    <w:p w14:paraId="7566935E" w14:textId="3EDFE8BF" w:rsidR="00324F55" w:rsidRDefault="00D64D49" w:rsidP="00AB40C5">
      <w:pPr>
        <w:pStyle w:val="NICEnormalnumbered"/>
      </w:pPr>
      <w:r>
        <w:t xml:space="preserve">We have developed guiding principles for managed access, which along with input from key stakeholders, will inform the development of the innovative medicines fund (IMF) engagement document. The </w:t>
      </w:r>
      <w:r>
        <w:lastRenderedPageBreak/>
        <w:t>engagement document is being drafted in preparation for a public consultation, due to launch in Spring 2021.</w:t>
      </w:r>
    </w:p>
    <w:p w14:paraId="380D64E7" w14:textId="65D119C6" w:rsidR="003740BE" w:rsidRPr="003740BE" w:rsidRDefault="003740BE" w:rsidP="003740BE">
      <w:pPr>
        <w:pStyle w:val="NICEnormalnumbered"/>
      </w:pPr>
      <w:r w:rsidRPr="003740BE">
        <w:t>We continued collaborative working with the MHRA on the development of the ILAP. Alongside this work, we are also developing the ILAP/NICE interface processes so that appropriate NICE activities can be undertaken on technologies which have been awarded an Innovation Passport.</w:t>
      </w:r>
    </w:p>
    <w:p w14:paraId="2EF0B610" w14:textId="7F74C0A1" w:rsidR="004E2FAD" w:rsidRPr="00324F55" w:rsidRDefault="009345D3" w:rsidP="00D652F6">
      <w:pPr>
        <w:pStyle w:val="NICEnormalnumbered"/>
      </w:pPr>
      <w:r w:rsidRPr="009345D3">
        <w:t xml:space="preserve">HealthTech Connect </w:t>
      </w:r>
      <w:r w:rsidR="0005401A">
        <w:t>continues</w:t>
      </w:r>
      <w:r w:rsidRPr="009345D3">
        <w:t xml:space="preserve"> to support horizon scanning and topic selection of devices, </w:t>
      </w:r>
      <w:proofErr w:type="gramStart"/>
      <w:r w:rsidRPr="009345D3">
        <w:t>diagnostics</w:t>
      </w:r>
      <w:proofErr w:type="gramEnd"/>
      <w:r w:rsidRPr="009345D3">
        <w:t xml:space="preserve"> and digital technologies. 378 technologies have been submitted, and NICE selected 20% for a </w:t>
      </w:r>
      <w:proofErr w:type="spellStart"/>
      <w:r w:rsidRPr="009345D3">
        <w:t>Medtech</w:t>
      </w:r>
      <w:proofErr w:type="spellEnd"/>
      <w:r w:rsidRPr="009345D3">
        <w:t xml:space="preserve"> Innovation Briefing or NICE guidance. Plans are in place to broaden the remit and reach of HealthTech Connect by integrating it with the</w:t>
      </w:r>
      <w:r w:rsidR="0005401A">
        <w:t xml:space="preserve"> forthcoming</w:t>
      </w:r>
      <w:r w:rsidRPr="009345D3">
        <w:t xml:space="preserve"> AAC innovation service.   </w:t>
      </w:r>
    </w:p>
    <w:p w14:paraId="40138B24" w14:textId="77777777" w:rsidR="008B70FF" w:rsidRPr="008B70FF" w:rsidRDefault="008B70FF" w:rsidP="008B70FF">
      <w:pPr>
        <w:pStyle w:val="Heading2boardreport"/>
      </w:pPr>
      <w:r w:rsidRPr="008B70FF">
        <w:t>Digital technologies</w:t>
      </w:r>
    </w:p>
    <w:p w14:paraId="2FBD5785" w14:textId="3B8AF2DB" w:rsidR="006166E3" w:rsidRDefault="00AB40C5" w:rsidP="000F2C67">
      <w:pPr>
        <w:pStyle w:val="NICEnormalnumbered"/>
      </w:pPr>
      <w:r>
        <w:t xml:space="preserve"> </w:t>
      </w:r>
      <w:r w:rsidR="000F2C67" w:rsidRPr="000F2C67">
        <w:t xml:space="preserve">In line with NICE’s ambition to enhance collaboration with system partners on activities supporting future regulatory and health technology assessment offers for digital and AI health technologies, NICE has signed two </w:t>
      </w:r>
      <w:proofErr w:type="spellStart"/>
      <w:r w:rsidR="000F2C67" w:rsidRPr="000F2C67">
        <w:t>MoUs</w:t>
      </w:r>
      <w:proofErr w:type="spellEnd"/>
      <w:r w:rsidR="000F2C67" w:rsidRPr="000F2C67">
        <w:t xml:space="preserve"> with the Department of Health and Social Care. The first of these agreements is in place to support the gap analyses NICE Scientific Advice will provide for the winning technologies in the four rounds of the Acceleration Access Collaborative’s AI in Health and Care Award and the second is to provide funding for the design, development and testing of a multi-agency advice service for developers and adopters of AI and data driven technologies. Over January and February, stakeholder interviews have been carried out as part of the discovery phase for the multi-agency advice service and will inform plans for the next phase of development starting in Spring.</w:t>
      </w:r>
    </w:p>
    <w:p w14:paraId="3B85C035" w14:textId="50C5252C" w:rsidR="00461876" w:rsidRPr="008B70FF" w:rsidRDefault="006166E3" w:rsidP="008C0CEB">
      <w:pPr>
        <w:pStyle w:val="NICEnormalnumbered"/>
      </w:pPr>
      <w:r>
        <w:t xml:space="preserve">We </w:t>
      </w:r>
      <w:r w:rsidR="00321851">
        <w:t>are currently developing guidance on a digital product</w:t>
      </w:r>
      <w:r w:rsidR="00BD773D">
        <w:t>,</w:t>
      </w:r>
      <w:r>
        <w:t xml:space="preserve"> </w:t>
      </w:r>
      <w:proofErr w:type="spellStart"/>
      <w:r w:rsidR="009809F4" w:rsidRPr="009809F4">
        <w:t>Sleepio</w:t>
      </w:r>
      <w:proofErr w:type="spellEnd"/>
      <w:r w:rsidR="009809F4" w:rsidRPr="009809F4">
        <w:t xml:space="preserve"> for adults with difficulty sleeping (MT443)</w:t>
      </w:r>
      <w:r w:rsidR="003740BE">
        <w:t>. This technology</w:t>
      </w:r>
      <w:r>
        <w:t xml:space="preserve"> will be </w:t>
      </w:r>
      <w:r>
        <w:lastRenderedPageBreak/>
        <w:t xml:space="preserve">considered by the medical </w:t>
      </w:r>
      <w:proofErr w:type="gramStart"/>
      <w:r w:rsidR="003740BE">
        <w:t>technol</w:t>
      </w:r>
      <w:r w:rsidR="00D90C36">
        <w:t>o</w:t>
      </w:r>
      <w:r w:rsidR="003740BE">
        <w:t>gies</w:t>
      </w:r>
      <w:proofErr w:type="gramEnd"/>
      <w:r w:rsidR="003740BE">
        <w:t xml:space="preserve"> evaluation committee at its </w:t>
      </w:r>
      <w:r w:rsidR="009809F4">
        <w:t>M</w:t>
      </w:r>
      <w:r w:rsidR="003740BE">
        <w:t>arch meeting.</w:t>
      </w:r>
    </w:p>
    <w:p w14:paraId="15588F01" w14:textId="77777777" w:rsidR="00027A59" w:rsidRDefault="00027A59" w:rsidP="008B70FF">
      <w:pPr>
        <w:pStyle w:val="Heading2boardreport"/>
      </w:pPr>
      <w:r>
        <w:t>Genomics</w:t>
      </w:r>
    </w:p>
    <w:p w14:paraId="79346FFE" w14:textId="3C768810" w:rsidR="00715EE6" w:rsidRPr="00715EE6" w:rsidRDefault="00715EE6" w:rsidP="00715EE6">
      <w:pPr>
        <w:pStyle w:val="NICEnormalnumbered"/>
      </w:pPr>
      <w:r w:rsidRPr="00715EE6">
        <w:t>In February,</w:t>
      </w:r>
      <w:r w:rsidR="006855F2">
        <w:t xml:space="preserve"> we organised </w:t>
      </w:r>
      <w:r w:rsidRPr="00715EE6">
        <w:t xml:space="preserve">a workshop </w:t>
      </w:r>
      <w:r w:rsidR="006855F2">
        <w:t xml:space="preserve">with </w:t>
      </w:r>
      <w:r w:rsidR="006855F2" w:rsidRPr="00715EE6">
        <w:t>Genomics England</w:t>
      </w:r>
      <w:r w:rsidR="006855F2">
        <w:t>, NHSE/I, and the Office for Life Sciences</w:t>
      </w:r>
      <w:r w:rsidRPr="00715EE6">
        <w:t xml:space="preserve"> to identify opportunities and challenges for the assessment of genomic technologies, and to understand how the partner organisations can work together to maximise value for the NHS as it delivers on its genomics strategy. </w:t>
      </w:r>
    </w:p>
    <w:p w14:paraId="6BB94ECB" w14:textId="7F4435D5" w:rsidR="00715EE6" w:rsidRPr="00715EE6" w:rsidRDefault="00715EE6" w:rsidP="00715EE6">
      <w:pPr>
        <w:pStyle w:val="NICEnormalnumbered"/>
      </w:pPr>
      <w:r w:rsidRPr="00715EE6">
        <w:t xml:space="preserve">The Genomics Medicine Service (GMS) is </w:t>
      </w:r>
      <w:r>
        <w:t>currently</w:t>
      </w:r>
      <w:r w:rsidRPr="00715EE6">
        <w:t xml:space="preserve"> focussed on the provision of genomic tests in the areas of rare and inherited diseases, </w:t>
      </w:r>
      <w:proofErr w:type="gramStart"/>
      <w:r w:rsidRPr="00715EE6">
        <w:t>cancer</w:t>
      </w:r>
      <w:proofErr w:type="gramEnd"/>
      <w:r w:rsidRPr="00715EE6">
        <w:t xml:space="preserve"> and pharmacogenomics. There was a clear need and appetite for further collaboration between partners and key areas identified for fu</w:t>
      </w:r>
      <w:r>
        <w:t>ture</w:t>
      </w:r>
      <w:r w:rsidRPr="00715EE6">
        <w:t xml:space="preserve"> discussion</w:t>
      </w:r>
      <w:r>
        <w:t>s</w:t>
      </w:r>
      <w:r w:rsidRPr="00715EE6">
        <w:t xml:space="preserve"> were: joint horizon scanning providing a single “front door” for the genomics ecosystem</w:t>
      </w:r>
      <w:r>
        <w:t>;</w:t>
      </w:r>
      <w:r w:rsidRPr="00715EE6">
        <w:t xml:space="preserve"> development of broader methodologies and frameworks (including analysis of real world evidence and genomic data)</w:t>
      </w:r>
      <w:r>
        <w:t>;</w:t>
      </w:r>
      <w:r w:rsidRPr="00715EE6">
        <w:t xml:space="preserve"> collaborative working to align NICE guidance outputs and the GMS testing directory</w:t>
      </w:r>
      <w:r>
        <w:t>;</w:t>
      </w:r>
      <w:r w:rsidRPr="00715EE6">
        <w:t xml:space="preserve"> impact of the new IVDR</w:t>
      </w:r>
      <w:r>
        <w:t>;</w:t>
      </w:r>
      <w:r w:rsidRPr="00715EE6">
        <w:t xml:space="preserve"> and NICE membership of the NHS Genomic Medicine Service Research Collaborative.</w:t>
      </w:r>
    </w:p>
    <w:p w14:paraId="2EF4E594" w14:textId="1F9A25A1" w:rsidR="00027A59" w:rsidRDefault="00715EE6" w:rsidP="008C0CEB">
      <w:pPr>
        <w:pStyle w:val="NICEnormalnumbered"/>
      </w:pPr>
      <w:r w:rsidRPr="00715EE6">
        <w:t>The Diagnostics Assessment Programme is leading on the development of a genomics strategy for NICE</w:t>
      </w:r>
      <w:r w:rsidR="00B54481">
        <w:t xml:space="preserve"> </w:t>
      </w:r>
      <w:r w:rsidRPr="00715EE6">
        <w:t>and is continuing its ongoing work in genomic-related methods. It is expected that th</w:t>
      </w:r>
      <w:r>
        <w:t>e</w:t>
      </w:r>
      <w:r w:rsidRPr="00715EE6">
        <w:t xml:space="preserve"> strategy will require input from many teams across NICE. A briefing paper providing detail on “next steps” is being developed.</w:t>
      </w:r>
      <w:r w:rsidR="00B54481">
        <w:t xml:space="preserve"> We expect to be able to provide an update to the Board in the next months.</w:t>
      </w:r>
    </w:p>
    <w:p w14:paraId="2BAFF406" w14:textId="19CAE52C" w:rsidR="008B70FF" w:rsidRDefault="00B54481" w:rsidP="008B70FF">
      <w:pPr>
        <w:pStyle w:val="Heading2boardreport"/>
      </w:pPr>
      <w:r>
        <w:t>Methods and process review</w:t>
      </w:r>
    </w:p>
    <w:p w14:paraId="1EED2F47" w14:textId="1268FB0B" w:rsidR="00B25A9B" w:rsidRPr="00B25A9B" w:rsidRDefault="00B25A9B" w:rsidP="00B25A9B">
      <w:pPr>
        <w:pStyle w:val="NICEnormalnumbered"/>
      </w:pPr>
      <w:r w:rsidRPr="00B25A9B">
        <w:t>The consultation on the CHTE process</w:t>
      </w:r>
      <w:r w:rsidR="0005401A">
        <w:t xml:space="preserve"> review</w:t>
      </w:r>
      <w:r w:rsidRPr="00B25A9B">
        <w:t xml:space="preserve"> proposals for change started on 4 February. Due to the recent </w:t>
      </w:r>
      <w:r w:rsidR="0005401A">
        <w:t>Government restrictions,</w:t>
      </w:r>
      <w:r w:rsidRPr="00B25A9B">
        <w:t xml:space="preserve"> the consultation period </w:t>
      </w:r>
      <w:r w:rsidR="00BD773D">
        <w:t xml:space="preserve">was </w:t>
      </w:r>
      <w:r w:rsidRPr="00B25A9B">
        <w:t xml:space="preserve">extended to allow stakeholders more time to consider their responses, this consultation will now close on 15 April. </w:t>
      </w:r>
    </w:p>
    <w:p w14:paraId="0F0DD83B" w14:textId="5569428F" w:rsidR="00B25A9B" w:rsidRPr="00B25A9B" w:rsidRDefault="0081723D" w:rsidP="00B25A9B">
      <w:pPr>
        <w:pStyle w:val="NICEnormalnumbered"/>
      </w:pPr>
      <w:r>
        <w:lastRenderedPageBreak/>
        <w:t>Due to the additional time provided for the consultation on the process review</w:t>
      </w:r>
      <w:r w:rsidR="006855F2">
        <w:t xml:space="preserve"> and </w:t>
      </w:r>
      <w:r w:rsidR="0079529F">
        <w:t>continuing capacity constraints in the early part of the year because of COVID, we have decided to reschedule consultation on the draft unified manual. A</w:t>
      </w:r>
      <w:r w:rsidR="00B25A9B" w:rsidRPr="00B25A9B">
        <w:t xml:space="preserve"> report on the consultation responses</w:t>
      </w:r>
      <w:r w:rsidR="0005401A">
        <w:t xml:space="preserve"> for both the methods and process reviews and the draft unified methods and process manual</w:t>
      </w:r>
      <w:r w:rsidR="00B25A9B" w:rsidRPr="00B25A9B">
        <w:t xml:space="preserve"> will be presented to the </w:t>
      </w:r>
      <w:r w:rsidR="0079529F">
        <w:t>NICE B</w:t>
      </w:r>
      <w:r w:rsidR="00B25A9B" w:rsidRPr="00B25A9B">
        <w:t xml:space="preserve">oard in </w:t>
      </w:r>
      <w:r w:rsidR="0005401A">
        <w:t>July 2021</w:t>
      </w:r>
      <w:r w:rsidR="00B25A9B" w:rsidRPr="00B25A9B">
        <w:t>.</w:t>
      </w:r>
      <w:r w:rsidR="0079529F">
        <w:t xml:space="preserve"> We will use the additional time for further engagement with key stakeholders.</w:t>
      </w:r>
    </w:p>
    <w:p w14:paraId="270D4917" w14:textId="6017D2FF" w:rsidR="008B70FF" w:rsidRDefault="008B70FF" w:rsidP="008B70FF">
      <w:pPr>
        <w:pStyle w:val="Heading2boardreport"/>
      </w:pPr>
      <w:bookmarkStart w:id="2" w:name="_Hlk53055756"/>
      <w:r w:rsidRPr="008B70FF">
        <w:t>International collaboration</w:t>
      </w:r>
      <w:bookmarkEnd w:id="2"/>
    </w:p>
    <w:p w14:paraId="266BC1E9" w14:textId="7A92DDB1" w:rsidR="008B70FF" w:rsidRDefault="000F2C67" w:rsidP="000F2C67">
      <w:pPr>
        <w:pStyle w:val="NICEnormalnumbered"/>
      </w:pPr>
      <w:r w:rsidRPr="000F2C67">
        <w:t xml:space="preserve">In January, NICE international delivered a </w:t>
      </w:r>
      <w:proofErr w:type="gramStart"/>
      <w:r w:rsidRPr="000F2C67">
        <w:t>1 year</w:t>
      </w:r>
      <w:proofErr w:type="gramEnd"/>
      <w:r w:rsidRPr="000F2C67">
        <w:t xml:space="preserve"> anniversary event to showcase their achievements since the relaunch in November 2019, which was hosted by the All-Party Parliamentary Group (APPG) on Global Health. The team also initiated a third phase of HTA workshop series with Brazil, supported by the Department of International Trade in Latin America, a knowledge transfer activity with the Institute for Health Economics and Policy (IHEP) in Japan, and further advisory work under the Better Health Programme (BHP). Following on from BHP activities last year with the Philippines, NICE international also hosted a technical forum for NICE staff, inviting partners from the Health Technology Assessment Council (HTAC) in the Philippines to present on their recent experiences in HTA.</w:t>
      </w:r>
    </w:p>
    <w:p w14:paraId="6F4FDB57" w14:textId="686D48D2" w:rsidR="006166E3" w:rsidRDefault="006166E3" w:rsidP="006166E3">
      <w:pPr>
        <w:pStyle w:val="Heading2boardreport"/>
      </w:pPr>
      <w:proofErr w:type="spellStart"/>
      <w:r>
        <w:t>HTAi</w:t>
      </w:r>
      <w:proofErr w:type="spellEnd"/>
      <w:r>
        <w:t xml:space="preserve"> 2021</w:t>
      </w:r>
    </w:p>
    <w:p w14:paraId="452788E7" w14:textId="074B359F" w:rsidR="005B0290" w:rsidRDefault="00B54481">
      <w:pPr>
        <w:pStyle w:val="NICEnormalnumbered"/>
      </w:pPr>
      <w:r>
        <w:t>The annual meeting of Health Technology Assessment international</w:t>
      </w:r>
      <w:r w:rsidR="00EA1CD5">
        <w:t xml:space="preserve"> (</w:t>
      </w:r>
      <w:proofErr w:type="spellStart"/>
      <w:r w:rsidR="00EA1CD5">
        <w:t>HTAi</w:t>
      </w:r>
      <w:proofErr w:type="spellEnd"/>
      <w:r w:rsidR="00EA1CD5">
        <w:t>)</w:t>
      </w:r>
      <w:r>
        <w:t xml:space="preserve"> was scheduled to be held in Manchester in June. </w:t>
      </w:r>
      <w:r w:rsidR="001C64D6" w:rsidRPr="001C64D6">
        <w:t>Due to the impact of COVID-19</w:t>
      </w:r>
      <w:r w:rsidR="001C64D6">
        <w:t>, it has been confirmed that</w:t>
      </w:r>
      <w:r w:rsidR="001C64D6" w:rsidRPr="001C64D6">
        <w:t xml:space="preserve"> the </w:t>
      </w:r>
      <w:proofErr w:type="spellStart"/>
      <w:r w:rsidR="001C64D6" w:rsidRPr="001C64D6">
        <w:t>HTAi</w:t>
      </w:r>
      <w:proofErr w:type="spellEnd"/>
      <w:r w:rsidR="001C64D6" w:rsidRPr="001C64D6">
        <w:t xml:space="preserve"> 2021 Annual Meeting will move to a virtual format. </w:t>
      </w:r>
      <w:r w:rsidR="00EA1CD5">
        <w:t xml:space="preserve">We are working closely with </w:t>
      </w:r>
      <w:proofErr w:type="spellStart"/>
      <w:r w:rsidR="001C64D6" w:rsidRPr="001C64D6">
        <w:t>HTAi</w:t>
      </w:r>
      <w:proofErr w:type="spellEnd"/>
      <w:r w:rsidR="001C64D6" w:rsidRPr="001C64D6">
        <w:t xml:space="preserve"> </w:t>
      </w:r>
      <w:r w:rsidR="00EA1CD5">
        <w:t xml:space="preserve">on the arrangements </w:t>
      </w:r>
      <w:r w:rsidR="001C64D6" w:rsidRPr="001C64D6">
        <w:t>for a virtual meeting</w:t>
      </w:r>
      <w:r w:rsidR="00EA1CD5">
        <w:t xml:space="preserve">, including opportunities to showcase NICE's work and that of the other host organisations (Health Improvement Scotland and the </w:t>
      </w:r>
      <w:proofErr w:type="gramStart"/>
      <w:r w:rsidR="00EA1CD5">
        <w:t>All Wales</w:t>
      </w:r>
      <w:proofErr w:type="gramEnd"/>
      <w:r w:rsidR="00EA1CD5">
        <w:t xml:space="preserve"> Therapeutics and Toxicology Centre)</w:t>
      </w:r>
      <w:r w:rsidR="001C64D6">
        <w:t>.</w:t>
      </w:r>
    </w:p>
    <w:p w14:paraId="10F324A1" w14:textId="77777777" w:rsidR="006604CD" w:rsidRPr="006604CD" w:rsidRDefault="006604CD" w:rsidP="006604CD">
      <w:pPr>
        <w:pStyle w:val="Heading1boardreport"/>
      </w:pPr>
      <w:r>
        <w:lastRenderedPageBreak/>
        <w:t>Key risk</w:t>
      </w:r>
    </w:p>
    <w:p w14:paraId="11A7040C" w14:textId="637E1259" w:rsidR="00CF729E" w:rsidRDefault="00C045CA" w:rsidP="00126987">
      <w:pPr>
        <w:pStyle w:val="NICEnormalnumbered"/>
      </w:pPr>
      <w:r w:rsidRPr="00C045CA">
        <w:t xml:space="preserve">We are unable to adequately respond to the opportunities for collaboration with system partners, including </w:t>
      </w:r>
      <w:r>
        <w:t xml:space="preserve">the AAC, </w:t>
      </w:r>
      <w:r w:rsidRPr="00C045CA">
        <w:t>MHRA, NHSE&amp;I, NIHR and NHSX to support future regulatory and health technology assessment offers due to a lack of capacity.</w:t>
      </w:r>
    </w:p>
    <w:p w14:paraId="7692BDC4" w14:textId="6CAEC12A" w:rsidR="00CF729E" w:rsidRDefault="00CF729E" w:rsidP="00CF729E">
      <w:pPr>
        <w:pStyle w:val="Heading1boardreport"/>
      </w:pPr>
      <w:r>
        <w:t>Non-guidance outputs</w:t>
      </w:r>
    </w:p>
    <w:p w14:paraId="073560AC" w14:textId="5CB8FC03" w:rsidR="00CF729E" w:rsidRPr="00CF729E" w:rsidRDefault="00CF729E" w:rsidP="00CF729E">
      <w:pPr>
        <w:pStyle w:val="NICEnormalnumbered"/>
      </w:pPr>
      <w:r>
        <w:t>Figure 1 presents non-guidance outputs of programmes of work within the centre. Variation in budget impact assessment</w:t>
      </w:r>
      <w:r w:rsidR="00070A80">
        <w:t>s</w:t>
      </w:r>
      <w:r>
        <w:t xml:space="preserve"> and commercial briefings are the result of in year fluctuations</w:t>
      </w:r>
      <w:r w:rsidR="00070A80">
        <w:t xml:space="preserve"> in demand rather than issues with performance. Variation in </w:t>
      </w:r>
      <w:r>
        <w:t xml:space="preserve">scientific advice and </w:t>
      </w:r>
      <w:r w:rsidR="00070A80">
        <w:t xml:space="preserve">NICE international are referred to above </w:t>
      </w:r>
      <w:r>
        <w:t>(</w:t>
      </w:r>
      <w:r w:rsidR="00070A80">
        <w:t xml:space="preserve">para </w:t>
      </w:r>
      <w:r>
        <w:t>10</w:t>
      </w:r>
      <w:r w:rsidR="00070A80">
        <w:t>).</w:t>
      </w:r>
    </w:p>
    <w:p w14:paraId="2922056E" w14:textId="292F3EF2" w:rsidR="008B70FF" w:rsidRDefault="00070A80" w:rsidP="003F449F">
      <w:pPr>
        <w:pStyle w:val="Tableheadingboardreport"/>
      </w:pPr>
      <w:r>
        <w:br w:type="page"/>
      </w:r>
      <w:r w:rsidR="008B70FF">
        <w:lastRenderedPageBreak/>
        <w:t>Figure 1</w:t>
      </w:r>
      <w:r w:rsidR="008B70FF" w:rsidRPr="00567A3E">
        <w:t xml:space="preserve"> </w:t>
      </w:r>
      <w:r w:rsidR="008B70FF">
        <w:t xml:space="preserve">Performance against plan for non-guidance outputs in </w:t>
      </w:r>
      <w:r w:rsidR="00AB40C5">
        <w:t>January</w:t>
      </w:r>
      <w:r w:rsidR="008B70FF">
        <w:t xml:space="preserve"> and </w:t>
      </w:r>
      <w:r w:rsidR="00AB40C5">
        <w:t>February</w:t>
      </w:r>
      <w:r w:rsidR="008B70FF">
        <w:t xml:space="preserve"> 202</w:t>
      </w:r>
      <w:r w:rsidR="00AB40C5">
        <w:t>1</w:t>
      </w:r>
    </w:p>
    <w:p w14:paraId="187A703F" w14:textId="77777777" w:rsidR="008B70FF" w:rsidRDefault="008B70FF" w:rsidP="008B70FF">
      <w:pPr>
        <w:pStyle w:val="NICEnormal"/>
      </w:pPr>
      <w:r w:rsidRPr="008B70FF">
        <w:rPr>
          <w:noProof/>
        </w:rPr>
        <w:drawing>
          <wp:inline distT="0" distB="0" distL="0" distR="0" wp14:anchorId="2CD0555C" wp14:editId="5CC30E3C">
            <wp:extent cx="4999990" cy="4385310"/>
            <wp:effectExtent l="0" t="0" r="10160" b="15240"/>
            <wp:docPr id="1" name="Chart 1">
              <a:extLst xmlns:a="http://schemas.openxmlformats.org/drawingml/2006/main">
                <a:ext uri="{FF2B5EF4-FFF2-40B4-BE49-F238E27FC236}">
                  <a16:creationId xmlns:a16="http://schemas.microsoft.com/office/drawing/2014/main" id="{00000000-0008-0000-0000-00000A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7D643250" w14:textId="545AEBCE" w:rsidR="008920C0" w:rsidRPr="00896BEC" w:rsidRDefault="008920C0" w:rsidP="008C0CEB">
      <w:pPr>
        <w:pStyle w:val="NICEnormalnumbered"/>
        <w:numPr>
          <w:ilvl w:val="0"/>
          <w:numId w:val="0"/>
        </w:numPr>
      </w:pPr>
    </w:p>
    <w:p w14:paraId="7D9B6D15" w14:textId="77777777" w:rsidR="00896BEC" w:rsidRPr="00896BEC" w:rsidRDefault="00896BEC" w:rsidP="00896BEC"/>
    <w:p w14:paraId="03ECB8DD" w14:textId="7485171E" w:rsidR="00896BEC" w:rsidRPr="00070124" w:rsidRDefault="00896BEC" w:rsidP="00896BEC">
      <w:pPr>
        <w:pStyle w:val="NICEnormal"/>
      </w:pPr>
      <w:r w:rsidRPr="00070124">
        <w:t>© NICE</w:t>
      </w:r>
      <w:r>
        <w:t xml:space="preserve"> 202</w:t>
      </w:r>
      <w:r w:rsidR="00AB40C5">
        <w:t>1</w:t>
      </w:r>
      <w:r w:rsidRPr="00070124">
        <w:t xml:space="preserve">. All rights reserved. </w:t>
      </w:r>
      <w:hyperlink r:id="rId10" w:anchor="notice-of-rights" w:history="1">
        <w:r w:rsidRPr="00070124">
          <w:rPr>
            <w:rStyle w:val="Hyperlink"/>
          </w:rPr>
          <w:t>Subject to Notice of rights</w:t>
        </w:r>
      </w:hyperlink>
      <w:r w:rsidRPr="00070124">
        <w:t>.</w:t>
      </w:r>
    </w:p>
    <w:p w14:paraId="05EE7025" w14:textId="67F80B6A" w:rsidR="00EB1C36" w:rsidRDefault="00AB40C5" w:rsidP="00D849DA">
      <w:pPr>
        <w:pStyle w:val="NICEnormal"/>
      </w:pPr>
      <w:r>
        <w:t>March</w:t>
      </w:r>
      <w:r w:rsidR="00896BEC">
        <w:t xml:space="preserve"> 202</w:t>
      </w:r>
      <w:r>
        <w:t>1</w:t>
      </w:r>
    </w:p>
    <w:p w14:paraId="31DAC487" w14:textId="77777777" w:rsidR="00F72F78" w:rsidRPr="00A36575" w:rsidRDefault="00F72F78" w:rsidP="00D849DA">
      <w:pPr>
        <w:pStyle w:val="NICEnormal"/>
      </w:pPr>
    </w:p>
    <w:sectPr w:rsidR="00F72F78" w:rsidRPr="00A36575" w:rsidSect="00617519">
      <w:headerReference w:type="default" r:id="rId11"/>
      <w:footerReference w:type="default" r:id="rId12"/>
      <w:pgSz w:w="11907" w:h="16840" w:code="9"/>
      <w:pgMar w:top="1440" w:right="1797" w:bottom="709"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E978F6" w14:textId="77777777" w:rsidR="00131A31" w:rsidRDefault="00131A31">
      <w:r>
        <w:separator/>
      </w:r>
    </w:p>
  </w:endnote>
  <w:endnote w:type="continuationSeparator" w:id="0">
    <w:p w14:paraId="13C4D871" w14:textId="77777777" w:rsidR="00131A31" w:rsidRDefault="00131A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C5FD71" w14:textId="77777777" w:rsidR="00EB1C36" w:rsidRPr="00BA589F" w:rsidRDefault="00EB1C36" w:rsidP="00C30FD9">
    <w:pPr>
      <w:pStyle w:val="Footer"/>
    </w:pPr>
  </w:p>
  <w:p w14:paraId="2E988024" w14:textId="77777777" w:rsidR="00EB1C36" w:rsidRPr="00BA589F" w:rsidRDefault="00EB1C36" w:rsidP="00BA589F">
    <w:pPr>
      <w:pStyle w:val="Footer"/>
    </w:pPr>
    <w:r w:rsidRPr="00BA589F">
      <w:t>National Institute for Health and Care Excellence</w:t>
    </w:r>
    <w:r w:rsidRPr="00BA589F">
      <w:tab/>
    </w:r>
    <w:r w:rsidR="00D933B0">
      <w:tab/>
    </w:r>
    <w:r w:rsidRPr="00BA589F">
      <w:t xml:space="preserve">Page </w:t>
    </w:r>
    <w:r w:rsidRPr="00BA589F">
      <w:fldChar w:fldCharType="begin"/>
    </w:r>
    <w:r w:rsidRPr="00BA589F">
      <w:instrText xml:space="preserve"> PAGE  \* Arabic  \* MERGEFORMAT </w:instrText>
    </w:r>
    <w:r w:rsidRPr="00BA589F">
      <w:fldChar w:fldCharType="separate"/>
    </w:r>
    <w:r w:rsidRPr="00BA589F">
      <w:t>7</w:t>
    </w:r>
    <w:r w:rsidRPr="00BA589F">
      <w:fldChar w:fldCharType="end"/>
    </w:r>
    <w:r w:rsidRPr="00BA589F">
      <w:t xml:space="preserve"> of </w:t>
    </w:r>
    <w:r w:rsidR="002872FD">
      <w:fldChar w:fldCharType="begin"/>
    </w:r>
    <w:r w:rsidR="002872FD">
      <w:instrText xml:space="preserve"> NUMPAGES  \* Arabic  \* </w:instrText>
    </w:r>
    <w:r w:rsidR="002872FD">
      <w:instrText xml:space="preserve">MERGEFORMAT </w:instrText>
    </w:r>
    <w:r w:rsidR="002872FD">
      <w:fldChar w:fldCharType="separate"/>
    </w:r>
    <w:r w:rsidRPr="00BA589F">
      <w:t>7</w:t>
    </w:r>
    <w:r w:rsidR="002872FD">
      <w:fldChar w:fldCharType="end"/>
    </w:r>
  </w:p>
  <w:p w14:paraId="2B789F60" w14:textId="18CBB8F7" w:rsidR="00EB1C36" w:rsidRPr="005921EC" w:rsidRDefault="005921EC" w:rsidP="00CF7AE3">
    <w:pPr>
      <w:pStyle w:val="Footer"/>
    </w:pPr>
    <w:r w:rsidRPr="005921EC">
      <w:t xml:space="preserve">Centre for Health Technology Evaluation progress report </w:t>
    </w:r>
  </w:p>
  <w:p w14:paraId="4D86E57D" w14:textId="5B34BB08" w:rsidR="00EB1C36" w:rsidRPr="005921EC" w:rsidRDefault="005921EC" w:rsidP="00DD58F8">
    <w:pPr>
      <w:pStyle w:val="Footer"/>
    </w:pPr>
    <w:r w:rsidRPr="005921EC">
      <w:t xml:space="preserve">Date: 24 March 2021 </w:t>
    </w:r>
  </w:p>
  <w:p w14:paraId="4B1ECE6A" w14:textId="2C2DDE18" w:rsidR="00EB1C36" w:rsidRPr="00BA589F" w:rsidRDefault="00EB1C36" w:rsidP="00DD58F8">
    <w:pPr>
      <w:pStyle w:val="Footer"/>
    </w:pPr>
    <w:r w:rsidRPr="005921EC">
      <w:t>Reference</w:t>
    </w:r>
    <w:r w:rsidR="005921EC" w:rsidRPr="005921EC">
      <w:t>: 21/02</w:t>
    </w:r>
    <w:r w:rsidR="003F449F">
      <w:t>5</w:t>
    </w:r>
    <w:r w:rsidR="005921EC" w:rsidRPr="005921EC">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0676D1" w14:textId="77777777" w:rsidR="00131A31" w:rsidRDefault="00131A31">
      <w:r>
        <w:separator/>
      </w:r>
    </w:p>
  </w:footnote>
  <w:footnote w:type="continuationSeparator" w:id="0">
    <w:p w14:paraId="1EB4824B" w14:textId="77777777" w:rsidR="00131A31" w:rsidRDefault="00131A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AD9C72" w14:textId="068DD553" w:rsidR="00EB1C36" w:rsidRPr="002F15CF" w:rsidRDefault="002F15CF" w:rsidP="002F15CF">
    <w:pPr>
      <w:pStyle w:val="Header"/>
      <w:ind w:left="0"/>
      <w:jc w:val="right"/>
    </w:pPr>
    <w:r w:rsidRPr="00F07534">
      <w:t xml:space="preserve">Item </w:t>
    </w:r>
    <w:r w:rsidR="005921EC">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EAFECE0C"/>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600232"/>
    <w:multiLevelType w:val="hybridMultilevel"/>
    <w:tmpl w:val="D64A4FE6"/>
    <w:lvl w:ilvl="0" w:tplc="084E12C8">
      <w:start w:val="1"/>
      <w:numFmt w:val="decimal"/>
      <w:pStyle w:val="AppendixBheading"/>
      <w:lvlText w:val="B%1"/>
      <w:lvlJc w:val="left"/>
      <w:pPr>
        <w:ind w:left="720" w:hanging="360"/>
      </w:pPr>
      <w:rPr>
        <w:rFonts w:hint="default"/>
        <w:b w:val="0"/>
        <w:i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9D0FAC"/>
    <w:multiLevelType w:val="multilevel"/>
    <w:tmpl w:val="72188DC4"/>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3" w15:restartNumberingAfterBreak="0">
    <w:nsid w:val="0B377270"/>
    <w:multiLevelType w:val="multilevel"/>
    <w:tmpl w:val="2B6892E8"/>
    <w:lvl w:ilvl="0">
      <w:start w:val="1"/>
      <w:numFmt w:val="bullet"/>
      <w:lvlText w:val=""/>
      <w:lvlJc w:val="left"/>
      <w:pPr>
        <w:tabs>
          <w:tab w:val="num" w:pos="284"/>
        </w:tabs>
        <w:ind w:left="284" w:hanging="284"/>
      </w:pPr>
      <w:rPr>
        <w:rFonts w:ascii="Symbol" w:hAnsi="Symbol" w:hint="default"/>
        <w:color w:val="auto"/>
      </w:rPr>
    </w:lvl>
    <w:lvl w:ilvl="1">
      <w:start w:val="1"/>
      <w:numFmt w:val="bullet"/>
      <w:pStyle w:val="Bulletleft2"/>
      <w:lvlText w:val=""/>
      <w:lvlJc w:val="left"/>
      <w:pPr>
        <w:tabs>
          <w:tab w:val="num" w:pos="567"/>
        </w:tabs>
        <w:ind w:left="567" w:hanging="283"/>
      </w:pPr>
      <w:rPr>
        <w:rFonts w:ascii="Symbol" w:hAnsi="Symbol" w:hint="default"/>
      </w:rPr>
    </w:lvl>
    <w:lvl w:ilvl="2">
      <w:start w:val="1"/>
      <w:numFmt w:val="bullet"/>
      <w:lvlText w:val=""/>
      <w:lvlJc w:val="left"/>
      <w:pPr>
        <w:tabs>
          <w:tab w:val="num" w:pos="1364"/>
        </w:tabs>
        <w:ind w:left="1364" w:hanging="360"/>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4" w15:restartNumberingAfterBreak="0">
    <w:nsid w:val="11B15797"/>
    <w:multiLevelType w:val="hybridMultilevel"/>
    <w:tmpl w:val="6BA6316C"/>
    <w:lvl w:ilvl="0" w:tplc="7F9E7226">
      <w:start w:val="1"/>
      <w:numFmt w:val="decimal"/>
      <w:pStyle w:val="Paragraph"/>
      <w:lvlText w:val="%1."/>
      <w:lvlJc w:val="left"/>
      <w:pPr>
        <w:ind w:left="644"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5017405"/>
    <w:multiLevelType w:val="multilevel"/>
    <w:tmpl w:val="B0A899F0"/>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6" w15:restartNumberingAfterBreak="0">
    <w:nsid w:val="1714208E"/>
    <w:multiLevelType w:val="hybridMultilevel"/>
    <w:tmpl w:val="301AA3CE"/>
    <w:lvl w:ilvl="0" w:tplc="B17A49EE">
      <w:start w:val="1"/>
      <w:numFmt w:val="lowerLetter"/>
      <w:pStyle w:val="Section21paragraphs"/>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8DD126E"/>
    <w:multiLevelType w:val="hybridMultilevel"/>
    <w:tmpl w:val="55BA164C"/>
    <w:lvl w:ilvl="0" w:tplc="C2D2877C">
      <w:start w:val="1"/>
      <w:numFmt w:val="lowerLetter"/>
      <w:pStyle w:val="Section4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1B8D3711"/>
    <w:multiLevelType w:val="hybridMultilevel"/>
    <w:tmpl w:val="12EE7D60"/>
    <w:lvl w:ilvl="0" w:tplc="C6A8CC88">
      <w:start w:val="4"/>
      <w:numFmt w:val="bullet"/>
      <w:pStyle w:val="Bulletleft1last"/>
      <w:lvlText w:val=""/>
      <w:lvlJc w:val="left"/>
      <w:pPr>
        <w:tabs>
          <w:tab w:val="num" w:pos="284"/>
        </w:tabs>
        <w:ind w:left="284" w:hanging="284"/>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2C22BA8"/>
    <w:multiLevelType w:val="hybridMultilevel"/>
    <w:tmpl w:val="191A4934"/>
    <w:lvl w:ilvl="0" w:tplc="E7C28008">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37F707D"/>
    <w:multiLevelType w:val="hybridMultilevel"/>
    <w:tmpl w:val="B01CC2F0"/>
    <w:lvl w:ilvl="0" w:tplc="E2649A9E">
      <w:start w:val="1"/>
      <w:numFmt w:val="upperLetter"/>
      <w:pStyle w:val="Appendixlevel1"/>
      <w:lvlText w:val="%1"/>
      <w:lvlJc w:val="left"/>
      <w:pPr>
        <w:tabs>
          <w:tab w:val="num" w:pos="567"/>
        </w:tabs>
        <w:ind w:left="567" w:hanging="567"/>
      </w:pPr>
      <w:rPr>
        <w:rFonts w:ascii="Arial" w:hAnsi="Arial" w:hint="default"/>
        <w:b w:val="0"/>
        <w:i w:val="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29CC3584"/>
    <w:multiLevelType w:val="multilevel"/>
    <w:tmpl w:val="721069A2"/>
    <w:lvl w:ilvl="0">
      <w:start w:val="1"/>
      <w:numFmt w:val="decimal"/>
      <w:pStyle w:val="Numberedheading1"/>
      <w:lvlText w:val="%1"/>
      <w:lvlJc w:val="left"/>
      <w:pPr>
        <w:tabs>
          <w:tab w:val="num" w:pos="1134"/>
        </w:tabs>
        <w:ind w:left="1134" w:hanging="1134"/>
      </w:pPr>
      <w:rPr>
        <w:rFonts w:hint="default"/>
      </w:rPr>
    </w:lvl>
    <w:lvl w:ilvl="1">
      <w:start w:val="1"/>
      <w:numFmt w:val="decimal"/>
      <w:pStyle w:val="Numberedheading2"/>
      <w:lvlText w:val="%1.%2"/>
      <w:lvlJc w:val="left"/>
      <w:pPr>
        <w:tabs>
          <w:tab w:val="num" w:pos="1134"/>
        </w:tabs>
        <w:ind w:left="1134" w:hanging="1134"/>
      </w:pPr>
      <w:rPr>
        <w:rFonts w:hint="default"/>
      </w:rPr>
    </w:lvl>
    <w:lvl w:ilvl="2">
      <w:start w:val="1"/>
      <w:numFmt w:val="decimal"/>
      <w:pStyle w:val="Numberedheading3"/>
      <w:lvlText w:val="%1.%2.%3"/>
      <w:lvlJc w:val="left"/>
      <w:pPr>
        <w:tabs>
          <w:tab w:val="num" w:pos="1134"/>
        </w:tabs>
        <w:ind w:left="1134" w:hanging="1134"/>
      </w:pPr>
      <w:rPr>
        <w:rFonts w:hint="default"/>
      </w:rPr>
    </w:lvl>
    <w:lvl w:ilvl="3">
      <w:start w:val="1"/>
      <w:numFmt w:val="decimal"/>
      <w:pStyle w:val="Numberedlevel4text"/>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3" w15:restartNumberingAfterBreak="0">
    <w:nsid w:val="2C9057BE"/>
    <w:multiLevelType w:val="hybridMultilevel"/>
    <w:tmpl w:val="D00ACD5C"/>
    <w:lvl w:ilvl="0" w:tplc="20582D18">
      <w:start w:val="1"/>
      <w:numFmt w:val="lowerLetter"/>
      <w:pStyle w:val="Section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34526E2E"/>
    <w:multiLevelType w:val="hybridMultilevel"/>
    <w:tmpl w:val="5EB82B2A"/>
    <w:lvl w:ilvl="0" w:tplc="C824C56C">
      <w:start w:val="1"/>
      <w:numFmt w:val="lowerLetter"/>
      <w:pStyle w:val="Section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37BD105E"/>
    <w:multiLevelType w:val="hybridMultilevel"/>
    <w:tmpl w:val="47001F08"/>
    <w:lvl w:ilvl="0" w:tplc="50AA0F7C">
      <w:start w:val="1"/>
      <w:numFmt w:val="lowerLetter"/>
      <w:pStyle w:val="Section411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441B7135"/>
    <w:multiLevelType w:val="multilevel"/>
    <w:tmpl w:val="5ACC9930"/>
    <w:lvl w:ilvl="0">
      <w:start w:val="1"/>
      <w:numFmt w:val="bullet"/>
      <w:lvlText w:val=""/>
      <w:lvlJc w:val="left"/>
      <w:pPr>
        <w:tabs>
          <w:tab w:val="num" w:pos="1418"/>
        </w:tabs>
        <w:ind w:left="1418" w:hanging="284"/>
      </w:pPr>
      <w:rPr>
        <w:rFonts w:ascii="Symbol" w:hAnsi="Symbol" w:hint="default"/>
        <w:color w:val="auto"/>
      </w:rPr>
    </w:lvl>
    <w:lvl w:ilvl="1">
      <w:start w:val="1"/>
      <w:numFmt w:val="bullet"/>
      <w:pStyle w:val="Bulletindent2"/>
      <w:lvlText w:val=""/>
      <w:lvlJc w:val="left"/>
      <w:pPr>
        <w:tabs>
          <w:tab w:val="num" w:pos="1701"/>
        </w:tabs>
        <w:ind w:left="1701" w:hanging="283"/>
      </w:pPr>
      <w:rPr>
        <w:rFonts w:ascii="Symbol" w:hAnsi="Symbol" w:hint="default"/>
      </w:rPr>
    </w:lvl>
    <w:lvl w:ilvl="2">
      <w:start w:val="1"/>
      <w:numFmt w:val="decimal"/>
      <w:lvlText w:val="%3.%1.%2"/>
      <w:lvlJc w:val="left"/>
      <w:pPr>
        <w:tabs>
          <w:tab w:val="num" w:pos="1968"/>
        </w:tabs>
        <w:ind w:left="1968" w:hanging="964"/>
      </w:pPr>
      <w:rPr>
        <w:rFonts w:hint="default"/>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7" w15:restartNumberingAfterBreak="0">
    <w:nsid w:val="470E2489"/>
    <w:multiLevelType w:val="multilevel"/>
    <w:tmpl w:val="CF7423B4"/>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pStyle w:val="Bulletindent3"/>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8" w15:restartNumberingAfterBreak="0">
    <w:nsid w:val="4ABD783C"/>
    <w:multiLevelType w:val="hybridMultilevel"/>
    <w:tmpl w:val="D62A8D68"/>
    <w:lvl w:ilvl="0" w:tplc="9B3CE8E0">
      <w:start w:val="1"/>
      <w:numFmt w:val="upperRoman"/>
      <w:pStyle w:val="Appendixlevel2"/>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515A3F96"/>
    <w:multiLevelType w:val="hybridMultilevel"/>
    <w:tmpl w:val="44A27922"/>
    <w:lvl w:ilvl="0" w:tplc="D87233D4">
      <w:start w:val="1"/>
      <w:numFmt w:val="lowerLetter"/>
      <w:pStyle w:val="Section41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543841DF"/>
    <w:multiLevelType w:val="multilevel"/>
    <w:tmpl w:val="0809001D"/>
    <w:name w:val="numberedheadings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588F36E6"/>
    <w:multiLevelType w:val="hybridMultilevel"/>
    <w:tmpl w:val="14320908"/>
    <w:lvl w:ilvl="0" w:tplc="4EEC47A6">
      <w:start w:val="1"/>
      <w:numFmt w:val="bullet"/>
      <w:pStyle w:val="Appendixbullet"/>
      <w:lvlText w:val=""/>
      <w:lvlJc w:val="left"/>
      <w:pPr>
        <w:tabs>
          <w:tab w:val="num" w:pos="1701"/>
        </w:tabs>
        <w:ind w:left="1701" w:hanging="567"/>
      </w:pPr>
      <w:rPr>
        <w:rFonts w:ascii="Symbol" w:hAnsi="Symbol" w:hint="default"/>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C533504"/>
    <w:multiLevelType w:val="hybridMultilevel"/>
    <w:tmpl w:val="6786031A"/>
    <w:lvl w:ilvl="0" w:tplc="44D88410">
      <w:start w:val="1"/>
      <w:numFmt w:val="bullet"/>
      <w:pStyle w:val="Panelbullet1"/>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EB16514"/>
    <w:multiLevelType w:val="hybridMultilevel"/>
    <w:tmpl w:val="0D1C6444"/>
    <w:lvl w:ilvl="0" w:tplc="25CE9C96">
      <w:start w:val="1"/>
      <w:numFmt w:val="lowerLetter"/>
      <w:pStyle w:val="Section4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15:restartNumberingAfterBreak="0">
    <w:nsid w:val="65D90110"/>
    <w:multiLevelType w:val="hybridMultilevel"/>
    <w:tmpl w:val="E3141BBA"/>
    <w:lvl w:ilvl="0" w:tplc="0DA2811C">
      <w:start w:val="1"/>
      <w:numFmt w:val="bullet"/>
      <w:pStyle w:val="Tablebullet"/>
      <w:lvlText w:val=""/>
      <w:lvlJc w:val="left"/>
      <w:pPr>
        <w:ind w:left="360" w:hanging="360"/>
      </w:pPr>
      <w:rPr>
        <w:rFonts w:ascii="Symbol" w:hAnsi="Symbol" w:cs="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25" w15:restartNumberingAfterBreak="0">
    <w:nsid w:val="66C20063"/>
    <w:multiLevelType w:val="multilevel"/>
    <w:tmpl w:val="043E412C"/>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pStyle w:val="Bulletleft3"/>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26"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E770260"/>
    <w:multiLevelType w:val="multilevel"/>
    <w:tmpl w:val="0809001D"/>
    <w:name w:val="numberedheadings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3"/>
  </w:num>
  <w:num w:numId="2">
    <w:abstractNumId w:val="25"/>
  </w:num>
  <w:num w:numId="3">
    <w:abstractNumId w:val="16"/>
  </w:num>
  <w:num w:numId="4">
    <w:abstractNumId w:val="17"/>
  </w:num>
  <w:num w:numId="5">
    <w:abstractNumId w:val="5"/>
  </w:num>
  <w:num w:numId="6">
    <w:abstractNumId w:val="8"/>
  </w:num>
  <w:num w:numId="7">
    <w:abstractNumId w:val="13"/>
  </w:num>
  <w:num w:numId="8">
    <w:abstractNumId w:val="15"/>
  </w:num>
  <w:num w:numId="9">
    <w:abstractNumId w:val="19"/>
  </w:num>
  <w:num w:numId="10">
    <w:abstractNumId w:val="7"/>
  </w:num>
  <w:num w:numId="11">
    <w:abstractNumId w:val="23"/>
  </w:num>
  <w:num w:numId="12">
    <w:abstractNumId w:val="11"/>
  </w:num>
  <w:num w:numId="13">
    <w:abstractNumId w:val="18"/>
  </w:num>
  <w:num w:numId="14">
    <w:abstractNumId w:val="21"/>
  </w:num>
  <w:num w:numId="15">
    <w:abstractNumId w:val="12"/>
  </w:num>
  <w:num w:numId="16">
    <w:abstractNumId w:val="1"/>
  </w:num>
  <w:num w:numId="17">
    <w:abstractNumId w:val="2"/>
  </w:num>
  <w:num w:numId="18">
    <w:abstractNumId w:val="9"/>
  </w:num>
  <w:num w:numId="19">
    <w:abstractNumId w:val="14"/>
  </w:num>
  <w:num w:numId="20">
    <w:abstractNumId w:val="6"/>
  </w:num>
  <w:num w:numId="21">
    <w:abstractNumId w:val="24"/>
  </w:num>
  <w:num w:numId="22">
    <w:abstractNumId w:val="22"/>
  </w:num>
  <w:num w:numId="23">
    <w:abstractNumId w:val="26"/>
  </w:num>
  <w:num w:numId="24">
    <w:abstractNumId w:val="10"/>
  </w:num>
  <w:num w:numId="25">
    <w:abstractNumId w:val="4"/>
  </w:num>
  <w:num w:numId="26">
    <w:abstractNumId w:val="4"/>
    <w:lvlOverride w:ilvl="0">
      <w:startOverride w:val="1"/>
    </w:lvlOverride>
  </w:num>
  <w:num w:numId="27">
    <w:abstractNumId w:val="0"/>
  </w:num>
  <w:num w:numId="28">
    <w:abstractNumId w:val="4"/>
    <w:lvlOverride w:ilvl="0">
      <w:startOverride w:val="1"/>
    </w:lvlOverride>
  </w:num>
  <w:num w:numId="2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
    <w:lvlOverride w:ilvl="0">
      <w:startOverride w:val="1"/>
    </w:lvlOverride>
  </w:num>
  <w:num w:numId="31">
    <w:abstractNumId w:val="4"/>
    <w:lvlOverride w:ilvl="0">
      <w:startOverride w:val="1"/>
    </w:lvlOverride>
  </w:num>
  <w:num w:numId="32">
    <w:abstractNumId w:val="4"/>
    <w:lvlOverride w:ilvl="0">
      <w:startOverride w:val="1"/>
    </w:lvlOverride>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displayBackgroundShape/>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formatting="1" w:enforcement="1"/>
  <w:defaultTabStop w:val="720"/>
  <w:characterSpacingControl w:val="doNotCompress"/>
  <w:hdrShapeDefaults>
    <o:shapedefaults v:ext="edit" spidmax="6145">
      <o:colormru v:ext="edit" colors="#f06"/>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1A31"/>
    <w:rsid w:val="000119FB"/>
    <w:rsid w:val="00015708"/>
    <w:rsid w:val="000242AA"/>
    <w:rsid w:val="00027A59"/>
    <w:rsid w:val="0005401A"/>
    <w:rsid w:val="00060C44"/>
    <w:rsid w:val="00070A80"/>
    <w:rsid w:val="00072750"/>
    <w:rsid w:val="00073387"/>
    <w:rsid w:val="000910C0"/>
    <w:rsid w:val="00093A16"/>
    <w:rsid w:val="000A1EC0"/>
    <w:rsid w:val="000C4168"/>
    <w:rsid w:val="000E6C5F"/>
    <w:rsid w:val="000E7DE4"/>
    <w:rsid w:val="000F2C67"/>
    <w:rsid w:val="00101F34"/>
    <w:rsid w:val="001172E1"/>
    <w:rsid w:val="001219F1"/>
    <w:rsid w:val="00123D3F"/>
    <w:rsid w:val="001243E8"/>
    <w:rsid w:val="001267BD"/>
    <w:rsid w:val="00131A31"/>
    <w:rsid w:val="00131EB8"/>
    <w:rsid w:val="00151A5B"/>
    <w:rsid w:val="00161AA0"/>
    <w:rsid w:val="00165592"/>
    <w:rsid w:val="00192FD8"/>
    <w:rsid w:val="001A59AC"/>
    <w:rsid w:val="001B0506"/>
    <w:rsid w:val="001C032E"/>
    <w:rsid w:val="001C64D6"/>
    <w:rsid w:val="001F50E4"/>
    <w:rsid w:val="002155A8"/>
    <w:rsid w:val="002169E7"/>
    <w:rsid w:val="00234709"/>
    <w:rsid w:val="00235CAB"/>
    <w:rsid w:val="00243066"/>
    <w:rsid w:val="00251D56"/>
    <w:rsid w:val="002526E6"/>
    <w:rsid w:val="002527AE"/>
    <w:rsid w:val="002535B1"/>
    <w:rsid w:val="00280D9F"/>
    <w:rsid w:val="002872FD"/>
    <w:rsid w:val="00290207"/>
    <w:rsid w:val="00290F2E"/>
    <w:rsid w:val="002955CD"/>
    <w:rsid w:val="002A3712"/>
    <w:rsid w:val="002C3FAA"/>
    <w:rsid w:val="002C5384"/>
    <w:rsid w:val="002C7FFB"/>
    <w:rsid w:val="002D0B49"/>
    <w:rsid w:val="002F15CF"/>
    <w:rsid w:val="002F3ED0"/>
    <w:rsid w:val="00313B28"/>
    <w:rsid w:val="0031664C"/>
    <w:rsid w:val="00321851"/>
    <w:rsid w:val="00324F55"/>
    <w:rsid w:val="003330E6"/>
    <w:rsid w:val="00353D3E"/>
    <w:rsid w:val="00362226"/>
    <w:rsid w:val="00366F26"/>
    <w:rsid w:val="003740BE"/>
    <w:rsid w:val="00377036"/>
    <w:rsid w:val="00377E36"/>
    <w:rsid w:val="00393EE8"/>
    <w:rsid w:val="003A36A1"/>
    <w:rsid w:val="003A6417"/>
    <w:rsid w:val="003B1379"/>
    <w:rsid w:val="003C3328"/>
    <w:rsid w:val="003C36AC"/>
    <w:rsid w:val="003D3066"/>
    <w:rsid w:val="003D7922"/>
    <w:rsid w:val="003F449F"/>
    <w:rsid w:val="004005F2"/>
    <w:rsid w:val="004250F7"/>
    <w:rsid w:val="00431825"/>
    <w:rsid w:val="004519B2"/>
    <w:rsid w:val="00461876"/>
    <w:rsid w:val="00461997"/>
    <w:rsid w:val="00463122"/>
    <w:rsid w:val="004820E9"/>
    <w:rsid w:val="0048361F"/>
    <w:rsid w:val="00484FE9"/>
    <w:rsid w:val="0048546D"/>
    <w:rsid w:val="00485B88"/>
    <w:rsid w:val="004914C0"/>
    <w:rsid w:val="0049360B"/>
    <w:rsid w:val="004B514C"/>
    <w:rsid w:val="004C17BB"/>
    <w:rsid w:val="004D22F4"/>
    <w:rsid w:val="004D2D4E"/>
    <w:rsid w:val="004E2FAD"/>
    <w:rsid w:val="0050533B"/>
    <w:rsid w:val="005060FD"/>
    <w:rsid w:val="005166B1"/>
    <w:rsid w:val="00522ABF"/>
    <w:rsid w:val="00526C07"/>
    <w:rsid w:val="0053387C"/>
    <w:rsid w:val="00534EE0"/>
    <w:rsid w:val="00551A2D"/>
    <w:rsid w:val="005611D8"/>
    <w:rsid w:val="00562D7A"/>
    <w:rsid w:val="005860F4"/>
    <w:rsid w:val="005866B1"/>
    <w:rsid w:val="005921EC"/>
    <w:rsid w:val="005A0A04"/>
    <w:rsid w:val="005A5E10"/>
    <w:rsid w:val="005B0290"/>
    <w:rsid w:val="005C051F"/>
    <w:rsid w:val="005C26B7"/>
    <w:rsid w:val="005C762E"/>
    <w:rsid w:val="005D098C"/>
    <w:rsid w:val="00603E56"/>
    <w:rsid w:val="0060662A"/>
    <w:rsid w:val="00612324"/>
    <w:rsid w:val="00614BDA"/>
    <w:rsid w:val="006166E3"/>
    <w:rsid w:val="00617519"/>
    <w:rsid w:val="006314CF"/>
    <w:rsid w:val="006331B4"/>
    <w:rsid w:val="006343F3"/>
    <w:rsid w:val="00634998"/>
    <w:rsid w:val="00642906"/>
    <w:rsid w:val="006571D4"/>
    <w:rsid w:val="006604CD"/>
    <w:rsid w:val="00680B94"/>
    <w:rsid w:val="006855F2"/>
    <w:rsid w:val="0068739F"/>
    <w:rsid w:val="006A02E5"/>
    <w:rsid w:val="006A721F"/>
    <w:rsid w:val="006D73F1"/>
    <w:rsid w:val="006F2A50"/>
    <w:rsid w:val="006F56EB"/>
    <w:rsid w:val="00700992"/>
    <w:rsid w:val="00715EE6"/>
    <w:rsid w:val="007277C3"/>
    <w:rsid w:val="00732519"/>
    <w:rsid w:val="00737F9C"/>
    <w:rsid w:val="00741178"/>
    <w:rsid w:val="007462BA"/>
    <w:rsid w:val="00766B74"/>
    <w:rsid w:val="0077729F"/>
    <w:rsid w:val="00777E31"/>
    <w:rsid w:val="0079529F"/>
    <w:rsid w:val="007A174B"/>
    <w:rsid w:val="007A2616"/>
    <w:rsid w:val="007A4EEE"/>
    <w:rsid w:val="007B031A"/>
    <w:rsid w:val="007C5354"/>
    <w:rsid w:val="007C766D"/>
    <w:rsid w:val="007E0E52"/>
    <w:rsid w:val="007F388C"/>
    <w:rsid w:val="00815D17"/>
    <w:rsid w:val="0081723D"/>
    <w:rsid w:val="00830448"/>
    <w:rsid w:val="00831630"/>
    <w:rsid w:val="008505C3"/>
    <w:rsid w:val="00862C0C"/>
    <w:rsid w:val="00877441"/>
    <w:rsid w:val="00880EA9"/>
    <w:rsid w:val="008853CB"/>
    <w:rsid w:val="008920C0"/>
    <w:rsid w:val="00892675"/>
    <w:rsid w:val="00896BEC"/>
    <w:rsid w:val="008A3CB5"/>
    <w:rsid w:val="008A6557"/>
    <w:rsid w:val="008B70FF"/>
    <w:rsid w:val="008C0CEB"/>
    <w:rsid w:val="008C782E"/>
    <w:rsid w:val="008D6069"/>
    <w:rsid w:val="008E7585"/>
    <w:rsid w:val="00921354"/>
    <w:rsid w:val="00926692"/>
    <w:rsid w:val="009345D3"/>
    <w:rsid w:val="0094366C"/>
    <w:rsid w:val="00953ADF"/>
    <w:rsid w:val="00971131"/>
    <w:rsid w:val="009741E6"/>
    <w:rsid w:val="009809F4"/>
    <w:rsid w:val="009871F3"/>
    <w:rsid w:val="009A0289"/>
    <w:rsid w:val="009B621A"/>
    <w:rsid w:val="009B6630"/>
    <w:rsid w:val="009C45D9"/>
    <w:rsid w:val="009C76BD"/>
    <w:rsid w:val="009D1518"/>
    <w:rsid w:val="009E2002"/>
    <w:rsid w:val="00A06657"/>
    <w:rsid w:val="00A10E62"/>
    <w:rsid w:val="00A149E0"/>
    <w:rsid w:val="00A24C1C"/>
    <w:rsid w:val="00A25D2D"/>
    <w:rsid w:val="00A3098D"/>
    <w:rsid w:val="00A36575"/>
    <w:rsid w:val="00A37D97"/>
    <w:rsid w:val="00A433EF"/>
    <w:rsid w:val="00A67A76"/>
    <w:rsid w:val="00A732AB"/>
    <w:rsid w:val="00A77B29"/>
    <w:rsid w:val="00A86D3D"/>
    <w:rsid w:val="00A956DE"/>
    <w:rsid w:val="00A96834"/>
    <w:rsid w:val="00AA3D4C"/>
    <w:rsid w:val="00AB2948"/>
    <w:rsid w:val="00AB39FA"/>
    <w:rsid w:val="00AB40C5"/>
    <w:rsid w:val="00AD2FA2"/>
    <w:rsid w:val="00AD51D5"/>
    <w:rsid w:val="00AD5CB7"/>
    <w:rsid w:val="00AD5E0B"/>
    <w:rsid w:val="00AD6933"/>
    <w:rsid w:val="00AD6B7B"/>
    <w:rsid w:val="00AE4E75"/>
    <w:rsid w:val="00B03F71"/>
    <w:rsid w:val="00B15262"/>
    <w:rsid w:val="00B20E00"/>
    <w:rsid w:val="00B25A9B"/>
    <w:rsid w:val="00B34044"/>
    <w:rsid w:val="00B54481"/>
    <w:rsid w:val="00B60D70"/>
    <w:rsid w:val="00B84BC1"/>
    <w:rsid w:val="00BA0179"/>
    <w:rsid w:val="00BA51EA"/>
    <w:rsid w:val="00BA589F"/>
    <w:rsid w:val="00BB047B"/>
    <w:rsid w:val="00BB3C8F"/>
    <w:rsid w:val="00BB6398"/>
    <w:rsid w:val="00BC0E86"/>
    <w:rsid w:val="00BD0372"/>
    <w:rsid w:val="00BD246E"/>
    <w:rsid w:val="00BD6168"/>
    <w:rsid w:val="00BD773D"/>
    <w:rsid w:val="00BE3F01"/>
    <w:rsid w:val="00BF4768"/>
    <w:rsid w:val="00C045CA"/>
    <w:rsid w:val="00C12895"/>
    <w:rsid w:val="00C139CA"/>
    <w:rsid w:val="00C433C5"/>
    <w:rsid w:val="00C449F6"/>
    <w:rsid w:val="00C51429"/>
    <w:rsid w:val="00C826A4"/>
    <w:rsid w:val="00C82D33"/>
    <w:rsid w:val="00C870E9"/>
    <w:rsid w:val="00CA3397"/>
    <w:rsid w:val="00CA33E1"/>
    <w:rsid w:val="00CB095E"/>
    <w:rsid w:val="00CB6BEB"/>
    <w:rsid w:val="00CE7855"/>
    <w:rsid w:val="00CF729E"/>
    <w:rsid w:val="00D3612A"/>
    <w:rsid w:val="00D37703"/>
    <w:rsid w:val="00D37F25"/>
    <w:rsid w:val="00D453F6"/>
    <w:rsid w:val="00D60D8D"/>
    <w:rsid w:val="00D64D49"/>
    <w:rsid w:val="00D73356"/>
    <w:rsid w:val="00D73C98"/>
    <w:rsid w:val="00D849DA"/>
    <w:rsid w:val="00D90C36"/>
    <w:rsid w:val="00D933B0"/>
    <w:rsid w:val="00DA11DD"/>
    <w:rsid w:val="00DC0120"/>
    <w:rsid w:val="00DE643F"/>
    <w:rsid w:val="00E00844"/>
    <w:rsid w:val="00E11B61"/>
    <w:rsid w:val="00E2497B"/>
    <w:rsid w:val="00E2509B"/>
    <w:rsid w:val="00E4622C"/>
    <w:rsid w:val="00E46571"/>
    <w:rsid w:val="00E51FFB"/>
    <w:rsid w:val="00E53657"/>
    <w:rsid w:val="00E57EB7"/>
    <w:rsid w:val="00E63855"/>
    <w:rsid w:val="00E9107D"/>
    <w:rsid w:val="00EA1CD5"/>
    <w:rsid w:val="00EA45A2"/>
    <w:rsid w:val="00EA6474"/>
    <w:rsid w:val="00EB03BB"/>
    <w:rsid w:val="00EB1C36"/>
    <w:rsid w:val="00EB4561"/>
    <w:rsid w:val="00EE2EB2"/>
    <w:rsid w:val="00EE406C"/>
    <w:rsid w:val="00EF14D1"/>
    <w:rsid w:val="00F02BC9"/>
    <w:rsid w:val="00F0471A"/>
    <w:rsid w:val="00F07534"/>
    <w:rsid w:val="00F17BD6"/>
    <w:rsid w:val="00F17C82"/>
    <w:rsid w:val="00F26A9F"/>
    <w:rsid w:val="00F26E68"/>
    <w:rsid w:val="00F33119"/>
    <w:rsid w:val="00F33D68"/>
    <w:rsid w:val="00F50D87"/>
    <w:rsid w:val="00F72F78"/>
    <w:rsid w:val="00F73C47"/>
    <w:rsid w:val="00F81F2C"/>
    <w:rsid w:val="00F82740"/>
    <w:rsid w:val="00F90E63"/>
    <w:rsid w:val="00FA27FD"/>
    <w:rsid w:val="00FA66A6"/>
    <w:rsid w:val="00FA6EE7"/>
    <w:rsid w:val="00FB0AC2"/>
    <w:rsid w:val="00FB47DD"/>
    <w:rsid w:val="00FB73D3"/>
    <w:rsid w:val="00FC6091"/>
    <w:rsid w:val="00FD3318"/>
    <w:rsid w:val="00FD3D3E"/>
    <w:rsid w:val="00FD4756"/>
    <w:rsid w:val="00FF07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colormru v:ext="edit" colors="#f06"/>
    </o:shapedefaults>
    <o:shapelayout v:ext="edit">
      <o:idmap v:ext="edit" data="1"/>
    </o:shapelayout>
  </w:shapeDefaults>
  <w:decimalSymbol w:val="."/>
  <w:listSeparator w:val=","/>
  <w14:docId w14:val="4E1D35F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locked="0"/>
    <w:lsdException w:name="toc 2" w:locked="0"/>
    <w:lsdException w:name="annotation text" w:locked="0"/>
    <w:lsdException w:name="header" w:locked="0" w:uiPriority="99"/>
    <w:lsdException w:name="footer" w:locked="0"/>
    <w:lsdException w:name="caption" w:locked="0" w:semiHidden="1" w:unhideWhenUsed="1" w:qFormat="1"/>
    <w:lsdException w:name="annotation reference" w:locked="0"/>
    <w:lsdException w:name="page number" w:locked="0"/>
    <w:lsdException w:name="Title" w:locked="0" w:qFormat="1"/>
    <w:lsdException w:name="Default Paragraph Font" w:locked="0"/>
    <w:lsdException w:name="Subtitle" w:qFormat="1"/>
    <w:lsdException w:name="Body Text 3" w:locked="0"/>
    <w:lsdException w:name="Hyperlink" w:locked="0"/>
    <w:lsdException w:name="FollowedHyperlink" w:locked="0"/>
    <w:lsdException w:name="Strong" w:qFormat="1"/>
    <w:lsdException w:name="Emphasis" w:locked="0" w:qFormat="1"/>
    <w:lsdException w:name="HTML Top of Form" w:locked="0"/>
    <w:lsdException w:name="HTML Bottom of Form" w:locked="0"/>
    <w:lsdException w:name="Normal Table" w:locked="0" w:semiHidden="1" w:unhideWhenUsed="1"/>
    <w:lsdException w:name="annotation subject" w:locked="0"/>
    <w:lsdException w:name="No List" w:locked="0"/>
    <w:lsdException w:name="Table Simple 1" w:locked="0" w:semiHidden="1" w:unhideWhenUsed="1"/>
    <w:lsdException w:name="Table Simple 2" w:locked="0" w:semiHidden="1" w:unhideWhenUsed="1"/>
    <w:lsdException w:name="Table Simple 3" w:locked="0"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lsdException w:name="Table Grid" w:locked="0"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locked="0" w:uiPriority="34" w:qFormat="1"/>
    <w:lsdException w:name="Quote" w:locked="0"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uiPriority="21" w:qFormat="1"/>
    <w:lsdException w:name="Subtle Reference" w:locked="0"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locked="0" w:semiHidden="1" w:uiPriority="99" w:unhideWhenUsed="1"/>
    <w:lsdException w:name="Smart Link" w:semiHidden="1" w:uiPriority="99" w:unhideWhenUsed="1"/>
  </w:latentStyles>
  <w:style w:type="paragraph" w:default="1" w:styleId="Normal">
    <w:name w:val="Normal"/>
    <w:qFormat/>
    <w:rsid w:val="00280D9F"/>
    <w:rPr>
      <w:sz w:val="24"/>
      <w:szCs w:val="24"/>
    </w:rPr>
  </w:style>
  <w:style w:type="paragraph" w:styleId="Heading1">
    <w:name w:val="heading 1"/>
    <w:basedOn w:val="Normal"/>
    <w:next w:val="NICEnormal"/>
    <w:link w:val="Heading1Char"/>
    <w:qFormat/>
    <w:locked/>
    <w:rsid w:val="007A4EEE"/>
    <w:pPr>
      <w:keepNext/>
      <w:spacing w:before="240" w:after="120" w:line="360" w:lineRule="auto"/>
      <w:outlineLvl w:val="0"/>
    </w:pPr>
    <w:rPr>
      <w:rFonts w:ascii="Arial" w:hAnsi="Arial" w:cs="Arial"/>
      <w:b/>
      <w:bCs/>
      <w:kern w:val="32"/>
      <w:sz w:val="32"/>
      <w:szCs w:val="32"/>
    </w:rPr>
  </w:style>
  <w:style w:type="paragraph" w:styleId="Heading2">
    <w:name w:val="heading 2"/>
    <w:basedOn w:val="Normal"/>
    <w:next w:val="NICEnormal"/>
    <w:link w:val="Heading2Char"/>
    <w:qFormat/>
    <w:locked/>
    <w:rsid w:val="00CA33E1"/>
    <w:pPr>
      <w:keepNext/>
      <w:spacing w:before="240" w:after="60" w:line="360" w:lineRule="auto"/>
      <w:outlineLvl w:val="1"/>
    </w:pPr>
    <w:rPr>
      <w:rFonts w:ascii="Arial" w:hAnsi="Arial" w:cs="Arial"/>
      <w:b/>
      <w:bCs/>
      <w:sz w:val="28"/>
      <w:szCs w:val="28"/>
    </w:rPr>
  </w:style>
  <w:style w:type="paragraph" w:styleId="Heading3">
    <w:name w:val="heading 3"/>
    <w:basedOn w:val="Normal"/>
    <w:next w:val="NICEnormal"/>
    <w:qFormat/>
    <w:locked/>
    <w:rsid w:val="005A5E10"/>
    <w:pPr>
      <w:keepNext/>
      <w:spacing w:before="240" w:after="60" w:line="360" w:lineRule="auto"/>
      <w:outlineLvl w:val="2"/>
    </w:pPr>
    <w:rPr>
      <w:rFonts w:ascii="Arial" w:hAnsi="Arial" w:cs="Arial"/>
      <w:b/>
      <w:bCs/>
      <w:sz w:val="26"/>
      <w:szCs w:val="26"/>
    </w:rPr>
  </w:style>
  <w:style w:type="paragraph" w:styleId="Heading4">
    <w:name w:val="heading 4"/>
    <w:basedOn w:val="Normal"/>
    <w:next w:val="NICEnormal"/>
    <w:qFormat/>
    <w:locked/>
    <w:rsid w:val="00CA33E1"/>
    <w:pPr>
      <w:keepNext/>
      <w:spacing w:before="240" w:after="60" w:line="360" w:lineRule="auto"/>
      <w:outlineLvl w:val="3"/>
    </w:pPr>
    <w:rPr>
      <w:rFonts w:ascii="Arial" w:hAnsi="Arial"/>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ICEnormal">
    <w:name w:val="NICE normal"/>
    <w:link w:val="NICEnormalChar"/>
    <w:qFormat/>
    <w:rsid w:val="007A174B"/>
    <w:pPr>
      <w:spacing w:after="240" w:line="360" w:lineRule="auto"/>
    </w:pPr>
    <w:rPr>
      <w:rFonts w:ascii="Arial" w:hAnsi="Arial"/>
      <w:sz w:val="24"/>
      <w:szCs w:val="24"/>
      <w:lang w:eastAsia="en-US"/>
    </w:rPr>
  </w:style>
  <w:style w:type="character" w:customStyle="1" w:styleId="Heading1Char">
    <w:name w:val="Heading 1 Char"/>
    <w:link w:val="Heading1"/>
    <w:rsid w:val="00AB2948"/>
    <w:rPr>
      <w:rFonts w:ascii="Arial" w:hAnsi="Arial" w:cs="Arial"/>
      <w:b/>
      <w:bCs/>
      <w:kern w:val="32"/>
      <w:sz w:val="32"/>
      <w:szCs w:val="32"/>
      <w:lang w:val="en-US" w:eastAsia="en-US" w:bidi="ar-SA"/>
    </w:rPr>
  </w:style>
  <w:style w:type="character" w:customStyle="1" w:styleId="Heading2Char">
    <w:name w:val="Heading 2 Char"/>
    <w:link w:val="Heading2"/>
    <w:rsid w:val="00CA33E1"/>
    <w:rPr>
      <w:rFonts w:ascii="Arial" w:hAnsi="Arial" w:cs="Arial"/>
      <w:b/>
      <w:bCs/>
      <w:sz w:val="28"/>
      <w:szCs w:val="28"/>
      <w:lang w:eastAsia="en-US"/>
    </w:rPr>
  </w:style>
  <w:style w:type="paragraph" w:customStyle="1" w:styleId="NICEnormalsinglespacing">
    <w:name w:val="NICE normal single spacing"/>
    <w:basedOn w:val="NICEnormal"/>
    <w:rsid w:val="005C762E"/>
    <w:pPr>
      <w:spacing w:line="240" w:lineRule="auto"/>
    </w:pPr>
  </w:style>
  <w:style w:type="paragraph" w:styleId="Title">
    <w:name w:val="Title"/>
    <w:basedOn w:val="Normal"/>
    <w:next w:val="NICEnormal"/>
    <w:link w:val="TitleChar"/>
    <w:qFormat/>
    <w:locked/>
    <w:rsid w:val="00BB047B"/>
    <w:pPr>
      <w:keepNext/>
      <w:spacing w:before="240" w:after="240"/>
      <w:jc w:val="center"/>
      <w:outlineLvl w:val="0"/>
    </w:pPr>
    <w:rPr>
      <w:rFonts w:ascii="Arial" w:hAnsi="Arial" w:cs="Arial"/>
      <w:b/>
      <w:bCs/>
      <w:kern w:val="28"/>
      <w:sz w:val="40"/>
      <w:szCs w:val="32"/>
    </w:rPr>
  </w:style>
  <w:style w:type="paragraph" w:customStyle="1" w:styleId="Title2">
    <w:name w:val="Title2"/>
    <w:basedOn w:val="Title"/>
    <w:locked/>
    <w:rsid w:val="005C762E"/>
    <w:rPr>
      <w:sz w:val="32"/>
    </w:rPr>
  </w:style>
  <w:style w:type="paragraph" w:customStyle="1" w:styleId="Introtext">
    <w:name w:val="Intro text"/>
    <w:basedOn w:val="NICEnormalsinglespacing"/>
    <w:locked/>
    <w:rsid w:val="005C762E"/>
    <w:pPr>
      <w:pBdr>
        <w:top w:val="single" w:sz="4" w:space="1" w:color="auto"/>
        <w:left w:val="single" w:sz="4" w:space="4" w:color="auto"/>
        <w:bottom w:val="single" w:sz="4" w:space="1" w:color="auto"/>
        <w:right w:val="single" w:sz="4" w:space="4" w:color="auto"/>
      </w:pBdr>
      <w:spacing w:after="120"/>
    </w:pPr>
  </w:style>
  <w:style w:type="paragraph" w:customStyle="1" w:styleId="Numberedheading1">
    <w:name w:val="Numbered heading 1"/>
    <w:basedOn w:val="Heading1"/>
    <w:next w:val="NICEnormal"/>
    <w:link w:val="Numberedheading1CharChar"/>
    <w:locked/>
    <w:rsid w:val="00F26E68"/>
    <w:pPr>
      <w:numPr>
        <w:numId w:val="15"/>
      </w:numPr>
    </w:pPr>
    <w:rPr>
      <w:szCs w:val="24"/>
    </w:rPr>
  </w:style>
  <w:style w:type="character" w:customStyle="1" w:styleId="Numberedheading1CharChar">
    <w:name w:val="Numbered heading 1 Char Char"/>
    <w:link w:val="Numberedheading1"/>
    <w:rsid w:val="00C51429"/>
    <w:rPr>
      <w:rFonts w:ascii="Arial" w:hAnsi="Arial" w:cs="Arial"/>
      <w:b/>
      <w:bCs/>
      <w:kern w:val="32"/>
      <w:sz w:val="32"/>
      <w:szCs w:val="24"/>
    </w:rPr>
  </w:style>
  <w:style w:type="paragraph" w:customStyle="1" w:styleId="Numberedheading2">
    <w:name w:val="Numbered heading 2"/>
    <w:basedOn w:val="Heading2"/>
    <w:next w:val="NICEnormal"/>
    <w:link w:val="Numberedheading2Char"/>
    <w:locked/>
    <w:rsid w:val="00F26E68"/>
    <w:pPr>
      <w:numPr>
        <w:ilvl w:val="1"/>
        <w:numId w:val="15"/>
      </w:numPr>
    </w:pPr>
  </w:style>
  <w:style w:type="character" w:customStyle="1" w:styleId="Numberedheading2Char">
    <w:name w:val="Numbered heading 2 Char"/>
    <w:basedOn w:val="Heading2Char"/>
    <w:link w:val="Numberedheading2"/>
    <w:rsid w:val="00D37703"/>
    <w:rPr>
      <w:rFonts w:ascii="Arial" w:hAnsi="Arial" w:cs="Arial"/>
      <w:b/>
      <w:bCs/>
      <w:sz w:val="28"/>
      <w:szCs w:val="28"/>
      <w:lang w:eastAsia="en-US"/>
    </w:rPr>
  </w:style>
  <w:style w:type="paragraph" w:customStyle="1" w:styleId="Numberedheading3">
    <w:name w:val="Numbered heading 3"/>
    <w:basedOn w:val="Heading3"/>
    <w:next w:val="NICEnormal"/>
    <w:locked/>
    <w:rsid w:val="00F26E68"/>
    <w:pPr>
      <w:numPr>
        <w:ilvl w:val="2"/>
        <w:numId w:val="15"/>
      </w:numPr>
    </w:pPr>
  </w:style>
  <w:style w:type="paragraph" w:customStyle="1" w:styleId="Numberedlevel4text">
    <w:name w:val="Numbered level 4 text"/>
    <w:basedOn w:val="NICEnormal"/>
    <w:next w:val="NICEnormal"/>
    <w:locked/>
    <w:rsid w:val="00F26E68"/>
    <w:pPr>
      <w:numPr>
        <w:ilvl w:val="3"/>
        <w:numId w:val="15"/>
      </w:numPr>
    </w:pPr>
  </w:style>
  <w:style w:type="paragraph" w:customStyle="1" w:styleId="Numberedlevel3text">
    <w:name w:val="Numbered level 3 text"/>
    <w:basedOn w:val="Numberedheading3"/>
    <w:locked/>
    <w:rsid w:val="00DE643F"/>
    <w:pPr>
      <w:spacing w:before="0" w:after="240"/>
    </w:pPr>
    <w:rPr>
      <w:b w:val="0"/>
      <w:sz w:val="24"/>
    </w:rPr>
  </w:style>
  <w:style w:type="paragraph" w:customStyle="1" w:styleId="Bulletindent2">
    <w:name w:val="Bullet indent 2"/>
    <w:basedOn w:val="NICEnormal"/>
    <w:rsid w:val="00D3612A"/>
    <w:pPr>
      <w:numPr>
        <w:ilvl w:val="1"/>
        <w:numId w:val="3"/>
      </w:numPr>
      <w:spacing w:after="0"/>
      <w:ind w:left="1702" w:hanging="284"/>
    </w:pPr>
  </w:style>
  <w:style w:type="paragraph" w:customStyle="1" w:styleId="Title16ptleft">
    <w:name w:val="Title 16 pt left"/>
    <w:basedOn w:val="Title2"/>
    <w:locked/>
    <w:rsid w:val="00D37F25"/>
    <w:pPr>
      <w:jc w:val="left"/>
    </w:pPr>
  </w:style>
  <w:style w:type="paragraph" w:customStyle="1" w:styleId="Bulletleft1">
    <w:name w:val="Bullet left 1"/>
    <w:basedOn w:val="NICEnormal"/>
    <w:rsid w:val="00D37F25"/>
    <w:pPr>
      <w:numPr>
        <w:numId w:val="5"/>
      </w:numPr>
      <w:spacing w:after="0"/>
    </w:pPr>
  </w:style>
  <w:style w:type="paragraph" w:customStyle="1" w:styleId="Bulletleft2">
    <w:name w:val="Bullet left 2"/>
    <w:basedOn w:val="NICEnormal"/>
    <w:rsid w:val="008505C3"/>
    <w:pPr>
      <w:numPr>
        <w:ilvl w:val="1"/>
        <w:numId w:val="1"/>
      </w:numPr>
      <w:spacing w:after="0"/>
      <w:ind w:left="568" w:hanging="284"/>
    </w:pPr>
  </w:style>
  <w:style w:type="paragraph" w:customStyle="1" w:styleId="Bulletleft3">
    <w:name w:val="Bullet left 3"/>
    <w:basedOn w:val="NICEnormal"/>
    <w:rsid w:val="008505C3"/>
    <w:pPr>
      <w:numPr>
        <w:ilvl w:val="2"/>
        <w:numId w:val="2"/>
      </w:numPr>
      <w:spacing w:after="0"/>
    </w:pPr>
  </w:style>
  <w:style w:type="paragraph" w:customStyle="1" w:styleId="Bulletindent1">
    <w:name w:val="Bullet indent 1"/>
    <w:basedOn w:val="NICEnormal"/>
    <w:rsid w:val="00F26E68"/>
    <w:pPr>
      <w:numPr>
        <w:numId w:val="17"/>
      </w:numPr>
      <w:spacing w:after="0"/>
    </w:pPr>
  </w:style>
  <w:style w:type="paragraph" w:customStyle="1" w:styleId="Bulletindent3">
    <w:name w:val="Bullet indent 3"/>
    <w:basedOn w:val="NICEnormal"/>
    <w:rsid w:val="00D3612A"/>
    <w:pPr>
      <w:numPr>
        <w:ilvl w:val="2"/>
        <w:numId w:val="4"/>
      </w:numPr>
      <w:tabs>
        <w:tab w:val="clear" w:pos="1985"/>
        <w:tab w:val="num" w:pos="360"/>
      </w:tabs>
      <w:spacing w:after="0"/>
      <w:ind w:left="0" w:firstLine="0"/>
    </w:pPr>
  </w:style>
  <w:style w:type="paragraph" w:customStyle="1" w:styleId="Numberedlevel2text">
    <w:name w:val="Numbered level 2 text"/>
    <w:basedOn w:val="Numberedheading2"/>
    <w:locked/>
    <w:rsid w:val="00CA33E1"/>
    <w:pPr>
      <w:spacing w:before="0" w:after="240"/>
    </w:pPr>
    <w:rPr>
      <w:b w:val="0"/>
      <w:sz w:val="24"/>
    </w:rPr>
  </w:style>
  <w:style w:type="paragraph" w:customStyle="1" w:styleId="Bulletleft1last">
    <w:name w:val="Bullet left 1 last"/>
    <w:basedOn w:val="NICEnormal"/>
    <w:link w:val="Bulletleft1lastChar"/>
    <w:rsid w:val="00953ADF"/>
    <w:pPr>
      <w:numPr>
        <w:numId w:val="6"/>
      </w:numPr>
    </w:pPr>
    <w:rPr>
      <w:rFonts w:cs="Arial"/>
    </w:rPr>
  </w:style>
  <w:style w:type="paragraph" w:customStyle="1" w:styleId="boxedtext">
    <w:name w:val="boxed text"/>
    <w:basedOn w:val="NICEnormal"/>
    <w:locked/>
    <w:rsid w:val="00D37F25"/>
    <w:pPr>
      <w:pBdr>
        <w:top w:val="single" w:sz="4" w:space="1" w:color="auto"/>
        <w:left w:val="single" w:sz="4" w:space="4" w:color="auto"/>
        <w:bottom w:val="single" w:sz="4" w:space="1" w:color="auto"/>
        <w:right w:val="single" w:sz="4" w:space="4" w:color="auto"/>
      </w:pBdr>
      <w:shd w:val="clear" w:color="auto" w:fill="E6E6E6"/>
    </w:pPr>
  </w:style>
  <w:style w:type="paragraph" w:styleId="Header">
    <w:name w:val="header"/>
    <w:basedOn w:val="NICEnormalsinglespacing"/>
    <w:link w:val="HeaderChar"/>
    <w:uiPriority w:val="99"/>
    <w:rsid w:val="00F33119"/>
    <w:pPr>
      <w:tabs>
        <w:tab w:val="center" w:pos="4153"/>
        <w:tab w:val="right" w:pos="8306"/>
      </w:tabs>
      <w:ind w:left="4153"/>
    </w:pPr>
    <w:rPr>
      <w:b/>
    </w:rPr>
  </w:style>
  <w:style w:type="paragraph" w:styleId="Footer">
    <w:name w:val="footer"/>
    <w:basedOn w:val="NICEnormalsinglespacing"/>
    <w:link w:val="FooterChar"/>
    <w:rsid w:val="00F33119"/>
    <w:pPr>
      <w:tabs>
        <w:tab w:val="center" w:pos="4153"/>
        <w:tab w:val="right" w:pos="8306"/>
      </w:tabs>
      <w:spacing w:after="0"/>
    </w:pPr>
    <w:rPr>
      <w:sz w:val="16"/>
    </w:rPr>
  </w:style>
  <w:style w:type="character" w:styleId="PageNumber">
    <w:name w:val="page number"/>
    <w:locked/>
    <w:rsid w:val="00A86D3D"/>
    <w:rPr>
      <w:rFonts w:ascii="Arial" w:hAnsi="Arial"/>
      <w:sz w:val="24"/>
    </w:rPr>
  </w:style>
  <w:style w:type="paragraph" w:customStyle="1" w:styleId="Bulletindent1last">
    <w:name w:val="Bullet indent 1 last"/>
    <w:basedOn w:val="NICEnormal"/>
    <w:next w:val="NICEnormal"/>
    <w:rsid w:val="00F26E68"/>
    <w:pPr>
      <w:numPr>
        <w:numId w:val="18"/>
      </w:numPr>
    </w:pPr>
  </w:style>
  <w:style w:type="paragraph" w:customStyle="1" w:styleId="NICEnormalindented">
    <w:name w:val="NICE normal indented"/>
    <w:basedOn w:val="NICEnormal"/>
    <w:rsid w:val="00BD0372"/>
    <w:pPr>
      <w:tabs>
        <w:tab w:val="left" w:pos="1134"/>
      </w:tabs>
      <w:ind w:left="1134"/>
    </w:pPr>
  </w:style>
  <w:style w:type="paragraph" w:customStyle="1" w:styleId="Tabletext">
    <w:name w:val="Table text"/>
    <w:basedOn w:val="NICEnormalsinglespacing"/>
    <w:link w:val="TabletextChar"/>
    <w:qFormat/>
    <w:rsid w:val="00BD0372"/>
    <w:pPr>
      <w:keepNext/>
      <w:spacing w:after="60"/>
    </w:pPr>
    <w:rPr>
      <w:sz w:val="22"/>
    </w:rPr>
  </w:style>
  <w:style w:type="paragraph" w:customStyle="1" w:styleId="Tabletext9pt">
    <w:name w:val="Table text 9 pt"/>
    <w:basedOn w:val="Tabletext"/>
    <w:locked/>
    <w:rsid w:val="00F26E68"/>
    <w:rPr>
      <w:sz w:val="18"/>
    </w:rPr>
  </w:style>
  <w:style w:type="paragraph" w:customStyle="1" w:styleId="Section2paragraphs">
    <w:name w:val="Section 2 paragraphs"/>
    <w:basedOn w:val="NICEnormal"/>
    <w:locked/>
    <w:rsid w:val="00603E56"/>
    <w:pPr>
      <w:numPr>
        <w:numId w:val="19"/>
      </w:numPr>
    </w:pPr>
  </w:style>
  <w:style w:type="paragraph" w:customStyle="1" w:styleId="Section3paragraphs">
    <w:name w:val="Section 3 paragraphs"/>
    <w:basedOn w:val="NICEnormal"/>
    <w:locked/>
    <w:rsid w:val="00D37703"/>
    <w:pPr>
      <w:numPr>
        <w:numId w:val="7"/>
      </w:numPr>
    </w:pPr>
  </w:style>
  <w:style w:type="paragraph" w:customStyle="1" w:styleId="Section411paragraphs">
    <w:name w:val="Section 4.1.1 paragraphs"/>
    <w:basedOn w:val="NICEnormal"/>
    <w:locked/>
    <w:rsid w:val="00D37703"/>
    <w:pPr>
      <w:numPr>
        <w:numId w:val="8"/>
      </w:numPr>
    </w:pPr>
  </w:style>
  <w:style w:type="paragraph" w:customStyle="1" w:styleId="Section412paragraphs">
    <w:name w:val="Section 4.1.2 paragraphs"/>
    <w:basedOn w:val="NICEnormal"/>
    <w:locked/>
    <w:rsid w:val="00D37703"/>
    <w:pPr>
      <w:numPr>
        <w:numId w:val="9"/>
      </w:numPr>
    </w:pPr>
  </w:style>
  <w:style w:type="paragraph" w:customStyle="1" w:styleId="Section42paragraphs">
    <w:name w:val="Section 4.2 paragraphs"/>
    <w:basedOn w:val="NICEnormal"/>
    <w:locked/>
    <w:rsid w:val="00D37703"/>
    <w:pPr>
      <w:numPr>
        <w:numId w:val="10"/>
      </w:numPr>
    </w:pPr>
  </w:style>
  <w:style w:type="paragraph" w:customStyle="1" w:styleId="Section43paragraphs">
    <w:name w:val="Section 4.3 paragraphs"/>
    <w:basedOn w:val="NICEnormal"/>
    <w:locked/>
    <w:rsid w:val="00AB39FA"/>
    <w:pPr>
      <w:numPr>
        <w:numId w:val="11"/>
      </w:numPr>
    </w:pPr>
  </w:style>
  <w:style w:type="paragraph" w:customStyle="1" w:styleId="Appendixlevel1">
    <w:name w:val="Appendix level 1"/>
    <w:basedOn w:val="NICEnormal"/>
    <w:autoRedefine/>
    <w:locked/>
    <w:rsid w:val="004B514C"/>
    <w:pPr>
      <w:numPr>
        <w:numId w:val="12"/>
      </w:numPr>
      <w:spacing w:before="240"/>
    </w:pPr>
  </w:style>
  <w:style w:type="paragraph" w:customStyle="1" w:styleId="Appendixlevel2">
    <w:name w:val="Appendix level 2"/>
    <w:basedOn w:val="NICEnormal"/>
    <w:locked/>
    <w:rsid w:val="004B514C"/>
    <w:pPr>
      <w:numPr>
        <w:numId w:val="13"/>
      </w:numPr>
      <w:spacing w:before="240"/>
    </w:pPr>
  </w:style>
  <w:style w:type="paragraph" w:customStyle="1" w:styleId="Appendixbullet">
    <w:name w:val="Appendix bullet"/>
    <w:basedOn w:val="NICEnormal"/>
    <w:locked/>
    <w:rsid w:val="004B514C"/>
    <w:pPr>
      <w:numPr>
        <w:numId w:val="14"/>
      </w:numPr>
      <w:spacing w:after="0" w:line="240" w:lineRule="auto"/>
    </w:pPr>
  </w:style>
  <w:style w:type="paragraph" w:customStyle="1" w:styleId="Evidencestatement">
    <w:name w:val="Evidence statement"/>
    <w:basedOn w:val="Numberedlevel4text"/>
    <w:next w:val="NICEnormal"/>
    <w:qFormat/>
    <w:locked/>
    <w:rsid w:val="00F26E68"/>
    <w:pPr>
      <w:numPr>
        <w:ilvl w:val="0"/>
        <w:numId w:val="0"/>
      </w:numPr>
    </w:pPr>
    <w:rPr>
      <w:i/>
    </w:rPr>
  </w:style>
  <w:style w:type="paragraph" w:styleId="TOC1">
    <w:name w:val="toc 1"/>
    <w:basedOn w:val="Normal"/>
    <w:next w:val="Normal"/>
    <w:locked/>
    <w:rsid w:val="00F26E68"/>
    <w:rPr>
      <w:rFonts w:ascii="Arial" w:hAnsi="Arial"/>
    </w:rPr>
  </w:style>
  <w:style w:type="paragraph" w:styleId="TOC2">
    <w:name w:val="toc 2"/>
    <w:basedOn w:val="Normal"/>
    <w:next w:val="Normal"/>
    <w:locked/>
    <w:rsid w:val="00F26E68"/>
    <w:pPr>
      <w:ind w:left="240"/>
    </w:pPr>
    <w:rPr>
      <w:rFonts w:ascii="Arial" w:hAnsi="Arial"/>
    </w:rPr>
  </w:style>
  <w:style w:type="paragraph" w:customStyle="1" w:styleId="AppendixBheading">
    <w:name w:val="Appendix B heading"/>
    <w:basedOn w:val="Heading1"/>
    <w:next w:val="NICEnormal"/>
    <w:qFormat/>
    <w:locked/>
    <w:rsid w:val="00F26E68"/>
    <w:pPr>
      <w:numPr>
        <w:numId w:val="16"/>
      </w:numPr>
    </w:pPr>
  </w:style>
  <w:style w:type="paragraph" w:customStyle="1" w:styleId="Evidencebullet">
    <w:name w:val="Evidence bullet"/>
    <w:basedOn w:val="Bulletindent1"/>
    <w:qFormat/>
    <w:locked/>
    <w:rsid w:val="00F26E68"/>
    <w:pPr>
      <w:numPr>
        <w:numId w:val="0"/>
      </w:numPr>
    </w:pPr>
    <w:rPr>
      <w:i/>
    </w:rPr>
  </w:style>
  <w:style w:type="paragraph" w:customStyle="1" w:styleId="Evidencebulletlast">
    <w:name w:val="Evidence bullet last"/>
    <w:basedOn w:val="Bulletindent1last"/>
    <w:qFormat/>
    <w:locked/>
    <w:rsid w:val="00F26E68"/>
    <w:pPr>
      <w:numPr>
        <w:numId w:val="0"/>
      </w:numPr>
    </w:pPr>
    <w:rPr>
      <w:i/>
    </w:rPr>
  </w:style>
  <w:style w:type="paragraph" w:customStyle="1" w:styleId="Section21paragraphs">
    <w:name w:val="Section 2.1 paragraphs"/>
    <w:basedOn w:val="NICEnormal"/>
    <w:qFormat/>
    <w:locked/>
    <w:rsid w:val="00603E56"/>
    <w:pPr>
      <w:numPr>
        <w:numId w:val="20"/>
      </w:numPr>
      <w:tabs>
        <w:tab w:val="left" w:pos="1134"/>
      </w:tabs>
    </w:pPr>
  </w:style>
  <w:style w:type="paragraph" w:customStyle="1" w:styleId="Section22paragraphs">
    <w:name w:val="Section 2.2 paragraphs"/>
    <w:basedOn w:val="Section21paragraphs"/>
    <w:qFormat/>
    <w:locked/>
    <w:rsid w:val="00603E56"/>
    <w:pPr>
      <w:numPr>
        <w:numId w:val="0"/>
      </w:numPr>
    </w:pPr>
  </w:style>
  <w:style w:type="paragraph" w:customStyle="1" w:styleId="Guidanceissuedate">
    <w:name w:val="Guidance issue date"/>
    <w:basedOn w:val="Normal"/>
    <w:qFormat/>
    <w:rsid w:val="00737F9C"/>
    <w:pPr>
      <w:spacing w:after="240" w:line="360" w:lineRule="auto"/>
    </w:pPr>
    <w:rPr>
      <w:rFonts w:ascii="Arial" w:hAnsi="Arial"/>
    </w:rPr>
  </w:style>
  <w:style w:type="paragraph" w:customStyle="1" w:styleId="Documentissuedate">
    <w:name w:val="Document issue date"/>
    <w:basedOn w:val="Guidanceissuedate"/>
    <w:qFormat/>
    <w:locked/>
    <w:rsid w:val="00737F9C"/>
  </w:style>
  <w:style w:type="paragraph" w:customStyle="1" w:styleId="Title20">
    <w:name w:val="Title 2"/>
    <w:basedOn w:val="Title"/>
    <w:qFormat/>
    <w:rsid w:val="001C032E"/>
    <w:rPr>
      <w:bCs w:val="0"/>
      <w:sz w:val="32"/>
    </w:rPr>
  </w:style>
  <w:style w:type="paragraph" w:styleId="Caption">
    <w:name w:val="caption"/>
    <w:basedOn w:val="Heading3"/>
    <w:next w:val="NICEnormal"/>
    <w:unhideWhenUsed/>
    <w:qFormat/>
    <w:rsid w:val="00FB73D3"/>
    <w:pPr>
      <w:spacing w:after="200"/>
    </w:pPr>
    <w:rPr>
      <w:bCs w:val="0"/>
      <w:iCs/>
      <w:color w:val="00506A"/>
      <w:sz w:val="24"/>
      <w:szCs w:val="18"/>
    </w:rPr>
  </w:style>
  <w:style w:type="table" w:styleId="TableGrid">
    <w:name w:val="Table Grid"/>
    <w:basedOn w:val="TableNormal"/>
    <w:uiPriority w:val="99"/>
    <w:locked/>
    <w:rsid w:val="00BF47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boardreport">
    <w:name w:val="Table heading board report"/>
    <w:basedOn w:val="Tabletext"/>
    <w:qFormat/>
    <w:rsid w:val="004914C0"/>
    <w:rPr>
      <w:b/>
      <w:color w:val="00506A"/>
    </w:rPr>
  </w:style>
  <w:style w:type="paragraph" w:customStyle="1" w:styleId="Tablebullet">
    <w:name w:val="Table bullet"/>
    <w:basedOn w:val="Tabletext"/>
    <w:qFormat/>
    <w:rsid w:val="00BF4768"/>
    <w:pPr>
      <w:numPr>
        <w:numId w:val="21"/>
      </w:numPr>
    </w:pPr>
  </w:style>
  <w:style w:type="paragraph" w:styleId="Quote">
    <w:name w:val="Quote"/>
    <w:basedOn w:val="NICEnormal"/>
    <w:next w:val="NICEnormal"/>
    <w:link w:val="QuoteChar"/>
    <w:uiPriority w:val="29"/>
    <w:qFormat/>
    <w:locked/>
    <w:rsid w:val="00CB6BEB"/>
    <w:pPr>
      <w:spacing w:before="200" w:after="160"/>
      <w:ind w:left="864" w:right="864"/>
      <w:jc w:val="center"/>
    </w:pPr>
    <w:rPr>
      <w:iCs/>
    </w:rPr>
  </w:style>
  <w:style w:type="character" w:customStyle="1" w:styleId="QuoteChar">
    <w:name w:val="Quote Char"/>
    <w:basedOn w:val="DefaultParagraphFont"/>
    <w:link w:val="Quote"/>
    <w:uiPriority w:val="29"/>
    <w:rsid w:val="00CB6BEB"/>
    <w:rPr>
      <w:rFonts w:ascii="Arial" w:hAnsi="Arial"/>
      <w:iCs/>
      <w:sz w:val="24"/>
      <w:szCs w:val="24"/>
      <w:lang w:eastAsia="en-US"/>
    </w:rPr>
  </w:style>
  <w:style w:type="character" w:styleId="SubtleReference">
    <w:name w:val="Subtle Reference"/>
    <w:basedOn w:val="DefaultParagraphFont"/>
    <w:uiPriority w:val="31"/>
    <w:qFormat/>
    <w:locked/>
    <w:rsid w:val="00D60D8D"/>
  </w:style>
  <w:style w:type="character" w:customStyle="1" w:styleId="NICEnormalChar">
    <w:name w:val="NICE normal Char"/>
    <w:link w:val="NICEnormal"/>
    <w:rsid w:val="000C4168"/>
    <w:rPr>
      <w:rFonts w:ascii="Arial" w:hAnsi="Arial"/>
      <w:sz w:val="24"/>
      <w:szCs w:val="24"/>
      <w:lang w:eastAsia="en-US"/>
    </w:rPr>
  </w:style>
  <w:style w:type="table" w:customStyle="1" w:styleId="PanelDefault">
    <w:name w:val="Panel (Default)"/>
    <w:basedOn w:val="TableNormal"/>
    <w:uiPriority w:val="99"/>
    <w:rsid w:val="000C4168"/>
    <w:pPr>
      <w:spacing w:after="360"/>
    </w:pPr>
    <w:tblPr>
      <w:tblBorders>
        <w:top w:val="single" w:sz="4" w:space="0" w:color="auto"/>
        <w:left w:val="single" w:sz="4" w:space="0" w:color="auto"/>
        <w:bottom w:val="single" w:sz="4" w:space="0" w:color="auto"/>
        <w:right w:val="single" w:sz="4" w:space="0" w:color="auto"/>
      </w:tblBorders>
    </w:tblPr>
    <w:tcPr>
      <w:shd w:val="clear" w:color="auto" w:fill="BFBFBF" w:themeFill="background1" w:themeFillShade="BF"/>
    </w:tcPr>
  </w:style>
  <w:style w:type="table" w:customStyle="1" w:styleId="PanelPrimary">
    <w:name w:val="Panel (Primary)"/>
    <w:basedOn w:val="TableNormal"/>
    <w:uiPriority w:val="99"/>
    <w:rsid w:val="000C4168"/>
    <w:pPr>
      <w:spacing w:after="240"/>
    </w:pPr>
    <w:tblPr>
      <w:tblBorders>
        <w:top w:val="single" w:sz="24" w:space="0" w:color="A2BDC1"/>
        <w:left w:val="single" w:sz="24" w:space="0" w:color="A2BDC1"/>
        <w:bottom w:val="single" w:sz="24" w:space="0" w:color="A2BDC1"/>
        <w:right w:val="single" w:sz="24" w:space="0" w:color="A2BDC1"/>
      </w:tblBorders>
    </w:tblPr>
  </w:style>
  <w:style w:type="table" w:customStyle="1" w:styleId="PanelImpact">
    <w:name w:val="Panel (Impact)"/>
    <w:basedOn w:val="TableNormal"/>
    <w:uiPriority w:val="99"/>
    <w:rsid w:val="000C4168"/>
    <w:rPr>
      <w:color w:val="FFFFFF"/>
    </w:rPr>
    <w:tblPr>
      <w:tblBorders>
        <w:top w:val="single" w:sz="8" w:space="0" w:color="314C60"/>
        <w:left w:val="single" w:sz="8" w:space="0" w:color="314C60"/>
        <w:bottom w:val="single" w:sz="8" w:space="0" w:color="314C60"/>
        <w:right w:val="single" w:sz="8" w:space="0" w:color="314C60"/>
      </w:tblBorders>
    </w:tblPr>
    <w:tcPr>
      <w:shd w:val="clear" w:color="auto" w:fill="517489"/>
    </w:tcPr>
  </w:style>
  <w:style w:type="character" w:styleId="Hyperlink">
    <w:name w:val="Hyperlink"/>
    <w:basedOn w:val="DefaultParagraphFont"/>
    <w:unhideWhenUsed/>
    <w:rsid w:val="00A24C1C"/>
    <w:rPr>
      <w:color w:val="0563C1" w:themeColor="hyperlink"/>
      <w:u w:val="single"/>
    </w:rPr>
  </w:style>
  <w:style w:type="paragraph" w:customStyle="1" w:styleId="Panelhyperlink">
    <w:name w:val="Panel hyperlink"/>
    <w:basedOn w:val="NICEnormal"/>
    <w:next w:val="NICEnormal"/>
    <w:qFormat/>
    <w:locked/>
    <w:rsid w:val="00A24C1C"/>
    <w:rPr>
      <w:color w:val="FFFFFF" w:themeColor="background1"/>
      <w:u w:val="single"/>
    </w:rPr>
  </w:style>
  <w:style w:type="paragraph" w:customStyle="1" w:styleId="Panelbullet1">
    <w:name w:val="Panel bullet 1"/>
    <w:basedOn w:val="ListParagraph"/>
    <w:qFormat/>
    <w:locked/>
    <w:rsid w:val="00A24C1C"/>
    <w:pPr>
      <w:numPr>
        <w:numId w:val="22"/>
      </w:numPr>
      <w:tabs>
        <w:tab w:val="num" w:pos="360"/>
        <w:tab w:val="num" w:pos="1134"/>
      </w:tabs>
      <w:ind w:left="1134" w:hanging="454"/>
    </w:pPr>
    <w:rPr>
      <w:rFonts w:ascii="Arial" w:hAnsi="Arial"/>
    </w:rPr>
  </w:style>
  <w:style w:type="paragraph" w:styleId="ListParagraph">
    <w:name w:val="List Paragraph"/>
    <w:basedOn w:val="Normal"/>
    <w:uiPriority w:val="34"/>
    <w:qFormat/>
    <w:locked/>
    <w:rsid w:val="00A24C1C"/>
    <w:pPr>
      <w:ind w:left="720"/>
      <w:contextualSpacing/>
    </w:pPr>
  </w:style>
  <w:style w:type="character" w:styleId="SubtleEmphasis">
    <w:name w:val="Subtle Emphasis"/>
    <w:basedOn w:val="DefaultParagraphFont"/>
    <w:uiPriority w:val="19"/>
    <w:qFormat/>
    <w:locked/>
    <w:rsid w:val="002169E7"/>
    <w:rPr>
      <w:i/>
      <w:iCs/>
      <w:color w:val="404040" w:themeColor="text1" w:themeTint="BF"/>
    </w:rPr>
  </w:style>
  <w:style w:type="character" w:customStyle="1" w:styleId="StyleSubtleReferenceArialAutoNotSmallcaps">
    <w:name w:val="Style Subtle Reference + Arial Auto Not Small caps"/>
    <w:basedOn w:val="SubtleReference"/>
    <w:locked/>
    <w:rsid w:val="00CB6BEB"/>
    <w:rPr>
      <w:rFonts w:ascii="Arial" w:hAnsi="Arial"/>
      <w:smallCaps/>
      <w:color w:val="auto"/>
    </w:rPr>
  </w:style>
  <w:style w:type="paragraph" w:customStyle="1" w:styleId="Title1">
    <w:name w:val="Title 1"/>
    <w:basedOn w:val="Title"/>
    <w:qFormat/>
    <w:rsid w:val="001C032E"/>
  </w:style>
  <w:style w:type="character" w:customStyle="1" w:styleId="Bulletleft1lastChar">
    <w:name w:val="Bullet left 1 last Char"/>
    <w:link w:val="Bulletleft1last"/>
    <w:rsid w:val="00B84BC1"/>
    <w:rPr>
      <w:rFonts w:ascii="Arial" w:hAnsi="Arial" w:cs="Arial"/>
      <w:sz w:val="24"/>
      <w:szCs w:val="24"/>
      <w:lang w:eastAsia="en-US"/>
    </w:rPr>
  </w:style>
  <w:style w:type="character" w:styleId="Emphasis">
    <w:name w:val="Emphasis"/>
    <w:basedOn w:val="DefaultParagraphFont"/>
    <w:qFormat/>
    <w:rsid w:val="002535B1"/>
    <w:rPr>
      <w:i/>
      <w:iCs/>
    </w:rPr>
  </w:style>
  <w:style w:type="paragraph" w:styleId="BalloonText">
    <w:name w:val="Balloon Text"/>
    <w:basedOn w:val="Normal"/>
    <w:link w:val="BalloonTextChar"/>
    <w:locked/>
    <w:rsid w:val="004914C0"/>
    <w:rPr>
      <w:rFonts w:ascii="Segoe UI" w:hAnsi="Segoe UI" w:cs="Segoe UI"/>
      <w:sz w:val="18"/>
      <w:szCs w:val="18"/>
    </w:rPr>
  </w:style>
  <w:style w:type="character" w:customStyle="1" w:styleId="BalloonTextChar">
    <w:name w:val="Balloon Text Char"/>
    <w:basedOn w:val="DefaultParagraphFont"/>
    <w:link w:val="BalloonText"/>
    <w:rsid w:val="004914C0"/>
    <w:rPr>
      <w:rFonts w:ascii="Segoe UI" w:hAnsi="Segoe UI" w:cs="Segoe UI"/>
      <w:sz w:val="18"/>
      <w:szCs w:val="18"/>
      <w:lang w:eastAsia="en-US"/>
    </w:rPr>
  </w:style>
  <w:style w:type="paragraph" w:customStyle="1" w:styleId="Heading1boardreport">
    <w:name w:val="Heading 1 board report"/>
    <w:basedOn w:val="Heading1"/>
    <w:next w:val="NICEnormal"/>
    <w:link w:val="Heading1boardreportChar"/>
    <w:qFormat/>
    <w:rsid w:val="004914C0"/>
    <w:rPr>
      <w:color w:val="00506A"/>
    </w:rPr>
  </w:style>
  <w:style w:type="paragraph" w:styleId="BodyText3">
    <w:name w:val="Body Text 3"/>
    <w:basedOn w:val="Normal"/>
    <w:link w:val="BodyText3Char"/>
    <w:locked/>
    <w:rsid w:val="004914C0"/>
    <w:pPr>
      <w:spacing w:after="120"/>
    </w:pPr>
    <w:rPr>
      <w:sz w:val="16"/>
      <w:szCs w:val="16"/>
    </w:rPr>
  </w:style>
  <w:style w:type="character" w:customStyle="1" w:styleId="BodyText3Char">
    <w:name w:val="Body Text 3 Char"/>
    <w:basedOn w:val="DefaultParagraphFont"/>
    <w:link w:val="BodyText3"/>
    <w:rsid w:val="004914C0"/>
    <w:rPr>
      <w:sz w:val="16"/>
      <w:szCs w:val="16"/>
      <w:lang w:eastAsia="en-US"/>
    </w:rPr>
  </w:style>
  <w:style w:type="paragraph" w:customStyle="1" w:styleId="Heading2boardreport">
    <w:name w:val="Heading 2 board report"/>
    <w:basedOn w:val="Heading2"/>
    <w:next w:val="NICEnormal"/>
    <w:qFormat/>
    <w:rsid w:val="00F33119"/>
  </w:style>
  <w:style w:type="paragraph" w:customStyle="1" w:styleId="Heading3boardreport">
    <w:name w:val="Heading 3 board report"/>
    <w:basedOn w:val="Heading3"/>
    <w:next w:val="NICEnormal"/>
    <w:qFormat/>
    <w:rsid w:val="004914C0"/>
    <w:rPr>
      <w:color w:val="00506A"/>
    </w:rPr>
  </w:style>
  <w:style w:type="paragraph" w:customStyle="1" w:styleId="Paragraph">
    <w:name w:val="Paragraph"/>
    <w:basedOn w:val="Paragraphnonumbers"/>
    <w:uiPriority w:val="4"/>
    <w:qFormat/>
    <w:locked/>
    <w:rsid w:val="00EB1C36"/>
    <w:pPr>
      <w:numPr>
        <w:numId w:val="25"/>
      </w:numPr>
      <w:tabs>
        <w:tab w:val="left" w:pos="426"/>
      </w:tabs>
    </w:pPr>
  </w:style>
  <w:style w:type="character" w:customStyle="1" w:styleId="TitleChar">
    <w:name w:val="Title Char"/>
    <w:link w:val="Title"/>
    <w:rsid w:val="00EB1C36"/>
    <w:rPr>
      <w:rFonts w:ascii="Arial" w:hAnsi="Arial" w:cs="Arial"/>
      <w:b/>
      <w:bCs/>
      <w:kern w:val="28"/>
      <w:sz w:val="40"/>
      <w:szCs w:val="32"/>
      <w:lang w:eastAsia="en-US"/>
    </w:rPr>
  </w:style>
  <w:style w:type="paragraph" w:customStyle="1" w:styleId="Bullets">
    <w:name w:val="Bullets"/>
    <w:basedOn w:val="Normal"/>
    <w:uiPriority w:val="5"/>
    <w:qFormat/>
    <w:locked/>
    <w:rsid w:val="00EB1C36"/>
    <w:pPr>
      <w:numPr>
        <w:numId w:val="23"/>
      </w:numPr>
      <w:spacing w:after="120" w:line="276" w:lineRule="auto"/>
    </w:pPr>
    <w:rPr>
      <w:rFonts w:ascii="Arial" w:hAnsi="Arial"/>
    </w:rPr>
  </w:style>
  <w:style w:type="character" w:customStyle="1" w:styleId="HeaderChar">
    <w:name w:val="Header Char"/>
    <w:link w:val="Header"/>
    <w:uiPriority w:val="99"/>
    <w:rsid w:val="00F33119"/>
    <w:rPr>
      <w:rFonts w:ascii="Arial" w:hAnsi="Arial"/>
      <w:b/>
      <w:sz w:val="24"/>
      <w:szCs w:val="24"/>
      <w:lang w:eastAsia="en-US"/>
    </w:rPr>
  </w:style>
  <w:style w:type="character" w:customStyle="1" w:styleId="FooterChar">
    <w:name w:val="Footer Char"/>
    <w:link w:val="Footer"/>
    <w:rsid w:val="00F33119"/>
    <w:rPr>
      <w:rFonts w:ascii="Arial" w:hAnsi="Arial"/>
      <w:sz w:val="16"/>
      <w:szCs w:val="24"/>
      <w:lang w:eastAsia="en-US"/>
    </w:rPr>
  </w:style>
  <w:style w:type="paragraph" w:customStyle="1" w:styleId="Subbullets">
    <w:name w:val="Sub bullets"/>
    <w:basedOn w:val="Normal"/>
    <w:uiPriority w:val="6"/>
    <w:qFormat/>
    <w:locked/>
    <w:rsid w:val="00EB1C36"/>
    <w:pPr>
      <w:numPr>
        <w:numId w:val="24"/>
      </w:numPr>
      <w:spacing w:after="120" w:line="276" w:lineRule="auto"/>
      <w:ind w:left="1418" w:hanging="284"/>
    </w:pPr>
    <w:rPr>
      <w:rFonts w:ascii="Arial" w:hAnsi="Arial"/>
    </w:rPr>
  </w:style>
  <w:style w:type="paragraph" w:customStyle="1" w:styleId="Paragraphnonumbers">
    <w:name w:val="Paragraph no numbers"/>
    <w:basedOn w:val="Normal"/>
    <w:link w:val="ParagraphnonumbersChar"/>
    <w:uiPriority w:val="99"/>
    <w:qFormat/>
    <w:locked/>
    <w:rsid w:val="00EB1C36"/>
    <w:pPr>
      <w:spacing w:after="240" w:line="276" w:lineRule="auto"/>
    </w:pPr>
    <w:rPr>
      <w:rFonts w:ascii="Arial" w:hAnsi="Arial"/>
    </w:rPr>
  </w:style>
  <w:style w:type="character" w:customStyle="1" w:styleId="Heading1boardreportChar">
    <w:name w:val="Heading 1 board report Char"/>
    <w:basedOn w:val="Heading1Char"/>
    <w:link w:val="Heading1boardreport"/>
    <w:rsid w:val="00EB1C36"/>
    <w:rPr>
      <w:rFonts w:ascii="Arial" w:hAnsi="Arial" w:cs="Arial"/>
      <w:b/>
      <w:bCs/>
      <w:color w:val="00506A"/>
      <w:kern w:val="32"/>
      <w:sz w:val="32"/>
      <w:szCs w:val="32"/>
      <w:lang w:val="en-US" w:eastAsia="en-US" w:bidi="ar-SA"/>
    </w:rPr>
  </w:style>
  <w:style w:type="character" w:customStyle="1" w:styleId="ParagraphnonumbersChar">
    <w:name w:val="Paragraph no numbers Char"/>
    <w:basedOn w:val="DefaultParagraphFont"/>
    <w:link w:val="Paragraphnonumbers"/>
    <w:uiPriority w:val="99"/>
    <w:rsid w:val="00EB1C36"/>
    <w:rPr>
      <w:rFonts w:ascii="Arial" w:hAnsi="Arial"/>
      <w:sz w:val="24"/>
      <w:szCs w:val="24"/>
    </w:rPr>
  </w:style>
  <w:style w:type="paragraph" w:customStyle="1" w:styleId="Tablecolumnheading">
    <w:name w:val="Table column heading"/>
    <w:basedOn w:val="Tabletext"/>
    <w:link w:val="TablecolumnheadingChar"/>
    <w:qFormat/>
    <w:locked/>
    <w:rsid w:val="00EB1C36"/>
    <w:pPr>
      <w:keepNext w:val="0"/>
      <w:spacing w:before="60" w:line="276" w:lineRule="auto"/>
    </w:pPr>
    <w:rPr>
      <w:b/>
    </w:rPr>
  </w:style>
  <w:style w:type="paragraph" w:customStyle="1" w:styleId="Tableandgraphheading">
    <w:name w:val="Table and graph heading"/>
    <w:basedOn w:val="Heading3"/>
    <w:link w:val="TableandgraphheadingChar"/>
    <w:qFormat/>
    <w:locked/>
    <w:rsid w:val="00EB1C36"/>
    <w:pPr>
      <w:spacing w:before="0" w:line="240" w:lineRule="auto"/>
    </w:pPr>
    <w:rPr>
      <w:rFonts w:cs="Times New Roman"/>
      <w:color w:val="00506A"/>
      <w:sz w:val="24"/>
    </w:rPr>
  </w:style>
  <w:style w:type="character" w:customStyle="1" w:styleId="TabletextChar">
    <w:name w:val="Table text Char"/>
    <w:basedOn w:val="DefaultParagraphFont"/>
    <w:link w:val="Tabletext"/>
    <w:rsid w:val="00EB1C36"/>
    <w:rPr>
      <w:rFonts w:ascii="Arial" w:hAnsi="Arial"/>
      <w:sz w:val="22"/>
      <w:szCs w:val="24"/>
      <w:lang w:eastAsia="en-US"/>
    </w:rPr>
  </w:style>
  <w:style w:type="character" w:customStyle="1" w:styleId="TablecolumnheadingChar">
    <w:name w:val="Table column heading Char"/>
    <w:basedOn w:val="TabletextChar"/>
    <w:link w:val="Tablecolumnheading"/>
    <w:rsid w:val="00EB1C36"/>
    <w:rPr>
      <w:rFonts w:ascii="Arial" w:hAnsi="Arial"/>
      <w:b/>
      <w:sz w:val="22"/>
      <w:szCs w:val="24"/>
      <w:lang w:eastAsia="en-US"/>
    </w:rPr>
  </w:style>
  <w:style w:type="character" w:customStyle="1" w:styleId="TableandgraphheadingChar">
    <w:name w:val="Table and graph heading Char"/>
    <w:basedOn w:val="DefaultParagraphFont"/>
    <w:link w:val="Tableandgraphheading"/>
    <w:rsid w:val="00EB1C36"/>
    <w:rPr>
      <w:rFonts w:ascii="Arial" w:hAnsi="Arial"/>
      <w:b/>
      <w:bCs/>
      <w:color w:val="00506A"/>
      <w:sz w:val="24"/>
      <w:szCs w:val="26"/>
    </w:rPr>
  </w:style>
  <w:style w:type="paragraph" w:customStyle="1" w:styleId="Bulletslast">
    <w:name w:val="Bullets last"/>
    <w:basedOn w:val="Bullets"/>
    <w:qFormat/>
    <w:locked/>
    <w:rsid w:val="00EB1C36"/>
    <w:pPr>
      <w:spacing w:after="240"/>
    </w:pPr>
    <w:rPr>
      <w:szCs w:val="20"/>
    </w:rPr>
  </w:style>
  <w:style w:type="paragraph" w:customStyle="1" w:styleId="NICEnormalnumbered">
    <w:name w:val="NICE normal numbered"/>
    <w:basedOn w:val="Paragraph"/>
    <w:qFormat/>
    <w:rsid w:val="009871F3"/>
    <w:pPr>
      <w:spacing w:line="360" w:lineRule="auto"/>
    </w:pPr>
  </w:style>
  <w:style w:type="character" w:styleId="UnresolvedMention">
    <w:name w:val="Unresolved Mention"/>
    <w:basedOn w:val="DefaultParagraphFont"/>
    <w:uiPriority w:val="99"/>
    <w:semiHidden/>
    <w:unhideWhenUsed/>
    <w:locked/>
    <w:rsid w:val="00FB73D3"/>
    <w:rPr>
      <w:color w:val="605E5C"/>
      <w:shd w:val="clear" w:color="auto" w:fill="E1DFDD"/>
    </w:rPr>
  </w:style>
  <w:style w:type="character" w:styleId="CommentReference">
    <w:name w:val="annotation reference"/>
    <w:rsid w:val="00377E36"/>
    <w:rPr>
      <w:sz w:val="16"/>
      <w:szCs w:val="16"/>
    </w:rPr>
  </w:style>
  <w:style w:type="paragraph" w:styleId="CommentText">
    <w:name w:val="annotation text"/>
    <w:basedOn w:val="Normal"/>
    <w:link w:val="CommentTextChar"/>
    <w:rsid w:val="00377E36"/>
    <w:rPr>
      <w:sz w:val="20"/>
      <w:szCs w:val="20"/>
    </w:rPr>
  </w:style>
  <w:style w:type="character" w:customStyle="1" w:styleId="CommentTextChar">
    <w:name w:val="Comment Text Char"/>
    <w:basedOn w:val="DefaultParagraphFont"/>
    <w:link w:val="CommentText"/>
    <w:rsid w:val="00377E36"/>
  </w:style>
  <w:style w:type="paragraph" w:customStyle="1" w:styleId="Subbulletslast">
    <w:name w:val="Sub bullets last"/>
    <w:basedOn w:val="Subbullets"/>
    <w:qFormat/>
    <w:locked/>
    <w:rsid w:val="00BD246E"/>
    <w:pPr>
      <w:numPr>
        <w:numId w:val="0"/>
      </w:numPr>
      <w:tabs>
        <w:tab w:val="num" w:pos="1418"/>
      </w:tabs>
      <w:spacing w:after="240"/>
      <w:ind w:left="1418" w:hanging="284"/>
    </w:pPr>
    <w:rPr>
      <w:szCs w:val="20"/>
    </w:rPr>
  </w:style>
  <w:style w:type="paragraph" w:customStyle="1" w:styleId="Bulletindent2last">
    <w:name w:val="Bullet indent 2 last"/>
    <w:basedOn w:val="Bulletindent2"/>
    <w:next w:val="NICEnormal"/>
    <w:qFormat/>
    <w:rsid w:val="00485B88"/>
  </w:style>
  <w:style w:type="paragraph" w:customStyle="1" w:styleId="Commenttextred">
    <w:name w:val="Comment text red"/>
    <w:basedOn w:val="CommentText"/>
    <w:qFormat/>
    <w:rsid w:val="002526E6"/>
    <w:rPr>
      <w:color w:val="FF0000"/>
      <w:lang w:eastAsia="en-US"/>
    </w:rPr>
  </w:style>
  <w:style w:type="paragraph" w:customStyle="1" w:styleId="Commenttextbold">
    <w:name w:val="Comment text bold"/>
    <w:basedOn w:val="CommentText"/>
    <w:qFormat/>
    <w:rsid w:val="002526E6"/>
    <w:rPr>
      <w:b/>
      <w:lang w:val="x-none" w:eastAsia="en-US"/>
    </w:rPr>
  </w:style>
  <w:style w:type="paragraph" w:customStyle="1" w:styleId="Commenttextcyan">
    <w:name w:val="Comment text cyan"/>
    <w:basedOn w:val="CommentText"/>
    <w:qFormat/>
    <w:rsid w:val="002526E6"/>
    <w:rPr>
      <w:color w:val="0070C0"/>
      <w:lang w:val="x-none" w:eastAsia="en-US"/>
    </w:rPr>
  </w:style>
  <w:style w:type="paragraph" w:customStyle="1" w:styleId="Commenttextgreen">
    <w:name w:val="Comment text green"/>
    <w:basedOn w:val="CommentText"/>
    <w:qFormat/>
    <w:rsid w:val="002526E6"/>
    <w:rPr>
      <w:color w:val="00B050"/>
      <w:lang w:val="x-none" w:eastAsia="en-US"/>
    </w:rPr>
  </w:style>
  <w:style w:type="paragraph" w:customStyle="1" w:styleId="Commenttextitalic">
    <w:name w:val="Comment text italic"/>
    <w:basedOn w:val="CommentText"/>
    <w:qFormat/>
    <w:rsid w:val="002526E6"/>
    <w:rPr>
      <w:i/>
      <w:lang w:val="x-none" w:eastAsia="en-US"/>
    </w:rPr>
  </w:style>
  <w:style w:type="character" w:customStyle="1" w:styleId="Characterbold">
    <w:name w:val="Character bold"/>
    <w:basedOn w:val="DefaultParagraphFont"/>
    <w:uiPriority w:val="1"/>
    <w:qFormat/>
    <w:rsid w:val="002526E6"/>
    <w:rPr>
      <w:b/>
    </w:rPr>
  </w:style>
  <w:style w:type="character" w:customStyle="1" w:styleId="Characteritalic">
    <w:name w:val="Character italic"/>
    <w:basedOn w:val="Characterbold"/>
    <w:uiPriority w:val="1"/>
    <w:qFormat/>
    <w:rsid w:val="002526E6"/>
    <w:rPr>
      <w:b w:val="0"/>
      <w:i/>
    </w:rPr>
  </w:style>
  <w:style w:type="character" w:customStyle="1" w:styleId="Characterpurple">
    <w:name w:val="Character purple"/>
    <w:basedOn w:val="DefaultParagraphFont"/>
    <w:uiPriority w:val="1"/>
    <w:qFormat/>
    <w:rsid w:val="00251D56"/>
    <w:rPr>
      <w:color w:val="990099"/>
    </w:rPr>
  </w:style>
  <w:style w:type="paragraph" w:customStyle="1" w:styleId="Commenttextnavy">
    <w:name w:val="Comment text navy"/>
    <w:basedOn w:val="Commenttextred"/>
    <w:rsid w:val="00FB47DD"/>
    <w:rPr>
      <w:color w:val="000066"/>
    </w:rPr>
  </w:style>
  <w:style w:type="paragraph" w:customStyle="1" w:styleId="Commenttextpurple">
    <w:name w:val="Comment text purple"/>
    <w:basedOn w:val="Commenttextgreen"/>
    <w:rsid w:val="00FB47DD"/>
    <w:rPr>
      <w:color w:val="990099"/>
    </w:rPr>
  </w:style>
  <w:style w:type="character" w:customStyle="1" w:styleId="StyleCharacterpurpleArialCustomColorRGB1530153">
    <w:name w:val="Style Character purple + Arial Custom Color(RGB(1530153))"/>
    <w:basedOn w:val="Characterpurple"/>
    <w:locked/>
    <w:rsid w:val="00251D56"/>
    <w:rPr>
      <w:rFonts w:ascii="Arial" w:hAnsi="Arial"/>
      <w:color w:val="990099"/>
    </w:rPr>
  </w:style>
  <w:style w:type="paragraph" w:customStyle="1" w:styleId="Cyan">
    <w:name w:val="Cyan"/>
    <w:basedOn w:val="NICEnormal"/>
    <w:qFormat/>
    <w:rsid w:val="000242AA"/>
  </w:style>
  <w:style w:type="character" w:customStyle="1" w:styleId="Charactercyan">
    <w:name w:val="Character cyan"/>
    <w:basedOn w:val="Characterpurple"/>
    <w:rsid w:val="000242AA"/>
    <w:rPr>
      <w:rFonts w:ascii="Arial" w:hAnsi="Arial"/>
      <w:color w:val="0070C0"/>
    </w:rPr>
  </w:style>
  <w:style w:type="character" w:customStyle="1" w:styleId="Characternavy">
    <w:name w:val="Character navy"/>
    <w:basedOn w:val="Charactercyan"/>
    <w:rsid w:val="000242AA"/>
    <w:rPr>
      <w:rFonts w:ascii="Arial" w:hAnsi="Arial"/>
      <w:color w:val="000066"/>
    </w:rPr>
  </w:style>
  <w:style w:type="paragraph" w:customStyle="1" w:styleId="StyleNICEnormalBold">
    <w:name w:val="Style NICE normal + Bold"/>
    <w:basedOn w:val="NICEnormal"/>
    <w:rsid w:val="00BA51EA"/>
    <w:rPr>
      <w:b/>
      <w:bCs/>
    </w:rPr>
  </w:style>
  <w:style w:type="character" w:styleId="FollowedHyperlink">
    <w:name w:val="FollowedHyperlink"/>
    <w:basedOn w:val="DefaultParagraphFont"/>
    <w:rsid w:val="00D933B0"/>
    <w:rPr>
      <w:color w:val="954F72" w:themeColor="followedHyperlink"/>
      <w:u w:val="single"/>
    </w:rPr>
  </w:style>
  <w:style w:type="paragraph" w:styleId="CommentSubject">
    <w:name w:val="annotation subject"/>
    <w:basedOn w:val="CommentText"/>
    <w:next w:val="CommentText"/>
    <w:link w:val="CommentSubjectChar"/>
    <w:rsid w:val="0068739F"/>
    <w:rPr>
      <w:b/>
      <w:bCs/>
      <w:lang w:eastAsia="en-US"/>
    </w:rPr>
  </w:style>
  <w:style w:type="character" w:customStyle="1" w:styleId="CommentSubjectChar">
    <w:name w:val="Comment Subject Char"/>
    <w:basedOn w:val="CommentTextChar"/>
    <w:link w:val="CommentSubject"/>
    <w:rsid w:val="0068739F"/>
    <w:rPr>
      <w:b/>
      <w:bCs/>
      <w:lang w:eastAsia="en-US"/>
    </w:rPr>
  </w:style>
  <w:style w:type="table" w:styleId="TableGridLight">
    <w:name w:val="Grid Table Light"/>
    <w:basedOn w:val="TableNormal"/>
    <w:uiPriority w:val="40"/>
    <w:locked/>
    <w:rsid w:val="00280D9F"/>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280D9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Revision">
    <w:name w:val="Revision"/>
    <w:hidden/>
    <w:uiPriority w:val="99"/>
    <w:semiHidden/>
    <w:rsid w:val="00AB40C5"/>
    <w:rPr>
      <w:sz w:val="24"/>
      <w:szCs w:val="24"/>
    </w:rPr>
  </w:style>
  <w:style w:type="paragraph" w:styleId="FootnoteText">
    <w:name w:val="footnote text"/>
    <w:basedOn w:val="Normal"/>
    <w:link w:val="FootnoteTextChar"/>
    <w:locked/>
    <w:rsid w:val="004C17BB"/>
    <w:rPr>
      <w:sz w:val="20"/>
      <w:szCs w:val="20"/>
    </w:rPr>
  </w:style>
  <w:style w:type="character" w:customStyle="1" w:styleId="FootnoteTextChar">
    <w:name w:val="Footnote Text Char"/>
    <w:basedOn w:val="DefaultParagraphFont"/>
    <w:link w:val="FootnoteText"/>
    <w:rsid w:val="004C17BB"/>
  </w:style>
  <w:style w:type="character" w:styleId="FootnoteReference">
    <w:name w:val="footnote reference"/>
    <w:basedOn w:val="DefaultParagraphFont"/>
    <w:locked/>
    <w:rsid w:val="004C17B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398957">
      <w:bodyDiv w:val="1"/>
      <w:marLeft w:val="0"/>
      <w:marRight w:val="0"/>
      <w:marTop w:val="0"/>
      <w:marBottom w:val="0"/>
      <w:divBdr>
        <w:top w:val="none" w:sz="0" w:space="0" w:color="auto"/>
        <w:left w:val="none" w:sz="0" w:space="0" w:color="auto"/>
        <w:bottom w:val="none" w:sz="0" w:space="0" w:color="auto"/>
        <w:right w:val="none" w:sz="0" w:space="0" w:color="auto"/>
      </w:divBdr>
    </w:div>
    <w:div w:id="43061573">
      <w:bodyDiv w:val="1"/>
      <w:marLeft w:val="0"/>
      <w:marRight w:val="0"/>
      <w:marTop w:val="0"/>
      <w:marBottom w:val="0"/>
      <w:divBdr>
        <w:top w:val="none" w:sz="0" w:space="0" w:color="auto"/>
        <w:left w:val="none" w:sz="0" w:space="0" w:color="auto"/>
        <w:bottom w:val="none" w:sz="0" w:space="0" w:color="auto"/>
        <w:right w:val="none" w:sz="0" w:space="0" w:color="auto"/>
      </w:divBdr>
    </w:div>
    <w:div w:id="185488646">
      <w:bodyDiv w:val="1"/>
      <w:marLeft w:val="0"/>
      <w:marRight w:val="0"/>
      <w:marTop w:val="0"/>
      <w:marBottom w:val="0"/>
      <w:divBdr>
        <w:top w:val="none" w:sz="0" w:space="0" w:color="auto"/>
        <w:left w:val="none" w:sz="0" w:space="0" w:color="auto"/>
        <w:bottom w:val="none" w:sz="0" w:space="0" w:color="auto"/>
        <w:right w:val="none" w:sz="0" w:space="0" w:color="auto"/>
      </w:divBdr>
    </w:div>
    <w:div w:id="202789080">
      <w:bodyDiv w:val="1"/>
      <w:marLeft w:val="0"/>
      <w:marRight w:val="0"/>
      <w:marTop w:val="0"/>
      <w:marBottom w:val="0"/>
      <w:divBdr>
        <w:top w:val="none" w:sz="0" w:space="0" w:color="auto"/>
        <w:left w:val="none" w:sz="0" w:space="0" w:color="auto"/>
        <w:bottom w:val="none" w:sz="0" w:space="0" w:color="auto"/>
        <w:right w:val="none" w:sz="0" w:space="0" w:color="auto"/>
      </w:divBdr>
    </w:div>
    <w:div w:id="226384320">
      <w:bodyDiv w:val="1"/>
      <w:marLeft w:val="0"/>
      <w:marRight w:val="0"/>
      <w:marTop w:val="0"/>
      <w:marBottom w:val="0"/>
      <w:divBdr>
        <w:top w:val="none" w:sz="0" w:space="0" w:color="auto"/>
        <w:left w:val="none" w:sz="0" w:space="0" w:color="auto"/>
        <w:bottom w:val="none" w:sz="0" w:space="0" w:color="auto"/>
        <w:right w:val="none" w:sz="0" w:space="0" w:color="auto"/>
      </w:divBdr>
    </w:div>
    <w:div w:id="489562189">
      <w:bodyDiv w:val="1"/>
      <w:marLeft w:val="0"/>
      <w:marRight w:val="0"/>
      <w:marTop w:val="0"/>
      <w:marBottom w:val="0"/>
      <w:divBdr>
        <w:top w:val="none" w:sz="0" w:space="0" w:color="auto"/>
        <w:left w:val="none" w:sz="0" w:space="0" w:color="auto"/>
        <w:bottom w:val="none" w:sz="0" w:space="0" w:color="auto"/>
        <w:right w:val="none" w:sz="0" w:space="0" w:color="auto"/>
      </w:divBdr>
    </w:div>
    <w:div w:id="491605438">
      <w:bodyDiv w:val="1"/>
      <w:marLeft w:val="0"/>
      <w:marRight w:val="0"/>
      <w:marTop w:val="0"/>
      <w:marBottom w:val="0"/>
      <w:divBdr>
        <w:top w:val="none" w:sz="0" w:space="0" w:color="auto"/>
        <w:left w:val="none" w:sz="0" w:space="0" w:color="auto"/>
        <w:bottom w:val="none" w:sz="0" w:space="0" w:color="auto"/>
        <w:right w:val="none" w:sz="0" w:space="0" w:color="auto"/>
      </w:divBdr>
    </w:div>
    <w:div w:id="680859004">
      <w:bodyDiv w:val="1"/>
      <w:marLeft w:val="0"/>
      <w:marRight w:val="0"/>
      <w:marTop w:val="0"/>
      <w:marBottom w:val="0"/>
      <w:divBdr>
        <w:top w:val="none" w:sz="0" w:space="0" w:color="auto"/>
        <w:left w:val="none" w:sz="0" w:space="0" w:color="auto"/>
        <w:bottom w:val="none" w:sz="0" w:space="0" w:color="auto"/>
        <w:right w:val="none" w:sz="0" w:space="0" w:color="auto"/>
      </w:divBdr>
    </w:div>
    <w:div w:id="954218997">
      <w:bodyDiv w:val="1"/>
      <w:marLeft w:val="0"/>
      <w:marRight w:val="0"/>
      <w:marTop w:val="0"/>
      <w:marBottom w:val="0"/>
      <w:divBdr>
        <w:top w:val="none" w:sz="0" w:space="0" w:color="auto"/>
        <w:left w:val="none" w:sz="0" w:space="0" w:color="auto"/>
        <w:bottom w:val="none" w:sz="0" w:space="0" w:color="auto"/>
        <w:right w:val="none" w:sz="0" w:space="0" w:color="auto"/>
      </w:divBdr>
    </w:div>
    <w:div w:id="1230383000">
      <w:bodyDiv w:val="1"/>
      <w:marLeft w:val="0"/>
      <w:marRight w:val="0"/>
      <w:marTop w:val="0"/>
      <w:marBottom w:val="0"/>
      <w:divBdr>
        <w:top w:val="none" w:sz="0" w:space="0" w:color="auto"/>
        <w:left w:val="none" w:sz="0" w:space="0" w:color="auto"/>
        <w:bottom w:val="none" w:sz="0" w:space="0" w:color="auto"/>
        <w:right w:val="none" w:sz="0" w:space="0" w:color="auto"/>
      </w:divBdr>
    </w:div>
    <w:div w:id="1308894173">
      <w:bodyDiv w:val="1"/>
      <w:marLeft w:val="0"/>
      <w:marRight w:val="0"/>
      <w:marTop w:val="0"/>
      <w:marBottom w:val="0"/>
      <w:divBdr>
        <w:top w:val="none" w:sz="0" w:space="0" w:color="auto"/>
        <w:left w:val="none" w:sz="0" w:space="0" w:color="auto"/>
        <w:bottom w:val="none" w:sz="0" w:space="0" w:color="auto"/>
        <w:right w:val="none" w:sz="0" w:space="0" w:color="auto"/>
      </w:divBdr>
    </w:div>
    <w:div w:id="1315992271">
      <w:bodyDiv w:val="1"/>
      <w:marLeft w:val="0"/>
      <w:marRight w:val="0"/>
      <w:marTop w:val="0"/>
      <w:marBottom w:val="0"/>
      <w:divBdr>
        <w:top w:val="none" w:sz="0" w:space="0" w:color="auto"/>
        <w:left w:val="none" w:sz="0" w:space="0" w:color="auto"/>
        <w:bottom w:val="none" w:sz="0" w:space="0" w:color="auto"/>
        <w:right w:val="none" w:sz="0" w:space="0" w:color="auto"/>
      </w:divBdr>
    </w:div>
    <w:div w:id="1432775992">
      <w:bodyDiv w:val="1"/>
      <w:marLeft w:val="0"/>
      <w:marRight w:val="0"/>
      <w:marTop w:val="0"/>
      <w:marBottom w:val="0"/>
      <w:divBdr>
        <w:top w:val="none" w:sz="0" w:space="0" w:color="auto"/>
        <w:left w:val="none" w:sz="0" w:space="0" w:color="auto"/>
        <w:bottom w:val="none" w:sz="0" w:space="0" w:color="auto"/>
        <w:right w:val="none" w:sz="0" w:space="0" w:color="auto"/>
      </w:divBdr>
    </w:div>
    <w:div w:id="1846285466">
      <w:bodyDiv w:val="1"/>
      <w:marLeft w:val="0"/>
      <w:marRight w:val="0"/>
      <w:marTop w:val="0"/>
      <w:marBottom w:val="0"/>
      <w:divBdr>
        <w:top w:val="none" w:sz="0" w:space="0" w:color="auto"/>
        <w:left w:val="none" w:sz="0" w:space="0" w:color="auto"/>
        <w:bottom w:val="none" w:sz="0" w:space="0" w:color="auto"/>
        <w:right w:val="none" w:sz="0" w:space="0" w:color="auto"/>
      </w:divBdr>
    </w:div>
    <w:div w:id="2100787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assets.publishing.service.gov.uk/government/uploads/system/uploads/attachment_data/file/963491/COVID-19_Response_-_Spring_2021.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nice.org.uk/terms-and-conditions" TargetMode="Externa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file:///\\nice.nhs.uk\Data\CHTE\Centre%20Documents\Board%20Reporting\2020\4.%20July\chart%20info%20July%20202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0"/>
    <c:plotArea>
      <c:layout/>
      <c:barChart>
        <c:barDir val="col"/>
        <c:grouping val="clustered"/>
        <c:varyColors val="0"/>
        <c:ser>
          <c:idx val="0"/>
          <c:order val="0"/>
          <c:tx>
            <c:strRef>
              <c:f>'Outputs - Actual v Plan'!$C$21</c:f>
              <c:strCache>
                <c:ptCount val="1"/>
                <c:pt idx="0">
                  <c:v>Actual</c:v>
                </c:pt>
              </c:strCache>
            </c:strRef>
          </c:tx>
          <c:spPr>
            <a:solidFill>
              <a:srgbClr val="00506A"/>
            </a:solidFill>
            <a:ln>
              <a:solidFill>
                <a:srgbClr val="00506A"/>
              </a:solidFill>
            </a:ln>
          </c:spPr>
          <c:invertIfNegative val="0"/>
          <c:cat>
            <c:strRef>
              <c:f>'Outputs - Actual v Plan'!$B$22:$B$28</c:f>
              <c:strCache>
                <c:ptCount val="7"/>
                <c:pt idx="0">
                  <c:v>Budget impact assessments </c:v>
                </c:pt>
                <c:pt idx="1">
                  <c:v>Commercial briefings issued</c:v>
                </c:pt>
                <c:pt idx="2">
                  <c:v>Patient access schemes</c:v>
                </c:pt>
                <c:pt idx="3">
                  <c:v>Engagements delivered by OMA</c:v>
                </c:pt>
                <c:pt idx="4">
                  <c:v>Managed access agreements</c:v>
                </c:pt>
                <c:pt idx="5">
                  <c:v>Scientific Advice projects</c:v>
                </c:pt>
                <c:pt idx="6">
                  <c:v>NICE International engagements</c:v>
                </c:pt>
              </c:strCache>
            </c:strRef>
          </c:cat>
          <c:val>
            <c:numRef>
              <c:f>'Outputs - Actual v Plan'!$C$22:$C$28</c:f>
              <c:numCache>
                <c:formatCode>General</c:formatCode>
                <c:ptCount val="7"/>
                <c:pt idx="0">
                  <c:v>9</c:v>
                </c:pt>
                <c:pt idx="1">
                  <c:v>4</c:v>
                </c:pt>
                <c:pt idx="2">
                  <c:v>10</c:v>
                </c:pt>
                <c:pt idx="3">
                  <c:v>2</c:v>
                </c:pt>
                <c:pt idx="4">
                  <c:v>2</c:v>
                </c:pt>
                <c:pt idx="5">
                  <c:v>9</c:v>
                </c:pt>
                <c:pt idx="6">
                  <c:v>5</c:v>
                </c:pt>
              </c:numCache>
            </c:numRef>
          </c:val>
          <c:extLst>
            <c:ext xmlns:c16="http://schemas.microsoft.com/office/drawing/2014/chart" uri="{C3380CC4-5D6E-409C-BE32-E72D297353CC}">
              <c16:uniqueId val="{00000000-7475-4788-881E-A3DAABA94468}"/>
            </c:ext>
          </c:extLst>
        </c:ser>
        <c:dLbls>
          <c:showLegendKey val="0"/>
          <c:showVal val="0"/>
          <c:showCatName val="0"/>
          <c:showSerName val="0"/>
          <c:showPercent val="0"/>
          <c:showBubbleSize val="0"/>
        </c:dLbls>
        <c:gapWidth val="150"/>
        <c:axId val="299845408"/>
        <c:axId val="299843056"/>
      </c:barChart>
      <c:lineChart>
        <c:grouping val="standard"/>
        <c:varyColors val="0"/>
        <c:ser>
          <c:idx val="1"/>
          <c:order val="1"/>
          <c:tx>
            <c:strRef>
              <c:f>'Outputs - Actual v Plan'!$D$21</c:f>
              <c:strCache>
                <c:ptCount val="1"/>
                <c:pt idx="0">
                  <c:v>Plan</c:v>
                </c:pt>
              </c:strCache>
            </c:strRef>
          </c:tx>
          <c:spPr>
            <a:ln w="28575">
              <a:noFill/>
            </a:ln>
          </c:spPr>
          <c:marker>
            <c:symbol val="dash"/>
            <c:size val="20"/>
          </c:marker>
          <c:cat>
            <c:strRef>
              <c:f>'Outputs - Actual v Plan'!$B$22:$B$28</c:f>
              <c:strCache>
                <c:ptCount val="7"/>
                <c:pt idx="0">
                  <c:v>Budget impact assessments </c:v>
                </c:pt>
                <c:pt idx="1">
                  <c:v>Commercial briefings issued</c:v>
                </c:pt>
                <c:pt idx="2">
                  <c:v>Patient access schemes</c:v>
                </c:pt>
                <c:pt idx="3">
                  <c:v>Engagements delivered by OMA</c:v>
                </c:pt>
                <c:pt idx="4">
                  <c:v>Managed access agreements</c:v>
                </c:pt>
                <c:pt idx="5">
                  <c:v>Scientific Advice projects</c:v>
                </c:pt>
                <c:pt idx="6">
                  <c:v>NICE International engagements</c:v>
                </c:pt>
              </c:strCache>
            </c:strRef>
          </c:cat>
          <c:val>
            <c:numRef>
              <c:f>'Outputs - Actual v Plan'!$D$22:$D$28</c:f>
              <c:numCache>
                <c:formatCode>General</c:formatCode>
                <c:ptCount val="7"/>
                <c:pt idx="0">
                  <c:v>11</c:v>
                </c:pt>
                <c:pt idx="1">
                  <c:v>7</c:v>
                </c:pt>
                <c:pt idx="2">
                  <c:v>6</c:v>
                </c:pt>
                <c:pt idx="3">
                  <c:v>2</c:v>
                </c:pt>
                <c:pt idx="4">
                  <c:v>2</c:v>
                </c:pt>
                <c:pt idx="5">
                  <c:v>11</c:v>
                </c:pt>
                <c:pt idx="6">
                  <c:v>7</c:v>
                </c:pt>
              </c:numCache>
            </c:numRef>
          </c:val>
          <c:smooth val="0"/>
          <c:extLst>
            <c:ext xmlns:c16="http://schemas.microsoft.com/office/drawing/2014/chart" uri="{C3380CC4-5D6E-409C-BE32-E72D297353CC}">
              <c16:uniqueId val="{00000001-7475-4788-881E-A3DAABA94468}"/>
            </c:ext>
          </c:extLst>
        </c:ser>
        <c:dLbls>
          <c:showLegendKey val="0"/>
          <c:showVal val="0"/>
          <c:showCatName val="0"/>
          <c:showSerName val="0"/>
          <c:showPercent val="0"/>
          <c:showBubbleSize val="0"/>
        </c:dLbls>
        <c:marker val="1"/>
        <c:smooth val="0"/>
        <c:axId val="302746816"/>
        <c:axId val="299843448"/>
      </c:lineChart>
      <c:catAx>
        <c:axId val="299845408"/>
        <c:scaling>
          <c:orientation val="minMax"/>
        </c:scaling>
        <c:delete val="0"/>
        <c:axPos val="b"/>
        <c:numFmt formatCode="General" sourceLinked="0"/>
        <c:majorTickMark val="out"/>
        <c:minorTickMark val="none"/>
        <c:tickLblPos val="nextTo"/>
        <c:txPr>
          <a:bodyPr/>
          <a:lstStyle/>
          <a:p>
            <a:pPr>
              <a:defRPr sz="1100">
                <a:latin typeface="Arial" panose="020B0604020202020204" pitchFamily="34" charset="0"/>
                <a:cs typeface="Arial" panose="020B0604020202020204" pitchFamily="34" charset="0"/>
              </a:defRPr>
            </a:pPr>
            <a:endParaRPr lang="en-US"/>
          </a:p>
        </c:txPr>
        <c:crossAx val="299843056"/>
        <c:crosses val="autoZero"/>
        <c:auto val="1"/>
        <c:lblAlgn val="ctr"/>
        <c:lblOffset val="100"/>
        <c:noMultiLvlLbl val="0"/>
      </c:catAx>
      <c:valAx>
        <c:axId val="299843056"/>
        <c:scaling>
          <c:orientation val="minMax"/>
        </c:scaling>
        <c:delete val="0"/>
        <c:axPos val="l"/>
        <c:majorGridlines/>
        <c:numFmt formatCode="General" sourceLinked="1"/>
        <c:majorTickMark val="out"/>
        <c:minorTickMark val="none"/>
        <c:tickLblPos val="nextTo"/>
        <c:crossAx val="299845408"/>
        <c:crosses val="autoZero"/>
        <c:crossBetween val="between"/>
      </c:valAx>
      <c:valAx>
        <c:axId val="299843448"/>
        <c:scaling>
          <c:orientation val="minMax"/>
        </c:scaling>
        <c:delete val="1"/>
        <c:axPos val="r"/>
        <c:numFmt formatCode="General" sourceLinked="1"/>
        <c:majorTickMark val="out"/>
        <c:minorTickMark val="none"/>
        <c:tickLblPos val="nextTo"/>
        <c:crossAx val="302746816"/>
        <c:crosses val="max"/>
        <c:crossBetween val="between"/>
      </c:valAx>
      <c:catAx>
        <c:axId val="302746816"/>
        <c:scaling>
          <c:orientation val="minMax"/>
        </c:scaling>
        <c:delete val="1"/>
        <c:axPos val="t"/>
        <c:numFmt formatCode="General" sourceLinked="1"/>
        <c:majorTickMark val="out"/>
        <c:minorTickMark val="none"/>
        <c:tickLblPos val="nextTo"/>
        <c:crossAx val="299843448"/>
        <c:crosses val="max"/>
        <c:auto val="1"/>
        <c:lblAlgn val="ctr"/>
        <c:lblOffset val="100"/>
        <c:noMultiLvlLbl val="0"/>
      </c:catAx>
    </c:plotArea>
    <c:legend>
      <c:legendPos val="r"/>
      <c:overlay val="0"/>
      <c:txPr>
        <a:bodyPr/>
        <a:lstStyle/>
        <a:p>
          <a:pPr>
            <a:defRPr sz="1200">
              <a:latin typeface="Arial" panose="020B0604020202020204" pitchFamily="34" charset="0"/>
              <a:cs typeface="Arial" panose="020B0604020202020204" pitchFamily="34" charset="0"/>
            </a:defRPr>
          </a:pPr>
          <a:endParaRPr lang="en-US"/>
        </a:p>
      </c:txPr>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BFE704-F20E-47D3-B7BE-ADEA15FE7B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1408</Words>
  <Characters>8039</Characters>
  <Application>Microsoft Office Word</Application>
  <DocSecurity>0</DocSecurity>
  <Lines>66</Lines>
  <Paragraphs>18</Paragraphs>
  <ScaleCrop>false</ScaleCrop>
  <Company/>
  <LinksUpToDate>false</LinksUpToDate>
  <CharactersWithSpaces>9429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2021-03-17T11:27:00Z</dcterms:created>
  <dcterms:modified xsi:type="dcterms:W3CDTF">2021-03-17T11:27:00Z</dcterms:modified>
</cp:coreProperties>
</file>