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1EC5" w14:textId="77777777" w:rsidR="00EB1C36" w:rsidRPr="00D73C98" w:rsidRDefault="00EB1C36" w:rsidP="00F07534">
      <w:pPr>
        <w:pStyle w:val="Title20"/>
      </w:pPr>
      <w:r>
        <w:t>National Institute for Health and Care Excellence</w:t>
      </w:r>
    </w:p>
    <w:p w14:paraId="0DA46AB9" w14:textId="220ACEED" w:rsidR="00EB1C36" w:rsidRPr="00D73C98" w:rsidRDefault="00D16AB6" w:rsidP="00F07534">
      <w:pPr>
        <w:pStyle w:val="Title1"/>
      </w:pPr>
      <w:r>
        <w:t xml:space="preserve">Communications Directorate </w:t>
      </w:r>
      <w:r w:rsidR="00EB1C36" w:rsidRPr="00D73C98">
        <w:t>progress report</w:t>
      </w:r>
    </w:p>
    <w:p w14:paraId="28A1B0F4" w14:textId="77777777" w:rsidR="00EB1C36" w:rsidRDefault="00EB1C36" w:rsidP="00EB1C36">
      <w:pPr>
        <w:pStyle w:val="Heading1boardreport"/>
      </w:pPr>
      <w:r>
        <w:t>Summary of activity</w:t>
      </w:r>
    </w:p>
    <w:p w14:paraId="7DA45C63" w14:textId="73F3CFEA" w:rsidR="00B529FF" w:rsidRPr="00B529FF" w:rsidRDefault="00B529FF" w:rsidP="00B529FF">
      <w:pPr>
        <w:pStyle w:val="NICEnormalnumbered"/>
      </w:pPr>
      <w:r w:rsidRPr="00B529FF">
        <w:t xml:space="preserve">This report provides an update on key issues and developments in the Communications Directorate in the period January - February 2021.  </w:t>
      </w:r>
      <w:r>
        <w:t xml:space="preserve">Communication and planning for the launch of the new 5-year strategy and several marketing </w:t>
      </w:r>
      <w:proofErr w:type="gramStart"/>
      <w:r>
        <w:t>initiative</w:t>
      </w:r>
      <w:proofErr w:type="gramEnd"/>
      <w:r>
        <w:t xml:space="preserve"> were among the key areas of work during this period. </w:t>
      </w:r>
    </w:p>
    <w:p w14:paraId="005F1DC4" w14:textId="6BF1BA8E" w:rsidR="00391F59" w:rsidRPr="00391F59" w:rsidRDefault="00EB1C36" w:rsidP="00391F59">
      <w:pPr>
        <w:pStyle w:val="Heading1boardreport"/>
      </w:pPr>
      <w:r>
        <w:t xml:space="preserve">Notable </w:t>
      </w:r>
      <w:r w:rsidRPr="00D959FE">
        <w:t>issues</w:t>
      </w:r>
      <w:r>
        <w:t xml:space="preserve"> and developments </w:t>
      </w:r>
    </w:p>
    <w:p w14:paraId="05D8DF14" w14:textId="123F0B71" w:rsidR="00EB1C36" w:rsidRDefault="00EB1C36" w:rsidP="00EB1C36">
      <w:pPr>
        <w:pStyle w:val="Heading2boardreport"/>
      </w:pPr>
      <w:bookmarkStart w:id="0" w:name="_Hlk61014538"/>
      <w:r>
        <w:t>Ongoing response to COVID-19</w:t>
      </w:r>
    </w:p>
    <w:bookmarkEnd w:id="0"/>
    <w:p w14:paraId="6BF2A302" w14:textId="4AE45714" w:rsidR="00EB1C36" w:rsidRDefault="00ED7DF6" w:rsidP="00FB233B">
      <w:pPr>
        <w:pStyle w:val="NICEnormalnumbered"/>
      </w:pPr>
      <w:r>
        <w:t xml:space="preserve">With the number of COVID-19 patients in hospitals </w:t>
      </w:r>
      <w:r w:rsidR="00331FD0">
        <w:t xml:space="preserve">increasing </w:t>
      </w:r>
      <w:r>
        <w:t>in January/February, we review</w:t>
      </w:r>
      <w:r w:rsidR="00331FD0">
        <w:t>ed</w:t>
      </w:r>
      <w:r>
        <w:t xml:space="preserve"> our plans to publicise new guidance and other initiatives on a case-by-case basis</w:t>
      </w:r>
      <w:r w:rsidR="00331FD0">
        <w:t>. Our aim was to be sensitive to the pressures on the system while facilitating</w:t>
      </w:r>
      <w:r w:rsidR="00331FD0" w:rsidRPr="00331FD0">
        <w:t xml:space="preserve"> </w:t>
      </w:r>
      <w:r w:rsidR="00331FD0">
        <w:t xml:space="preserve">the </w:t>
      </w:r>
      <w:r w:rsidR="00331FD0" w:rsidRPr="00331FD0">
        <w:t>return to more normal levels of non-COVID services</w:t>
      </w:r>
      <w:r w:rsidR="00331FD0">
        <w:t>.</w:t>
      </w:r>
      <w:r w:rsidR="0095223F">
        <w:t xml:space="preserve"> </w:t>
      </w:r>
      <w:r>
        <w:t xml:space="preserve"> </w:t>
      </w:r>
    </w:p>
    <w:p w14:paraId="5A5AC3C0" w14:textId="41B08A0E" w:rsidR="00390174" w:rsidRDefault="00145664" w:rsidP="00390174">
      <w:pPr>
        <w:pStyle w:val="NICEnormalnumbered"/>
      </w:pPr>
      <w:r>
        <w:t xml:space="preserve">We have been working with colleagues in the Centre for Guidelines to develop lines to take </w:t>
      </w:r>
      <w:r w:rsidR="00335E56">
        <w:t xml:space="preserve">and key messages </w:t>
      </w:r>
      <w:r>
        <w:t xml:space="preserve">for guidance users about the forthcoming publication of the diagnosis and management of COVID-19 guideline using the </w:t>
      </w:r>
      <w:proofErr w:type="spellStart"/>
      <w:r>
        <w:t>MAGICApp</w:t>
      </w:r>
      <w:proofErr w:type="spellEnd"/>
      <w:r>
        <w:t xml:space="preserve"> platform. </w:t>
      </w:r>
    </w:p>
    <w:p w14:paraId="15249354" w14:textId="77777777" w:rsidR="00F414EC" w:rsidRPr="00F414EC" w:rsidRDefault="00F414EC" w:rsidP="00F414EC">
      <w:pPr>
        <w:pStyle w:val="Heading2boardreport"/>
      </w:pPr>
      <w:bookmarkStart w:id="1" w:name="_Hlk65849307"/>
      <w:r w:rsidRPr="00F414EC">
        <w:t>Marketing communications</w:t>
      </w:r>
    </w:p>
    <w:p w14:paraId="3734ABBF" w14:textId="540B491F" w:rsidR="00F414EC" w:rsidRDefault="00F414EC" w:rsidP="00F414EC">
      <w:pPr>
        <w:pStyle w:val="NICEnormalnumbered"/>
      </w:pPr>
      <w:r w:rsidRPr="00F414EC">
        <w:t xml:space="preserve">We developed key messages, a draft marketing communications strategy and initial action plan to support NICE's efforts to establish its role within the digital health sector, and to begin to demonstrate progress and impact. </w:t>
      </w:r>
    </w:p>
    <w:p w14:paraId="7AAD9AFF" w14:textId="77777777" w:rsidR="00F414EC" w:rsidRPr="00F414EC" w:rsidRDefault="00F414EC" w:rsidP="00F414EC">
      <w:pPr>
        <w:pStyle w:val="NICEnormalnumbered"/>
      </w:pPr>
      <w:r w:rsidRPr="00F414EC">
        <w:t xml:space="preserve">We supported the AI Multi Agency Advice Service (a collaboration between NICE, the MHRA, the HRA and CQC that will support the </w:t>
      </w:r>
      <w:r w:rsidRPr="00F414EC">
        <w:lastRenderedPageBreak/>
        <w:t xml:space="preserve">development and adoption of artificial intelligence-driven technologies in the health and care system) with the development of key messages, a stakeholder engagement strategy and communications planning to formally announce the project.   </w:t>
      </w:r>
    </w:p>
    <w:p w14:paraId="712015F4" w14:textId="4F3D59BF" w:rsidR="00F414EC" w:rsidRPr="00F414EC" w:rsidRDefault="00F414EC" w:rsidP="00F414EC">
      <w:pPr>
        <w:pStyle w:val="NICEnormalnumbered"/>
      </w:pPr>
      <w:r w:rsidRPr="00F414EC">
        <w:t xml:space="preserve">A new animation summarising NICE International’s purpose and service offering was produced in January to support their presentation at the </w:t>
      </w:r>
      <w:proofErr w:type="gramStart"/>
      <w:r w:rsidRPr="00F414EC">
        <w:t>All Party</w:t>
      </w:r>
      <w:proofErr w:type="gramEnd"/>
      <w:r w:rsidRPr="00F414EC">
        <w:t xml:space="preserve"> Parliamentary Group on Global Health on 22 January. Work also commenced on refreshing the NICE International web page, with a view to improving user experience and search engine optimisation. The new animation will also feature on the revised NICE International web page and within marketing communications campaigns. In February, a research agency was appointed to gain audience insight that will be used to inform development of NICE International's business strategy, and marketing strategy.</w:t>
      </w:r>
    </w:p>
    <w:p w14:paraId="25AB121A" w14:textId="2E9B6CB7" w:rsidR="00B041E7" w:rsidRDefault="00F414EC" w:rsidP="00B041E7">
      <w:pPr>
        <w:pStyle w:val="Heading2boardreport"/>
      </w:pPr>
      <w:r>
        <w:t>5-year s</w:t>
      </w:r>
      <w:r w:rsidR="00B041E7">
        <w:t>trategy launch</w:t>
      </w:r>
    </w:p>
    <w:p w14:paraId="6494B1A1" w14:textId="49B0FC72" w:rsidR="005B7D85" w:rsidRPr="007739BF" w:rsidRDefault="004B3050" w:rsidP="00074D32">
      <w:pPr>
        <w:pStyle w:val="NICEnormalnumbered"/>
      </w:pPr>
      <w:r>
        <w:rPr>
          <w:rFonts w:eastAsiaTheme="minorEastAsia"/>
        </w:rPr>
        <w:t>D</w:t>
      </w:r>
      <w:r w:rsidR="000B3B17" w:rsidRPr="004B3050">
        <w:rPr>
          <w:rFonts w:eastAsiaTheme="minorEastAsia"/>
        </w:rPr>
        <w:t xml:space="preserve">uring the reporting period, the </w:t>
      </w:r>
      <w:r w:rsidR="004E72E7">
        <w:rPr>
          <w:rFonts w:eastAsiaTheme="minorEastAsia"/>
        </w:rPr>
        <w:t>C</w:t>
      </w:r>
      <w:r w:rsidR="000B3B17" w:rsidRPr="004B3050">
        <w:rPr>
          <w:rFonts w:eastAsiaTheme="minorEastAsia"/>
        </w:rPr>
        <w:t xml:space="preserve">ommunications </w:t>
      </w:r>
      <w:r w:rsidR="004E72E7">
        <w:rPr>
          <w:rFonts w:eastAsiaTheme="minorEastAsia"/>
        </w:rPr>
        <w:t>D</w:t>
      </w:r>
      <w:r w:rsidR="000B3B17" w:rsidRPr="004B3050">
        <w:rPr>
          <w:rFonts w:eastAsiaTheme="minorEastAsia"/>
        </w:rPr>
        <w:t xml:space="preserve">irectorate has </w:t>
      </w:r>
      <w:r w:rsidR="005B7D85">
        <w:rPr>
          <w:rFonts w:eastAsiaTheme="minorEastAsia"/>
        </w:rPr>
        <w:t>initiated a m</w:t>
      </w:r>
      <w:r w:rsidR="00F7241B" w:rsidRPr="004B3050">
        <w:rPr>
          <w:rFonts w:eastAsiaTheme="minorEastAsia"/>
        </w:rPr>
        <w:t xml:space="preserve">ulti-channel campaign to promote the </w:t>
      </w:r>
      <w:r w:rsidR="005B7D85">
        <w:rPr>
          <w:rFonts w:eastAsiaTheme="minorEastAsia"/>
        </w:rPr>
        <w:t>19 April l</w:t>
      </w:r>
      <w:r w:rsidR="00F7241B" w:rsidRPr="004B3050">
        <w:rPr>
          <w:rFonts w:eastAsiaTheme="minorEastAsia"/>
        </w:rPr>
        <w:t>aunch of our new 5-year strategy, and to start to embed it with our audiences.</w:t>
      </w:r>
      <w:r w:rsidR="00335E56" w:rsidRPr="004B3050">
        <w:rPr>
          <w:rFonts w:eastAsiaTheme="minorEastAsia"/>
        </w:rPr>
        <w:t xml:space="preserve"> </w:t>
      </w:r>
      <w:r w:rsidR="005B7D85">
        <w:rPr>
          <w:rFonts w:eastAsiaTheme="minorEastAsia"/>
        </w:rPr>
        <w:t xml:space="preserve">The </w:t>
      </w:r>
      <w:r w:rsidR="005B7D85" w:rsidRPr="005B7D85">
        <w:rPr>
          <w:rFonts w:eastAsiaTheme="minorEastAsia"/>
        </w:rPr>
        <w:t xml:space="preserve">campaign to drive registrations for the launch event </w:t>
      </w:r>
      <w:r w:rsidR="005B7D85">
        <w:rPr>
          <w:rFonts w:eastAsiaTheme="minorEastAsia"/>
        </w:rPr>
        <w:t xml:space="preserve">included </w:t>
      </w:r>
      <w:r w:rsidR="005B7D85" w:rsidRPr="005B7D85">
        <w:rPr>
          <w:rFonts w:eastAsiaTheme="minorEastAsia"/>
        </w:rPr>
        <w:t>using organic social media posts, newsletter articles, direct email invitations to key stakeholders and placing articles in system partners' bulletins</w:t>
      </w:r>
      <w:r w:rsidR="005B7D85">
        <w:rPr>
          <w:rFonts w:eastAsiaTheme="minorEastAsia"/>
        </w:rPr>
        <w:t>.</w:t>
      </w:r>
    </w:p>
    <w:p w14:paraId="3EDE75A2" w14:textId="04F9A76B" w:rsidR="007739BF" w:rsidRPr="007739BF" w:rsidRDefault="007739BF" w:rsidP="007739BF">
      <w:pPr>
        <w:pStyle w:val="NICEnormalnumbered"/>
        <w:rPr>
          <w:rFonts w:eastAsiaTheme="minorEastAsia"/>
        </w:rPr>
      </w:pPr>
      <w:r>
        <w:rPr>
          <w:rFonts w:eastAsiaTheme="minorEastAsia"/>
        </w:rPr>
        <w:t>We p</w:t>
      </w:r>
      <w:r w:rsidRPr="007739BF">
        <w:rPr>
          <w:rFonts w:eastAsiaTheme="minorEastAsia"/>
        </w:rPr>
        <w:t xml:space="preserve">rocured the services of a media agency to </w:t>
      </w:r>
      <w:r w:rsidRPr="007739BF">
        <w:t xml:space="preserve">develop a paid digital marketing campaign to further increase registrations for the launch event, and to raise awareness of the strategy and what it means for our </w:t>
      </w:r>
      <w:proofErr w:type="gramStart"/>
      <w:r w:rsidRPr="007739BF">
        <w:t>audiences</w:t>
      </w:r>
      <w:proofErr w:type="gramEnd"/>
      <w:r w:rsidRPr="007739BF">
        <w:t xml:space="preserve"> post-launch. The paid campaign will run from early April to mid-May. Channel planning is currently underway.</w:t>
      </w:r>
    </w:p>
    <w:p w14:paraId="3B77ED31" w14:textId="3AA8F3B3" w:rsidR="005B7D85" w:rsidRPr="005B7D85" w:rsidRDefault="005B7D85" w:rsidP="005B7D85">
      <w:pPr>
        <w:pStyle w:val="NICEnormalnumbered"/>
      </w:pPr>
      <w:r w:rsidRPr="005B7D85">
        <w:t xml:space="preserve">Lord Bethell </w:t>
      </w:r>
      <w:r w:rsidR="007739BF">
        <w:t xml:space="preserve">is scheduled to open the launch event </w:t>
      </w:r>
      <w:r w:rsidRPr="005B7D85">
        <w:t xml:space="preserve">and freelance journalist Richard </w:t>
      </w:r>
      <w:proofErr w:type="spellStart"/>
      <w:r w:rsidRPr="005B7D85">
        <w:t>Vize</w:t>
      </w:r>
      <w:proofErr w:type="spellEnd"/>
      <w:r w:rsidRPr="005B7D85">
        <w:t xml:space="preserve"> will host/facilitate the event. More than 1,200 delegates have registered to date, including delegates from 30 countries outside the UK. </w:t>
      </w:r>
      <w:r>
        <w:t>T</w:t>
      </w:r>
      <w:r w:rsidRPr="005B7D85">
        <w:t>he delegate breakdown is as follows:</w:t>
      </w:r>
    </w:p>
    <w:p w14:paraId="02D34852" w14:textId="3675D7C0" w:rsidR="005B7D85" w:rsidRPr="005B7D85" w:rsidRDefault="005B7D85" w:rsidP="005B7D85">
      <w:pPr>
        <w:pStyle w:val="NICEnormalnumbered"/>
        <w:numPr>
          <w:ilvl w:val="0"/>
          <w:numId w:val="0"/>
        </w:numPr>
        <w:ind w:left="644"/>
      </w:pPr>
      <w:r w:rsidRPr="005B7D85">
        <w:rPr>
          <w:noProof/>
        </w:rPr>
        <w:lastRenderedPageBreak/>
        <w:drawing>
          <wp:inline distT="0" distB="0" distL="0" distR="0" wp14:anchorId="61E2BE1C" wp14:editId="7B7DA616">
            <wp:extent cx="4573905" cy="3394075"/>
            <wp:effectExtent l="0" t="0" r="17145" b="15875"/>
            <wp:docPr id="1" name="Chart 1" descr="Sector breakdown chart for the delegates registered to attend the official launch event of NICE's 5 year strategy on 19 April 2021. The percentages fluctuate between 1% from government and NICE and 36% from pharma and medtech."/>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4CA030" w14:textId="17C61EEF" w:rsidR="00335E56" w:rsidRPr="00335E56" w:rsidRDefault="005B7D85" w:rsidP="00074D32">
      <w:pPr>
        <w:pStyle w:val="NICEnormalnumbered"/>
      </w:pPr>
      <w:r>
        <w:rPr>
          <w:rFonts w:eastAsiaTheme="minorEastAsia"/>
        </w:rPr>
        <w:t>To support the strategy launch</w:t>
      </w:r>
      <w:r w:rsidR="00335E56" w:rsidRPr="004B3050">
        <w:rPr>
          <w:rFonts w:eastAsiaTheme="minorEastAsia"/>
        </w:rPr>
        <w:t xml:space="preserve"> we have:</w:t>
      </w:r>
    </w:p>
    <w:p w14:paraId="2FA39634" w14:textId="5B03DF82" w:rsidR="00335E56" w:rsidRDefault="001234A1" w:rsidP="00D96220">
      <w:pPr>
        <w:pStyle w:val="Bulletindent2"/>
        <w:rPr>
          <w:rFonts w:eastAsiaTheme="minorEastAsia"/>
        </w:rPr>
      </w:pPr>
      <w:bookmarkStart w:id="2" w:name="_Hlk66112109"/>
      <w:r>
        <w:rPr>
          <w:rFonts w:eastAsiaTheme="minorEastAsia"/>
        </w:rPr>
        <w:t xml:space="preserve">Secured a special session of the </w:t>
      </w:r>
      <w:proofErr w:type="gramStart"/>
      <w:r>
        <w:rPr>
          <w:rFonts w:eastAsiaTheme="minorEastAsia"/>
        </w:rPr>
        <w:t>All Party</w:t>
      </w:r>
      <w:proofErr w:type="gramEnd"/>
      <w:r>
        <w:rPr>
          <w:rFonts w:eastAsiaTheme="minorEastAsia"/>
        </w:rPr>
        <w:t xml:space="preserve"> Parliamentary Health Group (APHG) </w:t>
      </w:r>
      <w:r w:rsidR="00CC3D51">
        <w:rPr>
          <w:rFonts w:eastAsiaTheme="minorEastAsia"/>
        </w:rPr>
        <w:t xml:space="preserve">on 28 April </w:t>
      </w:r>
      <w:r>
        <w:rPr>
          <w:rFonts w:eastAsiaTheme="minorEastAsia"/>
        </w:rPr>
        <w:t xml:space="preserve">at which the chairman and chief executive will present and explain the strategy to a select group of MPs, peers and </w:t>
      </w:r>
      <w:r w:rsidR="00E608D3">
        <w:rPr>
          <w:rFonts w:eastAsiaTheme="minorEastAsia"/>
        </w:rPr>
        <w:t xml:space="preserve">patient group </w:t>
      </w:r>
      <w:r>
        <w:rPr>
          <w:rFonts w:eastAsiaTheme="minorEastAsia"/>
        </w:rPr>
        <w:t>representatives</w:t>
      </w:r>
      <w:bookmarkEnd w:id="2"/>
      <w:r>
        <w:rPr>
          <w:rFonts w:eastAsiaTheme="minorEastAsia"/>
        </w:rPr>
        <w:t xml:space="preserve">. </w:t>
      </w:r>
      <w:r w:rsidR="00335E56">
        <w:rPr>
          <w:rFonts w:eastAsiaTheme="minorEastAsia"/>
        </w:rPr>
        <w:t xml:space="preserve"> </w:t>
      </w:r>
    </w:p>
    <w:bookmarkEnd w:id="1"/>
    <w:p w14:paraId="47D37613" w14:textId="7566F25A" w:rsidR="00176516" w:rsidRDefault="00176516" w:rsidP="00D96220">
      <w:pPr>
        <w:pStyle w:val="Bulletindent2"/>
        <w:rPr>
          <w:rFonts w:eastAsiaTheme="minorEastAsia"/>
        </w:rPr>
      </w:pPr>
      <w:r>
        <w:rPr>
          <w:rFonts w:eastAsiaTheme="minorEastAsia"/>
        </w:rPr>
        <w:t>Worked with colleagues in DIT on designs and content for a refreshed NICE website homepage and strategy landing page</w:t>
      </w:r>
      <w:r w:rsidR="0017363C">
        <w:rPr>
          <w:rFonts w:eastAsiaTheme="minorEastAsia"/>
        </w:rPr>
        <w:t xml:space="preserve"> and subpages</w:t>
      </w:r>
      <w:r>
        <w:rPr>
          <w:rFonts w:eastAsiaTheme="minorEastAsia"/>
        </w:rPr>
        <w:t xml:space="preserve"> - both of which will go live on 19 April, to coincide with the strategy publishing. </w:t>
      </w:r>
    </w:p>
    <w:p w14:paraId="7271F7F7" w14:textId="4B4B6FC1" w:rsidR="00617A90" w:rsidRDefault="000E0DD8" w:rsidP="00D96220">
      <w:pPr>
        <w:pStyle w:val="Bulletindent2last"/>
        <w:rPr>
          <w:rFonts w:eastAsiaTheme="minorEastAsia"/>
        </w:rPr>
      </w:pPr>
      <w:r>
        <w:t xml:space="preserve">Commenced </w:t>
      </w:r>
      <w:r w:rsidR="0017363C">
        <w:t>delivery of strategic internal communications to staff, focusing on strategy engagement alongside embedding our values and behaviours.</w:t>
      </w:r>
    </w:p>
    <w:p w14:paraId="1AE20BC5" w14:textId="24D5115E" w:rsidR="00B041E7" w:rsidRPr="00617A90" w:rsidRDefault="00B041E7" w:rsidP="00B041E7">
      <w:pPr>
        <w:pStyle w:val="Heading2boardreport"/>
      </w:pPr>
      <w:r>
        <w:t>Stakeholder communications</w:t>
      </w:r>
    </w:p>
    <w:p w14:paraId="3EAB66A6" w14:textId="2579CEF2" w:rsidR="000211F8" w:rsidRDefault="000211F8" w:rsidP="000211F8">
      <w:pPr>
        <w:pStyle w:val="NICEnormalnumbered"/>
      </w:pPr>
      <w:r w:rsidRPr="000211F8">
        <w:t>Communications support has continued to be given to the NICE methods and processes review</w:t>
      </w:r>
      <w:r>
        <w:t>, including</w:t>
      </w:r>
      <w:r w:rsidRPr="000211F8">
        <w:t xml:space="preserve"> engaging with stakeholders to promote consultations and related webinars</w:t>
      </w:r>
      <w:r>
        <w:t xml:space="preserve">, issuing a press release and web </w:t>
      </w:r>
      <w:hyperlink r:id="rId9" w:history="1">
        <w:r w:rsidRPr="000211F8">
          <w:rPr>
            <w:rStyle w:val="Hyperlink"/>
          </w:rPr>
          <w:t>news story</w:t>
        </w:r>
      </w:hyperlink>
      <w:r>
        <w:t xml:space="preserve"> for the latest consultation, and providing strategic communications advice to support and plan next steps.</w:t>
      </w:r>
    </w:p>
    <w:p w14:paraId="519A509F" w14:textId="553C7E10" w:rsidR="000211F8" w:rsidRPr="000211F8" w:rsidRDefault="000211F8" w:rsidP="000211F8">
      <w:pPr>
        <w:pStyle w:val="NICEnormalnumbered"/>
      </w:pPr>
      <w:r w:rsidRPr="000211F8">
        <w:lastRenderedPageBreak/>
        <w:t>We supported and advised on NICE’s response to the CQC’s strategy consultation.</w:t>
      </w:r>
      <w:r>
        <w:t xml:space="preserve"> We also</w:t>
      </w:r>
      <w:r w:rsidRPr="000211F8">
        <w:t xml:space="preserve"> tracked the progress of the Medicines and Medical Devices Bill as it was signed into law and advised on what it means for NICE.</w:t>
      </w:r>
    </w:p>
    <w:p w14:paraId="5FD70908" w14:textId="0481722E" w:rsidR="000211F8" w:rsidRPr="000211F8" w:rsidRDefault="000211F8" w:rsidP="00940582">
      <w:pPr>
        <w:pStyle w:val="NICEnormalnumbered"/>
      </w:pPr>
      <w:r w:rsidRPr="000211F8">
        <w:t xml:space="preserve">We engaged with the </w:t>
      </w:r>
      <w:proofErr w:type="gramStart"/>
      <w:r w:rsidRPr="000211F8">
        <w:t>All Party</w:t>
      </w:r>
      <w:proofErr w:type="gramEnd"/>
      <w:r w:rsidRPr="000211F8">
        <w:t xml:space="preserve"> Parliamentary Group (APPG) on First Do No Harm in connection with an online discussion they were holding.</w:t>
      </w:r>
      <w:r>
        <w:t xml:space="preserve"> We also advised</w:t>
      </w:r>
      <w:r w:rsidRPr="000211F8">
        <w:t xml:space="preserve"> on discussion</w:t>
      </w:r>
      <w:r>
        <w:t>s</w:t>
      </w:r>
      <w:r w:rsidRPr="000211F8">
        <w:t xml:space="preserve"> between Liz Twist MP and members of CHTE following NICE’s issuing of draft guidance on </w:t>
      </w:r>
      <w:proofErr w:type="spellStart"/>
      <w:r w:rsidRPr="000211F8">
        <w:t>sapropterin</w:t>
      </w:r>
      <w:proofErr w:type="spellEnd"/>
      <w:r w:rsidRPr="000211F8">
        <w:t xml:space="preserve"> for children.</w:t>
      </w:r>
    </w:p>
    <w:p w14:paraId="237B6AA0" w14:textId="14EF8FBC" w:rsidR="000211F8" w:rsidRPr="000211F8" w:rsidRDefault="00B529FF" w:rsidP="000211F8">
      <w:pPr>
        <w:pStyle w:val="NICEnormalnumbered"/>
      </w:pPr>
      <w:r>
        <w:t>We</w:t>
      </w:r>
      <w:r w:rsidR="006B319B">
        <w:t xml:space="preserve"> </w:t>
      </w:r>
      <w:r w:rsidR="000211F8" w:rsidRPr="000211F8">
        <w:t xml:space="preserve">engaged with </w:t>
      </w:r>
      <w:r w:rsidR="006B319B">
        <w:t xml:space="preserve">a wide range of key </w:t>
      </w:r>
      <w:r w:rsidR="000211F8" w:rsidRPr="000211F8">
        <w:t xml:space="preserve">stakeholders </w:t>
      </w:r>
      <w:r w:rsidR="006B319B">
        <w:t xml:space="preserve">(including National Health Executive, other NHS organisations, royal colleges and relevant specialist institutes and societies) who have </w:t>
      </w:r>
      <w:r w:rsidR="00C83F69">
        <w:t xml:space="preserve">helped </w:t>
      </w:r>
      <w:r w:rsidR="000211F8" w:rsidRPr="000211F8">
        <w:t xml:space="preserve">promote </w:t>
      </w:r>
      <w:r w:rsidR="006B319B">
        <w:t>NICE's recent</w:t>
      </w:r>
      <w:r w:rsidR="000211F8" w:rsidRPr="000211F8">
        <w:t xml:space="preserve"> quality standard</w:t>
      </w:r>
      <w:r w:rsidR="00F90DAD">
        <w:t xml:space="preserve"> on abortion care</w:t>
      </w:r>
      <w:r w:rsidR="006B319B">
        <w:t xml:space="preserve"> and the latest impact report on cardiovascular disease through their own channels.</w:t>
      </w:r>
    </w:p>
    <w:p w14:paraId="07EFC119" w14:textId="49A65EA6" w:rsidR="00555B4B" w:rsidRDefault="00555B4B" w:rsidP="00555B4B">
      <w:pPr>
        <w:pStyle w:val="Heading2boardreport"/>
      </w:pPr>
      <w:r>
        <w:t>Enquiries</w:t>
      </w:r>
    </w:p>
    <w:p w14:paraId="33916EAF" w14:textId="66E563A4" w:rsidR="00610288" w:rsidRDefault="00A77BD3" w:rsidP="009956D1">
      <w:pPr>
        <w:pStyle w:val="NICEnormalnumbered"/>
      </w:pPr>
      <w:r>
        <w:t>W</w:t>
      </w:r>
      <w:r w:rsidR="00DF0CD2" w:rsidRPr="00DF0CD2">
        <w:t>e responded to 1163 enquiries</w:t>
      </w:r>
      <w:r>
        <w:t xml:space="preserve"> during this period</w:t>
      </w:r>
      <w:r w:rsidR="00DF0CD2" w:rsidRPr="00DF0CD2">
        <w:t>. 90% were answered within 18 days. Additionally, we responded to 16 requests for information under the Freedom of Information Act, 12 MP letters, 13 parliamentary questions and 1 coroner’s report. We also provided contributions to DHSC for 3 further coroner’s reports.</w:t>
      </w:r>
    </w:p>
    <w:p w14:paraId="36CB5BF4" w14:textId="3EF64547" w:rsidR="008D1B42" w:rsidRDefault="008D1B42" w:rsidP="008D1B42">
      <w:pPr>
        <w:pStyle w:val="NICEnormalnumbered"/>
      </w:pPr>
      <w:r w:rsidRPr="008D1B42">
        <w:t>Notable enquiry topics in this reporting period included:</w:t>
      </w:r>
      <w:r>
        <w:tab/>
      </w:r>
    </w:p>
    <w:p w14:paraId="4FCF0F9A" w14:textId="289A59DE" w:rsidR="008D1B42" w:rsidRDefault="008D1B42" w:rsidP="00950B27">
      <w:pPr>
        <w:pStyle w:val="Bulletindent2"/>
      </w:pPr>
      <w:r w:rsidRPr="008D1B42">
        <w:t>Coroner’s report raising concerns as to whether there is sufficient guidance relating to the monitoring of mothers and babies in the immediate time following discharge from hospital after birth</w:t>
      </w:r>
      <w:r w:rsidR="00F414EC">
        <w:t>,</w:t>
      </w:r>
      <w:r w:rsidRPr="008D1B42">
        <w:t xml:space="preserve"> and the assessment of babies when the mother is admitted to hospital within 28 days of birth (especially when diagnosed with infection and at high risk of developing sepsis). To be considered by developers in the ongoing updates of our guidance on postnatal care up to 8 weeks after </w:t>
      </w:r>
      <w:r w:rsidRPr="008D1B42">
        <w:lastRenderedPageBreak/>
        <w:t>birth (CG37) and neonatal infection: antibiotics for prevention and treatment (CG149).</w:t>
      </w:r>
    </w:p>
    <w:p w14:paraId="73F3AE34" w14:textId="0CFD4DD2" w:rsidR="008D1B42" w:rsidRDefault="008D1B42" w:rsidP="00950B27">
      <w:pPr>
        <w:pStyle w:val="Bulletindent2last"/>
      </w:pPr>
      <w:r w:rsidRPr="008D1B42">
        <w:t>Continued interest</w:t>
      </w:r>
      <w:r w:rsidR="00A77BD3">
        <w:t xml:space="preserve"> in</w:t>
      </w:r>
      <w:r w:rsidRPr="008D1B42">
        <w:t xml:space="preserve"> aspects of COVID-19, in particular vitamin D for the prevention or treatment of COVID-19 and the rapid guideline on the long-term effects of COVID-19</w:t>
      </w:r>
      <w:r>
        <w:t>.</w:t>
      </w:r>
    </w:p>
    <w:p w14:paraId="4C9EB879" w14:textId="63BFECE1" w:rsidR="00264CE4" w:rsidRDefault="00264CE4" w:rsidP="00264CE4">
      <w:pPr>
        <w:pStyle w:val="Heading2boardreport"/>
      </w:pPr>
      <w:r>
        <w:t>Media</w:t>
      </w:r>
    </w:p>
    <w:p w14:paraId="6D3510C9" w14:textId="074B2D90" w:rsidR="00B64657" w:rsidRPr="00B64657" w:rsidRDefault="00B64657" w:rsidP="001C3967">
      <w:pPr>
        <w:pStyle w:val="NICEnormalnumbered"/>
      </w:pPr>
      <w:r w:rsidRPr="00B64657">
        <w:t>Sentiment percentages for media coverage in January and February were as follows</w:t>
      </w:r>
      <w:r w:rsidR="00B529FF">
        <w:t xml:space="preserve">:  </w:t>
      </w:r>
      <w:r w:rsidRPr="00B64657">
        <w:t>Positive 8</w:t>
      </w:r>
      <w:r>
        <w:t>5</w:t>
      </w:r>
      <w:r w:rsidRPr="00B64657">
        <w:t>%</w:t>
      </w:r>
      <w:r w:rsidR="00B529FF">
        <w:t xml:space="preserve">; </w:t>
      </w:r>
      <w:r w:rsidRPr="00B64657">
        <w:t xml:space="preserve">Neutral </w:t>
      </w:r>
      <w:r>
        <w:t>9</w:t>
      </w:r>
      <w:r w:rsidRPr="00B64657">
        <w:t>%</w:t>
      </w:r>
      <w:r w:rsidR="00B529FF">
        <w:t xml:space="preserve">; </w:t>
      </w:r>
      <w:r w:rsidRPr="00B64657">
        <w:t xml:space="preserve">Negative </w:t>
      </w:r>
      <w:r>
        <w:t>6</w:t>
      </w:r>
      <w:r w:rsidRPr="00B64657">
        <w:t>%</w:t>
      </w:r>
    </w:p>
    <w:p w14:paraId="0A71F6F0" w14:textId="419199D1" w:rsidR="00B64657" w:rsidRPr="00B64657" w:rsidRDefault="00B64657" w:rsidP="00B64657">
      <w:pPr>
        <w:pStyle w:val="NICEnormalnumbered"/>
      </w:pPr>
      <w:r w:rsidRPr="00B64657">
        <w:t>The publication of the draft guid</w:t>
      </w:r>
      <w:r w:rsidR="006F6701">
        <w:t>ance</w:t>
      </w:r>
      <w:r w:rsidRPr="00B64657">
        <w:t xml:space="preserve"> on </w:t>
      </w:r>
      <w:proofErr w:type="spellStart"/>
      <w:r w:rsidRPr="00B64657">
        <w:t>sapropterin</w:t>
      </w:r>
      <w:proofErr w:type="spellEnd"/>
      <w:r w:rsidRPr="00B64657">
        <w:t xml:space="preserve"> for treating phenylketonuria gained widespread national and trade media</w:t>
      </w:r>
      <w:r w:rsidR="006F6701">
        <w:t xml:space="preserve"> coverage</w:t>
      </w:r>
      <w:r w:rsidRPr="00B64657">
        <w:t xml:space="preserve">, a particular focus of which was the recommendation that the treatment should not be offered to adults 18 years and older </w:t>
      </w:r>
      <w:r w:rsidR="006F6701">
        <w:t>in</w:t>
      </w:r>
      <w:r w:rsidRPr="00B64657">
        <w:t xml:space="preserve"> the NHS. This draft continues to attract significant social media activity</w:t>
      </w:r>
      <w:r w:rsidR="006A5186">
        <w:t>,</w:t>
      </w:r>
      <w:r w:rsidRPr="00B64657">
        <w:t xml:space="preserve"> which we are monitoring and responding to where appropriate.</w:t>
      </w:r>
    </w:p>
    <w:p w14:paraId="1967EA56" w14:textId="171B4804" w:rsidR="003E2FE3" w:rsidRDefault="00B64657" w:rsidP="006A5186">
      <w:pPr>
        <w:pStyle w:val="NICEnormalnumbered"/>
      </w:pPr>
      <w:r w:rsidRPr="00B64657">
        <w:t>In February</w:t>
      </w:r>
      <w:r w:rsidR="006A5186">
        <w:t>,</w:t>
      </w:r>
      <w:r w:rsidRPr="00B64657">
        <w:t xml:space="preserve"> </w:t>
      </w:r>
      <w:r w:rsidR="006A5186">
        <w:t>we</w:t>
      </w:r>
      <w:r w:rsidRPr="00B64657">
        <w:t xml:space="preserve"> </w:t>
      </w:r>
      <w:r w:rsidR="000B6290" w:rsidRPr="000B6290">
        <w:t>issued a press release and published a </w:t>
      </w:r>
      <w:hyperlink r:id="rId10" w:tgtFrame="_blank" w:history="1">
        <w:r w:rsidR="000B6290" w:rsidRPr="000B6290">
          <w:rPr>
            <w:rStyle w:val="Hyperlink"/>
          </w:rPr>
          <w:t>news story</w:t>
        </w:r>
      </w:hyperlink>
      <w:r w:rsidR="000B6290" w:rsidRPr="000B6290">
        <w:t xml:space="preserve"> on NICE’s positive recommendation for </w:t>
      </w:r>
      <w:proofErr w:type="spellStart"/>
      <w:r w:rsidR="000B6290" w:rsidRPr="000B6290">
        <w:t>ribociclib</w:t>
      </w:r>
      <w:proofErr w:type="spellEnd"/>
      <w:r w:rsidR="000B6290" w:rsidRPr="000B6290">
        <w:t xml:space="preserve"> for breast cancer. This received widespread coverage, including articles in The Times, Independent, </w:t>
      </w:r>
      <w:hyperlink r:id="rId11" w:tgtFrame="_blank" w:history="1">
        <w:r w:rsidR="000B6290" w:rsidRPr="000B6290">
          <w:rPr>
            <w:rStyle w:val="Hyperlink"/>
          </w:rPr>
          <w:t>Daily Mail</w:t>
        </w:r>
      </w:hyperlink>
      <w:r w:rsidR="000B6290" w:rsidRPr="000B6290">
        <w:t>, </w:t>
      </w:r>
      <w:hyperlink r:id="rId12" w:tgtFrame="_blank" w:history="1">
        <w:r w:rsidR="000B6290" w:rsidRPr="000B6290">
          <w:rPr>
            <w:rStyle w:val="Hyperlink"/>
          </w:rPr>
          <w:t>Guardian</w:t>
        </w:r>
      </w:hyperlink>
      <w:r w:rsidR="000B6290" w:rsidRPr="000B6290">
        <w:t>, </w:t>
      </w:r>
      <w:hyperlink r:id="rId13" w:tgtFrame="_blank" w:history="1">
        <w:r w:rsidR="000B6290" w:rsidRPr="000B6290">
          <w:rPr>
            <w:rStyle w:val="Hyperlink"/>
          </w:rPr>
          <w:t>GM Journal</w:t>
        </w:r>
      </w:hyperlink>
      <w:r w:rsidR="000B6290" w:rsidRPr="000B6290">
        <w:t>, </w:t>
      </w:r>
      <w:hyperlink r:id="rId14" w:tgtFrame="_blank" w:history="1">
        <w:r w:rsidR="000B6290" w:rsidRPr="000B6290">
          <w:rPr>
            <w:rStyle w:val="Hyperlink"/>
          </w:rPr>
          <w:t>National Health Executive</w:t>
        </w:r>
      </w:hyperlink>
      <w:r w:rsidR="000B6290" w:rsidRPr="000B6290">
        <w:t>, </w:t>
      </w:r>
      <w:hyperlink r:id="rId15" w:tgtFrame="_blank" w:history="1">
        <w:r w:rsidR="000B6290" w:rsidRPr="000B6290">
          <w:rPr>
            <w:rStyle w:val="Hyperlink"/>
          </w:rPr>
          <w:t>PharmaField</w:t>
        </w:r>
      </w:hyperlink>
      <w:r w:rsidR="000B6290" w:rsidRPr="000B6290">
        <w:t>, </w:t>
      </w:r>
      <w:hyperlink r:id="rId16" w:tgtFrame="_blank" w:history="1">
        <w:r w:rsidR="000B6290" w:rsidRPr="000B6290">
          <w:rPr>
            <w:rStyle w:val="Hyperlink"/>
          </w:rPr>
          <w:t>PharmaPhorum</w:t>
        </w:r>
      </w:hyperlink>
      <w:r w:rsidR="000B6290" w:rsidRPr="000B6290">
        <w:t>, </w:t>
      </w:r>
      <w:hyperlink r:id="rId17" w:tgtFrame="_blank" w:history="1">
        <w:r w:rsidR="000B6290" w:rsidRPr="000B6290">
          <w:rPr>
            <w:rStyle w:val="Hyperlink"/>
          </w:rPr>
          <w:t>PharmaFile</w:t>
        </w:r>
      </w:hyperlink>
      <w:r w:rsidR="000B6290" w:rsidRPr="000B6290">
        <w:t>, </w:t>
      </w:r>
      <w:hyperlink r:id="rId18" w:tgtFrame="_blank" w:history="1">
        <w:r w:rsidR="000B6290" w:rsidRPr="000B6290">
          <w:rPr>
            <w:rStyle w:val="Hyperlink"/>
          </w:rPr>
          <w:t>PharmaTimes</w:t>
        </w:r>
      </w:hyperlink>
      <w:r w:rsidR="000B6290" w:rsidRPr="000B6290">
        <w:t> and </w:t>
      </w:r>
      <w:hyperlink r:id="rId19" w:tgtFrame="_blank" w:history="1">
        <w:r w:rsidR="000B6290" w:rsidRPr="000B6290">
          <w:rPr>
            <w:rStyle w:val="Hyperlink"/>
          </w:rPr>
          <w:t>Pharmacy In Focus</w:t>
        </w:r>
      </w:hyperlink>
      <w:r w:rsidRPr="00B64657">
        <w:t>.</w:t>
      </w:r>
    </w:p>
    <w:p w14:paraId="7D7B51B8" w14:textId="61ABF2C8" w:rsidR="00FE139B" w:rsidRDefault="00FE139B" w:rsidP="00FE139B">
      <w:pPr>
        <w:pStyle w:val="Heading2boardreport"/>
      </w:pPr>
      <w:r>
        <w:t>Audience ins</w:t>
      </w:r>
      <w:r w:rsidRPr="0096266C">
        <w:t>ight</w:t>
      </w:r>
      <w:r>
        <w:t>s</w:t>
      </w:r>
    </w:p>
    <w:p w14:paraId="2DCC775E" w14:textId="130B8EF0" w:rsidR="00B64657" w:rsidRPr="00B64657" w:rsidRDefault="00377251" w:rsidP="00B64657">
      <w:pPr>
        <w:pStyle w:val="NICEnormalnumbered"/>
      </w:pPr>
      <w:r>
        <w:t xml:space="preserve">Work on </w:t>
      </w:r>
      <w:r w:rsidR="00B64657" w:rsidRPr="00B64657">
        <w:t xml:space="preserve">the next biennial reputation research (scheduled for </w:t>
      </w:r>
      <w:r w:rsidR="00F414EC">
        <w:t>Q</w:t>
      </w:r>
      <w:r w:rsidR="00B64657" w:rsidRPr="00B64657">
        <w:t>2 2021) continues</w:t>
      </w:r>
      <w:r>
        <w:t>,</w:t>
      </w:r>
      <w:r w:rsidR="00B64657" w:rsidRPr="00B64657">
        <w:t xml:space="preserve"> including consideration of key questions to measure progress against the 5-year strategy ambitions.</w:t>
      </w:r>
    </w:p>
    <w:p w14:paraId="4D1BBC26" w14:textId="6C62FA12" w:rsidR="00610288" w:rsidRPr="00610288" w:rsidRDefault="00B64657" w:rsidP="00377251">
      <w:pPr>
        <w:pStyle w:val="NICEnormalnumbered"/>
      </w:pPr>
      <w:r w:rsidRPr="00B64657">
        <w:t xml:space="preserve">As part of our continued support for the integrated content project, a programme of user research has been completed including user research sessions to validate the user journey and user needs; and further fieldwork with GPs and practice nurses to support content development and testing.  </w:t>
      </w:r>
    </w:p>
    <w:p w14:paraId="2AE58BF9" w14:textId="22AFEE44" w:rsidR="00720B8A" w:rsidRDefault="00720B8A" w:rsidP="00720B8A">
      <w:pPr>
        <w:pStyle w:val="Heading2boardreport"/>
      </w:pPr>
      <w:r>
        <w:lastRenderedPageBreak/>
        <w:t>Website</w:t>
      </w:r>
      <w:r w:rsidR="00610288">
        <w:t xml:space="preserve"> content </w:t>
      </w:r>
    </w:p>
    <w:p w14:paraId="554ED347" w14:textId="30B97CE3" w:rsidR="00C5387C" w:rsidRDefault="00B64657" w:rsidP="00605F4B">
      <w:pPr>
        <w:pStyle w:val="NICEnormalnumbered"/>
      </w:pPr>
      <w:bookmarkStart w:id="3" w:name="_Hlk61455345"/>
      <w:r w:rsidRPr="00B64657">
        <w:t>We continue to support the business through the delivery of new and/or redesigned web content. Key pieces of work over the period include; </w:t>
      </w:r>
      <w:hyperlink r:id="rId20" w:tgtFrame="_blank" w:history="1">
        <w:r w:rsidRPr="00B64657">
          <w:rPr>
            <w:rStyle w:val="Hyperlink"/>
          </w:rPr>
          <w:t>process consultation for health technology evaluation</w:t>
        </w:r>
      </w:hyperlink>
      <w:r w:rsidRPr="00B64657">
        <w:t>; a redesigned </w:t>
      </w:r>
      <w:hyperlink r:id="rId21" w:tgtFrame="_blank" w:history="1">
        <w:r w:rsidRPr="00B64657">
          <w:rPr>
            <w:rStyle w:val="Hyperlink"/>
          </w:rPr>
          <w:t>events page</w:t>
        </w:r>
      </w:hyperlink>
      <w:r w:rsidRPr="00B64657">
        <w:t> to provide a more visual approach in line with our </w:t>
      </w:r>
      <w:hyperlink r:id="rId22" w:tgtFrame="_blank" w:history="1">
        <w:r w:rsidRPr="00B64657">
          <w:rPr>
            <w:rStyle w:val="Hyperlink"/>
          </w:rPr>
          <w:t>5-year strategy launch event</w:t>
        </w:r>
      </w:hyperlink>
      <w:r w:rsidRPr="00B64657">
        <w:t>, a collaboration with Social Care Wales to provide Welsh translations of our ‘</w:t>
      </w:r>
      <w:hyperlink r:id="rId23" w:tgtFrame="_blank" w:history="1">
        <w:r w:rsidRPr="00B64657">
          <w:rPr>
            <w:rStyle w:val="Hyperlink"/>
          </w:rPr>
          <w:t>Recognising and preventing delirium</w:t>
        </w:r>
      </w:hyperlink>
      <w:r w:rsidRPr="00B64657">
        <w:t>’ and ‘</w:t>
      </w:r>
      <w:hyperlink r:id="rId24" w:tgtFrame="_blank" w:history="1">
        <w:r w:rsidRPr="00B64657">
          <w:rPr>
            <w:rStyle w:val="Hyperlink"/>
          </w:rPr>
          <w:t>Recognising and responding to domestic violence and abuse</w:t>
        </w:r>
      </w:hyperlink>
      <w:r w:rsidRPr="00B64657">
        <w:t>’ social care quick guides; a redesigned </w:t>
      </w:r>
      <w:hyperlink r:id="rId25" w:tgtFrame="_blank" w:history="1">
        <w:r w:rsidRPr="00B64657">
          <w:rPr>
            <w:rStyle w:val="Hyperlink"/>
          </w:rPr>
          <w:t>jobs page</w:t>
        </w:r>
      </w:hyperlink>
      <w:r w:rsidRPr="00B64657">
        <w:t> to support users in finding and applying for vacancies; an accessible, HTML version of the </w:t>
      </w:r>
      <w:hyperlink r:id="rId26" w:tgtFrame="_blank" w:history="1">
        <w:r w:rsidRPr="00B64657">
          <w:rPr>
            <w:rStyle w:val="Hyperlink"/>
          </w:rPr>
          <w:t>CVD management impact report</w:t>
        </w:r>
      </w:hyperlink>
      <w:r w:rsidRPr="00B64657">
        <w:t>.</w:t>
      </w:r>
    </w:p>
    <w:p w14:paraId="0A6FF3C7" w14:textId="77777777" w:rsidR="00684008" w:rsidRPr="00684008" w:rsidRDefault="00684008" w:rsidP="00684008">
      <w:pPr>
        <w:pStyle w:val="Heading2boardreport"/>
      </w:pPr>
      <w:r>
        <w:t>Risks</w:t>
      </w:r>
    </w:p>
    <w:p w14:paraId="03E7DFCE" w14:textId="7FA8E54D" w:rsidR="00684008" w:rsidRPr="00684008" w:rsidRDefault="00684008" w:rsidP="00684008">
      <w:pPr>
        <w:pStyle w:val="NICEnormalnumbered"/>
      </w:pPr>
      <w:r w:rsidRPr="00684008">
        <w:t xml:space="preserve">A risk remains that the Communications Directorate will not be able to fully support the implementation of the 5-year strategic plan because of limited resources.  However, we are addressing this risk with changes to the way we work across the directorate and recruiting a senior post in Q1 of 2021-22. </w:t>
      </w:r>
    </w:p>
    <w:p w14:paraId="71819263" w14:textId="767FA2E8" w:rsidR="00684008" w:rsidRDefault="00684008" w:rsidP="00684008">
      <w:pPr>
        <w:pStyle w:val="NICEnormalnumbered"/>
      </w:pPr>
      <w:r w:rsidRPr="00684008">
        <w:t xml:space="preserve">There is an ongoing risk that productivity and staff morale are adversely affected by the current wave of the COVID-19 pandemic. </w:t>
      </w:r>
      <w:proofErr w:type="gramStart"/>
      <w:r w:rsidRPr="00684008">
        <w:t>A number of</w:t>
      </w:r>
      <w:proofErr w:type="gramEnd"/>
      <w:r w:rsidRPr="00684008">
        <w:t xml:space="preserve"> factors are helping to mitigate this risk including the government's roadmap for lifting lockdown and reopening of schools. We also paused some non-essential comms activities during this period. </w:t>
      </w:r>
    </w:p>
    <w:bookmarkEnd w:id="3"/>
    <w:p w14:paraId="4FBC614F" w14:textId="77777777" w:rsidR="00684008" w:rsidRDefault="00684008" w:rsidP="008A6557">
      <w:pPr>
        <w:pStyle w:val="NICEnormal"/>
      </w:pPr>
    </w:p>
    <w:p w14:paraId="7837505D" w14:textId="08EDFA48" w:rsidR="00EB1C36" w:rsidRPr="00070124" w:rsidRDefault="00EB1C36" w:rsidP="008A6557">
      <w:pPr>
        <w:pStyle w:val="NICEnormal"/>
      </w:pPr>
      <w:r w:rsidRPr="00070124">
        <w:t xml:space="preserve">NICE </w:t>
      </w:r>
      <w:r w:rsidR="00467D92">
        <w:t>202</w:t>
      </w:r>
      <w:r w:rsidR="004F176A">
        <w:t>1</w:t>
      </w:r>
      <w:r w:rsidRPr="00070124">
        <w:t xml:space="preserve">. All rights reserved. </w:t>
      </w:r>
      <w:hyperlink r:id="rId27" w:anchor="notice-of-rights" w:history="1">
        <w:r w:rsidRPr="00070124">
          <w:rPr>
            <w:rStyle w:val="Hyperlink"/>
          </w:rPr>
          <w:t>Subject to Notice of rights</w:t>
        </w:r>
      </w:hyperlink>
      <w:r w:rsidRPr="00070124">
        <w:t>.</w:t>
      </w:r>
    </w:p>
    <w:p w14:paraId="4DA053AA" w14:textId="4DBD3226" w:rsidR="00CE6B2C" w:rsidRPr="00A36575" w:rsidRDefault="00391F59" w:rsidP="008A6557">
      <w:pPr>
        <w:pStyle w:val="NICEnormal"/>
      </w:pPr>
      <w:r>
        <w:t>March</w:t>
      </w:r>
      <w:r w:rsidR="00467D92">
        <w:t xml:space="preserve"> 202</w:t>
      </w:r>
      <w:r w:rsidR="004F176A">
        <w:t>1</w:t>
      </w:r>
    </w:p>
    <w:sectPr w:rsidR="00CE6B2C" w:rsidRPr="00A36575" w:rsidSect="00617519">
      <w:headerReference w:type="default" r:id="rId28"/>
      <w:footerReference w:type="default" r:id="rId29"/>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D0AE8" w14:textId="77777777" w:rsidR="00055F84" w:rsidRDefault="00055F84">
      <w:r>
        <w:separator/>
      </w:r>
    </w:p>
  </w:endnote>
  <w:endnote w:type="continuationSeparator" w:id="0">
    <w:p w14:paraId="599C515F" w14:textId="77777777" w:rsidR="00055F84" w:rsidRDefault="0005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EE61" w14:textId="77777777" w:rsidR="00EB1C36" w:rsidRPr="00BA589F" w:rsidRDefault="00EB1C36" w:rsidP="00C30FD9">
    <w:pPr>
      <w:pStyle w:val="Footer"/>
    </w:pPr>
  </w:p>
  <w:p w14:paraId="06C7B2A5"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fldSimple w:instr=" NUMPAGES  \* Arabic  \* MERGEFORMAT ">
      <w:r w:rsidRPr="00BA589F">
        <w:t>7</w:t>
      </w:r>
    </w:fldSimple>
  </w:p>
  <w:p w14:paraId="361D13C9" w14:textId="724D3442" w:rsidR="00EB1C36" w:rsidRPr="00662E41" w:rsidRDefault="00662E41" w:rsidP="00CF7AE3">
    <w:pPr>
      <w:pStyle w:val="Footer"/>
    </w:pPr>
    <w:r w:rsidRPr="00662E41">
      <w:t xml:space="preserve">Communications Directorate progress report </w:t>
    </w:r>
  </w:p>
  <w:p w14:paraId="148CCBD1" w14:textId="4CC9750F" w:rsidR="00EB1C36" w:rsidRPr="00662E41" w:rsidRDefault="00662E41" w:rsidP="00DD58F8">
    <w:pPr>
      <w:pStyle w:val="Footer"/>
    </w:pPr>
    <w:r w:rsidRPr="00662E41">
      <w:t xml:space="preserve">Date: 24 March 2021 </w:t>
    </w:r>
  </w:p>
  <w:p w14:paraId="7873DF26" w14:textId="6B0116A9" w:rsidR="00EB1C36" w:rsidRPr="00BA589F" w:rsidRDefault="00EB1C36" w:rsidP="00DD58F8">
    <w:pPr>
      <w:pStyle w:val="Footer"/>
    </w:pPr>
    <w:r w:rsidRPr="00662E41">
      <w:t>Reference</w:t>
    </w:r>
    <w:r w:rsidR="00662E41" w:rsidRPr="00662E41">
      <w:t>: 21/03</w:t>
    </w:r>
    <w:r w:rsidR="003E2E2F">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B454D" w14:textId="77777777" w:rsidR="00055F84" w:rsidRDefault="00055F84">
      <w:r>
        <w:separator/>
      </w:r>
    </w:p>
  </w:footnote>
  <w:footnote w:type="continuationSeparator" w:id="0">
    <w:p w14:paraId="77625B3A" w14:textId="77777777" w:rsidR="00055F84" w:rsidRDefault="0005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2EA1" w14:textId="41D8D8AC" w:rsidR="00EB1C36" w:rsidRPr="002F15CF" w:rsidRDefault="002F15CF" w:rsidP="002F15CF">
    <w:pPr>
      <w:pStyle w:val="Header"/>
      <w:ind w:left="0"/>
      <w:jc w:val="right"/>
    </w:pPr>
    <w:r w:rsidRPr="00F07534">
      <w:t xml:space="preserve">Item </w:t>
    </w:r>
    <w:r w:rsidR="00020EC8">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6C9514E"/>
    <w:multiLevelType w:val="hybridMultilevel"/>
    <w:tmpl w:val="BA2A6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F571B1"/>
    <w:multiLevelType w:val="hybridMultilevel"/>
    <w:tmpl w:val="AC364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606FE"/>
    <w:multiLevelType w:val="hybridMultilevel"/>
    <w:tmpl w:val="C6704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7"/>
  </w:num>
  <w:num w:numId="3">
    <w:abstractNumId w:val="18"/>
  </w:num>
  <w:num w:numId="4">
    <w:abstractNumId w:val="19"/>
  </w:num>
  <w:num w:numId="5">
    <w:abstractNumId w:val="5"/>
  </w:num>
  <w:num w:numId="6">
    <w:abstractNumId w:val="9"/>
  </w:num>
  <w:num w:numId="7">
    <w:abstractNumId w:val="14"/>
  </w:num>
  <w:num w:numId="8">
    <w:abstractNumId w:val="16"/>
  </w:num>
  <w:num w:numId="9">
    <w:abstractNumId w:val="21"/>
  </w:num>
  <w:num w:numId="10">
    <w:abstractNumId w:val="8"/>
  </w:num>
  <w:num w:numId="11">
    <w:abstractNumId w:val="25"/>
  </w:num>
  <w:num w:numId="12">
    <w:abstractNumId w:val="12"/>
  </w:num>
  <w:num w:numId="13">
    <w:abstractNumId w:val="20"/>
  </w:num>
  <w:num w:numId="14">
    <w:abstractNumId w:val="23"/>
  </w:num>
  <w:num w:numId="15">
    <w:abstractNumId w:val="13"/>
  </w:num>
  <w:num w:numId="16">
    <w:abstractNumId w:val="1"/>
  </w:num>
  <w:num w:numId="17">
    <w:abstractNumId w:val="2"/>
  </w:num>
  <w:num w:numId="18">
    <w:abstractNumId w:val="10"/>
  </w:num>
  <w:num w:numId="19">
    <w:abstractNumId w:val="15"/>
  </w:num>
  <w:num w:numId="20">
    <w:abstractNumId w:val="7"/>
  </w:num>
  <w:num w:numId="21">
    <w:abstractNumId w:val="26"/>
  </w:num>
  <w:num w:numId="22">
    <w:abstractNumId w:val="24"/>
  </w:num>
  <w:num w:numId="23">
    <w:abstractNumId w:val="28"/>
  </w:num>
  <w:num w:numId="24">
    <w:abstractNumId w:val="11"/>
  </w:num>
  <w:num w:numId="25">
    <w:abstractNumId w:val="4"/>
  </w:num>
  <w:num w:numId="26">
    <w:abstractNumId w:val="4"/>
    <w:lvlOverride w:ilvl="0">
      <w:startOverride w:val="1"/>
    </w:lvlOverride>
  </w:num>
  <w:num w:numId="27">
    <w:abstractNumId w:val="17"/>
  </w:num>
  <w:num w:numId="28">
    <w:abstractNumId w:val="28"/>
    <w:lvlOverride w:ilvl="0">
      <w:startOverride w:val="1"/>
    </w:lvlOverride>
  </w:num>
  <w:num w:numId="29">
    <w:abstractNumId w:val="4"/>
    <w:lvlOverride w:ilvl="0">
      <w:startOverride w:val="1"/>
    </w:lvlOverride>
  </w:num>
  <w:num w:numId="30">
    <w:abstractNumId w:val="24"/>
  </w:num>
  <w:num w:numId="31">
    <w:abstractNumId w:val="29"/>
  </w:num>
  <w:num w:numId="32">
    <w:abstractNumId w:val="0"/>
  </w:num>
  <w:num w:numId="33">
    <w:abstractNumId w:val="4"/>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74"/>
    <w:rsid w:val="000119FB"/>
    <w:rsid w:val="00020EC8"/>
    <w:rsid w:val="000211F8"/>
    <w:rsid w:val="000242AA"/>
    <w:rsid w:val="00037192"/>
    <w:rsid w:val="00040615"/>
    <w:rsid w:val="000530C9"/>
    <w:rsid w:val="00055F84"/>
    <w:rsid w:val="000562E9"/>
    <w:rsid w:val="0008102D"/>
    <w:rsid w:val="00092789"/>
    <w:rsid w:val="000A1EC0"/>
    <w:rsid w:val="000B3B17"/>
    <w:rsid w:val="000B6290"/>
    <w:rsid w:val="000B64FE"/>
    <w:rsid w:val="000C4168"/>
    <w:rsid w:val="000C6870"/>
    <w:rsid w:val="000D528A"/>
    <w:rsid w:val="000E0DD8"/>
    <w:rsid w:val="000E6C5F"/>
    <w:rsid w:val="00101F34"/>
    <w:rsid w:val="001172E1"/>
    <w:rsid w:val="00120CA0"/>
    <w:rsid w:val="001219F1"/>
    <w:rsid w:val="001234A1"/>
    <w:rsid w:val="00123D3F"/>
    <w:rsid w:val="00131EB8"/>
    <w:rsid w:val="00145277"/>
    <w:rsid w:val="00145664"/>
    <w:rsid w:val="00160097"/>
    <w:rsid w:val="00161AA0"/>
    <w:rsid w:val="0017363C"/>
    <w:rsid w:val="00176516"/>
    <w:rsid w:val="0018040E"/>
    <w:rsid w:val="001B0506"/>
    <w:rsid w:val="001C032E"/>
    <w:rsid w:val="001E20F3"/>
    <w:rsid w:val="002169E7"/>
    <w:rsid w:val="00235CAB"/>
    <w:rsid w:val="00244B1A"/>
    <w:rsid w:val="00247EE5"/>
    <w:rsid w:val="0025146D"/>
    <w:rsid w:val="002516F0"/>
    <w:rsid w:val="00251D56"/>
    <w:rsid w:val="002526E6"/>
    <w:rsid w:val="002535B1"/>
    <w:rsid w:val="002643A2"/>
    <w:rsid w:val="00264CE4"/>
    <w:rsid w:val="002A08E0"/>
    <w:rsid w:val="002A3712"/>
    <w:rsid w:val="002C30B4"/>
    <w:rsid w:val="002C3FAA"/>
    <w:rsid w:val="002F0ABF"/>
    <w:rsid w:val="002F15CF"/>
    <w:rsid w:val="00306D34"/>
    <w:rsid w:val="00311A7B"/>
    <w:rsid w:val="0031664C"/>
    <w:rsid w:val="00322374"/>
    <w:rsid w:val="00331FD0"/>
    <w:rsid w:val="003330E6"/>
    <w:rsid w:val="00335E56"/>
    <w:rsid w:val="003410B8"/>
    <w:rsid w:val="003469A4"/>
    <w:rsid w:val="00353D3E"/>
    <w:rsid w:val="00362226"/>
    <w:rsid w:val="00370B5F"/>
    <w:rsid w:val="00377251"/>
    <w:rsid w:val="00377E36"/>
    <w:rsid w:val="00384C75"/>
    <w:rsid w:val="00390174"/>
    <w:rsid w:val="00391F59"/>
    <w:rsid w:val="003A7F7A"/>
    <w:rsid w:val="003B0A90"/>
    <w:rsid w:val="003B1379"/>
    <w:rsid w:val="003B27FE"/>
    <w:rsid w:val="003C36AC"/>
    <w:rsid w:val="003D6E4D"/>
    <w:rsid w:val="003E2E2F"/>
    <w:rsid w:val="003E2FE3"/>
    <w:rsid w:val="003E54F6"/>
    <w:rsid w:val="004146EE"/>
    <w:rsid w:val="0041474B"/>
    <w:rsid w:val="0043118D"/>
    <w:rsid w:val="004322D2"/>
    <w:rsid w:val="004519B2"/>
    <w:rsid w:val="00461997"/>
    <w:rsid w:val="0046488C"/>
    <w:rsid w:val="00467D92"/>
    <w:rsid w:val="00473E4F"/>
    <w:rsid w:val="004820E9"/>
    <w:rsid w:val="0048361F"/>
    <w:rsid w:val="00484FE9"/>
    <w:rsid w:val="00485B88"/>
    <w:rsid w:val="004914C0"/>
    <w:rsid w:val="004B3050"/>
    <w:rsid w:val="004B514C"/>
    <w:rsid w:val="004D4274"/>
    <w:rsid w:val="004E72E7"/>
    <w:rsid w:val="004F176A"/>
    <w:rsid w:val="00526C07"/>
    <w:rsid w:val="005333F5"/>
    <w:rsid w:val="0053387C"/>
    <w:rsid w:val="00555B4B"/>
    <w:rsid w:val="00572113"/>
    <w:rsid w:val="005829F1"/>
    <w:rsid w:val="00584808"/>
    <w:rsid w:val="005860F4"/>
    <w:rsid w:val="005866B1"/>
    <w:rsid w:val="00592A53"/>
    <w:rsid w:val="005A5E10"/>
    <w:rsid w:val="005B46B0"/>
    <w:rsid w:val="005B7D85"/>
    <w:rsid w:val="005C051F"/>
    <w:rsid w:val="005C762E"/>
    <w:rsid w:val="005D098C"/>
    <w:rsid w:val="005E5ABA"/>
    <w:rsid w:val="005F08B4"/>
    <w:rsid w:val="005F24B3"/>
    <w:rsid w:val="00603E56"/>
    <w:rsid w:val="00605F4B"/>
    <w:rsid w:val="0060662A"/>
    <w:rsid w:val="00610288"/>
    <w:rsid w:val="00614BDA"/>
    <w:rsid w:val="00617519"/>
    <w:rsid w:val="00617A90"/>
    <w:rsid w:val="006210DA"/>
    <w:rsid w:val="006331B4"/>
    <w:rsid w:val="006343F3"/>
    <w:rsid w:val="00642906"/>
    <w:rsid w:val="006571D4"/>
    <w:rsid w:val="0066205C"/>
    <w:rsid w:val="00662E41"/>
    <w:rsid w:val="00665A82"/>
    <w:rsid w:val="006718E8"/>
    <w:rsid w:val="00680B94"/>
    <w:rsid w:val="00682B93"/>
    <w:rsid w:val="00684008"/>
    <w:rsid w:val="006A5186"/>
    <w:rsid w:val="006A721F"/>
    <w:rsid w:val="006B038E"/>
    <w:rsid w:val="006B319B"/>
    <w:rsid w:val="006C06EA"/>
    <w:rsid w:val="006C2BEE"/>
    <w:rsid w:val="006D4AE9"/>
    <w:rsid w:val="006D73F1"/>
    <w:rsid w:val="006F6701"/>
    <w:rsid w:val="00720B8A"/>
    <w:rsid w:val="007277C3"/>
    <w:rsid w:val="00732519"/>
    <w:rsid w:val="00737F9C"/>
    <w:rsid w:val="00740DC0"/>
    <w:rsid w:val="007449ED"/>
    <w:rsid w:val="007739BF"/>
    <w:rsid w:val="00782647"/>
    <w:rsid w:val="007829EA"/>
    <w:rsid w:val="00792A40"/>
    <w:rsid w:val="007A174B"/>
    <w:rsid w:val="007A4EEE"/>
    <w:rsid w:val="007B1CC8"/>
    <w:rsid w:val="007B6772"/>
    <w:rsid w:val="007F287E"/>
    <w:rsid w:val="00833A1D"/>
    <w:rsid w:val="008505C3"/>
    <w:rsid w:val="00862C0C"/>
    <w:rsid w:val="008853CB"/>
    <w:rsid w:val="00886FFB"/>
    <w:rsid w:val="00891D22"/>
    <w:rsid w:val="00893BE1"/>
    <w:rsid w:val="008A233F"/>
    <w:rsid w:val="008A3CB5"/>
    <w:rsid w:val="008A6557"/>
    <w:rsid w:val="008B407A"/>
    <w:rsid w:val="008C782E"/>
    <w:rsid w:val="008D1B42"/>
    <w:rsid w:val="008D6069"/>
    <w:rsid w:val="008E357A"/>
    <w:rsid w:val="008E7585"/>
    <w:rsid w:val="00904853"/>
    <w:rsid w:val="00910F3E"/>
    <w:rsid w:val="009126EC"/>
    <w:rsid w:val="00921354"/>
    <w:rsid w:val="0093435F"/>
    <w:rsid w:val="0094366C"/>
    <w:rsid w:val="00950B27"/>
    <w:rsid w:val="00950D21"/>
    <w:rsid w:val="0095223F"/>
    <w:rsid w:val="00953ADF"/>
    <w:rsid w:val="00967167"/>
    <w:rsid w:val="00971131"/>
    <w:rsid w:val="0097304F"/>
    <w:rsid w:val="009820CA"/>
    <w:rsid w:val="00984EF4"/>
    <w:rsid w:val="009871F3"/>
    <w:rsid w:val="009A0289"/>
    <w:rsid w:val="009B621A"/>
    <w:rsid w:val="009C3387"/>
    <w:rsid w:val="009C45D9"/>
    <w:rsid w:val="009D407F"/>
    <w:rsid w:val="00A06657"/>
    <w:rsid w:val="00A11C9B"/>
    <w:rsid w:val="00A13363"/>
    <w:rsid w:val="00A24C1C"/>
    <w:rsid w:val="00A254C1"/>
    <w:rsid w:val="00A36575"/>
    <w:rsid w:val="00A40375"/>
    <w:rsid w:val="00A663FB"/>
    <w:rsid w:val="00A71CCE"/>
    <w:rsid w:val="00A77BD3"/>
    <w:rsid w:val="00A86D3D"/>
    <w:rsid w:val="00A87807"/>
    <w:rsid w:val="00A956DE"/>
    <w:rsid w:val="00A96141"/>
    <w:rsid w:val="00A96ECD"/>
    <w:rsid w:val="00AB1805"/>
    <w:rsid w:val="00AB2948"/>
    <w:rsid w:val="00AB39FA"/>
    <w:rsid w:val="00AB4FA2"/>
    <w:rsid w:val="00AC03D0"/>
    <w:rsid w:val="00AD1A50"/>
    <w:rsid w:val="00AD5CB7"/>
    <w:rsid w:val="00AD5E0B"/>
    <w:rsid w:val="00AD6933"/>
    <w:rsid w:val="00AD6B7B"/>
    <w:rsid w:val="00AE5EC0"/>
    <w:rsid w:val="00AF4F63"/>
    <w:rsid w:val="00AF718A"/>
    <w:rsid w:val="00B041E7"/>
    <w:rsid w:val="00B15262"/>
    <w:rsid w:val="00B23934"/>
    <w:rsid w:val="00B25839"/>
    <w:rsid w:val="00B529FF"/>
    <w:rsid w:val="00B60D70"/>
    <w:rsid w:val="00B64657"/>
    <w:rsid w:val="00B7066C"/>
    <w:rsid w:val="00B84BC1"/>
    <w:rsid w:val="00BA0179"/>
    <w:rsid w:val="00BA51EA"/>
    <w:rsid w:val="00BA589F"/>
    <w:rsid w:val="00BB047B"/>
    <w:rsid w:val="00BB6398"/>
    <w:rsid w:val="00BC0E86"/>
    <w:rsid w:val="00BD0372"/>
    <w:rsid w:val="00BD246E"/>
    <w:rsid w:val="00BF4768"/>
    <w:rsid w:val="00C04318"/>
    <w:rsid w:val="00C139CA"/>
    <w:rsid w:val="00C433C5"/>
    <w:rsid w:val="00C50B81"/>
    <w:rsid w:val="00C51429"/>
    <w:rsid w:val="00C5387C"/>
    <w:rsid w:val="00C81BC1"/>
    <w:rsid w:val="00C83F69"/>
    <w:rsid w:val="00C940E5"/>
    <w:rsid w:val="00CA3397"/>
    <w:rsid w:val="00CA33E1"/>
    <w:rsid w:val="00CB6BEB"/>
    <w:rsid w:val="00CC3D51"/>
    <w:rsid w:val="00CE6B2C"/>
    <w:rsid w:val="00CE7855"/>
    <w:rsid w:val="00D16AB6"/>
    <w:rsid w:val="00D3023A"/>
    <w:rsid w:val="00D3535C"/>
    <w:rsid w:val="00D3612A"/>
    <w:rsid w:val="00D36A44"/>
    <w:rsid w:val="00D37703"/>
    <w:rsid w:val="00D37F25"/>
    <w:rsid w:val="00D453F6"/>
    <w:rsid w:val="00D60D8D"/>
    <w:rsid w:val="00D67B81"/>
    <w:rsid w:val="00D70F31"/>
    <w:rsid w:val="00D72BE6"/>
    <w:rsid w:val="00D73C98"/>
    <w:rsid w:val="00D878C9"/>
    <w:rsid w:val="00D933B0"/>
    <w:rsid w:val="00D96220"/>
    <w:rsid w:val="00DA11DD"/>
    <w:rsid w:val="00DC0120"/>
    <w:rsid w:val="00DD3F86"/>
    <w:rsid w:val="00DE4019"/>
    <w:rsid w:val="00DE643F"/>
    <w:rsid w:val="00DF0CD2"/>
    <w:rsid w:val="00DF12C9"/>
    <w:rsid w:val="00E15983"/>
    <w:rsid w:val="00E2509B"/>
    <w:rsid w:val="00E44913"/>
    <w:rsid w:val="00E4622C"/>
    <w:rsid w:val="00E46571"/>
    <w:rsid w:val="00E5082A"/>
    <w:rsid w:val="00E51FFB"/>
    <w:rsid w:val="00E568A6"/>
    <w:rsid w:val="00E608D3"/>
    <w:rsid w:val="00E63855"/>
    <w:rsid w:val="00E760BE"/>
    <w:rsid w:val="00EB03BB"/>
    <w:rsid w:val="00EB1C36"/>
    <w:rsid w:val="00EC1784"/>
    <w:rsid w:val="00EC6E2A"/>
    <w:rsid w:val="00ED7DF6"/>
    <w:rsid w:val="00EE0EE8"/>
    <w:rsid w:val="00EE2EB2"/>
    <w:rsid w:val="00EE406C"/>
    <w:rsid w:val="00F07534"/>
    <w:rsid w:val="00F07789"/>
    <w:rsid w:val="00F15178"/>
    <w:rsid w:val="00F26A9F"/>
    <w:rsid w:val="00F26E68"/>
    <w:rsid w:val="00F33119"/>
    <w:rsid w:val="00F414EC"/>
    <w:rsid w:val="00F7241B"/>
    <w:rsid w:val="00F73C47"/>
    <w:rsid w:val="00F81F2C"/>
    <w:rsid w:val="00F83280"/>
    <w:rsid w:val="00F90DAD"/>
    <w:rsid w:val="00F90E63"/>
    <w:rsid w:val="00FA66A6"/>
    <w:rsid w:val="00FA6EE7"/>
    <w:rsid w:val="00FB233B"/>
    <w:rsid w:val="00FB47DD"/>
    <w:rsid w:val="00FB5222"/>
    <w:rsid w:val="00FB73D3"/>
    <w:rsid w:val="00FD4756"/>
    <w:rsid w:val="00FD5E3F"/>
    <w:rsid w:val="00FE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7D0D9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D96220"/>
    <w:rPr>
      <w:rFonts w:ascii="Calibri" w:eastAsiaTheme="minorHAnsi" w:hAnsi="Calibri" w:cs="Calibri"/>
      <w:sz w:val="22"/>
      <w:szCs w:val="22"/>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eastAsia="Times New Roman"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eastAsia="Times New Roman"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eastAsia="Times New Roman"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eastAsia="Times New Roman" w:hAnsi="Arial"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eastAsia="Times New Roman"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eastAsia="Times New Roman" w:hAnsi="Arial" w:cs="Times New Roman"/>
      <w:sz w:val="24"/>
      <w:szCs w:val="24"/>
    </w:rPr>
  </w:style>
  <w:style w:type="paragraph" w:styleId="TOC2">
    <w:name w:val="toc 2"/>
    <w:basedOn w:val="Normal"/>
    <w:next w:val="Normal"/>
    <w:locked/>
    <w:rsid w:val="00F26E68"/>
    <w:pPr>
      <w:ind w:left="240"/>
    </w:pPr>
    <w:rPr>
      <w:rFonts w:ascii="Arial" w:eastAsia="Times New Roman" w:hAnsi="Arial" w:cs="Times New Roman"/>
      <w:sz w:val="24"/>
      <w:szCs w:val="24"/>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eastAsia="Times New Roman" w:hAnsi="Arial" w:cs="Times New Roman"/>
      <w:sz w:val="24"/>
      <w:szCs w:val="24"/>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rPr>
      <w:rFonts w:ascii="Times New Roman" w:eastAsia="Times New Roman" w:hAnsi="Times New Roman" w:cs="Times New Roman"/>
      <w:sz w:val="24"/>
      <w:szCs w:val="24"/>
    </w:r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eastAsia="Times New Roman"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eastAsia="Times New Roman" w:hAnsi="Arial" w:cs="Times New Roman"/>
      <w:sz w:val="24"/>
      <w:szCs w:val="24"/>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eastAsia="Times New Roman" w:hAnsi="Arial" w:cs="Times New Roman"/>
      <w:sz w:val="24"/>
      <w:szCs w:val="24"/>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244B1A"/>
    <w:rPr>
      <w:b/>
      <w:bCs/>
      <w:lang w:eastAsia="en-US"/>
    </w:rPr>
  </w:style>
  <w:style w:type="character" w:customStyle="1" w:styleId="CommentSubjectChar">
    <w:name w:val="Comment Subject Char"/>
    <w:basedOn w:val="CommentTextChar"/>
    <w:link w:val="CommentSubject"/>
    <w:rsid w:val="00244B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08985">
      <w:bodyDiv w:val="1"/>
      <w:marLeft w:val="0"/>
      <w:marRight w:val="0"/>
      <w:marTop w:val="0"/>
      <w:marBottom w:val="0"/>
      <w:divBdr>
        <w:top w:val="none" w:sz="0" w:space="0" w:color="auto"/>
        <w:left w:val="none" w:sz="0" w:space="0" w:color="auto"/>
        <w:bottom w:val="none" w:sz="0" w:space="0" w:color="auto"/>
        <w:right w:val="none" w:sz="0" w:space="0" w:color="auto"/>
      </w:divBdr>
    </w:div>
    <w:div w:id="161940861">
      <w:bodyDiv w:val="1"/>
      <w:marLeft w:val="0"/>
      <w:marRight w:val="0"/>
      <w:marTop w:val="0"/>
      <w:marBottom w:val="0"/>
      <w:divBdr>
        <w:top w:val="none" w:sz="0" w:space="0" w:color="auto"/>
        <w:left w:val="none" w:sz="0" w:space="0" w:color="auto"/>
        <w:bottom w:val="none" w:sz="0" w:space="0" w:color="auto"/>
        <w:right w:val="none" w:sz="0" w:space="0" w:color="auto"/>
      </w:divBdr>
    </w:div>
    <w:div w:id="168257114">
      <w:bodyDiv w:val="1"/>
      <w:marLeft w:val="0"/>
      <w:marRight w:val="0"/>
      <w:marTop w:val="0"/>
      <w:marBottom w:val="0"/>
      <w:divBdr>
        <w:top w:val="none" w:sz="0" w:space="0" w:color="auto"/>
        <w:left w:val="none" w:sz="0" w:space="0" w:color="auto"/>
        <w:bottom w:val="none" w:sz="0" w:space="0" w:color="auto"/>
        <w:right w:val="none" w:sz="0" w:space="0" w:color="auto"/>
      </w:divBdr>
    </w:div>
    <w:div w:id="184364974">
      <w:bodyDiv w:val="1"/>
      <w:marLeft w:val="0"/>
      <w:marRight w:val="0"/>
      <w:marTop w:val="0"/>
      <w:marBottom w:val="0"/>
      <w:divBdr>
        <w:top w:val="none" w:sz="0" w:space="0" w:color="auto"/>
        <w:left w:val="none" w:sz="0" w:space="0" w:color="auto"/>
        <w:bottom w:val="none" w:sz="0" w:space="0" w:color="auto"/>
        <w:right w:val="none" w:sz="0" w:space="0" w:color="auto"/>
      </w:divBdr>
      <w:divsChild>
        <w:div w:id="46338367">
          <w:marLeft w:val="0"/>
          <w:marRight w:val="0"/>
          <w:marTop w:val="0"/>
          <w:marBottom w:val="0"/>
          <w:divBdr>
            <w:top w:val="none" w:sz="0" w:space="0" w:color="auto"/>
            <w:left w:val="none" w:sz="0" w:space="0" w:color="auto"/>
            <w:bottom w:val="none" w:sz="0" w:space="0" w:color="auto"/>
            <w:right w:val="none" w:sz="0" w:space="0" w:color="auto"/>
          </w:divBdr>
        </w:div>
      </w:divsChild>
    </w:div>
    <w:div w:id="216625172">
      <w:bodyDiv w:val="1"/>
      <w:marLeft w:val="0"/>
      <w:marRight w:val="0"/>
      <w:marTop w:val="0"/>
      <w:marBottom w:val="0"/>
      <w:divBdr>
        <w:top w:val="none" w:sz="0" w:space="0" w:color="auto"/>
        <w:left w:val="none" w:sz="0" w:space="0" w:color="auto"/>
        <w:bottom w:val="none" w:sz="0" w:space="0" w:color="auto"/>
        <w:right w:val="none" w:sz="0" w:space="0" w:color="auto"/>
      </w:divBdr>
    </w:div>
    <w:div w:id="237910957">
      <w:bodyDiv w:val="1"/>
      <w:marLeft w:val="0"/>
      <w:marRight w:val="0"/>
      <w:marTop w:val="0"/>
      <w:marBottom w:val="0"/>
      <w:divBdr>
        <w:top w:val="none" w:sz="0" w:space="0" w:color="auto"/>
        <w:left w:val="none" w:sz="0" w:space="0" w:color="auto"/>
        <w:bottom w:val="none" w:sz="0" w:space="0" w:color="auto"/>
        <w:right w:val="none" w:sz="0" w:space="0" w:color="auto"/>
      </w:divBdr>
    </w:div>
    <w:div w:id="282881160">
      <w:bodyDiv w:val="1"/>
      <w:marLeft w:val="0"/>
      <w:marRight w:val="0"/>
      <w:marTop w:val="0"/>
      <w:marBottom w:val="0"/>
      <w:divBdr>
        <w:top w:val="none" w:sz="0" w:space="0" w:color="auto"/>
        <w:left w:val="none" w:sz="0" w:space="0" w:color="auto"/>
        <w:bottom w:val="none" w:sz="0" w:space="0" w:color="auto"/>
        <w:right w:val="none" w:sz="0" w:space="0" w:color="auto"/>
      </w:divBdr>
    </w:div>
    <w:div w:id="427578942">
      <w:bodyDiv w:val="1"/>
      <w:marLeft w:val="0"/>
      <w:marRight w:val="0"/>
      <w:marTop w:val="0"/>
      <w:marBottom w:val="0"/>
      <w:divBdr>
        <w:top w:val="none" w:sz="0" w:space="0" w:color="auto"/>
        <w:left w:val="none" w:sz="0" w:space="0" w:color="auto"/>
        <w:bottom w:val="none" w:sz="0" w:space="0" w:color="auto"/>
        <w:right w:val="none" w:sz="0" w:space="0" w:color="auto"/>
      </w:divBdr>
    </w:div>
    <w:div w:id="566302849">
      <w:bodyDiv w:val="1"/>
      <w:marLeft w:val="0"/>
      <w:marRight w:val="0"/>
      <w:marTop w:val="0"/>
      <w:marBottom w:val="0"/>
      <w:divBdr>
        <w:top w:val="none" w:sz="0" w:space="0" w:color="auto"/>
        <w:left w:val="none" w:sz="0" w:space="0" w:color="auto"/>
        <w:bottom w:val="none" w:sz="0" w:space="0" w:color="auto"/>
        <w:right w:val="none" w:sz="0" w:space="0" w:color="auto"/>
      </w:divBdr>
      <w:divsChild>
        <w:div w:id="392630284">
          <w:marLeft w:val="0"/>
          <w:marRight w:val="0"/>
          <w:marTop w:val="0"/>
          <w:marBottom w:val="0"/>
          <w:divBdr>
            <w:top w:val="none" w:sz="0" w:space="0" w:color="auto"/>
            <w:left w:val="none" w:sz="0" w:space="0" w:color="auto"/>
            <w:bottom w:val="none" w:sz="0" w:space="0" w:color="auto"/>
            <w:right w:val="none" w:sz="0" w:space="0" w:color="auto"/>
          </w:divBdr>
        </w:div>
        <w:div w:id="900942474">
          <w:marLeft w:val="0"/>
          <w:marRight w:val="0"/>
          <w:marTop w:val="0"/>
          <w:marBottom w:val="0"/>
          <w:divBdr>
            <w:top w:val="none" w:sz="0" w:space="0" w:color="auto"/>
            <w:left w:val="none" w:sz="0" w:space="0" w:color="auto"/>
            <w:bottom w:val="none" w:sz="0" w:space="0" w:color="auto"/>
            <w:right w:val="none" w:sz="0" w:space="0" w:color="auto"/>
          </w:divBdr>
        </w:div>
        <w:div w:id="636498508">
          <w:marLeft w:val="0"/>
          <w:marRight w:val="0"/>
          <w:marTop w:val="0"/>
          <w:marBottom w:val="0"/>
          <w:divBdr>
            <w:top w:val="none" w:sz="0" w:space="0" w:color="auto"/>
            <w:left w:val="none" w:sz="0" w:space="0" w:color="auto"/>
            <w:bottom w:val="none" w:sz="0" w:space="0" w:color="auto"/>
            <w:right w:val="none" w:sz="0" w:space="0" w:color="auto"/>
          </w:divBdr>
        </w:div>
        <w:div w:id="526023426">
          <w:marLeft w:val="0"/>
          <w:marRight w:val="0"/>
          <w:marTop w:val="0"/>
          <w:marBottom w:val="0"/>
          <w:divBdr>
            <w:top w:val="none" w:sz="0" w:space="0" w:color="auto"/>
            <w:left w:val="none" w:sz="0" w:space="0" w:color="auto"/>
            <w:bottom w:val="none" w:sz="0" w:space="0" w:color="auto"/>
            <w:right w:val="none" w:sz="0" w:space="0" w:color="auto"/>
          </w:divBdr>
        </w:div>
        <w:div w:id="516119494">
          <w:marLeft w:val="0"/>
          <w:marRight w:val="0"/>
          <w:marTop w:val="0"/>
          <w:marBottom w:val="0"/>
          <w:divBdr>
            <w:top w:val="none" w:sz="0" w:space="0" w:color="auto"/>
            <w:left w:val="none" w:sz="0" w:space="0" w:color="auto"/>
            <w:bottom w:val="none" w:sz="0" w:space="0" w:color="auto"/>
            <w:right w:val="none" w:sz="0" w:space="0" w:color="auto"/>
          </w:divBdr>
        </w:div>
      </w:divsChild>
    </w:div>
    <w:div w:id="612710445">
      <w:bodyDiv w:val="1"/>
      <w:marLeft w:val="0"/>
      <w:marRight w:val="0"/>
      <w:marTop w:val="0"/>
      <w:marBottom w:val="0"/>
      <w:divBdr>
        <w:top w:val="none" w:sz="0" w:space="0" w:color="auto"/>
        <w:left w:val="none" w:sz="0" w:space="0" w:color="auto"/>
        <w:bottom w:val="none" w:sz="0" w:space="0" w:color="auto"/>
        <w:right w:val="none" w:sz="0" w:space="0" w:color="auto"/>
      </w:divBdr>
    </w:div>
    <w:div w:id="653606118">
      <w:bodyDiv w:val="1"/>
      <w:marLeft w:val="0"/>
      <w:marRight w:val="0"/>
      <w:marTop w:val="0"/>
      <w:marBottom w:val="0"/>
      <w:divBdr>
        <w:top w:val="none" w:sz="0" w:space="0" w:color="auto"/>
        <w:left w:val="none" w:sz="0" w:space="0" w:color="auto"/>
        <w:bottom w:val="none" w:sz="0" w:space="0" w:color="auto"/>
        <w:right w:val="none" w:sz="0" w:space="0" w:color="auto"/>
      </w:divBdr>
      <w:divsChild>
        <w:div w:id="1212352196">
          <w:marLeft w:val="0"/>
          <w:marRight w:val="0"/>
          <w:marTop w:val="0"/>
          <w:marBottom w:val="0"/>
          <w:divBdr>
            <w:top w:val="none" w:sz="0" w:space="0" w:color="auto"/>
            <w:left w:val="none" w:sz="0" w:space="0" w:color="auto"/>
            <w:bottom w:val="none" w:sz="0" w:space="0" w:color="auto"/>
            <w:right w:val="none" w:sz="0" w:space="0" w:color="auto"/>
          </w:divBdr>
          <w:divsChild>
            <w:div w:id="1699311535">
              <w:marLeft w:val="0"/>
              <w:marRight w:val="0"/>
              <w:marTop w:val="0"/>
              <w:marBottom w:val="0"/>
              <w:divBdr>
                <w:top w:val="none" w:sz="0" w:space="0" w:color="auto"/>
                <w:left w:val="none" w:sz="0" w:space="0" w:color="auto"/>
                <w:bottom w:val="none" w:sz="0" w:space="0" w:color="auto"/>
                <w:right w:val="none" w:sz="0" w:space="0" w:color="auto"/>
              </w:divBdr>
              <w:divsChild>
                <w:div w:id="1041442257">
                  <w:marLeft w:val="0"/>
                  <w:marRight w:val="0"/>
                  <w:marTop w:val="0"/>
                  <w:marBottom w:val="0"/>
                  <w:divBdr>
                    <w:top w:val="none" w:sz="0" w:space="0" w:color="auto"/>
                    <w:left w:val="none" w:sz="0" w:space="0" w:color="auto"/>
                    <w:bottom w:val="none" w:sz="0" w:space="0" w:color="auto"/>
                    <w:right w:val="none" w:sz="0" w:space="0" w:color="auto"/>
                  </w:divBdr>
                  <w:divsChild>
                    <w:div w:id="1464958316">
                      <w:marLeft w:val="0"/>
                      <w:marRight w:val="0"/>
                      <w:marTop w:val="0"/>
                      <w:marBottom w:val="0"/>
                      <w:divBdr>
                        <w:top w:val="none" w:sz="0" w:space="0" w:color="auto"/>
                        <w:left w:val="none" w:sz="0" w:space="0" w:color="auto"/>
                        <w:bottom w:val="none" w:sz="0" w:space="0" w:color="auto"/>
                        <w:right w:val="none" w:sz="0" w:space="0" w:color="auto"/>
                      </w:divBdr>
                      <w:divsChild>
                        <w:div w:id="415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232043">
      <w:bodyDiv w:val="1"/>
      <w:marLeft w:val="0"/>
      <w:marRight w:val="0"/>
      <w:marTop w:val="0"/>
      <w:marBottom w:val="0"/>
      <w:divBdr>
        <w:top w:val="none" w:sz="0" w:space="0" w:color="auto"/>
        <w:left w:val="none" w:sz="0" w:space="0" w:color="auto"/>
        <w:bottom w:val="none" w:sz="0" w:space="0" w:color="auto"/>
        <w:right w:val="none" w:sz="0" w:space="0" w:color="auto"/>
      </w:divBdr>
    </w:div>
    <w:div w:id="963802808">
      <w:bodyDiv w:val="1"/>
      <w:marLeft w:val="0"/>
      <w:marRight w:val="0"/>
      <w:marTop w:val="0"/>
      <w:marBottom w:val="0"/>
      <w:divBdr>
        <w:top w:val="none" w:sz="0" w:space="0" w:color="auto"/>
        <w:left w:val="none" w:sz="0" w:space="0" w:color="auto"/>
        <w:bottom w:val="none" w:sz="0" w:space="0" w:color="auto"/>
        <w:right w:val="none" w:sz="0" w:space="0" w:color="auto"/>
      </w:divBdr>
    </w:div>
    <w:div w:id="1044141298">
      <w:bodyDiv w:val="1"/>
      <w:marLeft w:val="0"/>
      <w:marRight w:val="0"/>
      <w:marTop w:val="0"/>
      <w:marBottom w:val="0"/>
      <w:divBdr>
        <w:top w:val="none" w:sz="0" w:space="0" w:color="auto"/>
        <w:left w:val="none" w:sz="0" w:space="0" w:color="auto"/>
        <w:bottom w:val="none" w:sz="0" w:space="0" w:color="auto"/>
        <w:right w:val="none" w:sz="0" w:space="0" w:color="auto"/>
      </w:divBdr>
    </w:div>
    <w:div w:id="1163357156">
      <w:bodyDiv w:val="1"/>
      <w:marLeft w:val="0"/>
      <w:marRight w:val="0"/>
      <w:marTop w:val="0"/>
      <w:marBottom w:val="0"/>
      <w:divBdr>
        <w:top w:val="none" w:sz="0" w:space="0" w:color="auto"/>
        <w:left w:val="none" w:sz="0" w:space="0" w:color="auto"/>
        <w:bottom w:val="none" w:sz="0" w:space="0" w:color="auto"/>
        <w:right w:val="none" w:sz="0" w:space="0" w:color="auto"/>
      </w:divBdr>
    </w:div>
    <w:div w:id="1241913025">
      <w:bodyDiv w:val="1"/>
      <w:marLeft w:val="0"/>
      <w:marRight w:val="0"/>
      <w:marTop w:val="0"/>
      <w:marBottom w:val="0"/>
      <w:divBdr>
        <w:top w:val="none" w:sz="0" w:space="0" w:color="auto"/>
        <w:left w:val="none" w:sz="0" w:space="0" w:color="auto"/>
        <w:bottom w:val="none" w:sz="0" w:space="0" w:color="auto"/>
        <w:right w:val="none" w:sz="0" w:space="0" w:color="auto"/>
      </w:divBdr>
      <w:divsChild>
        <w:div w:id="554508534">
          <w:marLeft w:val="0"/>
          <w:marRight w:val="0"/>
          <w:marTop w:val="0"/>
          <w:marBottom w:val="0"/>
          <w:divBdr>
            <w:top w:val="none" w:sz="0" w:space="0" w:color="auto"/>
            <w:left w:val="none" w:sz="0" w:space="0" w:color="auto"/>
            <w:bottom w:val="none" w:sz="0" w:space="0" w:color="auto"/>
            <w:right w:val="none" w:sz="0" w:space="0" w:color="auto"/>
          </w:divBdr>
        </w:div>
        <w:div w:id="409549006">
          <w:marLeft w:val="0"/>
          <w:marRight w:val="0"/>
          <w:marTop w:val="0"/>
          <w:marBottom w:val="0"/>
          <w:divBdr>
            <w:top w:val="none" w:sz="0" w:space="0" w:color="auto"/>
            <w:left w:val="none" w:sz="0" w:space="0" w:color="auto"/>
            <w:bottom w:val="none" w:sz="0" w:space="0" w:color="auto"/>
            <w:right w:val="none" w:sz="0" w:space="0" w:color="auto"/>
          </w:divBdr>
        </w:div>
        <w:div w:id="1658728508">
          <w:marLeft w:val="0"/>
          <w:marRight w:val="0"/>
          <w:marTop w:val="0"/>
          <w:marBottom w:val="0"/>
          <w:divBdr>
            <w:top w:val="none" w:sz="0" w:space="0" w:color="auto"/>
            <w:left w:val="none" w:sz="0" w:space="0" w:color="auto"/>
            <w:bottom w:val="none" w:sz="0" w:space="0" w:color="auto"/>
            <w:right w:val="none" w:sz="0" w:space="0" w:color="auto"/>
          </w:divBdr>
        </w:div>
        <w:div w:id="314257819">
          <w:marLeft w:val="0"/>
          <w:marRight w:val="0"/>
          <w:marTop w:val="0"/>
          <w:marBottom w:val="0"/>
          <w:divBdr>
            <w:top w:val="none" w:sz="0" w:space="0" w:color="auto"/>
            <w:left w:val="none" w:sz="0" w:space="0" w:color="auto"/>
            <w:bottom w:val="none" w:sz="0" w:space="0" w:color="auto"/>
            <w:right w:val="none" w:sz="0" w:space="0" w:color="auto"/>
          </w:divBdr>
        </w:div>
        <w:div w:id="767430687">
          <w:marLeft w:val="0"/>
          <w:marRight w:val="0"/>
          <w:marTop w:val="0"/>
          <w:marBottom w:val="0"/>
          <w:divBdr>
            <w:top w:val="none" w:sz="0" w:space="0" w:color="auto"/>
            <w:left w:val="none" w:sz="0" w:space="0" w:color="auto"/>
            <w:bottom w:val="none" w:sz="0" w:space="0" w:color="auto"/>
            <w:right w:val="none" w:sz="0" w:space="0" w:color="auto"/>
          </w:divBdr>
        </w:div>
      </w:divsChild>
    </w:div>
    <w:div w:id="1513036072">
      <w:bodyDiv w:val="1"/>
      <w:marLeft w:val="0"/>
      <w:marRight w:val="0"/>
      <w:marTop w:val="0"/>
      <w:marBottom w:val="0"/>
      <w:divBdr>
        <w:top w:val="none" w:sz="0" w:space="0" w:color="auto"/>
        <w:left w:val="none" w:sz="0" w:space="0" w:color="auto"/>
        <w:bottom w:val="none" w:sz="0" w:space="0" w:color="auto"/>
        <w:right w:val="none" w:sz="0" w:space="0" w:color="auto"/>
      </w:divBdr>
    </w:div>
    <w:div w:id="1597786716">
      <w:bodyDiv w:val="1"/>
      <w:marLeft w:val="0"/>
      <w:marRight w:val="0"/>
      <w:marTop w:val="0"/>
      <w:marBottom w:val="0"/>
      <w:divBdr>
        <w:top w:val="none" w:sz="0" w:space="0" w:color="auto"/>
        <w:left w:val="none" w:sz="0" w:space="0" w:color="auto"/>
        <w:bottom w:val="none" w:sz="0" w:space="0" w:color="auto"/>
        <w:right w:val="none" w:sz="0" w:space="0" w:color="auto"/>
      </w:divBdr>
    </w:div>
    <w:div w:id="1657100425">
      <w:bodyDiv w:val="1"/>
      <w:marLeft w:val="0"/>
      <w:marRight w:val="0"/>
      <w:marTop w:val="0"/>
      <w:marBottom w:val="0"/>
      <w:divBdr>
        <w:top w:val="none" w:sz="0" w:space="0" w:color="auto"/>
        <w:left w:val="none" w:sz="0" w:space="0" w:color="auto"/>
        <w:bottom w:val="none" w:sz="0" w:space="0" w:color="auto"/>
        <w:right w:val="none" w:sz="0" w:space="0" w:color="auto"/>
      </w:divBdr>
    </w:div>
    <w:div w:id="1965038412">
      <w:bodyDiv w:val="1"/>
      <w:marLeft w:val="0"/>
      <w:marRight w:val="0"/>
      <w:marTop w:val="0"/>
      <w:marBottom w:val="0"/>
      <w:divBdr>
        <w:top w:val="none" w:sz="0" w:space="0" w:color="auto"/>
        <w:left w:val="none" w:sz="0" w:space="0" w:color="auto"/>
        <w:bottom w:val="none" w:sz="0" w:space="0" w:color="auto"/>
        <w:right w:val="none" w:sz="0" w:space="0" w:color="auto"/>
      </w:divBdr>
    </w:div>
    <w:div w:id="1965689833">
      <w:bodyDiv w:val="1"/>
      <w:marLeft w:val="0"/>
      <w:marRight w:val="0"/>
      <w:marTop w:val="0"/>
      <w:marBottom w:val="0"/>
      <w:divBdr>
        <w:top w:val="none" w:sz="0" w:space="0" w:color="auto"/>
        <w:left w:val="none" w:sz="0" w:space="0" w:color="auto"/>
        <w:bottom w:val="none" w:sz="0" w:space="0" w:color="auto"/>
        <w:right w:val="none" w:sz="0" w:space="0" w:color="auto"/>
      </w:divBdr>
    </w:div>
    <w:div w:id="20247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mjournal.co.uk/new-advanced-breast-cancer-drug-combination-recommended-by-nice" TargetMode="External"/><Relationship Id="rId18" Type="http://schemas.openxmlformats.org/officeDocument/2006/relationships/hyperlink" Target="http://www.pharmatimes.com/news/nice_recommends_routine_funding_for_novartis_kisqali_1364227" TargetMode="External"/><Relationship Id="rId26" Type="http://schemas.openxmlformats.org/officeDocument/2006/relationships/hyperlink" Target="https://www.nice.org.uk/about/what-we-do/into-practice/measuring-the-use-of-nice-guidance/impact-of-our-guidance/nice-impact-cardiovascular-disease-management" TargetMode="External"/><Relationship Id="rId3" Type="http://schemas.openxmlformats.org/officeDocument/2006/relationships/styles" Target="styles.xml"/><Relationship Id="rId21" Type="http://schemas.openxmlformats.org/officeDocument/2006/relationships/hyperlink" Target="https://www.nice.org.uk/news/events" TargetMode="External"/><Relationship Id="rId7" Type="http://schemas.openxmlformats.org/officeDocument/2006/relationships/endnotes" Target="endnotes.xml"/><Relationship Id="rId12" Type="http://schemas.openxmlformats.org/officeDocument/2006/relationships/hyperlink" Target="https://www.theguardian.com/society/2021/feb/26/life-extending-drug-ribociclib-incurable-breast-cancer-approved-for-nhs" TargetMode="External"/><Relationship Id="rId17" Type="http://schemas.openxmlformats.org/officeDocument/2006/relationships/hyperlink" Target="http://www.pharmafile.com/news/571501/nice-recommends-novartis-ribociclib-combination-fulvestrant-breast-cancer" TargetMode="External"/><Relationship Id="rId25" Type="http://schemas.openxmlformats.org/officeDocument/2006/relationships/hyperlink" Target="https://www.nice.org.uk/get-involved/jobs" TargetMode="External"/><Relationship Id="rId2" Type="http://schemas.openxmlformats.org/officeDocument/2006/relationships/numbering" Target="numbering.xml"/><Relationship Id="rId16" Type="http://schemas.openxmlformats.org/officeDocument/2006/relationships/hyperlink" Target="https://pharmaphorum.com/news/nice-okays-regular-nhs-funding-for-novartis-breast-cancer-drug-kisqali/" TargetMode="External"/><Relationship Id="rId20" Type="http://schemas.openxmlformats.org/officeDocument/2006/relationships/hyperlink" Target="https://www.nice.org.uk/about/what-we-do/our-programmes/nice-guidance/reviewing-our-process-for-health-technology-evaluation--consult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ilymail.co.uk/health/article-9305503/Women-incurable-breast-cancer-benefit-new-drug-extend-life-eight-months.html" TargetMode="External"/><Relationship Id="rId24" Type="http://schemas.openxmlformats.org/officeDocument/2006/relationships/hyperlink" Target="https://www.nice.org.uk/about/nice-communities/social-care/quick-guides/recognising-and-responding-to-domestic-violence-and-abuse" TargetMode="External"/><Relationship Id="rId5" Type="http://schemas.openxmlformats.org/officeDocument/2006/relationships/webSettings" Target="webSettings.xml"/><Relationship Id="rId15" Type="http://schemas.openxmlformats.org/officeDocument/2006/relationships/hyperlink" Target="https://pharmafield.co.uk/pharma_news/nice-recommendation-for-novartis-kisqali-in-advanced-breast-cancer/" TargetMode="External"/><Relationship Id="rId23" Type="http://schemas.openxmlformats.org/officeDocument/2006/relationships/hyperlink" Target="https://www.nice.org.uk/about/nice-communities/social-care/quick-guides/recognising-and-preventing-delirium" TargetMode="External"/><Relationship Id="rId28" Type="http://schemas.openxmlformats.org/officeDocument/2006/relationships/header" Target="header1.xml"/><Relationship Id="rId10" Type="http://schemas.openxmlformats.org/officeDocument/2006/relationships/hyperlink" Target="https://www.nice.org.uk/news/article/thousands-of-breast-cancer-patients-to-have-routine-access-to-nice-approved-drug-combination" TargetMode="External"/><Relationship Id="rId19" Type="http://schemas.openxmlformats.org/officeDocument/2006/relationships/hyperlink" Target="https://www.pharmacyinfocus.co.uk/positive-decision-by-nice-good-news-for-breast-cancer-patien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news/article/nice-s-processes-of-technology-evaluation-presenting-a-case-for-change" TargetMode="External"/><Relationship Id="rId14" Type="http://schemas.openxmlformats.org/officeDocument/2006/relationships/hyperlink" Target="https://www.nationalhealthexecutive.com/articles/breast-cancer-drug-ribociclib-NHS" TargetMode="External"/><Relationship Id="rId22" Type="http://schemas.openxmlformats.org/officeDocument/2006/relationships/hyperlink" Target="https://www.nice.org.uk/news/events/5-year-strategy-virtual-event-launch" TargetMode="External"/><Relationship Id="rId27" Type="http://schemas.openxmlformats.org/officeDocument/2006/relationships/hyperlink" Target="https://www.nice.org.uk/terms-and-conditions"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Sector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Sector</c:v>
                </c:pt>
              </c:strCache>
            </c:strRef>
          </c:tx>
          <c:dPt>
            <c:idx val="0"/>
            <c:bubble3D val="0"/>
            <c:spPr>
              <a:solidFill>
                <a:srgbClr val="ADADAD"/>
              </a:solidFill>
              <a:ln w="19050">
                <a:solidFill>
                  <a:schemeClr val="lt1"/>
                </a:solidFill>
              </a:ln>
              <a:effectLst/>
            </c:spPr>
            <c:extLst>
              <c:ext xmlns:c16="http://schemas.microsoft.com/office/drawing/2014/chart" uri="{C3380CC4-5D6E-409C-BE32-E72D297353CC}">
                <c16:uniqueId val="{00000001-1D7D-43A7-8D7A-2531E0668863}"/>
              </c:ext>
            </c:extLst>
          </c:dPt>
          <c:dPt>
            <c:idx val="1"/>
            <c:bubble3D val="0"/>
            <c:spPr>
              <a:solidFill>
                <a:srgbClr val="517489"/>
              </a:solidFill>
              <a:ln w="19050">
                <a:solidFill>
                  <a:schemeClr val="lt1"/>
                </a:solidFill>
              </a:ln>
              <a:effectLst/>
            </c:spPr>
            <c:extLst>
              <c:ext xmlns:c16="http://schemas.microsoft.com/office/drawing/2014/chart" uri="{C3380CC4-5D6E-409C-BE32-E72D297353CC}">
                <c16:uniqueId val="{00000003-1D7D-43A7-8D7A-2531E0668863}"/>
              </c:ext>
            </c:extLst>
          </c:dPt>
          <c:dPt>
            <c:idx val="2"/>
            <c:bubble3D val="0"/>
            <c:spPr>
              <a:solidFill>
                <a:srgbClr val="393939"/>
              </a:solidFill>
              <a:ln w="19050">
                <a:solidFill>
                  <a:schemeClr val="lt1"/>
                </a:solidFill>
              </a:ln>
              <a:effectLst/>
            </c:spPr>
            <c:extLst>
              <c:ext xmlns:c16="http://schemas.microsoft.com/office/drawing/2014/chart" uri="{C3380CC4-5D6E-409C-BE32-E72D297353CC}">
                <c16:uniqueId val="{00000005-1D7D-43A7-8D7A-2531E0668863}"/>
              </c:ext>
            </c:extLst>
          </c:dPt>
          <c:dPt>
            <c:idx val="3"/>
            <c:bubble3D val="0"/>
            <c:spPr>
              <a:solidFill>
                <a:srgbClr val="00506A"/>
              </a:solidFill>
              <a:ln w="19050">
                <a:solidFill>
                  <a:schemeClr val="lt1"/>
                </a:solidFill>
              </a:ln>
              <a:effectLst/>
            </c:spPr>
            <c:extLst>
              <c:ext xmlns:c16="http://schemas.microsoft.com/office/drawing/2014/chart" uri="{C3380CC4-5D6E-409C-BE32-E72D297353CC}">
                <c16:uniqueId val="{00000007-1D7D-43A7-8D7A-2531E0668863}"/>
              </c:ext>
            </c:extLst>
          </c:dPt>
          <c:dPt>
            <c:idx val="4"/>
            <c:bubble3D val="0"/>
            <c:spPr>
              <a:solidFill>
                <a:srgbClr val="451551"/>
              </a:solidFill>
              <a:ln w="19050">
                <a:solidFill>
                  <a:schemeClr val="lt1"/>
                </a:solidFill>
              </a:ln>
              <a:effectLst/>
            </c:spPr>
            <c:extLst>
              <c:ext xmlns:c16="http://schemas.microsoft.com/office/drawing/2014/chart" uri="{C3380CC4-5D6E-409C-BE32-E72D297353CC}">
                <c16:uniqueId val="{00000009-1D7D-43A7-8D7A-2531E0668863}"/>
              </c:ext>
            </c:extLst>
          </c:dPt>
          <c:dPt>
            <c:idx val="5"/>
            <c:bubble3D val="0"/>
            <c:spPr>
              <a:solidFill>
                <a:srgbClr val="004650"/>
              </a:solidFill>
              <a:ln w="19050">
                <a:solidFill>
                  <a:schemeClr val="lt1"/>
                </a:solidFill>
              </a:ln>
              <a:effectLst/>
            </c:spPr>
            <c:extLst>
              <c:ext xmlns:c16="http://schemas.microsoft.com/office/drawing/2014/chart" uri="{C3380CC4-5D6E-409C-BE32-E72D297353CC}">
                <c16:uniqueId val="{0000000B-1D7D-43A7-8D7A-2531E0668863}"/>
              </c:ext>
            </c:extLst>
          </c:dPt>
          <c:dPt>
            <c:idx val="6"/>
            <c:bubble3D val="0"/>
            <c:spPr>
              <a:solidFill>
                <a:srgbClr val="A2BDC1"/>
              </a:solidFill>
              <a:ln w="19050">
                <a:solidFill>
                  <a:schemeClr val="lt1"/>
                </a:solidFill>
              </a:ln>
              <a:effectLst/>
            </c:spPr>
            <c:extLst>
              <c:ext xmlns:c16="http://schemas.microsoft.com/office/drawing/2014/chart" uri="{C3380CC4-5D6E-409C-BE32-E72D297353CC}">
                <c16:uniqueId val="{0000000D-1D7D-43A7-8D7A-2531E0668863}"/>
              </c:ext>
            </c:extLst>
          </c:dPt>
          <c:dPt>
            <c:idx val="7"/>
            <c:bubble3D val="0"/>
            <c:spPr>
              <a:solidFill>
                <a:srgbClr val="D6D6D6"/>
              </a:solidFill>
              <a:ln w="19050">
                <a:solidFill>
                  <a:schemeClr val="lt1"/>
                </a:solidFill>
              </a:ln>
              <a:effectLst/>
            </c:spPr>
            <c:extLst>
              <c:ext xmlns:c16="http://schemas.microsoft.com/office/drawing/2014/chart" uri="{C3380CC4-5D6E-409C-BE32-E72D297353CC}">
                <c16:uniqueId val="{0000000F-1D7D-43A7-8D7A-2531E0668863}"/>
              </c:ext>
            </c:extLst>
          </c:dPt>
          <c:dPt>
            <c:idx val="8"/>
            <c:bubble3D val="0"/>
            <c:spPr>
              <a:solidFill>
                <a:srgbClr val="4F7D83"/>
              </a:solidFill>
              <a:ln w="19050">
                <a:solidFill>
                  <a:schemeClr val="lt1"/>
                </a:solidFill>
              </a:ln>
              <a:effectLst/>
            </c:spPr>
            <c:extLst>
              <c:ext xmlns:c16="http://schemas.microsoft.com/office/drawing/2014/chart" uri="{C3380CC4-5D6E-409C-BE32-E72D297353CC}">
                <c16:uniqueId val="{00000011-1D7D-43A7-8D7A-2531E0668863}"/>
              </c:ext>
            </c:extLst>
          </c:dPt>
          <c:dLbls>
            <c:dLbl>
              <c:idx val="0"/>
              <c:layout>
                <c:manualLayout>
                  <c:x val="-5.0290377967883701E-2"/>
                  <c:y val="0.1371421708891163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7D-43A7-8D7A-2531E0668863}"/>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3-1D7D-43A7-8D7A-2531E0668863}"/>
                </c:ext>
              </c:extLst>
            </c:dLbl>
            <c:dLbl>
              <c:idx val="2"/>
              <c:layout>
                <c:manualLayout>
                  <c:x val="-0.12460580755935774"/>
                  <c:y val="0.1118477829528603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D7D-43A7-8D7A-2531E0668863}"/>
                </c:ext>
              </c:extLst>
            </c:dLbl>
            <c:dLbl>
              <c:idx val="3"/>
              <c:layout>
                <c:manualLayout>
                  <c:x val="-0.18248731156444062"/>
                  <c:y val="-0.11190668142609494"/>
                </c:manualLayout>
              </c:layout>
              <c:tx>
                <c:rich>
                  <a:bodyPr/>
                  <a:lstStyle/>
                  <a:p>
                    <a:r>
                      <a:rPr lang="en-US" baseline="0"/>
                      <a:t>NHS/ALBs/H&amp;SC other
</a:t>
                    </a:r>
                    <a:fld id="{49D0DBB6-BA85-41E4-9733-389FEB97B3EC}"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D7D-43A7-8D7A-2531E0668863}"/>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9-1D7D-43A7-8D7A-2531E0668863}"/>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B-1D7D-43A7-8D7A-2531E0668863}"/>
                </c:ext>
              </c:extLst>
            </c:dLbl>
            <c:dLbl>
              <c:idx val="6"/>
              <c:layout>
                <c:manualLayout>
                  <c:x val="7.4854432821257574E-2"/>
                  <c:y val="-0.1671950124271601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D7D-43A7-8D7A-2531E0668863}"/>
                </c:ext>
              </c:extLst>
            </c:dLbl>
            <c:dLbl>
              <c:idx val="7"/>
              <c:layout>
                <c:manualLayout>
                  <c:x val="0.20442601375116295"/>
                  <c:y val="9.31855301906890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D7D-43A7-8D7A-2531E0668863}"/>
                </c:ext>
              </c:extLst>
            </c:dLbl>
            <c:dLbl>
              <c:idx val="8"/>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11-1D7D-43A7-8D7A-2531E06688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Academia</c:v>
                </c:pt>
                <c:pt idx="1">
                  <c:v>Government</c:v>
                </c:pt>
                <c:pt idx="2">
                  <c:v>International</c:v>
                </c:pt>
                <c:pt idx="3">
                  <c:v>NHS/HSCNI/ALBs</c:v>
                </c:pt>
                <c:pt idx="4">
                  <c:v>NICE family (F&amp;S, committee members)</c:v>
                </c:pt>
                <c:pt idx="5">
                  <c:v>NICE staff</c:v>
                </c:pt>
                <c:pt idx="6">
                  <c:v>Other </c:v>
                </c:pt>
                <c:pt idx="7">
                  <c:v>Pharma/medtech</c:v>
                </c:pt>
                <c:pt idx="8">
                  <c:v>Social care</c:v>
                </c:pt>
              </c:strCache>
            </c:strRef>
          </c:cat>
          <c:val>
            <c:numRef>
              <c:f>Sheet1!$B$2:$B$10</c:f>
              <c:numCache>
                <c:formatCode>General</c:formatCode>
                <c:ptCount val="9"/>
                <c:pt idx="0">
                  <c:v>92</c:v>
                </c:pt>
                <c:pt idx="1">
                  <c:v>17</c:v>
                </c:pt>
                <c:pt idx="2">
                  <c:v>118</c:v>
                </c:pt>
                <c:pt idx="3">
                  <c:v>336</c:v>
                </c:pt>
                <c:pt idx="4">
                  <c:v>17</c:v>
                </c:pt>
                <c:pt idx="5">
                  <c:v>41</c:v>
                </c:pt>
                <c:pt idx="6">
                  <c:v>112</c:v>
                </c:pt>
                <c:pt idx="7">
                  <c:v>418</c:v>
                </c:pt>
                <c:pt idx="8">
                  <c:v>26</c:v>
                </c:pt>
              </c:numCache>
            </c:numRef>
          </c:val>
          <c:extLst>
            <c:ext xmlns:c16="http://schemas.microsoft.com/office/drawing/2014/chart" uri="{C3380CC4-5D6E-409C-BE32-E72D297353CC}">
              <c16:uniqueId val="{00000012-1D7D-43A7-8D7A-2531E066886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FF7B-C7D5-483B-8D82-8E379D99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10056</Characters>
  <Application>Microsoft Office Word</Application>
  <DocSecurity>0</DocSecurity>
  <Lines>83</Lines>
  <Paragraphs>22</Paragraphs>
  <ScaleCrop>false</ScaleCrop>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2021-03-10T10:11:00Z</dcterms:created>
  <dcterms:modified xsi:type="dcterms:W3CDTF">2021-03-15T11:26:00Z</dcterms:modified>
</cp:coreProperties>
</file>