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66DCD" w14:textId="77777777" w:rsidR="00EB1C36" w:rsidRPr="00A04685" w:rsidRDefault="00EB1C36" w:rsidP="00A70E85">
      <w:pPr>
        <w:pStyle w:val="Title20"/>
      </w:pPr>
      <w:r w:rsidRPr="00A04685">
        <w:t>National Institute for Health and Care Excellence</w:t>
      </w:r>
    </w:p>
    <w:p w14:paraId="4D6F5472" w14:textId="063F3F33" w:rsidR="00EB1C36" w:rsidRPr="00A04685" w:rsidRDefault="00445D8B" w:rsidP="00F07534">
      <w:pPr>
        <w:pStyle w:val="Title1"/>
      </w:pPr>
      <w:r>
        <w:t xml:space="preserve">People and </w:t>
      </w:r>
      <w:r w:rsidR="00FA05A6" w:rsidRPr="00A04685">
        <w:t>Resources</w:t>
      </w:r>
      <w:r w:rsidR="00EB1C36" w:rsidRPr="00A04685">
        <w:t xml:space="preserve"> report</w:t>
      </w:r>
    </w:p>
    <w:p w14:paraId="12C8B4AA" w14:textId="4FE264B5" w:rsidR="00EB1C36" w:rsidRPr="00A04685" w:rsidRDefault="00FA6C4F" w:rsidP="005F6CE3">
      <w:pPr>
        <w:pStyle w:val="NICEnormalnumbered"/>
      </w:pPr>
      <w:r w:rsidRPr="00A04685">
        <w:t xml:space="preserve">This report gives details of the financial position as </w:t>
      </w:r>
      <w:proofErr w:type="gramStart"/>
      <w:r w:rsidRPr="00A04685">
        <w:t>at</w:t>
      </w:r>
      <w:proofErr w:type="gramEnd"/>
      <w:r w:rsidRPr="00A04685">
        <w:t xml:space="preserve"> </w:t>
      </w:r>
      <w:r w:rsidR="00197358">
        <w:t>28</w:t>
      </w:r>
      <w:r w:rsidRPr="00A04685">
        <w:t xml:space="preserve"> </w:t>
      </w:r>
      <w:r w:rsidR="00197358">
        <w:t>February</w:t>
      </w:r>
      <w:r w:rsidRPr="00A04685">
        <w:t xml:space="preserve"> 202</w:t>
      </w:r>
      <w:r w:rsidR="00F406A6" w:rsidRPr="00A04685">
        <w:t>1</w:t>
      </w:r>
      <w:r w:rsidR="005F6CE3" w:rsidRPr="00A04685">
        <w:t>, an</w:t>
      </w:r>
      <w:r w:rsidR="009573A0" w:rsidRPr="00A04685">
        <w:t xml:space="preserve"> </w:t>
      </w:r>
      <w:r w:rsidR="005F6CE3" w:rsidRPr="00A04685">
        <w:t>update on Human Resources &amp; Organisational Development and an update on the NICE Connect transformation programme.</w:t>
      </w:r>
    </w:p>
    <w:p w14:paraId="34C349B4" w14:textId="4D7F8DC5" w:rsidR="00EB1C36" w:rsidRPr="00A04685" w:rsidRDefault="00FA6C4F" w:rsidP="00EB1C36">
      <w:pPr>
        <w:pStyle w:val="Heading1boardreport"/>
      </w:pPr>
      <w:r w:rsidRPr="00A04685">
        <w:t>Financial Position</w:t>
      </w:r>
    </w:p>
    <w:p w14:paraId="6252447C" w14:textId="79E9AC64" w:rsidR="000B6695" w:rsidRPr="00A04685" w:rsidRDefault="00FA6C4F" w:rsidP="000B6695">
      <w:pPr>
        <w:pStyle w:val="NICEnormalnumbered"/>
      </w:pPr>
      <w:r w:rsidRPr="00A04685">
        <w:t>Table 1 summarises</w:t>
      </w:r>
      <w:r w:rsidR="008E3BCF" w:rsidRPr="00A04685">
        <w:t xml:space="preserve"> year to date and estimated outturn</w:t>
      </w:r>
      <w:r w:rsidRPr="00A04685">
        <w:t xml:space="preserve"> financial position as </w:t>
      </w:r>
      <w:proofErr w:type="gramStart"/>
      <w:r w:rsidRPr="00A04685">
        <w:t>at</w:t>
      </w:r>
      <w:proofErr w:type="gramEnd"/>
      <w:r w:rsidRPr="00A04685">
        <w:t xml:space="preserve"> </w:t>
      </w:r>
      <w:r w:rsidR="00197358">
        <w:t>28 February</w:t>
      </w:r>
      <w:r w:rsidR="00F406A6" w:rsidRPr="00A04685">
        <w:t xml:space="preserve"> 2021</w:t>
      </w:r>
      <w:r w:rsidRPr="00A04685">
        <w:t>. There is a full breakdown in Appendix A.</w:t>
      </w:r>
    </w:p>
    <w:p w14:paraId="55A3E91C" w14:textId="5601C28B" w:rsidR="00691AAE" w:rsidRPr="00A04685" w:rsidRDefault="00691AAE" w:rsidP="00A554D7">
      <w:pPr>
        <w:pStyle w:val="Tableheadingboardreport"/>
      </w:pPr>
      <w:r w:rsidRPr="00A04685">
        <w:t xml:space="preserve">Table 1: Financial position as </w:t>
      </w:r>
      <w:proofErr w:type="gramStart"/>
      <w:r w:rsidRPr="00A04685">
        <w:t>at</w:t>
      </w:r>
      <w:proofErr w:type="gramEnd"/>
      <w:r w:rsidRPr="00A04685">
        <w:t xml:space="preserve"> </w:t>
      </w:r>
      <w:r w:rsidR="00197358">
        <w:t>28 February</w:t>
      </w:r>
      <w:r w:rsidR="00F406A6" w:rsidRPr="00A04685">
        <w:t xml:space="preserve"> 2021</w:t>
      </w:r>
    </w:p>
    <w:p w14:paraId="5576FD84" w14:textId="77777777" w:rsidR="00734E7B" w:rsidRPr="00A04685" w:rsidRDefault="00734E7B" w:rsidP="00A554D7">
      <w:pPr>
        <w:pStyle w:val="Tableheadingboardreport"/>
      </w:pPr>
    </w:p>
    <w:tbl>
      <w:tblPr>
        <w:tblpPr w:leftFromText="180" w:rightFromText="180" w:vertAnchor="text" w:horzAnchor="margin" w:tblpY="54"/>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inancial position as at 28 February 2021"/>
        <w:tblDescription w:val="Table1: year to date budget, actual and variance, April 2020 to February 2021. Estimated outturn financial position, April 2020 to March 2021."/>
      </w:tblPr>
      <w:tblGrid>
        <w:gridCol w:w="1288"/>
        <w:gridCol w:w="1288"/>
        <w:gridCol w:w="1247"/>
        <w:gridCol w:w="1329"/>
        <w:gridCol w:w="1288"/>
        <w:gridCol w:w="1288"/>
        <w:gridCol w:w="1288"/>
      </w:tblGrid>
      <w:tr w:rsidR="005A1F59" w:rsidRPr="00A04685" w14:paraId="1AA1FB09" w14:textId="77777777" w:rsidTr="00327B6F">
        <w:trPr>
          <w:tblHeader/>
        </w:trPr>
        <w:tc>
          <w:tcPr>
            <w:tcW w:w="1288" w:type="dxa"/>
            <w:vAlign w:val="center"/>
          </w:tcPr>
          <w:p w14:paraId="1EBB6B0C" w14:textId="405E5A5C" w:rsidR="005A1F59" w:rsidRPr="00A04685" w:rsidRDefault="005A1F59" w:rsidP="007649D3">
            <w:pPr>
              <w:pStyle w:val="Tableheadingboardreport"/>
            </w:pPr>
            <w:bookmarkStart w:id="0" w:name="OLE_LINK1"/>
            <w:r w:rsidRPr="00A04685">
              <w:t>Spend Category</w:t>
            </w:r>
          </w:p>
        </w:tc>
        <w:tc>
          <w:tcPr>
            <w:tcW w:w="1288" w:type="dxa"/>
          </w:tcPr>
          <w:p w14:paraId="052BFD73" w14:textId="151424B1" w:rsidR="005A1F59" w:rsidRPr="00A04685" w:rsidRDefault="005A1F59" w:rsidP="007649D3">
            <w:pPr>
              <w:pStyle w:val="Tableheadingboardreport"/>
            </w:pPr>
            <w:r w:rsidRPr="00A04685">
              <w:t>Year to Date Budget £m</w:t>
            </w:r>
          </w:p>
        </w:tc>
        <w:tc>
          <w:tcPr>
            <w:tcW w:w="1247" w:type="dxa"/>
          </w:tcPr>
          <w:p w14:paraId="03A6DFD3" w14:textId="4478D278" w:rsidR="005A1F59" w:rsidRPr="00A04685" w:rsidRDefault="005A1F59" w:rsidP="007649D3">
            <w:pPr>
              <w:pStyle w:val="Tableheadingboardreport"/>
            </w:pPr>
            <w:r w:rsidRPr="00A04685">
              <w:t>Year to Date Actual £m</w:t>
            </w:r>
          </w:p>
        </w:tc>
        <w:tc>
          <w:tcPr>
            <w:tcW w:w="1329" w:type="dxa"/>
          </w:tcPr>
          <w:p w14:paraId="11DA7DF9" w14:textId="155DF946" w:rsidR="005A1F59" w:rsidRPr="00A04685" w:rsidRDefault="005A1F59" w:rsidP="007649D3">
            <w:pPr>
              <w:pStyle w:val="Tableheadingboardreport"/>
            </w:pPr>
            <w:r w:rsidRPr="00A04685">
              <w:t>Year to Date Variance £m</w:t>
            </w:r>
          </w:p>
        </w:tc>
        <w:tc>
          <w:tcPr>
            <w:tcW w:w="1288" w:type="dxa"/>
          </w:tcPr>
          <w:p w14:paraId="7DCDC583" w14:textId="294DD1A9" w:rsidR="005A1F59" w:rsidRPr="00A04685" w:rsidRDefault="005A1F59" w:rsidP="007649D3">
            <w:pPr>
              <w:pStyle w:val="Tableheadingboardreport"/>
            </w:pPr>
            <w:r w:rsidRPr="00A04685">
              <w:t>Annual Budget £m</w:t>
            </w:r>
          </w:p>
        </w:tc>
        <w:tc>
          <w:tcPr>
            <w:tcW w:w="1288" w:type="dxa"/>
          </w:tcPr>
          <w:p w14:paraId="33E55A39" w14:textId="15ADAC9D" w:rsidR="005A1F59" w:rsidRPr="00A04685" w:rsidRDefault="005A1F59" w:rsidP="007649D3">
            <w:pPr>
              <w:pStyle w:val="Tableheadingboardreport"/>
            </w:pPr>
            <w:r w:rsidRPr="00A04685">
              <w:t>Estimated Outturn £m</w:t>
            </w:r>
          </w:p>
        </w:tc>
        <w:tc>
          <w:tcPr>
            <w:tcW w:w="1288" w:type="dxa"/>
          </w:tcPr>
          <w:p w14:paraId="00C31BDF" w14:textId="5CAEC308" w:rsidR="005A1F59" w:rsidRPr="00A04685" w:rsidRDefault="005A1F59" w:rsidP="007649D3">
            <w:pPr>
              <w:pStyle w:val="Tableheadingboardreport"/>
            </w:pPr>
            <w:r w:rsidRPr="00A04685">
              <w:t>Estimated Outturn Variance £m</w:t>
            </w:r>
          </w:p>
        </w:tc>
      </w:tr>
      <w:tr w:rsidR="005A1F59" w:rsidRPr="00A04685" w14:paraId="554FCACD" w14:textId="77777777" w:rsidTr="00327B6F">
        <w:tc>
          <w:tcPr>
            <w:tcW w:w="1288" w:type="dxa"/>
            <w:vAlign w:val="center"/>
          </w:tcPr>
          <w:p w14:paraId="6AC74588" w14:textId="7EBD4AC4" w:rsidR="005A1F59" w:rsidRPr="00A04685" w:rsidRDefault="005A1F59" w:rsidP="007649D3">
            <w:pPr>
              <w:pStyle w:val="Tabletext"/>
            </w:pPr>
            <w:r w:rsidRPr="00A04685">
              <w:rPr>
                <w:bCs/>
              </w:rPr>
              <w:t>Pay</w:t>
            </w:r>
          </w:p>
        </w:tc>
        <w:tc>
          <w:tcPr>
            <w:tcW w:w="1288" w:type="dxa"/>
          </w:tcPr>
          <w:p w14:paraId="53285632" w14:textId="1FD558BC" w:rsidR="005A1F59" w:rsidRPr="00A04685" w:rsidRDefault="00B40021" w:rsidP="007649D3">
            <w:pPr>
              <w:pStyle w:val="Tabletext"/>
              <w:jc w:val="right"/>
            </w:pPr>
            <w:r>
              <w:t>42.1</w:t>
            </w:r>
          </w:p>
        </w:tc>
        <w:tc>
          <w:tcPr>
            <w:tcW w:w="1247" w:type="dxa"/>
          </w:tcPr>
          <w:p w14:paraId="4D7F9268" w14:textId="6CB0ED58" w:rsidR="005A1F59" w:rsidRPr="00A04685" w:rsidRDefault="005A1F59" w:rsidP="007649D3">
            <w:pPr>
              <w:pStyle w:val="Tabletext"/>
              <w:jc w:val="right"/>
            </w:pPr>
            <w:r w:rsidRPr="00A04685">
              <w:t>3</w:t>
            </w:r>
            <w:r w:rsidR="00B40021">
              <w:t>8.9</w:t>
            </w:r>
          </w:p>
        </w:tc>
        <w:tc>
          <w:tcPr>
            <w:tcW w:w="1329" w:type="dxa"/>
          </w:tcPr>
          <w:p w14:paraId="7F329807" w14:textId="44FE5D93" w:rsidR="005A1F59" w:rsidRPr="00A04685" w:rsidRDefault="005A1F59" w:rsidP="007649D3">
            <w:pPr>
              <w:pStyle w:val="Tabletext"/>
              <w:jc w:val="right"/>
            </w:pPr>
            <w:r w:rsidRPr="00A04685">
              <w:t>(3.2)</w:t>
            </w:r>
          </w:p>
        </w:tc>
        <w:tc>
          <w:tcPr>
            <w:tcW w:w="1288" w:type="dxa"/>
          </w:tcPr>
          <w:p w14:paraId="7A0086A9" w14:textId="297103E8" w:rsidR="005A1F59" w:rsidRPr="00A04685" w:rsidRDefault="005A1F59" w:rsidP="007649D3">
            <w:pPr>
              <w:pStyle w:val="Tabletext"/>
              <w:jc w:val="right"/>
            </w:pPr>
            <w:r w:rsidRPr="00A04685">
              <w:t>46.1</w:t>
            </w:r>
          </w:p>
        </w:tc>
        <w:tc>
          <w:tcPr>
            <w:tcW w:w="1288" w:type="dxa"/>
          </w:tcPr>
          <w:p w14:paraId="32207C3E" w14:textId="465738AA" w:rsidR="005A1F59" w:rsidRPr="00A04685" w:rsidRDefault="005A1F59" w:rsidP="007649D3">
            <w:pPr>
              <w:pStyle w:val="Tabletext"/>
              <w:jc w:val="right"/>
            </w:pPr>
            <w:r w:rsidRPr="00A04685">
              <w:t>42.</w:t>
            </w:r>
            <w:r w:rsidR="00B40021">
              <w:t>7</w:t>
            </w:r>
          </w:p>
        </w:tc>
        <w:tc>
          <w:tcPr>
            <w:tcW w:w="1288" w:type="dxa"/>
          </w:tcPr>
          <w:p w14:paraId="234B35E9" w14:textId="377CEC5D" w:rsidR="005A1F59" w:rsidRPr="00A04685" w:rsidRDefault="005A1F59" w:rsidP="007649D3">
            <w:pPr>
              <w:pStyle w:val="Tabletext"/>
              <w:jc w:val="right"/>
            </w:pPr>
            <w:r w:rsidRPr="00A04685">
              <w:t>(3.4)</w:t>
            </w:r>
          </w:p>
        </w:tc>
      </w:tr>
      <w:tr w:rsidR="005A1F59" w:rsidRPr="00A04685" w14:paraId="329E6428" w14:textId="77777777" w:rsidTr="00327B6F">
        <w:tc>
          <w:tcPr>
            <w:tcW w:w="1288" w:type="dxa"/>
            <w:vAlign w:val="center"/>
          </w:tcPr>
          <w:p w14:paraId="58B7ABF0" w14:textId="3EEA4F1E" w:rsidR="005A1F59" w:rsidRPr="00A04685" w:rsidRDefault="005A1F59" w:rsidP="007649D3">
            <w:pPr>
              <w:pStyle w:val="Tabletext"/>
            </w:pPr>
            <w:r w:rsidRPr="00A04685">
              <w:rPr>
                <w:bCs/>
              </w:rPr>
              <w:t>Non pay</w:t>
            </w:r>
          </w:p>
        </w:tc>
        <w:tc>
          <w:tcPr>
            <w:tcW w:w="1288" w:type="dxa"/>
          </w:tcPr>
          <w:p w14:paraId="7124046B" w14:textId="2CE99EF5" w:rsidR="005A1F59" w:rsidRPr="00A04685" w:rsidRDefault="00B40021" w:rsidP="007649D3">
            <w:pPr>
              <w:pStyle w:val="Tabletext"/>
              <w:jc w:val="right"/>
            </w:pPr>
            <w:r>
              <w:t>26.9</w:t>
            </w:r>
          </w:p>
        </w:tc>
        <w:tc>
          <w:tcPr>
            <w:tcW w:w="1247" w:type="dxa"/>
          </w:tcPr>
          <w:p w14:paraId="0DCA76EF" w14:textId="32B3C38F" w:rsidR="005A1F59" w:rsidRPr="00A04685" w:rsidRDefault="005A1F59" w:rsidP="007649D3">
            <w:pPr>
              <w:pStyle w:val="Tabletext"/>
              <w:jc w:val="right"/>
            </w:pPr>
            <w:r w:rsidRPr="00A04685">
              <w:t>2</w:t>
            </w:r>
            <w:r w:rsidR="00B40021">
              <w:t>4.0</w:t>
            </w:r>
          </w:p>
        </w:tc>
        <w:tc>
          <w:tcPr>
            <w:tcW w:w="1329" w:type="dxa"/>
          </w:tcPr>
          <w:p w14:paraId="23C9BE7C" w14:textId="71C78273" w:rsidR="005A1F59" w:rsidRPr="00A04685" w:rsidRDefault="005A1F59" w:rsidP="007649D3">
            <w:pPr>
              <w:pStyle w:val="Tabletext"/>
              <w:jc w:val="right"/>
            </w:pPr>
            <w:r w:rsidRPr="00A04685">
              <w:t>(2.</w:t>
            </w:r>
            <w:r w:rsidR="00B40021">
              <w:t>9</w:t>
            </w:r>
            <w:r w:rsidRPr="00A04685">
              <w:t>)</w:t>
            </w:r>
          </w:p>
        </w:tc>
        <w:tc>
          <w:tcPr>
            <w:tcW w:w="1288" w:type="dxa"/>
          </w:tcPr>
          <w:p w14:paraId="4D6BD6EA" w14:textId="6FAFA801" w:rsidR="005A1F59" w:rsidRPr="00A04685" w:rsidRDefault="005A1F59" w:rsidP="007649D3">
            <w:pPr>
              <w:pStyle w:val="Tabletext"/>
              <w:jc w:val="right"/>
            </w:pPr>
            <w:r w:rsidRPr="00A04685">
              <w:t>29.2</w:t>
            </w:r>
          </w:p>
        </w:tc>
        <w:tc>
          <w:tcPr>
            <w:tcW w:w="1288" w:type="dxa"/>
          </w:tcPr>
          <w:p w14:paraId="2B415E41" w14:textId="0FC1B7EC" w:rsidR="005A1F59" w:rsidRPr="00A04685" w:rsidRDefault="005A1F59" w:rsidP="007649D3">
            <w:pPr>
              <w:pStyle w:val="Tabletext"/>
              <w:jc w:val="right"/>
            </w:pPr>
            <w:r w:rsidRPr="00A04685">
              <w:t>26.</w:t>
            </w:r>
            <w:r w:rsidR="00B40021">
              <w:t>3</w:t>
            </w:r>
          </w:p>
        </w:tc>
        <w:tc>
          <w:tcPr>
            <w:tcW w:w="1288" w:type="dxa"/>
          </w:tcPr>
          <w:p w14:paraId="05C9BCA2" w14:textId="2A57ED76" w:rsidR="005A1F59" w:rsidRPr="00A04685" w:rsidRDefault="005A1F59" w:rsidP="007649D3">
            <w:pPr>
              <w:pStyle w:val="Tabletext"/>
              <w:jc w:val="right"/>
            </w:pPr>
            <w:r w:rsidRPr="00A04685">
              <w:t>(</w:t>
            </w:r>
            <w:r w:rsidR="00B40021">
              <w:t>2.9</w:t>
            </w:r>
            <w:r w:rsidRPr="00A04685">
              <w:t>)</w:t>
            </w:r>
          </w:p>
        </w:tc>
      </w:tr>
      <w:tr w:rsidR="005A1F59" w:rsidRPr="00A04685" w14:paraId="3F6FE829" w14:textId="77777777" w:rsidTr="00327B6F">
        <w:tc>
          <w:tcPr>
            <w:tcW w:w="1288" w:type="dxa"/>
            <w:vAlign w:val="center"/>
          </w:tcPr>
          <w:p w14:paraId="11A00A14" w14:textId="3DEA0CF0" w:rsidR="005A1F59" w:rsidRPr="00A04685" w:rsidRDefault="005A1F59" w:rsidP="007649D3">
            <w:pPr>
              <w:pStyle w:val="Tabletext"/>
            </w:pPr>
            <w:r w:rsidRPr="00A04685">
              <w:rPr>
                <w:bCs/>
              </w:rPr>
              <w:t>Income</w:t>
            </w:r>
          </w:p>
        </w:tc>
        <w:tc>
          <w:tcPr>
            <w:tcW w:w="1288" w:type="dxa"/>
          </w:tcPr>
          <w:p w14:paraId="01751CA4" w14:textId="24B14834" w:rsidR="005A1F59" w:rsidRPr="00A04685" w:rsidRDefault="005A1F59" w:rsidP="007649D3">
            <w:pPr>
              <w:pStyle w:val="Tabletext"/>
              <w:jc w:val="right"/>
            </w:pPr>
            <w:r w:rsidRPr="00A04685">
              <w:t>(</w:t>
            </w:r>
            <w:r w:rsidR="00B40021">
              <w:t>20.2</w:t>
            </w:r>
            <w:r w:rsidRPr="00A04685">
              <w:t>)</w:t>
            </w:r>
          </w:p>
        </w:tc>
        <w:tc>
          <w:tcPr>
            <w:tcW w:w="1247" w:type="dxa"/>
          </w:tcPr>
          <w:p w14:paraId="04D86559" w14:textId="2547DD6C" w:rsidR="005A1F59" w:rsidRPr="00A04685" w:rsidRDefault="005A1F59" w:rsidP="007649D3">
            <w:pPr>
              <w:pStyle w:val="Tabletext"/>
              <w:jc w:val="right"/>
            </w:pPr>
            <w:r w:rsidRPr="00A04685">
              <w:t>(1</w:t>
            </w:r>
            <w:r w:rsidR="00B40021">
              <w:t>7.6</w:t>
            </w:r>
            <w:r w:rsidRPr="00A04685">
              <w:t>)</w:t>
            </w:r>
          </w:p>
        </w:tc>
        <w:tc>
          <w:tcPr>
            <w:tcW w:w="1329" w:type="dxa"/>
          </w:tcPr>
          <w:p w14:paraId="6824CD7A" w14:textId="0BFA24B3" w:rsidR="005A1F59" w:rsidRPr="00A04685" w:rsidRDefault="005A1F59" w:rsidP="007649D3">
            <w:pPr>
              <w:pStyle w:val="Tabletext"/>
              <w:jc w:val="right"/>
            </w:pPr>
            <w:r w:rsidRPr="00A04685">
              <w:t>2.</w:t>
            </w:r>
            <w:r w:rsidR="00B40021">
              <w:t>6</w:t>
            </w:r>
          </w:p>
        </w:tc>
        <w:tc>
          <w:tcPr>
            <w:tcW w:w="1288" w:type="dxa"/>
          </w:tcPr>
          <w:p w14:paraId="2B1F7145" w14:textId="40CD2E91" w:rsidR="005A1F59" w:rsidRPr="00A04685" w:rsidRDefault="005A1F59" w:rsidP="007649D3">
            <w:pPr>
              <w:pStyle w:val="Tabletext"/>
              <w:jc w:val="right"/>
            </w:pPr>
            <w:r w:rsidRPr="00A04685">
              <w:t>(22.1)</w:t>
            </w:r>
          </w:p>
        </w:tc>
        <w:tc>
          <w:tcPr>
            <w:tcW w:w="1288" w:type="dxa"/>
          </w:tcPr>
          <w:p w14:paraId="7CB4A96C" w14:textId="08AF7787" w:rsidR="005A1F59" w:rsidRPr="00A04685" w:rsidRDefault="005A1F59" w:rsidP="007649D3">
            <w:pPr>
              <w:pStyle w:val="Tabletext"/>
              <w:jc w:val="right"/>
            </w:pPr>
            <w:r w:rsidRPr="00A04685">
              <w:t>(19.</w:t>
            </w:r>
            <w:r w:rsidR="00B40021">
              <w:t>3</w:t>
            </w:r>
            <w:r w:rsidRPr="00A04685">
              <w:t>)</w:t>
            </w:r>
          </w:p>
        </w:tc>
        <w:tc>
          <w:tcPr>
            <w:tcW w:w="1288" w:type="dxa"/>
          </w:tcPr>
          <w:p w14:paraId="39D4925F" w14:textId="66432CD7" w:rsidR="005A1F59" w:rsidRPr="00A04685" w:rsidRDefault="00B40021" w:rsidP="007649D3">
            <w:pPr>
              <w:pStyle w:val="Tabletext"/>
              <w:jc w:val="right"/>
            </w:pPr>
            <w:r>
              <w:t>2.8</w:t>
            </w:r>
          </w:p>
        </w:tc>
      </w:tr>
      <w:tr w:rsidR="005A1F59" w:rsidRPr="00A04685" w14:paraId="14DF071A" w14:textId="77777777" w:rsidTr="00327B6F">
        <w:tc>
          <w:tcPr>
            <w:tcW w:w="1288" w:type="dxa"/>
            <w:vAlign w:val="center"/>
          </w:tcPr>
          <w:p w14:paraId="3B7D6A3A" w14:textId="56FF2143" w:rsidR="005A1F59" w:rsidRPr="00A04685" w:rsidRDefault="005A1F59" w:rsidP="007649D3">
            <w:pPr>
              <w:pStyle w:val="Tabletext"/>
              <w:rPr>
                <w:b/>
                <w:bCs/>
              </w:rPr>
            </w:pPr>
            <w:r w:rsidRPr="00A04685">
              <w:rPr>
                <w:b/>
                <w:bCs/>
              </w:rPr>
              <w:t>Total</w:t>
            </w:r>
          </w:p>
        </w:tc>
        <w:tc>
          <w:tcPr>
            <w:tcW w:w="1288" w:type="dxa"/>
          </w:tcPr>
          <w:p w14:paraId="432A404A" w14:textId="4BC8F024" w:rsidR="005A1F59" w:rsidRPr="00A04685" w:rsidRDefault="005A1F59" w:rsidP="007649D3">
            <w:pPr>
              <w:pStyle w:val="Tabletext"/>
              <w:jc w:val="right"/>
              <w:rPr>
                <w:b/>
                <w:bCs/>
              </w:rPr>
            </w:pPr>
            <w:r w:rsidRPr="00A04685">
              <w:rPr>
                <w:b/>
                <w:bCs/>
              </w:rPr>
              <w:t>4</w:t>
            </w:r>
            <w:r w:rsidR="00B40021">
              <w:rPr>
                <w:b/>
                <w:bCs/>
              </w:rPr>
              <w:t>8.8</w:t>
            </w:r>
          </w:p>
        </w:tc>
        <w:tc>
          <w:tcPr>
            <w:tcW w:w="1247" w:type="dxa"/>
          </w:tcPr>
          <w:p w14:paraId="46F13717" w14:textId="12DFB51B" w:rsidR="005A1F59" w:rsidRPr="00A04685" w:rsidRDefault="005A1F59" w:rsidP="007649D3">
            <w:pPr>
              <w:pStyle w:val="Tabletext"/>
              <w:jc w:val="right"/>
              <w:rPr>
                <w:b/>
                <w:bCs/>
              </w:rPr>
            </w:pPr>
            <w:r w:rsidRPr="00A04685">
              <w:rPr>
                <w:b/>
                <w:bCs/>
              </w:rPr>
              <w:t>4</w:t>
            </w:r>
            <w:r w:rsidR="00B40021">
              <w:rPr>
                <w:b/>
                <w:bCs/>
              </w:rPr>
              <w:t>5.3</w:t>
            </w:r>
          </w:p>
        </w:tc>
        <w:tc>
          <w:tcPr>
            <w:tcW w:w="1329" w:type="dxa"/>
          </w:tcPr>
          <w:p w14:paraId="7B527B88" w14:textId="0A084A65" w:rsidR="005A1F59" w:rsidRPr="00A04685" w:rsidRDefault="005A1F59" w:rsidP="007649D3">
            <w:pPr>
              <w:pStyle w:val="Tabletext"/>
              <w:jc w:val="right"/>
              <w:rPr>
                <w:b/>
                <w:bCs/>
              </w:rPr>
            </w:pPr>
            <w:r w:rsidRPr="00A04685">
              <w:rPr>
                <w:b/>
                <w:bCs/>
              </w:rPr>
              <w:t>(3.5)</w:t>
            </w:r>
          </w:p>
        </w:tc>
        <w:tc>
          <w:tcPr>
            <w:tcW w:w="1288" w:type="dxa"/>
          </w:tcPr>
          <w:p w14:paraId="409A2FD7" w14:textId="643E0CD4" w:rsidR="005A1F59" w:rsidRPr="00A04685" w:rsidRDefault="005A1F59" w:rsidP="007649D3">
            <w:pPr>
              <w:pStyle w:val="Tabletext"/>
              <w:jc w:val="right"/>
              <w:rPr>
                <w:b/>
                <w:bCs/>
              </w:rPr>
            </w:pPr>
            <w:r w:rsidRPr="00A04685">
              <w:rPr>
                <w:b/>
                <w:bCs/>
              </w:rPr>
              <w:t>53.</w:t>
            </w:r>
            <w:r w:rsidR="00B40021">
              <w:rPr>
                <w:b/>
                <w:bCs/>
              </w:rPr>
              <w:t>3</w:t>
            </w:r>
          </w:p>
        </w:tc>
        <w:tc>
          <w:tcPr>
            <w:tcW w:w="1288" w:type="dxa"/>
          </w:tcPr>
          <w:p w14:paraId="2EDB4FE3" w14:textId="0B4622A7" w:rsidR="005A1F59" w:rsidRPr="00A04685" w:rsidRDefault="005A1F59" w:rsidP="007649D3">
            <w:pPr>
              <w:pStyle w:val="Tabletext"/>
              <w:jc w:val="right"/>
              <w:rPr>
                <w:b/>
                <w:bCs/>
              </w:rPr>
            </w:pPr>
            <w:r w:rsidRPr="00A04685">
              <w:rPr>
                <w:b/>
                <w:bCs/>
              </w:rPr>
              <w:t>49.8</w:t>
            </w:r>
          </w:p>
        </w:tc>
        <w:tc>
          <w:tcPr>
            <w:tcW w:w="1288" w:type="dxa"/>
          </w:tcPr>
          <w:p w14:paraId="2E948BD6" w14:textId="233FEDA7" w:rsidR="005A1F59" w:rsidRPr="00A04685" w:rsidRDefault="005A1F59" w:rsidP="007649D3">
            <w:pPr>
              <w:pStyle w:val="Tabletext"/>
              <w:jc w:val="right"/>
              <w:rPr>
                <w:b/>
                <w:bCs/>
              </w:rPr>
            </w:pPr>
            <w:r w:rsidRPr="00A04685">
              <w:rPr>
                <w:b/>
                <w:bCs/>
              </w:rPr>
              <w:t>(3.5)</w:t>
            </w:r>
          </w:p>
        </w:tc>
      </w:tr>
      <w:bookmarkEnd w:id="0"/>
    </w:tbl>
    <w:p w14:paraId="719DC134" w14:textId="77777777" w:rsidR="00691AAE" w:rsidRPr="00A04685" w:rsidRDefault="00691AAE" w:rsidP="00691AAE">
      <w:pPr>
        <w:pStyle w:val="NICEnormalnumbered"/>
        <w:numPr>
          <w:ilvl w:val="0"/>
          <w:numId w:val="0"/>
        </w:numPr>
      </w:pPr>
    </w:p>
    <w:p w14:paraId="3A70D4BC" w14:textId="652F10DE" w:rsidR="008E3BCF" w:rsidRPr="00A04685" w:rsidRDefault="008E3BCF" w:rsidP="00691AAE">
      <w:pPr>
        <w:pStyle w:val="Heading2boardreport"/>
      </w:pPr>
      <w:r w:rsidRPr="00A04685">
        <w:t>Year to date</w:t>
      </w:r>
    </w:p>
    <w:p w14:paraId="755E2638" w14:textId="05FFAF71" w:rsidR="00F24A73" w:rsidRPr="00A04685" w:rsidRDefault="008E3BCF" w:rsidP="0027431A">
      <w:pPr>
        <w:pStyle w:val="NICEnormalnumbered"/>
      </w:pPr>
      <w:r w:rsidRPr="00A04685">
        <w:t xml:space="preserve">Overall, the </w:t>
      </w:r>
      <w:r w:rsidR="007557C6" w:rsidRPr="00A04685">
        <w:t>year-to-date</w:t>
      </w:r>
      <w:r w:rsidRPr="00A04685">
        <w:t xml:space="preserve"> position to </w:t>
      </w:r>
      <w:r w:rsidR="00197358">
        <w:t>28 February</w:t>
      </w:r>
      <w:r w:rsidRPr="00A04685">
        <w:t xml:space="preserve"> 2021 was an underspend of £3.5m (</w:t>
      </w:r>
      <w:r w:rsidR="0069638A">
        <w:t>7</w:t>
      </w:r>
      <w:r w:rsidRPr="00A04685">
        <w:t xml:space="preserve">%) as shown in Table 1 </w:t>
      </w:r>
      <w:r w:rsidR="0027431A" w:rsidRPr="00A04685">
        <w:t>above. The underspend was due to the following key variances:</w:t>
      </w:r>
    </w:p>
    <w:p w14:paraId="0AF86E13" w14:textId="1AF47081" w:rsidR="0027431A" w:rsidRPr="00A04685" w:rsidRDefault="0027431A" w:rsidP="0027431A">
      <w:pPr>
        <w:pStyle w:val="Bulletindent1"/>
      </w:pPr>
      <w:r w:rsidRPr="00A04685">
        <w:t xml:space="preserve">£3.2m underspend on pay due to vacancies and staff </w:t>
      </w:r>
      <w:proofErr w:type="gramStart"/>
      <w:r w:rsidRPr="00A04685">
        <w:t>turnover</w:t>
      </w:r>
      <w:proofErr w:type="gramEnd"/>
    </w:p>
    <w:p w14:paraId="6DB76A5C" w14:textId="3407CC24" w:rsidR="0027431A" w:rsidRPr="00A04685" w:rsidRDefault="0027431A" w:rsidP="0027431A">
      <w:pPr>
        <w:pStyle w:val="Bulletindent1"/>
      </w:pPr>
      <w:r w:rsidRPr="00A04685">
        <w:t>£2.</w:t>
      </w:r>
      <w:r w:rsidR="0069638A">
        <w:t>9</w:t>
      </w:r>
      <w:r w:rsidRPr="00A04685">
        <w:t>m non pay underspend relating to unspent travel and subsistence budgets and lower than expected spend on contracts.</w:t>
      </w:r>
    </w:p>
    <w:p w14:paraId="2E8CC3A8" w14:textId="39BC0C4E" w:rsidR="0027431A" w:rsidRPr="00A04685" w:rsidRDefault="0027431A" w:rsidP="00033C3D">
      <w:pPr>
        <w:pStyle w:val="Bulletindent1last"/>
      </w:pPr>
      <w:r w:rsidRPr="00A04685">
        <w:t>£2.</w:t>
      </w:r>
      <w:r w:rsidR="0069638A">
        <w:t>6</w:t>
      </w:r>
      <w:r w:rsidRPr="00A04685">
        <w:t>m under recovery of income, mainly due to the expected reduction in income from the technology appraisal and highly specialised technologies (TA/HST) programme arising from the impact of the COVID-19 pandemic</w:t>
      </w:r>
      <w:r w:rsidR="00686AE2" w:rsidRPr="00A04685">
        <w:t xml:space="preserve"> and the impact it has had on capacity within the </w:t>
      </w:r>
      <w:r w:rsidR="00686AE2" w:rsidRPr="00A04685">
        <w:lastRenderedPageBreak/>
        <w:t>team</w:t>
      </w:r>
      <w:r w:rsidRPr="00A04685">
        <w:t xml:space="preserve">. </w:t>
      </w:r>
      <w:r w:rsidR="00033C3D" w:rsidRPr="00A04685">
        <w:t>The under recovery of income has been partially offset by the £0.</w:t>
      </w:r>
      <w:r w:rsidR="0069638A">
        <w:t>5</w:t>
      </w:r>
      <w:r w:rsidR="00033C3D" w:rsidRPr="00A04685">
        <w:t>m surplus generated by NICE Scientific Advice (NSA).</w:t>
      </w:r>
    </w:p>
    <w:p w14:paraId="76F2E83E" w14:textId="294D1381" w:rsidR="00F24A73" w:rsidRPr="00A04685" w:rsidRDefault="00F24A73" w:rsidP="00F24A73">
      <w:pPr>
        <w:pStyle w:val="NICEnormalnumbered"/>
      </w:pPr>
      <w:r w:rsidRPr="00A04685">
        <w:t>In February, EY and the National Audit Office (NAO) carried out the interim audit of NICE’s financial accounts</w:t>
      </w:r>
      <w:r w:rsidR="0048668D">
        <w:t xml:space="preserve"> for 2020</w:t>
      </w:r>
      <w:r w:rsidR="006D697C">
        <w:t>/</w:t>
      </w:r>
      <w:r w:rsidR="0048668D">
        <w:t>21</w:t>
      </w:r>
      <w:r w:rsidRPr="00A04685">
        <w:t xml:space="preserve">. The team received </w:t>
      </w:r>
      <w:r w:rsidR="00B1067B">
        <w:t>positive</w:t>
      </w:r>
      <w:r w:rsidRPr="00A04685">
        <w:t xml:space="preserve"> feedback and there were no issues to highlight.</w:t>
      </w:r>
      <w:r w:rsidR="00EF713F">
        <w:t xml:space="preserve"> The finance team have begun preparations for the end of the financial year ahead of the full audit in April.</w:t>
      </w:r>
    </w:p>
    <w:p w14:paraId="7944ABB1" w14:textId="3FDF62AA" w:rsidR="008E3BCF" w:rsidRPr="00A04685" w:rsidRDefault="008E3BCF" w:rsidP="008E3BCF">
      <w:pPr>
        <w:pStyle w:val="Heading2boardreport"/>
      </w:pPr>
      <w:r w:rsidRPr="00A04685">
        <w:t xml:space="preserve">Forecast </w:t>
      </w:r>
      <w:proofErr w:type="gramStart"/>
      <w:r w:rsidRPr="00A04685">
        <w:t>outturn</w:t>
      </w:r>
      <w:proofErr w:type="gramEnd"/>
    </w:p>
    <w:p w14:paraId="58E34F75" w14:textId="1FFA260A" w:rsidR="008E3BCF" w:rsidRPr="00A04685" w:rsidRDefault="008E3BCF" w:rsidP="008E3BCF">
      <w:pPr>
        <w:pStyle w:val="NICEnormalnumbered"/>
      </w:pPr>
      <w:r w:rsidRPr="00A04685">
        <w:t>The estimated outturn financial position is an underspend of £3.</w:t>
      </w:r>
      <w:r w:rsidR="00F24A73" w:rsidRPr="00A04685">
        <w:t>5</w:t>
      </w:r>
      <w:r w:rsidRPr="00A04685">
        <w:t>m</w:t>
      </w:r>
      <w:r w:rsidR="001F6B1D" w:rsidRPr="00A04685">
        <w:t xml:space="preserve"> (7%)</w:t>
      </w:r>
      <w:r w:rsidRPr="00A04685">
        <w:t xml:space="preserve"> as shown in table </w:t>
      </w:r>
      <w:r w:rsidR="00F24A73" w:rsidRPr="00A04685">
        <w:t>1</w:t>
      </w:r>
      <w:r w:rsidRPr="00A04685">
        <w:t xml:space="preserve"> </w:t>
      </w:r>
      <w:r w:rsidR="00F24A73" w:rsidRPr="00A04685">
        <w:t>above</w:t>
      </w:r>
      <w:r w:rsidRPr="00A04685">
        <w:t>.</w:t>
      </w:r>
      <w:r w:rsidR="00033C3D" w:rsidRPr="00A04685">
        <w:t xml:space="preserve"> The estimated underspend is due to the following:</w:t>
      </w:r>
    </w:p>
    <w:p w14:paraId="539770E4" w14:textId="331D64A3" w:rsidR="001F6B1D" w:rsidRPr="00A04685" w:rsidRDefault="001F6B1D" w:rsidP="001F6B1D">
      <w:pPr>
        <w:pStyle w:val="Bulletindent1"/>
      </w:pPr>
      <w:r w:rsidRPr="00A04685">
        <w:t xml:space="preserve">Whilst some recruitment is expected in the final months of the </w:t>
      </w:r>
      <w:r w:rsidR="0092627D" w:rsidRPr="00A04685">
        <w:t>year,</w:t>
      </w:r>
      <w:r w:rsidRPr="00A04685">
        <w:t xml:space="preserve"> we expect the </w:t>
      </w:r>
      <w:r w:rsidR="003F5656">
        <w:t xml:space="preserve">pay </w:t>
      </w:r>
      <w:r w:rsidRPr="00A04685">
        <w:t xml:space="preserve">underspend to continue to grow from £3.2m at the end of </w:t>
      </w:r>
      <w:r w:rsidR="0069638A">
        <w:t>February</w:t>
      </w:r>
      <w:r w:rsidRPr="00A04685">
        <w:t xml:space="preserve"> to £3.4m at year end.</w:t>
      </w:r>
    </w:p>
    <w:p w14:paraId="0F474CD9" w14:textId="6669944F" w:rsidR="001F6B1D" w:rsidRPr="00A04685" w:rsidRDefault="001F6B1D" w:rsidP="001F6B1D">
      <w:pPr>
        <w:pStyle w:val="Bulletindent1"/>
      </w:pPr>
      <w:r w:rsidRPr="00A04685">
        <w:t xml:space="preserve">Non-pay underspend highlighted above </w:t>
      </w:r>
      <w:r w:rsidR="0069638A">
        <w:t xml:space="preserve">is forecast to remain at £2.9m underspend at year end.  </w:t>
      </w:r>
    </w:p>
    <w:p w14:paraId="655531DA" w14:textId="3B6BAC44" w:rsidR="00EF713F" w:rsidRDefault="00961D1E" w:rsidP="00961D1E">
      <w:pPr>
        <w:pStyle w:val="Bulletindent1last"/>
      </w:pPr>
      <w:bookmarkStart w:id="1" w:name="_Hlk65835104"/>
      <w:r w:rsidRPr="00A04685">
        <w:t>Under recovery of income is expected to be £</w:t>
      </w:r>
      <w:r w:rsidR="0069638A">
        <w:t>2.8</w:t>
      </w:r>
      <w:r w:rsidRPr="00A04685">
        <w:t>m at year end due to</w:t>
      </w:r>
      <w:r w:rsidR="00330ACC">
        <w:t xml:space="preserve"> the</w:t>
      </w:r>
      <w:r w:rsidRPr="00A04685">
        <w:t xml:space="preserve"> TA/HST </w:t>
      </w:r>
      <w:r w:rsidR="00330ACC">
        <w:t xml:space="preserve">programme </w:t>
      </w:r>
      <w:r w:rsidRPr="00A04685">
        <w:t>not achieving full cost recovery</w:t>
      </w:r>
      <w:r w:rsidR="00330ACC">
        <w:t xml:space="preserve">. However, it is now likely that the programme will meet </w:t>
      </w:r>
      <w:r w:rsidR="00772098">
        <w:t>the</w:t>
      </w:r>
      <w:r w:rsidR="00330ACC">
        <w:t xml:space="preserve"> reasonable wors</w:t>
      </w:r>
      <w:r w:rsidR="003B30BC">
        <w:t>e-</w:t>
      </w:r>
      <w:r w:rsidR="00330ACC">
        <w:t>case scenario income target of £7m as set out in</w:t>
      </w:r>
      <w:r w:rsidR="00B26ADB">
        <w:t xml:space="preserve"> the revised </w:t>
      </w:r>
      <w:r w:rsidR="006D697C">
        <w:t>20</w:t>
      </w:r>
      <w:r w:rsidR="00B26ADB">
        <w:t>20</w:t>
      </w:r>
      <w:r w:rsidR="006D697C">
        <w:t>/</w:t>
      </w:r>
      <w:r w:rsidR="00B26ADB">
        <w:t>21 business plan</w:t>
      </w:r>
      <w:r w:rsidR="0060545D">
        <w:t>.</w:t>
      </w:r>
    </w:p>
    <w:bookmarkEnd w:id="1"/>
    <w:p w14:paraId="234FC6D0" w14:textId="71F84FF4" w:rsidR="00961D1E" w:rsidRPr="00A04685" w:rsidRDefault="00F050DC" w:rsidP="00961D1E">
      <w:pPr>
        <w:pStyle w:val="NICEnormalnumbered"/>
      </w:pPr>
      <w:r>
        <w:t>The following</w:t>
      </w:r>
      <w:r w:rsidR="00EF713F">
        <w:t xml:space="preserve"> updates </w:t>
      </w:r>
      <w:r>
        <w:t>have occurred since the previous Board report in January:</w:t>
      </w:r>
    </w:p>
    <w:p w14:paraId="36A0000F" w14:textId="56035C76" w:rsidR="00EE02BB" w:rsidRDefault="00330ACC" w:rsidP="001F6B1D">
      <w:pPr>
        <w:pStyle w:val="Bulletindent1"/>
      </w:pPr>
      <w:bookmarkStart w:id="2" w:name="_Hlk65836445"/>
      <w:r>
        <w:t>The Public Involvement Programme (PIP) ha</w:t>
      </w:r>
      <w:r w:rsidR="000C700D">
        <w:t>s</w:t>
      </w:r>
      <w:r>
        <w:t xml:space="preserve"> received an additional £70,000 of income from NHS England/Improvement (NHSE/I) to </w:t>
      </w:r>
      <w:r w:rsidR="0060545D">
        <w:t xml:space="preserve">help develop a </w:t>
      </w:r>
      <w:r w:rsidR="0060545D" w:rsidRPr="0060545D">
        <w:t>Decision Support Tools (DSTs) Standards Framework</w:t>
      </w:r>
      <w:bookmarkEnd w:id="2"/>
      <w:r w:rsidR="0060545D">
        <w:t>.</w:t>
      </w:r>
    </w:p>
    <w:p w14:paraId="1A7D7588" w14:textId="17F3FCB0" w:rsidR="00330ACC" w:rsidRDefault="00330ACC" w:rsidP="001F6B1D">
      <w:pPr>
        <w:pStyle w:val="Bulletindent1"/>
      </w:pPr>
      <w:r>
        <w:t xml:space="preserve">Additional £75,000 of income from NHSE/I </w:t>
      </w:r>
      <w:r w:rsidR="00B26ADB">
        <w:t>to fund development of the</w:t>
      </w:r>
      <w:r>
        <w:t xml:space="preserve"> HealthTech Connect</w:t>
      </w:r>
      <w:r w:rsidR="00B26ADB">
        <w:t xml:space="preserve"> database.</w:t>
      </w:r>
    </w:p>
    <w:p w14:paraId="0631A4D0" w14:textId="3EC7BD84" w:rsidR="003A16C7" w:rsidRDefault="003A16C7" w:rsidP="001F6B1D">
      <w:pPr>
        <w:pStyle w:val="Bulletindent1"/>
      </w:pPr>
      <w:r>
        <w:t>The</w:t>
      </w:r>
      <w:r w:rsidR="007557C6">
        <w:t xml:space="preserve"> new</w:t>
      </w:r>
      <w:r>
        <w:t xml:space="preserve"> lease for Redman Place </w:t>
      </w:r>
      <w:r w:rsidR="0048668D">
        <w:t>has been signed</w:t>
      </w:r>
      <w:r>
        <w:t>. There had been delays</w:t>
      </w:r>
      <w:r w:rsidR="007557C6">
        <w:t xml:space="preserve"> in signing the new lease</w:t>
      </w:r>
      <w:r>
        <w:t xml:space="preserve"> that</w:t>
      </w:r>
      <w:r w:rsidR="0048668D">
        <w:t xml:space="preserve"> was</w:t>
      </w:r>
      <w:r>
        <w:t xml:space="preserve"> generat</w:t>
      </w:r>
      <w:r w:rsidR="0048668D">
        <w:t>ing an</w:t>
      </w:r>
      <w:r>
        <w:t xml:space="preserve"> underspend, but we are now incurring charges. </w:t>
      </w:r>
    </w:p>
    <w:p w14:paraId="15451953" w14:textId="7E4E2295" w:rsidR="00EF713F" w:rsidRDefault="00EF713F" w:rsidP="00EF713F">
      <w:pPr>
        <w:pStyle w:val="Bulletindent1"/>
        <w:numPr>
          <w:ilvl w:val="0"/>
          <w:numId w:val="0"/>
        </w:numPr>
        <w:ind w:left="1418" w:hanging="284"/>
      </w:pPr>
    </w:p>
    <w:p w14:paraId="1691A472" w14:textId="4912B3EE" w:rsidR="00EF713F" w:rsidRPr="00A04685" w:rsidRDefault="00EF713F" w:rsidP="00EF713F">
      <w:pPr>
        <w:pStyle w:val="Heading2boardreport"/>
      </w:pPr>
      <w:r>
        <w:lastRenderedPageBreak/>
        <w:t>NICE Scientific Advice (NSA)</w:t>
      </w:r>
    </w:p>
    <w:p w14:paraId="4B58C078" w14:textId="11B85C8C" w:rsidR="00A47357" w:rsidRDefault="00A47357" w:rsidP="00A47357">
      <w:pPr>
        <w:pStyle w:val="NICEnormalnumbered"/>
      </w:pPr>
      <w:r>
        <w:t>Year to date, NSA has generated income of £2</w:t>
      </w:r>
      <w:r w:rsidR="00D66408">
        <w:t>.4</w:t>
      </w:r>
      <w:r>
        <w:t>m against expenditure of £1.</w:t>
      </w:r>
      <w:r w:rsidR="00D66408">
        <w:t>9</w:t>
      </w:r>
      <w:r>
        <w:t>m, generating a surplus of £0.5m. We expect the surplus at year end to remain at this level.</w:t>
      </w:r>
    </w:p>
    <w:p w14:paraId="2DAFB18F" w14:textId="52EA070D" w:rsidR="00A47357" w:rsidRDefault="00A47357" w:rsidP="00A47357">
      <w:pPr>
        <w:pStyle w:val="NICEnormalnumbered"/>
      </w:pPr>
      <w:r>
        <w:t>Increasing interest in scientific advice services has resulted in higher than anticipated project bookings in 2020/21. Of the range of services offered by NSA, demand for Express projects which incur higher fees have been popular, accounting for 3</w:t>
      </w:r>
      <w:r w:rsidR="00B40021">
        <w:t>2</w:t>
      </w:r>
      <w:r>
        <w:t xml:space="preserve">% of all income generated. </w:t>
      </w:r>
    </w:p>
    <w:p w14:paraId="3E8DCCED" w14:textId="2BA6EC9A" w:rsidR="00C2366B" w:rsidRPr="00A04685" w:rsidRDefault="007557C6" w:rsidP="00A47357">
      <w:pPr>
        <w:pStyle w:val="NICEnormalnumbered"/>
      </w:pPr>
      <w:r>
        <w:t xml:space="preserve">The NSA business unit includes our NICE International function. </w:t>
      </w:r>
      <w:r w:rsidR="00A47357">
        <w:t>Demand for NICE international engagements has picked up in the previous few months after an initial quiet period at the start of the financial year. NICE International activity has generated total year to date income of £</w:t>
      </w:r>
      <w:r w:rsidR="00D66408">
        <w:t>60</w:t>
      </w:r>
      <w:r w:rsidR="00A47357">
        <w:t>,000.</w:t>
      </w:r>
    </w:p>
    <w:p w14:paraId="3A2090C8" w14:textId="0406C8C7" w:rsidR="000B3FCE" w:rsidRPr="00A04685" w:rsidRDefault="00184700" w:rsidP="00184700">
      <w:pPr>
        <w:pStyle w:val="Heading1boardreport"/>
      </w:pPr>
      <w:r w:rsidRPr="00A04685">
        <w:t xml:space="preserve">Human Resources &amp; Organisational Development Update </w:t>
      </w:r>
    </w:p>
    <w:p w14:paraId="578A9034" w14:textId="0214351A" w:rsidR="005209C8" w:rsidRPr="00A04685" w:rsidRDefault="005209C8" w:rsidP="005209C8">
      <w:pPr>
        <w:pStyle w:val="NICEnormalnumbered"/>
      </w:pPr>
      <w:r w:rsidRPr="00A04685">
        <w:t>This section is to provide an update on people issues and activities in January and February 2021.</w:t>
      </w:r>
    </w:p>
    <w:p w14:paraId="5C45D80C" w14:textId="3018DF69" w:rsidR="005209C8" w:rsidRPr="00A04685" w:rsidRDefault="005209C8" w:rsidP="005209C8">
      <w:pPr>
        <w:pStyle w:val="Heading2boardreport"/>
      </w:pPr>
      <w:r w:rsidRPr="00A04685">
        <w:t>Values and behaviours</w:t>
      </w:r>
    </w:p>
    <w:p w14:paraId="25085EAE" w14:textId="77777777" w:rsidR="005209C8" w:rsidRPr="00A04685" w:rsidRDefault="005209C8" w:rsidP="005209C8">
      <w:pPr>
        <w:pStyle w:val="NICEnormalnumbered"/>
      </w:pPr>
      <w:r w:rsidRPr="00A04685">
        <w:t>We continue to progress a comprehensive programme of activity to bring the new values and behaviours to life (collaborative, kind, respectful, dynamic, inclusive, excellent, empowered).</w:t>
      </w:r>
    </w:p>
    <w:p w14:paraId="0749C9DF" w14:textId="4ECB0EF8" w:rsidR="005209C8" w:rsidRPr="00A04685" w:rsidRDefault="005209C8" w:rsidP="005209C8">
      <w:pPr>
        <w:pStyle w:val="NICEnormalnumbered"/>
      </w:pPr>
      <w:r w:rsidRPr="00A04685">
        <w:t xml:space="preserve">Work is ongoing to embed our values and behaviours into core people activity including annual appraisal (My Contribution), the recruitment and selection process and the introduction of values-based interview questions. We are also </w:t>
      </w:r>
      <w:r w:rsidR="003F5656">
        <w:t>planning</w:t>
      </w:r>
      <w:r w:rsidR="003F5656" w:rsidRPr="00A04685">
        <w:t xml:space="preserve"> </w:t>
      </w:r>
      <w:r w:rsidRPr="00A04685">
        <w:t>to launch a values and behaviours staff recognition scheme in April.</w:t>
      </w:r>
    </w:p>
    <w:p w14:paraId="75B6F551" w14:textId="323516E1" w:rsidR="005209C8" w:rsidRPr="00A04685" w:rsidRDefault="005209C8" w:rsidP="005209C8">
      <w:pPr>
        <w:pStyle w:val="Heading2boardreport"/>
      </w:pPr>
      <w:r w:rsidRPr="00A04685">
        <w:t>Diversity and inclusion</w:t>
      </w:r>
    </w:p>
    <w:p w14:paraId="4E7701F6" w14:textId="17134E21" w:rsidR="005209C8" w:rsidRPr="00A04685" w:rsidRDefault="005209C8" w:rsidP="005209C8">
      <w:pPr>
        <w:pStyle w:val="NICEnormalnumbered"/>
      </w:pPr>
      <w:r w:rsidRPr="00A04685">
        <w:t xml:space="preserve">In February, the Executive Team considered and agreed our workforce equality, diversity, and inclusion action plan for the next 12 months. This sets out an ambitious programme of activity designed to address our key challenges in a systematic and sustainable way. Areas of focus for the first six months include recruitment (including the implementation of diverse interview </w:t>
      </w:r>
      <w:r w:rsidRPr="00A04685">
        <w:lastRenderedPageBreak/>
        <w:t xml:space="preserve">panels); improving workforce equality impact assessment; improving equality data; ‘shadowing meetings’- a development offer for </w:t>
      </w:r>
      <w:r w:rsidR="005E051D">
        <w:t xml:space="preserve">black, Asian and minority ethnic </w:t>
      </w:r>
      <w:r w:rsidRPr="00A04685">
        <w:t>staff.</w:t>
      </w:r>
    </w:p>
    <w:p w14:paraId="469326B7" w14:textId="77777777" w:rsidR="005209C8" w:rsidRPr="00A04685" w:rsidRDefault="005209C8" w:rsidP="005209C8">
      <w:pPr>
        <w:pStyle w:val="NICEnormalnumbered"/>
      </w:pPr>
      <w:r w:rsidRPr="00A04685">
        <w:t xml:space="preserve">Work to progress these priority areas has started including the development of a new training offer to support workforce equality impact assessment and the commissioning of a development offer for hiring managers planned for June. </w:t>
      </w:r>
    </w:p>
    <w:p w14:paraId="164106FC" w14:textId="59FF0856" w:rsidR="005209C8" w:rsidRPr="00A04685" w:rsidRDefault="005209C8" w:rsidP="005209C8">
      <w:pPr>
        <w:pStyle w:val="NICEnormalnumbered"/>
      </w:pPr>
      <w:r w:rsidRPr="00A04685">
        <w:t xml:space="preserve">In keeping with our commitment to building staff voice into everything we </w:t>
      </w:r>
      <w:proofErr w:type="gramStart"/>
      <w:r w:rsidRPr="00A04685">
        <w:t>do</w:t>
      </w:r>
      <w:r w:rsidR="000C700D">
        <w:t>,</w:t>
      </w:r>
      <w:proofErr w:type="gramEnd"/>
      <w:r w:rsidRPr="00A04685">
        <w:t xml:space="preserve"> we have scheduled regular listening events into our programme of work and continue to solicit input from our staff networks and those with lived experience wherever possible. </w:t>
      </w:r>
    </w:p>
    <w:p w14:paraId="0D2F3751" w14:textId="78533A88" w:rsidR="005209C8" w:rsidRPr="00A04685" w:rsidRDefault="005209C8" w:rsidP="005209C8">
      <w:pPr>
        <w:pStyle w:val="Heading2boardreport"/>
      </w:pPr>
      <w:r w:rsidRPr="00A04685">
        <w:t>Workforce planning</w:t>
      </w:r>
    </w:p>
    <w:p w14:paraId="33B9A244" w14:textId="76C0171C" w:rsidR="005209C8" w:rsidRPr="00A04685" w:rsidRDefault="005209C8" w:rsidP="005209C8">
      <w:pPr>
        <w:pStyle w:val="NICEnormalnumbered"/>
      </w:pPr>
      <w:r w:rsidRPr="00A04685">
        <w:t>The recruitment and workforce planning working group has conducted a root cause analysis to review the barriers experienced in recruitment and to discuss and implement innovative ideas for resourcing</w:t>
      </w:r>
      <w:r w:rsidR="00070CA3">
        <w:t xml:space="preserve"> in a robust action plan</w:t>
      </w:r>
      <w:r w:rsidRPr="00A04685">
        <w:t xml:space="preserve">. </w:t>
      </w:r>
    </w:p>
    <w:p w14:paraId="38CAA2D5" w14:textId="18FC7BAD" w:rsidR="005209C8" w:rsidRDefault="005209C8" w:rsidP="005F29F2">
      <w:pPr>
        <w:pStyle w:val="NICEnormalnumbered"/>
      </w:pPr>
      <w:r w:rsidRPr="00A04685">
        <w:t xml:space="preserve">The action plan will </w:t>
      </w:r>
      <w:r w:rsidR="00D5772B">
        <w:t>f</w:t>
      </w:r>
      <w:r w:rsidR="005F29F2">
        <w:t>ocus on four key areas:</w:t>
      </w:r>
    </w:p>
    <w:p w14:paraId="0FDD5AD9" w14:textId="465E12A5" w:rsidR="005F29F2" w:rsidRDefault="005F29F2" w:rsidP="005F29F2">
      <w:pPr>
        <w:pStyle w:val="NICEnormalnumbered"/>
        <w:numPr>
          <w:ilvl w:val="1"/>
          <w:numId w:val="25"/>
        </w:numPr>
      </w:pPr>
      <w:r>
        <w:t xml:space="preserve">Creating a pool of flexible resources that can be developed across the </w:t>
      </w:r>
      <w:proofErr w:type="gramStart"/>
      <w:r>
        <w:t>organisation</w:t>
      </w:r>
      <w:r w:rsidR="000C2487">
        <w:t>;</w:t>
      </w:r>
      <w:proofErr w:type="gramEnd"/>
    </w:p>
    <w:p w14:paraId="44EE0755" w14:textId="10C3AFA4" w:rsidR="005F29F2" w:rsidRDefault="005F29F2" w:rsidP="005F29F2">
      <w:pPr>
        <w:pStyle w:val="NICEnormalnumbered"/>
        <w:numPr>
          <w:ilvl w:val="1"/>
          <w:numId w:val="25"/>
        </w:numPr>
      </w:pPr>
      <w:r>
        <w:t xml:space="preserve">Increasing secondments </w:t>
      </w:r>
      <w:r w:rsidR="00D5772B">
        <w:t xml:space="preserve">and placements </w:t>
      </w:r>
      <w:r>
        <w:t xml:space="preserve">into the organisations and building closer links with </w:t>
      </w:r>
      <w:proofErr w:type="gramStart"/>
      <w:r w:rsidR="00D5772B">
        <w:t>universities;</w:t>
      </w:r>
      <w:proofErr w:type="gramEnd"/>
    </w:p>
    <w:p w14:paraId="3E35E30C" w14:textId="1AEC8A51" w:rsidR="00D5772B" w:rsidRDefault="00D5772B" w:rsidP="005F29F2">
      <w:pPr>
        <w:pStyle w:val="NICEnormalnumbered"/>
        <w:numPr>
          <w:ilvl w:val="1"/>
          <w:numId w:val="25"/>
        </w:numPr>
      </w:pPr>
      <w:r>
        <w:t>Proactively anticipating and resourcing vacancies through monthly workforce planning meetings; and</w:t>
      </w:r>
    </w:p>
    <w:p w14:paraId="1B678705" w14:textId="1B2D18C8" w:rsidR="00D5772B" w:rsidRDefault="00D5772B" w:rsidP="005F29F2">
      <w:pPr>
        <w:pStyle w:val="NICEnormalnumbered"/>
        <w:numPr>
          <w:ilvl w:val="1"/>
          <w:numId w:val="25"/>
        </w:numPr>
      </w:pPr>
      <w:r>
        <w:t>Reviewing our recruitment and assessment processes to improve how we test candidates technical and leadership capability to support the external recruitment of experienced staff members.</w:t>
      </w:r>
    </w:p>
    <w:p w14:paraId="68A52433" w14:textId="22CAFF71" w:rsidR="005209C8" w:rsidRPr="00A04685" w:rsidRDefault="005209C8" w:rsidP="005209C8">
      <w:pPr>
        <w:pStyle w:val="Heading2boardreport"/>
      </w:pPr>
      <w:r w:rsidRPr="00A04685">
        <w:t>Employee Relations</w:t>
      </w:r>
    </w:p>
    <w:p w14:paraId="31831418" w14:textId="549E8042" w:rsidR="005209C8" w:rsidRPr="00A04685" w:rsidRDefault="005209C8" w:rsidP="005209C8">
      <w:pPr>
        <w:pStyle w:val="NICEnormalnumbered"/>
      </w:pPr>
      <w:r w:rsidRPr="00A04685">
        <w:t xml:space="preserve">The HR operations team are continuing to support ongoing employee relations cases and we have returned to our usual operating levels pre-pandemic. The team </w:t>
      </w:r>
      <w:r w:rsidR="000C700D">
        <w:t>is</w:t>
      </w:r>
      <w:r w:rsidRPr="00A04685">
        <w:t xml:space="preserve"> successfully managing employee relations issues remotely, albeit with </w:t>
      </w:r>
      <w:r w:rsidRPr="00A04685">
        <w:lastRenderedPageBreak/>
        <w:t>appropriately adapted processes to ensure that everyone affected has the support that they need. In the previous 12 months the team ha</w:t>
      </w:r>
      <w:r w:rsidR="000C700D">
        <w:t>s</w:t>
      </w:r>
      <w:r w:rsidRPr="00A04685">
        <w:t xml:space="preserve"> dealt with over 81 informal cases and 19 formal HR cases, which included</w:t>
      </w:r>
      <w:r w:rsidR="000C700D">
        <w:t>:</w:t>
      </w:r>
      <w:r w:rsidRPr="00A04685">
        <w:t xml:space="preserve"> capability; disciplinary; grievance; sickness absence and probationary issues. </w:t>
      </w:r>
    </w:p>
    <w:p w14:paraId="0CA69AC3" w14:textId="77777777" w:rsidR="005209C8" w:rsidRPr="00A04685" w:rsidRDefault="005209C8" w:rsidP="005209C8">
      <w:pPr>
        <w:pStyle w:val="NICEnormalnumbered"/>
      </w:pPr>
      <w:r w:rsidRPr="00A04685">
        <w:t xml:space="preserve">There has been an increase in staff sickness absence overall in January, showing an increase to the levels pre pandemic.  The figures for the next three months will be monitored to see if this increase remains on an upwards trajectory.  Absence levels remain low across the organisation and we are looking at benchmarking figures to report on over the next few months. In September 2020, NICE showed a figure of 1.82%, the seventh lowest across all ALB’s and this will be monitored monthly.  </w:t>
      </w:r>
    </w:p>
    <w:p w14:paraId="6E8BED99" w14:textId="77777777" w:rsidR="005209C8" w:rsidRPr="00A04685" w:rsidRDefault="005209C8" w:rsidP="005209C8">
      <w:pPr>
        <w:pStyle w:val="NICEnormalnumbered"/>
      </w:pPr>
      <w:r w:rsidRPr="00A04685">
        <w:t>Mental health and stress-related absences have remained the largest reason for staff absences at just over 30% of all absences related to stress, anxiety, and other mental health issues.  This has remained static during the pandemic and has shown a small upward trajectory when compared to the same periods for the previous year. We will continue to monitor this on a month-by-month basis. Stress-related illnesses are supported informally by HR and we continue to see resolution on an individual level.</w:t>
      </w:r>
    </w:p>
    <w:p w14:paraId="60B669CA" w14:textId="23003CC9" w:rsidR="005209C8" w:rsidRPr="00A04685" w:rsidRDefault="005209C8" w:rsidP="005209C8">
      <w:pPr>
        <w:pStyle w:val="Heading2boardreport"/>
      </w:pPr>
      <w:r w:rsidRPr="00A04685">
        <w:t>Health and Wellbeing</w:t>
      </w:r>
    </w:p>
    <w:p w14:paraId="465E4AE7" w14:textId="5FAB5425" w:rsidR="005209C8" w:rsidRPr="00A04685" w:rsidRDefault="005209C8" w:rsidP="005209C8">
      <w:pPr>
        <w:pStyle w:val="NICEnormalnumbered"/>
      </w:pPr>
      <w:r w:rsidRPr="00A04685">
        <w:t>We continue to prioritise staff wellbeing and recently focused on Winter wellbeing, highlighting the resources and virtual sessions available to staff. Starting in January, a 6-week WINTER wellbeing plan introduced different themes and related resources for staff on a variety of areas including home schooling</w:t>
      </w:r>
      <w:r w:rsidR="000C700D">
        <w:t>,</w:t>
      </w:r>
      <w:r w:rsidRPr="00A04685">
        <w:t xml:space="preserve"> caring, managing loneliness, building resilience and mindfulness. There was also a spotlight on </w:t>
      </w:r>
      <w:hyperlink r:id="rId8" w:history="1">
        <w:r w:rsidRPr="00A04685">
          <w:rPr>
            <w:rStyle w:val="Hyperlink"/>
          </w:rPr>
          <w:t>Working Families</w:t>
        </w:r>
      </w:hyperlink>
      <w:r w:rsidRPr="00A04685">
        <w:t xml:space="preserve"> and the tools available to working parents, carers, and managers. </w:t>
      </w:r>
    </w:p>
    <w:p w14:paraId="3897F07C" w14:textId="4A785359" w:rsidR="005209C8" w:rsidRPr="00A04685" w:rsidRDefault="005209C8" w:rsidP="0048020E">
      <w:pPr>
        <w:pStyle w:val="NICEnormalnumbered"/>
      </w:pPr>
      <w:r w:rsidRPr="00A04685">
        <w:t xml:space="preserve">Virtual healthy work week took place in January providing a range of activities and resources for staff focusing on the </w:t>
      </w:r>
      <w:hyperlink r:id="rId9" w:history="1">
        <w:r w:rsidRPr="00A04685">
          <w:rPr>
            <w:rStyle w:val="Hyperlink"/>
          </w:rPr>
          <w:t>five ways to wellbeing.</w:t>
        </w:r>
      </w:hyperlink>
      <w:r w:rsidRPr="00A04685">
        <w:t xml:space="preserve"> To provide extra winter wellbeing support during this challenging period, we launched a staff suggestion scheme, for ideas to further improve motivation and morale.  All suggestions are reviewed each week by members of the Coronavirus </w:t>
      </w:r>
      <w:r w:rsidRPr="00A04685">
        <w:lastRenderedPageBreak/>
        <w:t>Response Group and representatives from the Values Champions Group and Diversity and Inclusion Network, with feedback provided to the respective staff members.</w:t>
      </w:r>
    </w:p>
    <w:p w14:paraId="51E28738" w14:textId="1B274C0B" w:rsidR="00184700" w:rsidRPr="00A04685" w:rsidRDefault="00D55B61" w:rsidP="00184700">
      <w:pPr>
        <w:pStyle w:val="Heading1boardreport"/>
      </w:pPr>
      <w:r w:rsidRPr="00A04685">
        <w:t>T</w:t>
      </w:r>
      <w:r w:rsidR="00184700" w:rsidRPr="00A04685">
        <w:t xml:space="preserve">ransformation update: </w:t>
      </w:r>
      <w:r w:rsidR="00A95E5A" w:rsidRPr="00A04685">
        <w:t>February 2021</w:t>
      </w:r>
    </w:p>
    <w:p w14:paraId="4D9D07C1" w14:textId="2A4B28F1" w:rsidR="00A95E5A" w:rsidRPr="00A04685" w:rsidRDefault="00A95E5A" w:rsidP="00A95E5A">
      <w:pPr>
        <w:pStyle w:val="NICEnormalnumbered"/>
      </w:pPr>
      <w:r w:rsidRPr="00A04685">
        <w:t xml:space="preserve">Appendix B reflects the status of key </w:t>
      </w:r>
      <w:r w:rsidR="006D697C">
        <w:t>20</w:t>
      </w:r>
      <w:r w:rsidRPr="00A04685">
        <w:t>20</w:t>
      </w:r>
      <w:r w:rsidR="006D697C">
        <w:t>/</w:t>
      </w:r>
      <w:r w:rsidRPr="00A04685">
        <w:t>21 final quarter deliverables</w:t>
      </w:r>
      <w:r w:rsidR="00FE5114">
        <w:t xml:space="preserve"> for the NICE Connect work programme</w:t>
      </w:r>
      <w:r w:rsidRPr="00A04685">
        <w:t>. Each Expert Group is reviewing these in detail to ensure optimum focus and momentum on these outputs.</w:t>
      </w:r>
    </w:p>
    <w:p w14:paraId="0DC29323" w14:textId="5AACE015" w:rsidR="00A95E5A" w:rsidRPr="00A04685" w:rsidRDefault="00A95E5A" w:rsidP="00A95E5A">
      <w:pPr>
        <w:pStyle w:val="NICEnormalnumbered"/>
      </w:pPr>
      <w:r w:rsidRPr="00A04685">
        <w:t>Key priorities were agreed by the Executive Team in January and these are reflected in Appendix B. The overall transformation programme is green against these priorities.</w:t>
      </w:r>
    </w:p>
    <w:p w14:paraId="08E413C8" w14:textId="2627EB31" w:rsidR="00A95E5A" w:rsidRDefault="00A95E5A" w:rsidP="00A95E5A">
      <w:pPr>
        <w:pStyle w:val="NICEnormalnumbered"/>
      </w:pPr>
      <w:r w:rsidRPr="00A04685">
        <w:t xml:space="preserve">Work on creating a delivery plan for </w:t>
      </w:r>
      <w:r w:rsidR="006D697C">
        <w:t>20</w:t>
      </w:r>
      <w:r w:rsidRPr="00A04685">
        <w:t>21</w:t>
      </w:r>
      <w:r w:rsidR="006D697C">
        <w:t>/</w:t>
      </w:r>
      <w:r w:rsidRPr="00A04685">
        <w:t xml:space="preserve">22 is underway – reflecting the 5-year strategic objectives. </w:t>
      </w:r>
      <w:r w:rsidR="005706AD">
        <w:t>The creation of this plan will involve identifying new deliverables</w:t>
      </w:r>
      <w:r w:rsidR="001B737F">
        <w:t xml:space="preserve"> reflecting the goals of the strategy,</w:t>
      </w:r>
      <w:r w:rsidR="00E561F0">
        <w:t xml:space="preserve"> </w:t>
      </w:r>
      <w:r w:rsidR="005706AD">
        <w:t xml:space="preserve">and therefore the content of Appendix B will </w:t>
      </w:r>
      <w:r w:rsidR="001B737F">
        <w:t>change in the next report. This will</w:t>
      </w:r>
      <w:r w:rsidR="005706AD">
        <w:t xml:space="preserve"> </w:t>
      </w:r>
      <w:r w:rsidRPr="00A04685">
        <w:t>also identify the optimum approach to the programme governance structure and capture resource requirements.</w:t>
      </w:r>
    </w:p>
    <w:p w14:paraId="44535EA2" w14:textId="77777777" w:rsidR="00D365A5" w:rsidRDefault="00D365A5" w:rsidP="00D365A5">
      <w:pPr>
        <w:pStyle w:val="Heading1boardreport"/>
      </w:pPr>
      <w:r>
        <w:t>Key risks for the directorate</w:t>
      </w:r>
    </w:p>
    <w:p w14:paraId="4D623E39" w14:textId="64767B35" w:rsidR="00D365A5" w:rsidRDefault="005F61D0" w:rsidP="00D365A5">
      <w:pPr>
        <w:pStyle w:val="NICEnormalnumbered"/>
      </w:pPr>
      <w:r>
        <w:t xml:space="preserve">The board was updated on key risks and steps being taken to mitigate them in January. </w:t>
      </w:r>
      <w:r w:rsidR="00D365A5">
        <w:t>We</w:t>
      </w:r>
      <w:r>
        <w:t xml:space="preserve"> noted the </w:t>
      </w:r>
      <w:r w:rsidR="00D365A5">
        <w:t>risk</w:t>
      </w:r>
      <w:r w:rsidR="00FD21C6">
        <w:t xml:space="preserve"> of</w:t>
      </w:r>
      <w:r w:rsidR="00D365A5">
        <w:t xml:space="preserve"> staff</w:t>
      </w:r>
      <w:r w:rsidR="00FD21C6">
        <w:t xml:space="preserve"> becoming </w:t>
      </w:r>
      <w:r w:rsidR="00D365A5">
        <w:t>demotivated due to capacity issues within teams caused by the number of vacancies and the impact of another lockdown including school closures</w:t>
      </w:r>
      <w:r>
        <w:t>.</w:t>
      </w:r>
      <w:r w:rsidR="00FD21C6">
        <w:t xml:space="preserve"> </w:t>
      </w:r>
      <w:r w:rsidR="0048668D">
        <w:t>In addition to m</w:t>
      </w:r>
      <w:r w:rsidR="00FD21C6">
        <w:t>itigating steps taken by HR</w:t>
      </w:r>
      <w:r w:rsidR="0048668D">
        <w:t xml:space="preserve"> noted above, </w:t>
      </w:r>
      <w:r w:rsidR="00FD21C6">
        <w:t xml:space="preserve">the recruitment services provider </w:t>
      </w:r>
      <w:r w:rsidR="0048668D">
        <w:t xml:space="preserve">was changed </w:t>
      </w:r>
      <w:r w:rsidR="00FD21C6">
        <w:t>in February</w:t>
      </w:r>
      <w:r w:rsidR="0048668D">
        <w:t xml:space="preserve"> which is expected to help reduce </w:t>
      </w:r>
      <w:r w:rsidR="00287745">
        <w:t>vacancies</w:t>
      </w:r>
      <w:r w:rsidR="00FD21C6">
        <w:t xml:space="preserve">. Further, HR have been running a series of </w:t>
      </w:r>
      <w:r w:rsidR="0048668D">
        <w:t>M</w:t>
      </w:r>
      <w:r w:rsidR="00FD21C6">
        <w:t>anager Support Circles in March to provide support and an opportunity to share experiences. The impact of schools reopening on 8 March 2021 is expected to be beneficial for staff that had been adversely affected by the closures</w:t>
      </w:r>
      <w:r w:rsidR="0048668D">
        <w:t xml:space="preserve">, but HR are still supporting staff affected by </w:t>
      </w:r>
      <w:r w:rsidR="00014DBD">
        <w:t>Covid-19 restrictions and lockdowns.</w:t>
      </w:r>
    </w:p>
    <w:p w14:paraId="5E067E1B" w14:textId="723B8C90" w:rsidR="0048668D" w:rsidRPr="00E561F0" w:rsidRDefault="00D365A5" w:rsidP="00E561F0">
      <w:pPr>
        <w:pStyle w:val="NICEnormalnumbered"/>
      </w:pPr>
      <w:r w:rsidRPr="00E561F0">
        <w:lastRenderedPageBreak/>
        <w:t xml:space="preserve">The relocation of the London office </w:t>
      </w:r>
      <w:r w:rsidR="00FD21C6" w:rsidRPr="00E561F0">
        <w:t xml:space="preserve">and continued closure of </w:t>
      </w:r>
      <w:r w:rsidR="0048668D" w:rsidRPr="00E561F0">
        <w:t xml:space="preserve">both offices continue to </w:t>
      </w:r>
      <w:r w:rsidRPr="00E561F0">
        <w:t xml:space="preserve">present the risk of possible business disruption. </w:t>
      </w:r>
      <w:r w:rsidR="0048668D" w:rsidRPr="00E561F0">
        <w:t>However, b</w:t>
      </w:r>
      <w:r w:rsidR="00FD21C6" w:rsidRPr="00E561F0">
        <w:t>oth</w:t>
      </w:r>
      <w:r w:rsidRPr="00E561F0">
        <w:t xml:space="preserve"> office</w:t>
      </w:r>
      <w:r w:rsidR="00FD21C6" w:rsidRPr="00E561F0">
        <w:t>s</w:t>
      </w:r>
      <w:r w:rsidRPr="00E561F0">
        <w:t xml:space="preserve"> </w:t>
      </w:r>
      <w:r w:rsidR="0048668D" w:rsidRPr="00E561F0">
        <w:t>are</w:t>
      </w:r>
      <w:r w:rsidRPr="00E561F0">
        <w:t xml:space="preserve"> </w:t>
      </w:r>
      <w:r w:rsidR="00FD21C6" w:rsidRPr="00E561F0">
        <w:t>expected</w:t>
      </w:r>
      <w:r w:rsidRPr="00E561F0">
        <w:t xml:space="preserve"> to open from </w:t>
      </w:r>
      <w:r w:rsidR="00FD21C6" w:rsidRPr="00E561F0">
        <w:t>5 April</w:t>
      </w:r>
      <w:r w:rsidRPr="00E561F0">
        <w:t xml:space="preserve"> 2021, although office use from this date is expected to be very limited until Covid-19 restrictions are gradually eased</w:t>
      </w:r>
      <w:r w:rsidR="0048668D" w:rsidRPr="00E561F0">
        <w:t xml:space="preserve"> over the following months</w:t>
      </w:r>
      <w:r w:rsidRPr="00E561F0">
        <w:t>.</w:t>
      </w:r>
    </w:p>
    <w:p w14:paraId="1D177179" w14:textId="7A49030A" w:rsidR="00C214BC" w:rsidRPr="00A04685" w:rsidRDefault="00C214BC" w:rsidP="00C214BC">
      <w:pPr>
        <w:pStyle w:val="Heading1boardreport"/>
        <w:rPr>
          <w:lang w:eastAsia="en-US"/>
        </w:rPr>
      </w:pPr>
      <w:r w:rsidRPr="00A04685">
        <w:rPr>
          <w:lang w:eastAsia="en-US"/>
        </w:rPr>
        <w:t>Appendix A: NICE financial position</w:t>
      </w:r>
    </w:p>
    <w:p w14:paraId="27690101" w14:textId="4A298E97" w:rsidR="00C214BC" w:rsidRPr="00A04685" w:rsidRDefault="00C214BC" w:rsidP="007918A5">
      <w:pPr>
        <w:pStyle w:val="NICEnormalnumbered"/>
      </w:pPr>
      <w:r w:rsidRPr="00A04685">
        <w:t xml:space="preserve">The table below is a summary of the financial position per centre and directorate as </w:t>
      </w:r>
      <w:proofErr w:type="gramStart"/>
      <w:r w:rsidRPr="00A04685">
        <w:t>at</w:t>
      </w:r>
      <w:proofErr w:type="gramEnd"/>
      <w:r w:rsidRPr="00A04685">
        <w:t xml:space="preserve"> </w:t>
      </w:r>
      <w:r w:rsidR="005036C6">
        <w:t>28 February</w:t>
      </w:r>
      <w:r w:rsidR="00DC7254" w:rsidRPr="00A04685">
        <w:t xml:space="preserve"> 2021</w:t>
      </w:r>
      <w:r w:rsidRPr="00A04685">
        <w:t xml:space="preserve"> and gives an estimated outturn to March 2021.</w:t>
      </w:r>
    </w:p>
    <w:p w14:paraId="6C4A0FD7" w14:textId="0CAB1465" w:rsidR="00C214BC" w:rsidRPr="00A04685" w:rsidRDefault="00C214BC" w:rsidP="007918A5">
      <w:pPr>
        <w:pStyle w:val="Tableheadingboardreport"/>
      </w:pPr>
      <w:r w:rsidRPr="00A04685">
        <w:t xml:space="preserve">NICE financial position per centre/directorate as </w:t>
      </w:r>
      <w:proofErr w:type="gramStart"/>
      <w:r w:rsidRPr="00A04685">
        <w:t>at</w:t>
      </w:r>
      <w:proofErr w:type="gramEnd"/>
      <w:r w:rsidRPr="00A04685">
        <w:t xml:space="preserve"> </w:t>
      </w:r>
      <w:r w:rsidR="005036C6">
        <w:t>28 February</w:t>
      </w:r>
      <w:r w:rsidR="00DC7254" w:rsidRPr="00A04685">
        <w:t xml:space="preserve"> 2021</w:t>
      </w:r>
    </w:p>
    <w:p w14:paraId="1A8F1876" w14:textId="77777777" w:rsidR="007918A5" w:rsidRPr="00A04685" w:rsidRDefault="007918A5" w:rsidP="007918A5">
      <w:pPr>
        <w:pStyle w:val="Tableheadingboardreport"/>
      </w:pPr>
    </w:p>
    <w:tbl>
      <w:tblPr>
        <w:tblpPr w:leftFromText="180" w:rightFromText="180" w:vertAnchor="text" w:horzAnchor="margin" w:tblpXSpec="center" w:tblpY="2"/>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ICE financial position"/>
        <w:tblDescription w:val="Appendix A: year to date and estimated outturn financial position, categorised by centre/directorate"/>
      </w:tblPr>
      <w:tblGrid>
        <w:gridCol w:w="2306"/>
        <w:gridCol w:w="1279"/>
        <w:gridCol w:w="1230"/>
        <w:gridCol w:w="1328"/>
        <w:gridCol w:w="1279"/>
        <w:gridCol w:w="1279"/>
        <w:gridCol w:w="1279"/>
      </w:tblGrid>
      <w:tr w:rsidR="00C214BC" w:rsidRPr="00A04685" w14:paraId="6AE51FC0" w14:textId="77777777" w:rsidTr="005354D3">
        <w:trPr>
          <w:trHeight w:val="163"/>
          <w:tblHeader/>
        </w:trPr>
        <w:tc>
          <w:tcPr>
            <w:tcW w:w="2306" w:type="dxa"/>
          </w:tcPr>
          <w:p w14:paraId="2947A847" w14:textId="77777777" w:rsidR="00C214BC" w:rsidRPr="00A04685" w:rsidRDefault="00C214BC" w:rsidP="005C2255">
            <w:pPr>
              <w:pStyle w:val="Tableheadingboardreport"/>
            </w:pPr>
            <w:bookmarkStart w:id="3" w:name="OLE_LINK2"/>
            <w:r w:rsidRPr="00A04685">
              <w:t>Centre / Directorate</w:t>
            </w:r>
          </w:p>
        </w:tc>
        <w:tc>
          <w:tcPr>
            <w:tcW w:w="1279" w:type="dxa"/>
          </w:tcPr>
          <w:p w14:paraId="3D0F7B4B" w14:textId="77777777" w:rsidR="00C214BC" w:rsidRPr="00A04685" w:rsidRDefault="00C214BC" w:rsidP="005C2255">
            <w:pPr>
              <w:pStyle w:val="Tableheadingboardreport"/>
            </w:pPr>
            <w:r w:rsidRPr="00A04685">
              <w:t>Year to Date Budget £m</w:t>
            </w:r>
          </w:p>
        </w:tc>
        <w:tc>
          <w:tcPr>
            <w:tcW w:w="1230" w:type="dxa"/>
          </w:tcPr>
          <w:p w14:paraId="15F9BB60" w14:textId="77777777" w:rsidR="00C214BC" w:rsidRPr="00A04685" w:rsidRDefault="00C214BC" w:rsidP="005C2255">
            <w:pPr>
              <w:pStyle w:val="Tableheadingboardreport"/>
            </w:pPr>
            <w:r w:rsidRPr="00A04685">
              <w:t>Year to Date Actual £m</w:t>
            </w:r>
          </w:p>
        </w:tc>
        <w:tc>
          <w:tcPr>
            <w:tcW w:w="1328" w:type="dxa"/>
          </w:tcPr>
          <w:p w14:paraId="2895FE29" w14:textId="77777777" w:rsidR="00C214BC" w:rsidRPr="00A04685" w:rsidRDefault="00C214BC" w:rsidP="005C2255">
            <w:pPr>
              <w:pStyle w:val="Tableheadingboardreport"/>
            </w:pPr>
            <w:r w:rsidRPr="00A04685">
              <w:t>Year to Date Variance £m</w:t>
            </w:r>
          </w:p>
        </w:tc>
        <w:tc>
          <w:tcPr>
            <w:tcW w:w="1279" w:type="dxa"/>
          </w:tcPr>
          <w:p w14:paraId="1D442BC9" w14:textId="77777777" w:rsidR="00C214BC" w:rsidRPr="00A04685" w:rsidRDefault="00C214BC" w:rsidP="005C2255">
            <w:pPr>
              <w:pStyle w:val="Tableheadingboardreport"/>
            </w:pPr>
            <w:r w:rsidRPr="00A04685">
              <w:t>Annual Budget £m</w:t>
            </w:r>
          </w:p>
        </w:tc>
        <w:tc>
          <w:tcPr>
            <w:tcW w:w="1279" w:type="dxa"/>
          </w:tcPr>
          <w:p w14:paraId="5B507D08" w14:textId="77777777" w:rsidR="00C214BC" w:rsidRPr="00A04685" w:rsidRDefault="00C214BC" w:rsidP="005C2255">
            <w:pPr>
              <w:pStyle w:val="Tableheadingboardreport"/>
            </w:pPr>
            <w:r w:rsidRPr="00A04685">
              <w:t>Estimated Outturn £m</w:t>
            </w:r>
          </w:p>
        </w:tc>
        <w:tc>
          <w:tcPr>
            <w:tcW w:w="1279" w:type="dxa"/>
          </w:tcPr>
          <w:p w14:paraId="39D992E5" w14:textId="77777777" w:rsidR="00C214BC" w:rsidRPr="00A04685" w:rsidRDefault="00C214BC" w:rsidP="005C2255">
            <w:pPr>
              <w:pStyle w:val="Tableheadingboardreport"/>
            </w:pPr>
            <w:r w:rsidRPr="00A04685">
              <w:t>Estimated Outturn Variance £m</w:t>
            </w:r>
          </w:p>
        </w:tc>
      </w:tr>
      <w:tr w:rsidR="005036C6" w:rsidRPr="00A04685" w14:paraId="32D1537F" w14:textId="77777777" w:rsidTr="005354D3">
        <w:trPr>
          <w:trHeight w:val="269"/>
        </w:trPr>
        <w:tc>
          <w:tcPr>
            <w:tcW w:w="2306" w:type="dxa"/>
          </w:tcPr>
          <w:p w14:paraId="72FFEA4E" w14:textId="77777777" w:rsidR="005036C6" w:rsidRPr="00A04685" w:rsidRDefault="005036C6" w:rsidP="005036C6">
            <w:pPr>
              <w:pStyle w:val="Tabletext"/>
            </w:pPr>
            <w:r w:rsidRPr="00A04685">
              <w:t>Income from TA and HST cost recovery</w:t>
            </w:r>
          </w:p>
        </w:tc>
        <w:tc>
          <w:tcPr>
            <w:tcW w:w="1279" w:type="dxa"/>
          </w:tcPr>
          <w:p w14:paraId="5ECC9F5B" w14:textId="230CE7B1" w:rsidR="005036C6" w:rsidRPr="00A04685" w:rsidRDefault="005036C6" w:rsidP="005036C6">
            <w:pPr>
              <w:pStyle w:val="Tabletext"/>
              <w:jc w:val="right"/>
            </w:pPr>
            <w:r w:rsidRPr="003469BC">
              <w:t>(9.8)</w:t>
            </w:r>
          </w:p>
        </w:tc>
        <w:tc>
          <w:tcPr>
            <w:tcW w:w="1230" w:type="dxa"/>
          </w:tcPr>
          <w:p w14:paraId="6B0A4AFC" w14:textId="304A6F6E" w:rsidR="005036C6" w:rsidRPr="00A04685" w:rsidRDefault="005036C6" w:rsidP="005036C6">
            <w:pPr>
              <w:pStyle w:val="Tabletext"/>
              <w:jc w:val="right"/>
            </w:pPr>
            <w:r w:rsidRPr="003469BC">
              <w:t>(6.3)</w:t>
            </w:r>
          </w:p>
        </w:tc>
        <w:tc>
          <w:tcPr>
            <w:tcW w:w="1328" w:type="dxa"/>
          </w:tcPr>
          <w:p w14:paraId="04EB9917" w14:textId="7E4018DE" w:rsidR="005036C6" w:rsidRPr="00A04685" w:rsidRDefault="005036C6" w:rsidP="005036C6">
            <w:pPr>
              <w:pStyle w:val="Tabletext"/>
              <w:jc w:val="right"/>
            </w:pPr>
            <w:r w:rsidRPr="003469BC">
              <w:t>3.5</w:t>
            </w:r>
          </w:p>
        </w:tc>
        <w:tc>
          <w:tcPr>
            <w:tcW w:w="1279" w:type="dxa"/>
          </w:tcPr>
          <w:p w14:paraId="5D5CBE6D" w14:textId="30AC6523" w:rsidR="005036C6" w:rsidRPr="00A04685" w:rsidRDefault="005036C6" w:rsidP="005036C6">
            <w:pPr>
              <w:pStyle w:val="Tabletext"/>
              <w:jc w:val="right"/>
            </w:pPr>
            <w:r w:rsidRPr="003469BC">
              <w:t>(10.7)</w:t>
            </w:r>
          </w:p>
        </w:tc>
        <w:tc>
          <w:tcPr>
            <w:tcW w:w="1279" w:type="dxa"/>
          </w:tcPr>
          <w:p w14:paraId="4A0248D8" w14:textId="76D5796A" w:rsidR="005036C6" w:rsidRPr="00A04685" w:rsidRDefault="005036C6" w:rsidP="005036C6">
            <w:pPr>
              <w:pStyle w:val="Tabletext"/>
              <w:jc w:val="right"/>
            </w:pPr>
            <w:r w:rsidRPr="003469BC">
              <w:t>(7.0)</w:t>
            </w:r>
          </w:p>
        </w:tc>
        <w:tc>
          <w:tcPr>
            <w:tcW w:w="1279" w:type="dxa"/>
          </w:tcPr>
          <w:p w14:paraId="54B159DD" w14:textId="6A8850DE" w:rsidR="005036C6" w:rsidRPr="00A04685" w:rsidRDefault="005036C6" w:rsidP="005036C6">
            <w:pPr>
              <w:pStyle w:val="Tabletext"/>
              <w:jc w:val="right"/>
            </w:pPr>
            <w:r w:rsidRPr="003469BC">
              <w:t>3.7</w:t>
            </w:r>
          </w:p>
        </w:tc>
      </w:tr>
      <w:tr w:rsidR="005036C6" w:rsidRPr="00A04685" w14:paraId="02288ECD" w14:textId="77777777" w:rsidTr="005354D3">
        <w:trPr>
          <w:trHeight w:val="215"/>
        </w:trPr>
        <w:tc>
          <w:tcPr>
            <w:tcW w:w="2306" w:type="dxa"/>
          </w:tcPr>
          <w:p w14:paraId="237CEB4E" w14:textId="77777777" w:rsidR="005036C6" w:rsidRPr="00A04685" w:rsidRDefault="005036C6" w:rsidP="005036C6">
            <w:pPr>
              <w:pStyle w:val="Tabletext"/>
            </w:pPr>
            <w:r w:rsidRPr="00A04685">
              <w:t>Other funding from other ALBs, Devolved Administrations</w:t>
            </w:r>
          </w:p>
        </w:tc>
        <w:tc>
          <w:tcPr>
            <w:tcW w:w="1279" w:type="dxa"/>
          </w:tcPr>
          <w:p w14:paraId="0A5BE3B5" w14:textId="4BF53CE0" w:rsidR="005036C6" w:rsidRPr="00A04685" w:rsidRDefault="005036C6" w:rsidP="005036C6">
            <w:pPr>
              <w:pStyle w:val="Tabletext"/>
              <w:jc w:val="right"/>
            </w:pPr>
            <w:r w:rsidRPr="003469BC">
              <w:t>(6.8)</w:t>
            </w:r>
          </w:p>
        </w:tc>
        <w:tc>
          <w:tcPr>
            <w:tcW w:w="1230" w:type="dxa"/>
          </w:tcPr>
          <w:p w14:paraId="023B5E77" w14:textId="52B4D5C6" w:rsidR="005036C6" w:rsidRPr="00A04685" w:rsidRDefault="005036C6" w:rsidP="005036C6">
            <w:pPr>
              <w:pStyle w:val="Tabletext"/>
              <w:jc w:val="right"/>
            </w:pPr>
            <w:r w:rsidRPr="003469BC">
              <w:t>(6.9)</w:t>
            </w:r>
          </w:p>
        </w:tc>
        <w:tc>
          <w:tcPr>
            <w:tcW w:w="1328" w:type="dxa"/>
          </w:tcPr>
          <w:p w14:paraId="3AA3A830" w14:textId="26E4563D" w:rsidR="005036C6" w:rsidRPr="00A04685" w:rsidRDefault="005036C6" w:rsidP="005036C6">
            <w:pPr>
              <w:pStyle w:val="Tabletext"/>
              <w:jc w:val="right"/>
            </w:pPr>
            <w:r w:rsidRPr="003469BC">
              <w:t>(0.1)</w:t>
            </w:r>
          </w:p>
        </w:tc>
        <w:tc>
          <w:tcPr>
            <w:tcW w:w="1279" w:type="dxa"/>
          </w:tcPr>
          <w:p w14:paraId="337812AE" w14:textId="79D1BCB5" w:rsidR="005036C6" w:rsidRPr="00A04685" w:rsidRDefault="005036C6" w:rsidP="005036C6">
            <w:pPr>
              <w:pStyle w:val="Tabletext"/>
              <w:jc w:val="right"/>
            </w:pPr>
            <w:r w:rsidRPr="003469BC">
              <w:t>(7.4)</w:t>
            </w:r>
          </w:p>
        </w:tc>
        <w:tc>
          <w:tcPr>
            <w:tcW w:w="1279" w:type="dxa"/>
          </w:tcPr>
          <w:p w14:paraId="20717481" w14:textId="2D843703" w:rsidR="005036C6" w:rsidRPr="00A04685" w:rsidRDefault="005036C6" w:rsidP="005036C6">
            <w:pPr>
              <w:pStyle w:val="Tabletext"/>
              <w:jc w:val="right"/>
            </w:pPr>
            <w:r w:rsidRPr="003469BC">
              <w:t>(7.6)</w:t>
            </w:r>
          </w:p>
        </w:tc>
        <w:tc>
          <w:tcPr>
            <w:tcW w:w="1279" w:type="dxa"/>
          </w:tcPr>
          <w:p w14:paraId="3B8F43CB" w14:textId="49D71138" w:rsidR="005036C6" w:rsidRPr="00A04685" w:rsidRDefault="005036C6" w:rsidP="005036C6">
            <w:pPr>
              <w:pStyle w:val="Tabletext"/>
              <w:jc w:val="right"/>
            </w:pPr>
            <w:r w:rsidRPr="003469BC">
              <w:t>(0.1)</w:t>
            </w:r>
          </w:p>
        </w:tc>
      </w:tr>
      <w:tr w:rsidR="005036C6" w:rsidRPr="00A04685" w14:paraId="6C3B0E7C" w14:textId="77777777" w:rsidTr="005354D3">
        <w:trPr>
          <w:trHeight w:val="163"/>
        </w:trPr>
        <w:tc>
          <w:tcPr>
            <w:tcW w:w="2306" w:type="dxa"/>
          </w:tcPr>
          <w:p w14:paraId="68FB0FF5" w14:textId="77777777" w:rsidR="005036C6" w:rsidRPr="00A04685" w:rsidRDefault="005036C6" w:rsidP="005036C6">
            <w:pPr>
              <w:pStyle w:val="Tabletext"/>
            </w:pPr>
            <w:r w:rsidRPr="00A04685">
              <w:t>Centre for Guidelines</w:t>
            </w:r>
          </w:p>
        </w:tc>
        <w:tc>
          <w:tcPr>
            <w:tcW w:w="1279" w:type="dxa"/>
          </w:tcPr>
          <w:p w14:paraId="02A020C6" w14:textId="0B852370" w:rsidR="005036C6" w:rsidRPr="00A04685" w:rsidRDefault="005036C6" w:rsidP="005036C6">
            <w:pPr>
              <w:pStyle w:val="Tabletext"/>
              <w:jc w:val="right"/>
            </w:pPr>
            <w:r w:rsidRPr="003469BC">
              <w:t>18.7</w:t>
            </w:r>
          </w:p>
        </w:tc>
        <w:tc>
          <w:tcPr>
            <w:tcW w:w="1230" w:type="dxa"/>
          </w:tcPr>
          <w:p w14:paraId="5415EC39" w14:textId="475FF1A3" w:rsidR="005036C6" w:rsidRPr="00A04685" w:rsidRDefault="005036C6" w:rsidP="005036C6">
            <w:pPr>
              <w:pStyle w:val="Tabletext"/>
              <w:jc w:val="right"/>
            </w:pPr>
            <w:r w:rsidRPr="003469BC">
              <w:t>18.3</w:t>
            </w:r>
          </w:p>
        </w:tc>
        <w:tc>
          <w:tcPr>
            <w:tcW w:w="1328" w:type="dxa"/>
          </w:tcPr>
          <w:p w14:paraId="68142B90" w14:textId="308CD5EE" w:rsidR="005036C6" w:rsidRPr="00A04685" w:rsidRDefault="005036C6" w:rsidP="005036C6">
            <w:pPr>
              <w:pStyle w:val="Tabletext"/>
              <w:jc w:val="right"/>
            </w:pPr>
            <w:r w:rsidRPr="003469BC">
              <w:t>(0.4)</w:t>
            </w:r>
          </w:p>
        </w:tc>
        <w:tc>
          <w:tcPr>
            <w:tcW w:w="1279" w:type="dxa"/>
          </w:tcPr>
          <w:p w14:paraId="68D81085" w14:textId="2E7B76CE" w:rsidR="005036C6" w:rsidRPr="00A04685" w:rsidRDefault="005036C6" w:rsidP="005036C6">
            <w:pPr>
              <w:pStyle w:val="Tabletext"/>
              <w:jc w:val="right"/>
            </w:pPr>
            <w:r w:rsidRPr="003469BC">
              <w:t>20.3</w:t>
            </w:r>
          </w:p>
        </w:tc>
        <w:tc>
          <w:tcPr>
            <w:tcW w:w="1279" w:type="dxa"/>
          </w:tcPr>
          <w:p w14:paraId="43FEBD05" w14:textId="2671BC01" w:rsidR="005036C6" w:rsidRPr="00A04685" w:rsidRDefault="005036C6" w:rsidP="005036C6">
            <w:pPr>
              <w:pStyle w:val="Tabletext"/>
              <w:jc w:val="right"/>
            </w:pPr>
            <w:r w:rsidRPr="003469BC">
              <w:t>19.9</w:t>
            </w:r>
          </w:p>
        </w:tc>
        <w:tc>
          <w:tcPr>
            <w:tcW w:w="1279" w:type="dxa"/>
          </w:tcPr>
          <w:p w14:paraId="1EA64894" w14:textId="455C95CA" w:rsidR="005036C6" w:rsidRPr="00A04685" w:rsidRDefault="005036C6" w:rsidP="005036C6">
            <w:pPr>
              <w:pStyle w:val="Tabletext"/>
              <w:jc w:val="right"/>
            </w:pPr>
            <w:r w:rsidRPr="003469BC">
              <w:t>(0.4)</w:t>
            </w:r>
          </w:p>
        </w:tc>
      </w:tr>
      <w:tr w:rsidR="005036C6" w:rsidRPr="00A04685" w14:paraId="34390A78" w14:textId="77777777" w:rsidTr="005354D3">
        <w:trPr>
          <w:trHeight w:val="166"/>
        </w:trPr>
        <w:tc>
          <w:tcPr>
            <w:tcW w:w="2306" w:type="dxa"/>
          </w:tcPr>
          <w:p w14:paraId="30A79825" w14:textId="77777777" w:rsidR="005036C6" w:rsidRPr="00A04685" w:rsidRDefault="005036C6" w:rsidP="005036C6">
            <w:pPr>
              <w:pStyle w:val="Tabletext"/>
            </w:pPr>
            <w:r w:rsidRPr="00A04685">
              <w:t>Centre for Health Technology Evaluation</w:t>
            </w:r>
          </w:p>
        </w:tc>
        <w:tc>
          <w:tcPr>
            <w:tcW w:w="1279" w:type="dxa"/>
          </w:tcPr>
          <w:p w14:paraId="288488E7" w14:textId="5C928ACA" w:rsidR="005036C6" w:rsidRPr="00A04685" w:rsidRDefault="005036C6" w:rsidP="005036C6">
            <w:pPr>
              <w:pStyle w:val="Tabletext"/>
              <w:jc w:val="right"/>
            </w:pPr>
            <w:r w:rsidRPr="003469BC">
              <w:t>12.5</w:t>
            </w:r>
          </w:p>
        </w:tc>
        <w:tc>
          <w:tcPr>
            <w:tcW w:w="1230" w:type="dxa"/>
          </w:tcPr>
          <w:p w14:paraId="7F84C800" w14:textId="3777A04A" w:rsidR="005036C6" w:rsidRPr="00A04685" w:rsidRDefault="005036C6" w:rsidP="005036C6">
            <w:pPr>
              <w:pStyle w:val="Tabletext"/>
              <w:jc w:val="right"/>
            </w:pPr>
            <w:r w:rsidRPr="003469BC">
              <w:t>10.4</w:t>
            </w:r>
          </w:p>
        </w:tc>
        <w:tc>
          <w:tcPr>
            <w:tcW w:w="1328" w:type="dxa"/>
          </w:tcPr>
          <w:p w14:paraId="23F9B026" w14:textId="3F61D10D" w:rsidR="005036C6" w:rsidRPr="00A04685" w:rsidRDefault="005036C6" w:rsidP="005036C6">
            <w:pPr>
              <w:pStyle w:val="Tabletext"/>
              <w:jc w:val="right"/>
            </w:pPr>
            <w:r w:rsidRPr="003469BC">
              <w:t>(2.0)</w:t>
            </w:r>
          </w:p>
        </w:tc>
        <w:tc>
          <w:tcPr>
            <w:tcW w:w="1279" w:type="dxa"/>
          </w:tcPr>
          <w:p w14:paraId="3CE756EE" w14:textId="0AE1FDA1" w:rsidR="005036C6" w:rsidRPr="00A04685" w:rsidRDefault="005036C6" w:rsidP="005036C6">
            <w:pPr>
              <w:pStyle w:val="Tabletext"/>
              <w:jc w:val="right"/>
            </w:pPr>
            <w:r w:rsidRPr="003469BC">
              <w:t>13.7</w:t>
            </w:r>
          </w:p>
        </w:tc>
        <w:tc>
          <w:tcPr>
            <w:tcW w:w="1279" w:type="dxa"/>
          </w:tcPr>
          <w:p w14:paraId="11FEB9FC" w14:textId="1787259A" w:rsidR="005036C6" w:rsidRPr="00A04685" w:rsidRDefault="005036C6" w:rsidP="005036C6">
            <w:pPr>
              <w:pStyle w:val="Tabletext"/>
              <w:jc w:val="right"/>
            </w:pPr>
            <w:r w:rsidRPr="003469BC">
              <w:t>11.7</w:t>
            </w:r>
          </w:p>
        </w:tc>
        <w:tc>
          <w:tcPr>
            <w:tcW w:w="1279" w:type="dxa"/>
          </w:tcPr>
          <w:p w14:paraId="7431C3FF" w14:textId="20754005" w:rsidR="005036C6" w:rsidRPr="00A04685" w:rsidRDefault="005036C6" w:rsidP="005036C6">
            <w:pPr>
              <w:pStyle w:val="Tabletext"/>
              <w:jc w:val="right"/>
            </w:pPr>
            <w:r w:rsidRPr="003469BC">
              <w:t>(2.0)</w:t>
            </w:r>
          </w:p>
        </w:tc>
      </w:tr>
      <w:tr w:rsidR="005036C6" w:rsidRPr="00A04685" w14:paraId="10299554" w14:textId="77777777" w:rsidTr="005354D3">
        <w:trPr>
          <w:trHeight w:val="166"/>
        </w:trPr>
        <w:tc>
          <w:tcPr>
            <w:tcW w:w="2306" w:type="dxa"/>
          </w:tcPr>
          <w:p w14:paraId="0B5368C0" w14:textId="77777777" w:rsidR="005036C6" w:rsidRPr="00A04685" w:rsidRDefault="005036C6" w:rsidP="005036C6">
            <w:pPr>
              <w:pStyle w:val="Tabletext"/>
            </w:pPr>
            <w:r w:rsidRPr="00A04685">
              <w:t>Health &amp; Social Care</w:t>
            </w:r>
          </w:p>
        </w:tc>
        <w:tc>
          <w:tcPr>
            <w:tcW w:w="1279" w:type="dxa"/>
          </w:tcPr>
          <w:p w14:paraId="19E64859" w14:textId="3F837A8F" w:rsidR="005036C6" w:rsidRPr="00A04685" w:rsidRDefault="005036C6" w:rsidP="005036C6">
            <w:pPr>
              <w:pStyle w:val="Tabletext"/>
              <w:jc w:val="right"/>
            </w:pPr>
            <w:r w:rsidRPr="003469BC">
              <w:t>6.4</w:t>
            </w:r>
          </w:p>
        </w:tc>
        <w:tc>
          <w:tcPr>
            <w:tcW w:w="1230" w:type="dxa"/>
          </w:tcPr>
          <w:p w14:paraId="32723375" w14:textId="00A12124" w:rsidR="005036C6" w:rsidRPr="00A04685" w:rsidRDefault="005036C6" w:rsidP="005036C6">
            <w:pPr>
              <w:pStyle w:val="Tabletext"/>
              <w:jc w:val="right"/>
            </w:pPr>
            <w:r w:rsidRPr="003469BC">
              <w:t>5.7</w:t>
            </w:r>
          </w:p>
        </w:tc>
        <w:tc>
          <w:tcPr>
            <w:tcW w:w="1328" w:type="dxa"/>
          </w:tcPr>
          <w:p w14:paraId="622CE106" w14:textId="3041FB7F" w:rsidR="005036C6" w:rsidRPr="00A04685" w:rsidRDefault="005036C6" w:rsidP="005036C6">
            <w:pPr>
              <w:pStyle w:val="Tabletext"/>
              <w:jc w:val="right"/>
            </w:pPr>
            <w:r w:rsidRPr="003469BC">
              <w:t>(0.7)</w:t>
            </w:r>
          </w:p>
        </w:tc>
        <w:tc>
          <w:tcPr>
            <w:tcW w:w="1279" w:type="dxa"/>
          </w:tcPr>
          <w:p w14:paraId="6EC194FE" w14:textId="0FAEDF7B" w:rsidR="005036C6" w:rsidRPr="00A04685" w:rsidRDefault="005036C6" w:rsidP="005036C6">
            <w:pPr>
              <w:pStyle w:val="Tabletext"/>
              <w:jc w:val="right"/>
            </w:pPr>
            <w:r w:rsidRPr="003469BC">
              <w:t>7.0</w:t>
            </w:r>
          </w:p>
        </w:tc>
        <w:tc>
          <w:tcPr>
            <w:tcW w:w="1279" w:type="dxa"/>
          </w:tcPr>
          <w:p w14:paraId="137DD11B" w14:textId="5F27F588" w:rsidR="005036C6" w:rsidRPr="00A04685" w:rsidRDefault="005036C6" w:rsidP="005036C6">
            <w:pPr>
              <w:pStyle w:val="Tabletext"/>
              <w:jc w:val="right"/>
            </w:pPr>
            <w:r w:rsidRPr="003469BC">
              <w:t>6.3</w:t>
            </w:r>
          </w:p>
        </w:tc>
        <w:tc>
          <w:tcPr>
            <w:tcW w:w="1279" w:type="dxa"/>
          </w:tcPr>
          <w:p w14:paraId="5CCBC3F6" w14:textId="698F2780" w:rsidR="005036C6" w:rsidRPr="00A04685" w:rsidRDefault="005036C6" w:rsidP="005036C6">
            <w:pPr>
              <w:pStyle w:val="Tabletext"/>
              <w:jc w:val="right"/>
            </w:pPr>
            <w:r w:rsidRPr="003469BC">
              <w:t>(0.7)</w:t>
            </w:r>
          </w:p>
        </w:tc>
      </w:tr>
      <w:tr w:rsidR="005036C6" w:rsidRPr="00A04685" w14:paraId="0E10328E" w14:textId="77777777" w:rsidTr="005354D3">
        <w:trPr>
          <w:trHeight w:val="166"/>
        </w:trPr>
        <w:tc>
          <w:tcPr>
            <w:tcW w:w="2306" w:type="dxa"/>
          </w:tcPr>
          <w:p w14:paraId="26526CA4" w14:textId="77777777" w:rsidR="005036C6" w:rsidRPr="00A04685" w:rsidRDefault="005036C6" w:rsidP="005036C6">
            <w:pPr>
              <w:pStyle w:val="Tabletext"/>
            </w:pPr>
            <w:r w:rsidRPr="00A04685">
              <w:t>Digital, Information and Technology</w:t>
            </w:r>
          </w:p>
        </w:tc>
        <w:tc>
          <w:tcPr>
            <w:tcW w:w="1279" w:type="dxa"/>
          </w:tcPr>
          <w:p w14:paraId="431EA11A" w14:textId="64423E10" w:rsidR="005036C6" w:rsidRPr="00A04685" w:rsidRDefault="005036C6" w:rsidP="005036C6">
            <w:pPr>
              <w:pStyle w:val="Tabletext"/>
              <w:jc w:val="right"/>
            </w:pPr>
            <w:r w:rsidRPr="003469BC">
              <w:t>6.0</w:t>
            </w:r>
          </w:p>
        </w:tc>
        <w:tc>
          <w:tcPr>
            <w:tcW w:w="1230" w:type="dxa"/>
          </w:tcPr>
          <w:p w14:paraId="09172DE7" w14:textId="1A0DED14" w:rsidR="005036C6" w:rsidRPr="00A04685" w:rsidRDefault="005036C6" w:rsidP="005036C6">
            <w:pPr>
              <w:pStyle w:val="Tabletext"/>
              <w:jc w:val="right"/>
            </w:pPr>
            <w:r w:rsidRPr="003469BC">
              <w:t>5.9</w:t>
            </w:r>
          </w:p>
        </w:tc>
        <w:tc>
          <w:tcPr>
            <w:tcW w:w="1328" w:type="dxa"/>
          </w:tcPr>
          <w:p w14:paraId="5948A705" w14:textId="53C98E5A" w:rsidR="005036C6" w:rsidRPr="00A04685" w:rsidRDefault="005036C6" w:rsidP="005036C6">
            <w:pPr>
              <w:pStyle w:val="Tabletext"/>
              <w:jc w:val="right"/>
            </w:pPr>
            <w:r w:rsidRPr="003469BC">
              <w:t>(0.1)</w:t>
            </w:r>
          </w:p>
        </w:tc>
        <w:tc>
          <w:tcPr>
            <w:tcW w:w="1279" w:type="dxa"/>
          </w:tcPr>
          <w:p w14:paraId="533C5C2F" w14:textId="64B85F02" w:rsidR="005036C6" w:rsidRPr="00A04685" w:rsidRDefault="005036C6" w:rsidP="005036C6">
            <w:pPr>
              <w:pStyle w:val="Tabletext"/>
              <w:jc w:val="right"/>
            </w:pPr>
            <w:r w:rsidRPr="003469BC">
              <w:t>6.5</w:t>
            </w:r>
          </w:p>
        </w:tc>
        <w:tc>
          <w:tcPr>
            <w:tcW w:w="1279" w:type="dxa"/>
          </w:tcPr>
          <w:p w14:paraId="4DA94A18" w14:textId="7BD6B345" w:rsidR="005036C6" w:rsidRPr="00A04685" w:rsidRDefault="005036C6" w:rsidP="005036C6">
            <w:pPr>
              <w:pStyle w:val="Tabletext"/>
              <w:jc w:val="right"/>
            </w:pPr>
            <w:r w:rsidRPr="003469BC">
              <w:t>6.5</w:t>
            </w:r>
          </w:p>
        </w:tc>
        <w:tc>
          <w:tcPr>
            <w:tcW w:w="1279" w:type="dxa"/>
          </w:tcPr>
          <w:p w14:paraId="728C5E72" w14:textId="30E834D6" w:rsidR="005036C6" w:rsidRPr="00A04685" w:rsidRDefault="005036C6" w:rsidP="005036C6">
            <w:pPr>
              <w:pStyle w:val="Tabletext"/>
              <w:jc w:val="right"/>
            </w:pPr>
            <w:r w:rsidRPr="003469BC">
              <w:t>0.0</w:t>
            </w:r>
          </w:p>
        </w:tc>
      </w:tr>
      <w:tr w:rsidR="005036C6" w:rsidRPr="00A04685" w14:paraId="66B24F19" w14:textId="77777777" w:rsidTr="005354D3">
        <w:trPr>
          <w:trHeight w:val="166"/>
        </w:trPr>
        <w:tc>
          <w:tcPr>
            <w:tcW w:w="2306" w:type="dxa"/>
          </w:tcPr>
          <w:p w14:paraId="1E701DDF" w14:textId="77777777" w:rsidR="005036C6" w:rsidRPr="00A04685" w:rsidRDefault="005036C6" w:rsidP="005036C6">
            <w:pPr>
              <w:pStyle w:val="Tabletext"/>
            </w:pPr>
            <w:r w:rsidRPr="00A04685">
              <w:t>Science, Evidence and Analytics</w:t>
            </w:r>
          </w:p>
        </w:tc>
        <w:tc>
          <w:tcPr>
            <w:tcW w:w="1279" w:type="dxa"/>
          </w:tcPr>
          <w:p w14:paraId="4E36B4E6" w14:textId="44A12919" w:rsidR="005036C6" w:rsidRPr="00A04685" w:rsidRDefault="005036C6" w:rsidP="005036C6">
            <w:pPr>
              <w:pStyle w:val="Tabletext"/>
              <w:jc w:val="right"/>
            </w:pPr>
            <w:r w:rsidRPr="003469BC">
              <w:t>7.0</w:t>
            </w:r>
          </w:p>
        </w:tc>
        <w:tc>
          <w:tcPr>
            <w:tcW w:w="1230" w:type="dxa"/>
          </w:tcPr>
          <w:p w14:paraId="23C6C0EF" w14:textId="58D837F6" w:rsidR="005036C6" w:rsidRPr="00A04685" w:rsidRDefault="005036C6" w:rsidP="005036C6">
            <w:pPr>
              <w:pStyle w:val="Tabletext"/>
              <w:jc w:val="right"/>
            </w:pPr>
            <w:r w:rsidRPr="003469BC">
              <w:t>6.7</w:t>
            </w:r>
          </w:p>
        </w:tc>
        <w:tc>
          <w:tcPr>
            <w:tcW w:w="1328" w:type="dxa"/>
          </w:tcPr>
          <w:p w14:paraId="1AE46173" w14:textId="49D75F7A" w:rsidR="005036C6" w:rsidRPr="00A04685" w:rsidRDefault="005036C6" w:rsidP="005036C6">
            <w:pPr>
              <w:pStyle w:val="Tabletext"/>
              <w:jc w:val="right"/>
            </w:pPr>
            <w:r w:rsidRPr="003469BC">
              <w:t>(0.3)</w:t>
            </w:r>
          </w:p>
        </w:tc>
        <w:tc>
          <w:tcPr>
            <w:tcW w:w="1279" w:type="dxa"/>
          </w:tcPr>
          <w:p w14:paraId="467B3D56" w14:textId="6FA27376" w:rsidR="005036C6" w:rsidRPr="00A04685" w:rsidRDefault="005036C6" w:rsidP="005036C6">
            <w:pPr>
              <w:pStyle w:val="Tabletext"/>
              <w:jc w:val="right"/>
            </w:pPr>
            <w:r w:rsidRPr="003469BC">
              <w:t>7.6</w:t>
            </w:r>
          </w:p>
        </w:tc>
        <w:tc>
          <w:tcPr>
            <w:tcW w:w="1279" w:type="dxa"/>
          </w:tcPr>
          <w:p w14:paraId="00ECEDCE" w14:textId="64E4AAD2" w:rsidR="005036C6" w:rsidRPr="00A04685" w:rsidRDefault="005036C6" w:rsidP="005036C6">
            <w:pPr>
              <w:pStyle w:val="Tabletext"/>
              <w:jc w:val="right"/>
            </w:pPr>
            <w:r w:rsidRPr="003469BC">
              <w:t>7.4</w:t>
            </w:r>
          </w:p>
        </w:tc>
        <w:tc>
          <w:tcPr>
            <w:tcW w:w="1279" w:type="dxa"/>
          </w:tcPr>
          <w:p w14:paraId="1C6B97FC" w14:textId="6EE15675" w:rsidR="005036C6" w:rsidRPr="00A04685" w:rsidRDefault="005036C6" w:rsidP="005036C6">
            <w:pPr>
              <w:pStyle w:val="Tabletext"/>
              <w:jc w:val="right"/>
            </w:pPr>
            <w:r w:rsidRPr="003469BC">
              <w:t>(0.2)</w:t>
            </w:r>
          </w:p>
        </w:tc>
      </w:tr>
      <w:tr w:rsidR="005036C6" w:rsidRPr="00A04685" w14:paraId="6F0B61BE" w14:textId="77777777" w:rsidTr="005354D3">
        <w:trPr>
          <w:trHeight w:val="166"/>
        </w:trPr>
        <w:tc>
          <w:tcPr>
            <w:tcW w:w="2306" w:type="dxa"/>
          </w:tcPr>
          <w:p w14:paraId="61917265" w14:textId="77777777" w:rsidR="005036C6" w:rsidRPr="00A04685" w:rsidRDefault="005036C6" w:rsidP="005036C6">
            <w:pPr>
              <w:pStyle w:val="Tabletext"/>
            </w:pPr>
            <w:r w:rsidRPr="00A04685">
              <w:t>Finance, Strategy and Transformation</w:t>
            </w:r>
          </w:p>
        </w:tc>
        <w:tc>
          <w:tcPr>
            <w:tcW w:w="1279" w:type="dxa"/>
          </w:tcPr>
          <w:p w14:paraId="23DE7C09" w14:textId="1122135E" w:rsidR="005036C6" w:rsidRPr="00A04685" w:rsidRDefault="005036C6" w:rsidP="005036C6">
            <w:pPr>
              <w:pStyle w:val="Tabletext"/>
              <w:jc w:val="right"/>
            </w:pPr>
            <w:r w:rsidRPr="003469BC">
              <w:t>8.2</w:t>
            </w:r>
          </w:p>
        </w:tc>
        <w:tc>
          <w:tcPr>
            <w:tcW w:w="1230" w:type="dxa"/>
          </w:tcPr>
          <w:p w14:paraId="29493BF7" w14:textId="354469E5" w:rsidR="005036C6" w:rsidRPr="00A04685" w:rsidRDefault="005036C6" w:rsidP="005036C6">
            <w:pPr>
              <w:pStyle w:val="Tabletext"/>
              <w:jc w:val="right"/>
            </w:pPr>
            <w:r w:rsidRPr="003469BC">
              <w:t>7.3</w:t>
            </w:r>
          </w:p>
        </w:tc>
        <w:tc>
          <w:tcPr>
            <w:tcW w:w="1328" w:type="dxa"/>
          </w:tcPr>
          <w:p w14:paraId="798E2C46" w14:textId="251088A0" w:rsidR="005036C6" w:rsidRPr="00A04685" w:rsidRDefault="005036C6" w:rsidP="005036C6">
            <w:pPr>
              <w:pStyle w:val="Tabletext"/>
              <w:jc w:val="right"/>
            </w:pPr>
            <w:r w:rsidRPr="003469BC">
              <w:t>(0.9)</w:t>
            </w:r>
          </w:p>
        </w:tc>
        <w:tc>
          <w:tcPr>
            <w:tcW w:w="1279" w:type="dxa"/>
          </w:tcPr>
          <w:p w14:paraId="5E456673" w14:textId="33337C54" w:rsidR="005036C6" w:rsidRPr="00A04685" w:rsidRDefault="005036C6" w:rsidP="005036C6">
            <w:pPr>
              <w:pStyle w:val="Tabletext"/>
              <w:jc w:val="right"/>
            </w:pPr>
            <w:r w:rsidRPr="003469BC">
              <w:t>9.1</w:t>
            </w:r>
          </w:p>
        </w:tc>
        <w:tc>
          <w:tcPr>
            <w:tcW w:w="1279" w:type="dxa"/>
          </w:tcPr>
          <w:p w14:paraId="27782EB5" w14:textId="732469E9" w:rsidR="005036C6" w:rsidRPr="00A04685" w:rsidRDefault="005036C6" w:rsidP="005036C6">
            <w:pPr>
              <w:pStyle w:val="Tabletext"/>
              <w:jc w:val="right"/>
            </w:pPr>
            <w:r w:rsidRPr="003469BC">
              <w:t>8.0</w:t>
            </w:r>
          </w:p>
        </w:tc>
        <w:tc>
          <w:tcPr>
            <w:tcW w:w="1279" w:type="dxa"/>
          </w:tcPr>
          <w:p w14:paraId="48A4A2EE" w14:textId="36368322" w:rsidR="005036C6" w:rsidRPr="00A04685" w:rsidRDefault="005036C6" w:rsidP="005036C6">
            <w:pPr>
              <w:pStyle w:val="Tabletext"/>
              <w:jc w:val="right"/>
            </w:pPr>
            <w:r w:rsidRPr="003469BC">
              <w:t>(1.1)</w:t>
            </w:r>
          </w:p>
        </w:tc>
      </w:tr>
      <w:tr w:rsidR="005036C6" w:rsidRPr="00A04685" w14:paraId="5838558D" w14:textId="77777777" w:rsidTr="005354D3">
        <w:trPr>
          <w:trHeight w:val="166"/>
        </w:trPr>
        <w:tc>
          <w:tcPr>
            <w:tcW w:w="2306" w:type="dxa"/>
          </w:tcPr>
          <w:p w14:paraId="22B1BBB3" w14:textId="77777777" w:rsidR="005036C6" w:rsidRPr="00A04685" w:rsidRDefault="005036C6" w:rsidP="005036C6">
            <w:pPr>
              <w:pStyle w:val="Tabletext"/>
            </w:pPr>
            <w:r w:rsidRPr="00A04685">
              <w:t>Communications</w:t>
            </w:r>
          </w:p>
        </w:tc>
        <w:tc>
          <w:tcPr>
            <w:tcW w:w="1279" w:type="dxa"/>
          </w:tcPr>
          <w:p w14:paraId="177A774E" w14:textId="243D2EAD" w:rsidR="005036C6" w:rsidRPr="00A04685" w:rsidRDefault="005036C6" w:rsidP="005036C6">
            <w:pPr>
              <w:pStyle w:val="Tabletext"/>
              <w:jc w:val="right"/>
            </w:pPr>
            <w:r w:rsidRPr="003469BC">
              <w:t>2.3</w:t>
            </w:r>
          </w:p>
        </w:tc>
        <w:tc>
          <w:tcPr>
            <w:tcW w:w="1230" w:type="dxa"/>
          </w:tcPr>
          <w:p w14:paraId="503FA46E" w14:textId="291C2F12" w:rsidR="005036C6" w:rsidRPr="00A04685" w:rsidRDefault="005036C6" w:rsidP="005036C6">
            <w:pPr>
              <w:pStyle w:val="Tabletext"/>
              <w:jc w:val="right"/>
            </w:pPr>
            <w:r w:rsidRPr="003469BC">
              <w:t>2.1</w:t>
            </w:r>
          </w:p>
        </w:tc>
        <w:tc>
          <w:tcPr>
            <w:tcW w:w="1328" w:type="dxa"/>
          </w:tcPr>
          <w:p w14:paraId="3493F989" w14:textId="626EDFAA" w:rsidR="005036C6" w:rsidRPr="00A04685" w:rsidRDefault="005036C6" w:rsidP="005036C6">
            <w:pPr>
              <w:pStyle w:val="Tabletext"/>
              <w:jc w:val="right"/>
            </w:pPr>
            <w:r w:rsidRPr="003469BC">
              <w:t>(0.2)</w:t>
            </w:r>
          </w:p>
        </w:tc>
        <w:tc>
          <w:tcPr>
            <w:tcW w:w="1279" w:type="dxa"/>
          </w:tcPr>
          <w:p w14:paraId="2BD8D3FD" w14:textId="2D375B93" w:rsidR="005036C6" w:rsidRPr="00A04685" w:rsidRDefault="005036C6" w:rsidP="005036C6">
            <w:pPr>
              <w:pStyle w:val="Tabletext"/>
              <w:jc w:val="right"/>
            </w:pPr>
            <w:r w:rsidRPr="003469BC">
              <w:t>2.5</w:t>
            </w:r>
          </w:p>
        </w:tc>
        <w:tc>
          <w:tcPr>
            <w:tcW w:w="1279" w:type="dxa"/>
          </w:tcPr>
          <w:p w14:paraId="384954DF" w14:textId="65748739" w:rsidR="005036C6" w:rsidRPr="00A04685" w:rsidRDefault="005036C6" w:rsidP="005036C6">
            <w:pPr>
              <w:pStyle w:val="Tabletext"/>
              <w:jc w:val="right"/>
            </w:pPr>
            <w:r w:rsidRPr="003469BC">
              <w:t>2.3</w:t>
            </w:r>
          </w:p>
        </w:tc>
        <w:tc>
          <w:tcPr>
            <w:tcW w:w="1279" w:type="dxa"/>
          </w:tcPr>
          <w:p w14:paraId="7049BF2F" w14:textId="0A6EE270" w:rsidR="005036C6" w:rsidRPr="00A04685" w:rsidRDefault="005036C6" w:rsidP="005036C6">
            <w:pPr>
              <w:pStyle w:val="Tabletext"/>
              <w:jc w:val="right"/>
            </w:pPr>
            <w:r w:rsidRPr="003469BC">
              <w:t>(0.2)</w:t>
            </w:r>
          </w:p>
        </w:tc>
      </w:tr>
      <w:tr w:rsidR="005036C6" w:rsidRPr="00A04685" w14:paraId="59927AB7" w14:textId="77777777" w:rsidTr="005354D3">
        <w:trPr>
          <w:trHeight w:val="166"/>
        </w:trPr>
        <w:tc>
          <w:tcPr>
            <w:tcW w:w="2306" w:type="dxa"/>
          </w:tcPr>
          <w:p w14:paraId="0436D639" w14:textId="77777777" w:rsidR="005036C6" w:rsidRPr="00A04685" w:rsidRDefault="005036C6" w:rsidP="005036C6">
            <w:pPr>
              <w:pStyle w:val="Tabletext"/>
            </w:pPr>
            <w:r w:rsidRPr="00A04685">
              <w:t>NHS Pension (6.3% increase) and other staff costs</w:t>
            </w:r>
          </w:p>
        </w:tc>
        <w:tc>
          <w:tcPr>
            <w:tcW w:w="1279" w:type="dxa"/>
          </w:tcPr>
          <w:p w14:paraId="46C4ED92" w14:textId="000F46F6" w:rsidR="005036C6" w:rsidRPr="00A04685" w:rsidRDefault="005036C6" w:rsidP="005036C6">
            <w:pPr>
              <w:pStyle w:val="Tabletext"/>
              <w:jc w:val="right"/>
            </w:pPr>
            <w:r w:rsidRPr="003469BC">
              <w:t>1.6</w:t>
            </w:r>
          </w:p>
        </w:tc>
        <w:tc>
          <w:tcPr>
            <w:tcW w:w="1230" w:type="dxa"/>
          </w:tcPr>
          <w:p w14:paraId="0BDAE1F8" w14:textId="641AD790" w:rsidR="005036C6" w:rsidRPr="00A04685" w:rsidRDefault="005036C6" w:rsidP="005036C6">
            <w:pPr>
              <w:pStyle w:val="Tabletext"/>
              <w:jc w:val="right"/>
            </w:pPr>
            <w:r w:rsidRPr="003469BC">
              <w:t>1.7</w:t>
            </w:r>
          </w:p>
        </w:tc>
        <w:tc>
          <w:tcPr>
            <w:tcW w:w="1328" w:type="dxa"/>
          </w:tcPr>
          <w:p w14:paraId="671B9818" w14:textId="68BBAC0D" w:rsidR="005036C6" w:rsidRPr="00A04685" w:rsidRDefault="005036C6" w:rsidP="005036C6">
            <w:pPr>
              <w:pStyle w:val="Tabletext"/>
              <w:jc w:val="right"/>
            </w:pPr>
            <w:r w:rsidRPr="003469BC">
              <w:t>0.1</w:t>
            </w:r>
          </w:p>
        </w:tc>
        <w:tc>
          <w:tcPr>
            <w:tcW w:w="1279" w:type="dxa"/>
          </w:tcPr>
          <w:p w14:paraId="28A6C8FB" w14:textId="3FAA87C7" w:rsidR="005036C6" w:rsidRPr="00A04685" w:rsidRDefault="005036C6" w:rsidP="005036C6">
            <w:pPr>
              <w:pStyle w:val="Tabletext"/>
              <w:jc w:val="right"/>
            </w:pPr>
            <w:r w:rsidRPr="003469BC">
              <w:t>1.8</w:t>
            </w:r>
          </w:p>
        </w:tc>
        <w:tc>
          <w:tcPr>
            <w:tcW w:w="1279" w:type="dxa"/>
          </w:tcPr>
          <w:p w14:paraId="21790D1E" w14:textId="69B24725" w:rsidR="005036C6" w:rsidRPr="00A04685" w:rsidRDefault="005036C6" w:rsidP="005036C6">
            <w:pPr>
              <w:pStyle w:val="Tabletext"/>
              <w:jc w:val="right"/>
            </w:pPr>
            <w:r w:rsidRPr="003469BC">
              <w:t>1.8</w:t>
            </w:r>
          </w:p>
        </w:tc>
        <w:tc>
          <w:tcPr>
            <w:tcW w:w="1279" w:type="dxa"/>
          </w:tcPr>
          <w:p w14:paraId="3BF8F9C3" w14:textId="45DA6A43" w:rsidR="005036C6" w:rsidRPr="00A04685" w:rsidRDefault="005036C6" w:rsidP="005036C6">
            <w:pPr>
              <w:pStyle w:val="Tabletext"/>
              <w:jc w:val="right"/>
            </w:pPr>
            <w:r w:rsidRPr="003469BC">
              <w:t>0.1</w:t>
            </w:r>
          </w:p>
        </w:tc>
      </w:tr>
      <w:tr w:rsidR="005036C6" w:rsidRPr="00A04685" w14:paraId="33047533" w14:textId="77777777" w:rsidTr="005354D3">
        <w:trPr>
          <w:trHeight w:val="166"/>
        </w:trPr>
        <w:tc>
          <w:tcPr>
            <w:tcW w:w="2306" w:type="dxa"/>
          </w:tcPr>
          <w:p w14:paraId="637AA641" w14:textId="77777777" w:rsidR="005036C6" w:rsidRPr="00A04685" w:rsidRDefault="005036C6" w:rsidP="005036C6">
            <w:pPr>
              <w:pStyle w:val="Tabletext"/>
            </w:pPr>
            <w:r w:rsidRPr="00A04685">
              <w:t>Depreciation (non-cash)</w:t>
            </w:r>
          </w:p>
        </w:tc>
        <w:tc>
          <w:tcPr>
            <w:tcW w:w="1279" w:type="dxa"/>
          </w:tcPr>
          <w:p w14:paraId="7348FB67" w14:textId="044423AF" w:rsidR="005036C6" w:rsidRPr="00A04685" w:rsidRDefault="005036C6" w:rsidP="005036C6">
            <w:pPr>
              <w:pStyle w:val="Tabletext"/>
              <w:jc w:val="right"/>
            </w:pPr>
            <w:r w:rsidRPr="003469BC">
              <w:t>0.6</w:t>
            </w:r>
          </w:p>
        </w:tc>
        <w:tc>
          <w:tcPr>
            <w:tcW w:w="1230" w:type="dxa"/>
          </w:tcPr>
          <w:p w14:paraId="51E19EEB" w14:textId="03A0596F" w:rsidR="005036C6" w:rsidRPr="00A04685" w:rsidRDefault="005036C6" w:rsidP="005036C6">
            <w:pPr>
              <w:pStyle w:val="Tabletext"/>
              <w:jc w:val="right"/>
            </w:pPr>
            <w:r w:rsidRPr="003469BC">
              <w:t>0.5</w:t>
            </w:r>
          </w:p>
        </w:tc>
        <w:tc>
          <w:tcPr>
            <w:tcW w:w="1328" w:type="dxa"/>
          </w:tcPr>
          <w:p w14:paraId="579A8AFD" w14:textId="702C163B" w:rsidR="005036C6" w:rsidRPr="00A04685" w:rsidRDefault="005036C6" w:rsidP="005036C6">
            <w:pPr>
              <w:pStyle w:val="Tabletext"/>
              <w:jc w:val="right"/>
            </w:pPr>
            <w:r w:rsidRPr="003469BC">
              <w:t>(0.2)</w:t>
            </w:r>
          </w:p>
        </w:tc>
        <w:tc>
          <w:tcPr>
            <w:tcW w:w="1279" w:type="dxa"/>
          </w:tcPr>
          <w:p w14:paraId="5ED30225" w14:textId="353649DD" w:rsidR="005036C6" w:rsidRPr="00A04685" w:rsidRDefault="005036C6" w:rsidP="005036C6">
            <w:pPr>
              <w:pStyle w:val="Tabletext"/>
              <w:jc w:val="right"/>
            </w:pPr>
            <w:r w:rsidRPr="003469BC">
              <w:t>0.7</w:t>
            </w:r>
          </w:p>
        </w:tc>
        <w:tc>
          <w:tcPr>
            <w:tcW w:w="1279" w:type="dxa"/>
          </w:tcPr>
          <w:p w14:paraId="60063768" w14:textId="1FF3A7FB" w:rsidR="005036C6" w:rsidRPr="00A04685" w:rsidRDefault="005036C6" w:rsidP="005036C6">
            <w:pPr>
              <w:pStyle w:val="Tabletext"/>
              <w:jc w:val="right"/>
            </w:pPr>
            <w:r w:rsidRPr="003469BC">
              <w:t>0.5</w:t>
            </w:r>
          </w:p>
        </w:tc>
        <w:tc>
          <w:tcPr>
            <w:tcW w:w="1279" w:type="dxa"/>
          </w:tcPr>
          <w:p w14:paraId="6988752F" w14:textId="081F7A77" w:rsidR="005036C6" w:rsidRPr="00A04685" w:rsidRDefault="005036C6" w:rsidP="005036C6">
            <w:pPr>
              <w:pStyle w:val="Tabletext"/>
              <w:jc w:val="right"/>
            </w:pPr>
            <w:r w:rsidRPr="003469BC">
              <w:t>(0.2)</w:t>
            </w:r>
          </w:p>
        </w:tc>
      </w:tr>
      <w:tr w:rsidR="005036C6" w:rsidRPr="00A04685" w14:paraId="44BA3F20" w14:textId="77777777" w:rsidTr="005354D3">
        <w:trPr>
          <w:trHeight w:val="166"/>
        </w:trPr>
        <w:tc>
          <w:tcPr>
            <w:tcW w:w="2306" w:type="dxa"/>
          </w:tcPr>
          <w:p w14:paraId="4D10F94C" w14:textId="77777777" w:rsidR="005036C6" w:rsidRPr="00A04685" w:rsidRDefault="005036C6" w:rsidP="005036C6">
            <w:pPr>
              <w:pStyle w:val="Tabletext"/>
            </w:pPr>
            <w:r w:rsidRPr="00A04685">
              <w:t>Part-year effect Pay budget adjustment</w:t>
            </w:r>
          </w:p>
        </w:tc>
        <w:tc>
          <w:tcPr>
            <w:tcW w:w="1279" w:type="dxa"/>
          </w:tcPr>
          <w:p w14:paraId="1F38B54C" w14:textId="1F9A360D" w:rsidR="005036C6" w:rsidRPr="00A04685" w:rsidRDefault="005036C6" w:rsidP="005036C6">
            <w:pPr>
              <w:pStyle w:val="Tabletext"/>
              <w:jc w:val="right"/>
            </w:pPr>
            <w:r w:rsidRPr="003469BC">
              <w:t>2.2</w:t>
            </w:r>
          </w:p>
        </w:tc>
        <w:tc>
          <w:tcPr>
            <w:tcW w:w="1230" w:type="dxa"/>
          </w:tcPr>
          <w:p w14:paraId="5D8FF289" w14:textId="129DCBF1" w:rsidR="005036C6" w:rsidRPr="00A04685" w:rsidRDefault="005036C6" w:rsidP="005036C6">
            <w:pPr>
              <w:pStyle w:val="Tabletext"/>
              <w:jc w:val="right"/>
            </w:pPr>
            <w:r w:rsidRPr="003469BC">
              <w:t>0.0</w:t>
            </w:r>
          </w:p>
        </w:tc>
        <w:tc>
          <w:tcPr>
            <w:tcW w:w="1328" w:type="dxa"/>
          </w:tcPr>
          <w:p w14:paraId="76584802" w14:textId="4BB8B80B" w:rsidR="005036C6" w:rsidRPr="00A04685" w:rsidRDefault="005036C6" w:rsidP="005036C6">
            <w:pPr>
              <w:pStyle w:val="Tabletext"/>
              <w:jc w:val="right"/>
            </w:pPr>
            <w:r w:rsidRPr="003469BC">
              <w:t>(2.2)</w:t>
            </w:r>
          </w:p>
        </w:tc>
        <w:tc>
          <w:tcPr>
            <w:tcW w:w="1279" w:type="dxa"/>
          </w:tcPr>
          <w:p w14:paraId="33CF778D" w14:textId="330BB454" w:rsidR="005036C6" w:rsidRPr="00A04685" w:rsidRDefault="005036C6" w:rsidP="005036C6">
            <w:pPr>
              <w:pStyle w:val="Tabletext"/>
              <w:jc w:val="right"/>
            </w:pPr>
            <w:r w:rsidRPr="003469BC">
              <w:t>2.3</w:t>
            </w:r>
          </w:p>
        </w:tc>
        <w:tc>
          <w:tcPr>
            <w:tcW w:w="1279" w:type="dxa"/>
          </w:tcPr>
          <w:p w14:paraId="392A3BC2" w14:textId="3BCD9299" w:rsidR="005036C6" w:rsidRPr="00A04685" w:rsidRDefault="005036C6" w:rsidP="005036C6">
            <w:pPr>
              <w:pStyle w:val="Tabletext"/>
              <w:jc w:val="right"/>
            </w:pPr>
            <w:r w:rsidRPr="003469BC">
              <w:t>0.0</w:t>
            </w:r>
          </w:p>
        </w:tc>
        <w:tc>
          <w:tcPr>
            <w:tcW w:w="1279" w:type="dxa"/>
          </w:tcPr>
          <w:p w14:paraId="24434BA8" w14:textId="6ACFD0D2" w:rsidR="005036C6" w:rsidRPr="00A04685" w:rsidRDefault="005036C6" w:rsidP="005036C6">
            <w:pPr>
              <w:pStyle w:val="Tabletext"/>
              <w:jc w:val="right"/>
            </w:pPr>
            <w:r w:rsidRPr="003469BC">
              <w:t>(2.3)</w:t>
            </w:r>
          </w:p>
        </w:tc>
      </w:tr>
      <w:tr w:rsidR="005036C6" w:rsidRPr="00A04685" w14:paraId="0D05F3D1" w14:textId="77777777" w:rsidTr="005354D3">
        <w:trPr>
          <w:trHeight w:val="163"/>
        </w:trPr>
        <w:tc>
          <w:tcPr>
            <w:tcW w:w="2306" w:type="dxa"/>
          </w:tcPr>
          <w:p w14:paraId="38149953" w14:textId="77777777" w:rsidR="005036C6" w:rsidRPr="00A04685" w:rsidRDefault="005036C6" w:rsidP="005036C6">
            <w:pPr>
              <w:pStyle w:val="Tabletext"/>
              <w:rPr>
                <w:b/>
                <w:bCs/>
              </w:rPr>
            </w:pPr>
            <w:r w:rsidRPr="00A04685">
              <w:rPr>
                <w:b/>
                <w:bCs/>
              </w:rPr>
              <w:t>Grand total</w:t>
            </w:r>
          </w:p>
        </w:tc>
        <w:tc>
          <w:tcPr>
            <w:tcW w:w="1279" w:type="dxa"/>
          </w:tcPr>
          <w:p w14:paraId="094AD1CF" w14:textId="0DC61C0A" w:rsidR="005036C6" w:rsidRPr="005036C6" w:rsidRDefault="005036C6" w:rsidP="005036C6">
            <w:pPr>
              <w:pStyle w:val="Tabletext"/>
              <w:jc w:val="right"/>
              <w:rPr>
                <w:b/>
                <w:bCs/>
              </w:rPr>
            </w:pPr>
            <w:r w:rsidRPr="005036C6">
              <w:rPr>
                <w:b/>
                <w:bCs/>
              </w:rPr>
              <w:t>48.8</w:t>
            </w:r>
          </w:p>
        </w:tc>
        <w:tc>
          <w:tcPr>
            <w:tcW w:w="1230" w:type="dxa"/>
          </w:tcPr>
          <w:p w14:paraId="165F9EB6" w14:textId="0575FF25" w:rsidR="005036C6" w:rsidRPr="005036C6" w:rsidRDefault="005036C6" w:rsidP="005036C6">
            <w:pPr>
              <w:pStyle w:val="Tabletext"/>
              <w:jc w:val="right"/>
              <w:rPr>
                <w:b/>
                <w:bCs/>
              </w:rPr>
            </w:pPr>
            <w:r w:rsidRPr="005036C6">
              <w:rPr>
                <w:b/>
                <w:bCs/>
              </w:rPr>
              <w:t>45.3</w:t>
            </w:r>
          </w:p>
        </w:tc>
        <w:tc>
          <w:tcPr>
            <w:tcW w:w="1328" w:type="dxa"/>
          </w:tcPr>
          <w:p w14:paraId="6D585B8B" w14:textId="4DFB2565" w:rsidR="005036C6" w:rsidRPr="005036C6" w:rsidRDefault="005036C6" w:rsidP="005036C6">
            <w:pPr>
              <w:pStyle w:val="Tabletext"/>
              <w:jc w:val="right"/>
              <w:rPr>
                <w:b/>
                <w:bCs/>
              </w:rPr>
            </w:pPr>
            <w:r w:rsidRPr="005036C6">
              <w:rPr>
                <w:b/>
                <w:bCs/>
              </w:rPr>
              <w:t>(3.5)</w:t>
            </w:r>
          </w:p>
        </w:tc>
        <w:tc>
          <w:tcPr>
            <w:tcW w:w="1279" w:type="dxa"/>
          </w:tcPr>
          <w:p w14:paraId="71BCE2DF" w14:textId="5DCCCE34" w:rsidR="005036C6" w:rsidRPr="005036C6" w:rsidRDefault="005036C6" w:rsidP="005036C6">
            <w:pPr>
              <w:pStyle w:val="Tabletext"/>
              <w:jc w:val="right"/>
              <w:rPr>
                <w:b/>
                <w:bCs/>
              </w:rPr>
            </w:pPr>
            <w:r w:rsidRPr="005036C6">
              <w:rPr>
                <w:b/>
                <w:bCs/>
              </w:rPr>
              <w:t>53.3</w:t>
            </w:r>
          </w:p>
        </w:tc>
        <w:tc>
          <w:tcPr>
            <w:tcW w:w="1279" w:type="dxa"/>
          </w:tcPr>
          <w:p w14:paraId="76587D1E" w14:textId="0EE3FE19" w:rsidR="005036C6" w:rsidRPr="005036C6" w:rsidRDefault="005036C6" w:rsidP="005036C6">
            <w:pPr>
              <w:pStyle w:val="Tabletext"/>
              <w:jc w:val="right"/>
              <w:rPr>
                <w:b/>
                <w:bCs/>
              </w:rPr>
            </w:pPr>
            <w:r w:rsidRPr="005036C6">
              <w:rPr>
                <w:b/>
                <w:bCs/>
              </w:rPr>
              <w:t>49.8</w:t>
            </w:r>
          </w:p>
        </w:tc>
        <w:tc>
          <w:tcPr>
            <w:tcW w:w="1279" w:type="dxa"/>
          </w:tcPr>
          <w:p w14:paraId="3BC4EEB2" w14:textId="69059B4C" w:rsidR="005036C6" w:rsidRPr="005036C6" w:rsidRDefault="005036C6" w:rsidP="005036C6">
            <w:pPr>
              <w:pStyle w:val="Tabletext"/>
              <w:jc w:val="right"/>
              <w:rPr>
                <w:b/>
                <w:bCs/>
              </w:rPr>
            </w:pPr>
            <w:r w:rsidRPr="005036C6">
              <w:rPr>
                <w:b/>
                <w:bCs/>
              </w:rPr>
              <w:t>(3.5)</w:t>
            </w:r>
          </w:p>
        </w:tc>
      </w:tr>
      <w:bookmarkEnd w:id="3"/>
    </w:tbl>
    <w:p w14:paraId="296AE042" w14:textId="06BD4C8A" w:rsidR="00C214BC" w:rsidRPr="00A04685" w:rsidRDefault="00C214BC" w:rsidP="00C214BC">
      <w:pPr>
        <w:pStyle w:val="NICEnormal"/>
        <w:sectPr w:rsidR="00C214BC" w:rsidRPr="00A04685" w:rsidSect="0017149E">
          <w:headerReference w:type="default" r:id="rId10"/>
          <w:footerReference w:type="default" r:id="rId11"/>
          <w:pgSz w:w="11906" w:h="16838"/>
          <w:pgMar w:top="1440" w:right="1440" w:bottom="1440" w:left="1440" w:header="708" w:footer="708" w:gutter="0"/>
          <w:cols w:space="708"/>
          <w:docGrid w:linePitch="360"/>
        </w:sectPr>
      </w:pPr>
    </w:p>
    <w:p w14:paraId="25FDAE5D" w14:textId="6CAF25FA" w:rsidR="00C214BC" w:rsidRPr="00A04685" w:rsidRDefault="009262FA" w:rsidP="00C214BC">
      <w:pPr>
        <w:pStyle w:val="Heading1boardreport"/>
        <w:rPr>
          <w:lang w:eastAsia="en-US"/>
        </w:rPr>
      </w:pPr>
      <w:r w:rsidRPr="00A04685">
        <w:rPr>
          <w:lang w:eastAsia="en-US"/>
        </w:rPr>
        <w:lastRenderedPageBreak/>
        <w:t>Appendix B: Transformation update:</w:t>
      </w:r>
      <w:r w:rsidR="00BA2586" w:rsidRPr="00A04685">
        <w:rPr>
          <w:lang w:eastAsia="en-US"/>
        </w:rPr>
        <w:t xml:space="preserve"> February 2021</w:t>
      </w:r>
    </w:p>
    <w:p w14:paraId="26FF25E9" w14:textId="56CF324C" w:rsidR="00C214BC" w:rsidRPr="00A04685" w:rsidRDefault="009262FA" w:rsidP="00C214BC">
      <w:pPr>
        <w:pStyle w:val="Tableheadingboardreport"/>
      </w:pPr>
      <w:r w:rsidRPr="00A04685">
        <w:t xml:space="preserve">Content Expert Group 20-21 key deliverables status </w:t>
      </w:r>
    </w:p>
    <w:tbl>
      <w:tblPr>
        <w:tblpPr w:leftFromText="180" w:rightFromText="180" w:vertAnchor="text" w:horzAnchor="margin" w:tblpY="241"/>
        <w:tblW w:w="14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Expert Group 20-21 key deliverables status "/>
        <w:tblDescription w:val="Table outlining the progress and next steps for outputs of the content expert group."/>
      </w:tblPr>
      <w:tblGrid>
        <w:gridCol w:w="2547"/>
        <w:gridCol w:w="3770"/>
        <w:gridCol w:w="2892"/>
        <w:gridCol w:w="2410"/>
        <w:gridCol w:w="1276"/>
        <w:gridCol w:w="1336"/>
      </w:tblGrid>
      <w:tr w:rsidR="000C2487" w:rsidRPr="00A04685" w14:paraId="1AECD87E" w14:textId="77777777" w:rsidTr="000C2487">
        <w:trPr>
          <w:cantSplit/>
          <w:trHeight w:val="291"/>
          <w:tblHeader/>
        </w:trPr>
        <w:tc>
          <w:tcPr>
            <w:tcW w:w="2547" w:type="dxa"/>
          </w:tcPr>
          <w:p w14:paraId="7DF97143" w14:textId="69F2B0E0" w:rsidR="000C2487" w:rsidRPr="00A04685" w:rsidRDefault="000C2487" w:rsidP="00AC1045">
            <w:pPr>
              <w:pStyle w:val="Tableheadingboardreport"/>
            </w:pPr>
            <w:r w:rsidRPr="00A04685">
              <w:t>Output</w:t>
            </w:r>
          </w:p>
        </w:tc>
        <w:tc>
          <w:tcPr>
            <w:tcW w:w="3770" w:type="dxa"/>
          </w:tcPr>
          <w:p w14:paraId="3B0A0649" w14:textId="0CE820C8" w:rsidR="000C2487" w:rsidRPr="00A04685" w:rsidRDefault="000C2487" w:rsidP="00AC1045">
            <w:pPr>
              <w:pStyle w:val="Tableheadingboardreport"/>
            </w:pPr>
            <w:r w:rsidRPr="00A04685">
              <w:t>Update</w:t>
            </w:r>
          </w:p>
        </w:tc>
        <w:tc>
          <w:tcPr>
            <w:tcW w:w="2892" w:type="dxa"/>
          </w:tcPr>
          <w:p w14:paraId="0A9FF165" w14:textId="403E52CD" w:rsidR="000C2487" w:rsidRPr="00A04685" w:rsidRDefault="000C2487" w:rsidP="00AC1045">
            <w:pPr>
              <w:pStyle w:val="Tableheadingboardreport"/>
            </w:pPr>
            <w:r w:rsidRPr="00A04685">
              <w:t>Next Steps</w:t>
            </w:r>
          </w:p>
        </w:tc>
        <w:tc>
          <w:tcPr>
            <w:tcW w:w="2410" w:type="dxa"/>
          </w:tcPr>
          <w:p w14:paraId="34FC5F1F" w14:textId="31FB5A84" w:rsidR="000C2487" w:rsidRPr="00A04685" w:rsidRDefault="000C2487" w:rsidP="00AC1045">
            <w:pPr>
              <w:pStyle w:val="Tableheadingboardreport"/>
            </w:pPr>
            <w:r w:rsidRPr="00A04685">
              <w:t>Risks &amp; Issues</w:t>
            </w:r>
          </w:p>
        </w:tc>
        <w:tc>
          <w:tcPr>
            <w:tcW w:w="1276" w:type="dxa"/>
          </w:tcPr>
          <w:p w14:paraId="50DA0147" w14:textId="12CC3DD7" w:rsidR="000C2487" w:rsidRPr="00A04685" w:rsidRDefault="000C2487" w:rsidP="00AC1045">
            <w:pPr>
              <w:pStyle w:val="Tableheadingboardreport"/>
            </w:pPr>
            <w:r w:rsidRPr="00A04685">
              <w:t>Due Date</w:t>
            </w:r>
          </w:p>
        </w:tc>
        <w:tc>
          <w:tcPr>
            <w:tcW w:w="1336" w:type="dxa"/>
          </w:tcPr>
          <w:p w14:paraId="566FD28A" w14:textId="1AC02BB7" w:rsidR="000C2487" w:rsidRPr="00A04685" w:rsidRDefault="000C2487" w:rsidP="00AC1045">
            <w:pPr>
              <w:pStyle w:val="Tableheadingboardreport"/>
            </w:pPr>
            <w:r>
              <w:t xml:space="preserve">Updated </w:t>
            </w:r>
            <w:r w:rsidRPr="00A04685">
              <w:t>RAG</w:t>
            </w:r>
          </w:p>
        </w:tc>
      </w:tr>
      <w:tr w:rsidR="000C2487" w:rsidRPr="00A04685" w14:paraId="1C48026F" w14:textId="77777777" w:rsidTr="000C2487">
        <w:trPr>
          <w:trHeight w:val="291"/>
        </w:trPr>
        <w:tc>
          <w:tcPr>
            <w:tcW w:w="2547" w:type="dxa"/>
          </w:tcPr>
          <w:p w14:paraId="0B3A23E2" w14:textId="0D8657BA" w:rsidR="000C2487" w:rsidRPr="00A04685" w:rsidRDefault="000C2487" w:rsidP="00BA2586">
            <w:pPr>
              <w:pStyle w:val="Tabletext"/>
              <w:rPr>
                <w:b/>
                <w:bCs/>
              </w:rPr>
            </w:pPr>
            <w:r w:rsidRPr="00A04685">
              <w:rPr>
                <w:b/>
                <w:bCs/>
              </w:rPr>
              <w:t>Integrated Guidance</w:t>
            </w:r>
          </w:p>
        </w:tc>
        <w:tc>
          <w:tcPr>
            <w:tcW w:w="3770" w:type="dxa"/>
          </w:tcPr>
          <w:p w14:paraId="3C021F1B" w14:textId="49B17DB6" w:rsidR="000C2487" w:rsidRPr="00A04685" w:rsidRDefault="000C2487" w:rsidP="00BA2586">
            <w:pPr>
              <w:pStyle w:val="Tabletext"/>
            </w:pPr>
            <w:r w:rsidRPr="00A04685">
              <w:t>Content Design London (CDL) consultancy in place. 4 sprints completed. Three showcases delivered. Presentation given to the Board strategy meeting in February.</w:t>
            </w:r>
          </w:p>
        </w:tc>
        <w:tc>
          <w:tcPr>
            <w:tcW w:w="2892" w:type="dxa"/>
          </w:tcPr>
          <w:p w14:paraId="38701B16" w14:textId="39308343" w:rsidR="000C2487" w:rsidRPr="00A04685" w:rsidRDefault="000C2487" w:rsidP="00BA2586">
            <w:pPr>
              <w:pStyle w:val="Tabletext"/>
            </w:pPr>
            <w:r w:rsidRPr="00A04685">
              <w:t>Integrated guidance prototypes created</w:t>
            </w:r>
          </w:p>
        </w:tc>
        <w:tc>
          <w:tcPr>
            <w:tcW w:w="2410" w:type="dxa"/>
          </w:tcPr>
          <w:p w14:paraId="3FCBF163" w14:textId="15287A82" w:rsidR="000C2487" w:rsidRPr="00A04685" w:rsidRDefault="000C2487" w:rsidP="00BA2586">
            <w:pPr>
              <w:pStyle w:val="Tabletext"/>
            </w:pPr>
            <w:r w:rsidRPr="00A04685">
              <w:t>Costs of working with an external content platform provider may be prohibitive.</w:t>
            </w:r>
          </w:p>
        </w:tc>
        <w:tc>
          <w:tcPr>
            <w:tcW w:w="1276" w:type="dxa"/>
          </w:tcPr>
          <w:p w14:paraId="0DF82701" w14:textId="4CF0868C" w:rsidR="000C2487" w:rsidRPr="00A04685" w:rsidRDefault="000C2487" w:rsidP="00BA2586">
            <w:pPr>
              <w:pStyle w:val="Tabletext"/>
              <w:rPr>
                <w:b/>
                <w:bCs/>
              </w:rPr>
            </w:pPr>
            <w:r w:rsidRPr="00A04685">
              <w:rPr>
                <w:b/>
                <w:bCs/>
              </w:rPr>
              <w:t>May 2021</w:t>
            </w:r>
          </w:p>
        </w:tc>
        <w:tc>
          <w:tcPr>
            <w:tcW w:w="1336" w:type="dxa"/>
          </w:tcPr>
          <w:p w14:paraId="03FD0225" w14:textId="426680FA" w:rsidR="000C2487" w:rsidRPr="00A04685" w:rsidRDefault="000C2487" w:rsidP="00BA2586">
            <w:pPr>
              <w:pStyle w:val="Tabletext"/>
              <w:rPr>
                <w:b/>
                <w:bCs/>
              </w:rPr>
            </w:pPr>
            <w:r w:rsidRPr="00A04685">
              <w:rPr>
                <w:b/>
                <w:bCs/>
              </w:rPr>
              <w:t>Green</w:t>
            </w:r>
          </w:p>
        </w:tc>
      </w:tr>
      <w:tr w:rsidR="000C2487" w:rsidRPr="00A04685" w14:paraId="0CB638F3" w14:textId="77777777" w:rsidTr="000C2487">
        <w:trPr>
          <w:trHeight w:val="291"/>
        </w:trPr>
        <w:tc>
          <w:tcPr>
            <w:tcW w:w="2547" w:type="dxa"/>
          </w:tcPr>
          <w:p w14:paraId="1192309F" w14:textId="34F16CEB" w:rsidR="000C2487" w:rsidRPr="00A04685" w:rsidRDefault="000C2487" w:rsidP="00BA2586">
            <w:pPr>
              <w:pStyle w:val="Tabletext"/>
              <w:rPr>
                <w:b/>
                <w:bCs/>
              </w:rPr>
            </w:pPr>
            <w:r w:rsidRPr="00A04685">
              <w:rPr>
                <w:b/>
                <w:bCs/>
              </w:rPr>
              <w:t>Structured Guideline Authoring Tool</w:t>
            </w:r>
          </w:p>
        </w:tc>
        <w:tc>
          <w:tcPr>
            <w:tcW w:w="3770" w:type="dxa"/>
          </w:tcPr>
          <w:p w14:paraId="6E9979F0" w14:textId="5630A7CE" w:rsidR="000C2487" w:rsidRPr="00A04685" w:rsidRDefault="000C2487" w:rsidP="00BA2586">
            <w:pPr>
              <w:pStyle w:val="Tabletext"/>
            </w:pPr>
            <w:r w:rsidRPr="00A04685">
              <w:t>Executive Team has approved business criteria and a ‘deep dive’ assessment of shortlisted tools has also been undertaken.</w:t>
            </w:r>
          </w:p>
        </w:tc>
        <w:tc>
          <w:tcPr>
            <w:tcW w:w="2892" w:type="dxa"/>
          </w:tcPr>
          <w:p w14:paraId="10E7EB6B" w14:textId="44B9B3D2" w:rsidR="000C2487" w:rsidRPr="00A04685" w:rsidRDefault="000C2487" w:rsidP="00BA2586">
            <w:pPr>
              <w:pStyle w:val="Tabletext"/>
            </w:pPr>
            <w:r w:rsidRPr="00A04685">
              <w:t>Recommendation to Board 23 March.</w:t>
            </w:r>
          </w:p>
        </w:tc>
        <w:tc>
          <w:tcPr>
            <w:tcW w:w="2410" w:type="dxa"/>
          </w:tcPr>
          <w:p w14:paraId="2C3F2BD5" w14:textId="07BF2B80" w:rsidR="000C2487" w:rsidRPr="00A04685" w:rsidRDefault="000C2487" w:rsidP="00BA2586">
            <w:pPr>
              <w:pStyle w:val="Tabletext"/>
            </w:pPr>
            <w:r w:rsidRPr="00A04685">
              <w:t>Capacity to deliver given other priorities.</w:t>
            </w:r>
          </w:p>
        </w:tc>
        <w:tc>
          <w:tcPr>
            <w:tcW w:w="1276" w:type="dxa"/>
          </w:tcPr>
          <w:p w14:paraId="0E815A8E" w14:textId="13C16C39" w:rsidR="000C2487" w:rsidRPr="00A04685" w:rsidRDefault="000C2487" w:rsidP="00BA2586">
            <w:pPr>
              <w:pStyle w:val="Tabletext"/>
              <w:rPr>
                <w:b/>
                <w:bCs/>
              </w:rPr>
            </w:pPr>
            <w:r w:rsidRPr="00A04685">
              <w:rPr>
                <w:b/>
                <w:bCs/>
              </w:rPr>
              <w:t>Mar 2021</w:t>
            </w:r>
          </w:p>
        </w:tc>
        <w:tc>
          <w:tcPr>
            <w:tcW w:w="1336" w:type="dxa"/>
          </w:tcPr>
          <w:p w14:paraId="137BBAB4" w14:textId="084323F5" w:rsidR="000C2487" w:rsidRPr="00A04685" w:rsidRDefault="000C2487" w:rsidP="00BA2586">
            <w:pPr>
              <w:pStyle w:val="Tabletext"/>
              <w:rPr>
                <w:b/>
                <w:bCs/>
              </w:rPr>
            </w:pPr>
            <w:r w:rsidRPr="00A04685">
              <w:rPr>
                <w:b/>
                <w:bCs/>
              </w:rPr>
              <w:t>Green</w:t>
            </w:r>
          </w:p>
        </w:tc>
      </w:tr>
      <w:tr w:rsidR="000C2487" w:rsidRPr="00A04685" w14:paraId="6A36B403" w14:textId="77777777" w:rsidTr="000C2487">
        <w:trPr>
          <w:trHeight w:val="291"/>
        </w:trPr>
        <w:tc>
          <w:tcPr>
            <w:tcW w:w="2547" w:type="dxa"/>
          </w:tcPr>
          <w:p w14:paraId="45B38689" w14:textId="00D39CDD" w:rsidR="000C2487" w:rsidRPr="00A04685" w:rsidRDefault="000C2487" w:rsidP="00BA2586">
            <w:pPr>
              <w:pStyle w:val="Tabletext"/>
              <w:rPr>
                <w:b/>
                <w:bCs/>
              </w:rPr>
            </w:pPr>
            <w:r w:rsidRPr="00A04685">
              <w:rPr>
                <w:b/>
                <w:bCs/>
              </w:rPr>
              <w:t>Life Sciences Hub - discovery</w:t>
            </w:r>
          </w:p>
        </w:tc>
        <w:tc>
          <w:tcPr>
            <w:tcW w:w="3770" w:type="dxa"/>
          </w:tcPr>
          <w:p w14:paraId="2B4725EB" w14:textId="3C3994E9" w:rsidR="000C2487" w:rsidRPr="00A04685" w:rsidRDefault="000C2487" w:rsidP="00BA2586">
            <w:pPr>
              <w:pStyle w:val="Tabletext"/>
            </w:pPr>
            <w:r w:rsidRPr="00A04685">
              <w:t>The initial ‘light-touch’ discovery progressed with an internal workshop.</w:t>
            </w:r>
          </w:p>
        </w:tc>
        <w:tc>
          <w:tcPr>
            <w:tcW w:w="2892" w:type="dxa"/>
          </w:tcPr>
          <w:p w14:paraId="63867DCA" w14:textId="1B0C0C33" w:rsidR="000C2487" w:rsidRPr="00A04685" w:rsidRDefault="000C2487" w:rsidP="00BA2586">
            <w:pPr>
              <w:pStyle w:val="Tabletext"/>
            </w:pPr>
            <w:r w:rsidRPr="00A04685">
              <w:t>Feedback from the workshop will be incorporated into the road map for the development of the NICE website in the next financial year.</w:t>
            </w:r>
          </w:p>
        </w:tc>
        <w:tc>
          <w:tcPr>
            <w:tcW w:w="2410" w:type="dxa"/>
          </w:tcPr>
          <w:p w14:paraId="39948AEC" w14:textId="68365A40" w:rsidR="000C2487" w:rsidRPr="00A04685" w:rsidRDefault="000C2487" w:rsidP="00BA2586">
            <w:pPr>
              <w:pStyle w:val="Tabletext"/>
            </w:pPr>
            <w:r w:rsidRPr="00A04685">
              <w:t>May be impacted by higher priority deliverables given resource and time constraints</w:t>
            </w:r>
          </w:p>
        </w:tc>
        <w:tc>
          <w:tcPr>
            <w:tcW w:w="1276" w:type="dxa"/>
          </w:tcPr>
          <w:p w14:paraId="12A23FBA" w14:textId="4B5A4591" w:rsidR="000C2487" w:rsidRPr="00A04685" w:rsidRDefault="000C2487" w:rsidP="00BA2586">
            <w:pPr>
              <w:pStyle w:val="Tabletext"/>
              <w:rPr>
                <w:b/>
                <w:bCs/>
              </w:rPr>
            </w:pPr>
            <w:r w:rsidRPr="00A04685">
              <w:rPr>
                <w:b/>
                <w:bCs/>
              </w:rPr>
              <w:t>Q4</w:t>
            </w:r>
          </w:p>
        </w:tc>
        <w:tc>
          <w:tcPr>
            <w:tcW w:w="1336" w:type="dxa"/>
          </w:tcPr>
          <w:p w14:paraId="75737AB0" w14:textId="612BB001" w:rsidR="000C2487" w:rsidRPr="00A04685" w:rsidRDefault="000C2487" w:rsidP="00BA2586">
            <w:pPr>
              <w:pStyle w:val="Tabletext"/>
              <w:rPr>
                <w:b/>
                <w:bCs/>
              </w:rPr>
            </w:pPr>
            <w:r w:rsidRPr="00A04685">
              <w:rPr>
                <w:b/>
                <w:bCs/>
              </w:rPr>
              <w:t>Green</w:t>
            </w:r>
          </w:p>
        </w:tc>
      </w:tr>
      <w:tr w:rsidR="000C2487" w:rsidRPr="00A04685" w14:paraId="1642C596" w14:textId="77777777" w:rsidTr="000C2487">
        <w:trPr>
          <w:trHeight w:val="291"/>
        </w:trPr>
        <w:tc>
          <w:tcPr>
            <w:tcW w:w="2547" w:type="dxa"/>
          </w:tcPr>
          <w:p w14:paraId="4FA4BD84" w14:textId="17CF2C29" w:rsidR="000C2487" w:rsidRPr="00A04685" w:rsidRDefault="000C2487" w:rsidP="00BA2586">
            <w:pPr>
              <w:pStyle w:val="Tabletext"/>
              <w:rPr>
                <w:b/>
                <w:bCs/>
              </w:rPr>
            </w:pPr>
            <w:r w:rsidRPr="00A04685">
              <w:rPr>
                <w:b/>
                <w:bCs/>
              </w:rPr>
              <w:t>Cit</w:t>
            </w:r>
            <w:r>
              <w:rPr>
                <w:b/>
                <w:bCs/>
              </w:rPr>
              <w:t>e</w:t>
            </w:r>
            <w:r w:rsidRPr="00A04685">
              <w:rPr>
                <w:b/>
                <w:bCs/>
              </w:rPr>
              <w:t>able publications feasibility study</w:t>
            </w:r>
          </w:p>
        </w:tc>
        <w:tc>
          <w:tcPr>
            <w:tcW w:w="3770" w:type="dxa"/>
          </w:tcPr>
          <w:p w14:paraId="3694A62D" w14:textId="77777777" w:rsidR="000C2487" w:rsidRPr="00A04685" w:rsidRDefault="000C2487" w:rsidP="00BA2586">
            <w:pPr>
              <w:pStyle w:val="Tabletext"/>
            </w:pPr>
            <w:r w:rsidRPr="00A04685">
              <w:t>The project team has explored the options to make NICE ‘review’ content findable / citeable, including but not limited to NIHR collaboration.</w:t>
            </w:r>
          </w:p>
          <w:p w14:paraId="7FB7E97B" w14:textId="77777777" w:rsidR="000C2487" w:rsidRPr="00A04685" w:rsidRDefault="000C2487" w:rsidP="00BA2586">
            <w:pPr>
              <w:pStyle w:val="Tabletext"/>
            </w:pPr>
            <w:r w:rsidRPr="00A04685">
              <w:t xml:space="preserve"> </w:t>
            </w:r>
          </w:p>
          <w:p w14:paraId="7A8AAB5F" w14:textId="4D850B6B" w:rsidR="000C2487" w:rsidRPr="00A04685" w:rsidRDefault="000C2487" w:rsidP="00BA2586">
            <w:pPr>
              <w:pStyle w:val="Tabletext"/>
            </w:pPr>
            <w:r w:rsidRPr="00A04685">
              <w:t>Scoping exercise of content under consideration has been completed.</w:t>
            </w:r>
          </w:p>
        </w:tc>
        <w:tc>
          <w:tcPr>
            <w:tcW w:w="2892" w:type="dxa"/>
          </w:tcPr>
          <w:p w14:paraId="34DD4264" w14:textId="5961E952" w:rsidR="000C2487" w:rsidRPr="00A04685" w:rsidRDefault="000C2487" w:rsidP="00BA2586">
            <w:pPr>
              <w:pStyle w:val="Tabletext"/>
            </w:pPr>
            <w:r w:rsidRPr="00A04685">
              <w:t>Further meetings with NIHR to share more detailed baseline of content in scope and discuss next steps. Report being presented to Content Expert Group and Steering Group during March.</w:t>
            </w:r>
          </w:p>
        </w:tc>
        <w:tc>
          <w:tcPr>
            <w:tcW w:w="2410" w:type="dxa"/>
          </w:tcPr>
          <w:p w14:paraId="2748B8F1" w14:textId="1991A225" w:rsidR="000C2487" w:rsidRPr="00A04685" w:rsidRDefault="000C2487" w:rsidP="00BA2586">
            <w:pPr>
              <w:pStyle w:val="Tabletext"/>
            </w:pPr>
            <w:r w:rsidRPr="00A04685">
              <w:t>Complexity and scale of work</w:t>
            </w:r>
          </w:p>
        </w:tc>
        <w:tc>
          <w:tcPr>
            <w:tcW w:w="1276" w:type="dxa"/>
          </w:tcPr>
          <w:p w14:paraId="2BEBBB63" w14:textId="261A93F8" w:rsidR="000C2487" w:rsidRPr="00A04685" w:rsidRDefault="000C2487" w:rsidP="00BA2586">
            <w:pPr>
              <w:pStyle w:val="Tabletext"/>
              <w:rPr>
                <w:b/>
                <w:bCs/>
              </w:rPr>
            </w:pPr>
            <w:r w:rsidRPr="00A04685">
              <w:rPr>
                <w:b/>
                <w:bCs/>
              </w:rPr>
              <w:t>Q4</w:t>
            </w:r>
          </w:p>
        </w:tc>
        <w:tc>
          <w:tcPr>
            <w:tcW w:w="1336" w:type="dxa"/>
          </w:tcPr>
          <w:p w14:paraId="0D808389" w14:textId="3998F98A" w:rsidR="000C2487" w:rsidRPr="00A04685" w:rsidRDefault="000C2487" w:rsidP="00BA2586">
            <w:pPr>
              <w:pStyle w:val="Tabletext"/>
              <w:rPr>
                <w:b/>
                <w:bCs/>
              </w:rPr>
            </w:pPr>
            <w:r w:rsidRPr="00A04685">
              <w:rPr>
                <w:b/>
                <w:bCs/>
              </w:rPr>
              <w:t>Green</w:t>
            </w:r>
          </w:p>
        </w:tc>
      </w:tr>
    </w:tbl>
    <w:p w14:paraId="10C0B5A2" w14:textId="1F3212C9" w:rsidR="009262FA" w:rsidRPr="00A04685" w:rsidRDefault="009262FA" w:rsidP="00C214BC">
      <w:pPr>
        <w:pStyle w:val="Tableheadingboardreport"/>
      </w:pPr>
      <w:r w:rsidRPr="00A04685">
        <w:lastRenderedPageBreak/>
        <w:t xml:space="preserve">Data Management Expert Group 20-21 key deliverables status </w:t>
      </w:r>
    </w:p>
    <w:tbl>
      <w:tblPr>
        <w:tblpPr w:leftFromText="180" w:rightFromText="180" w:vertAnchor="text" w:horzAnchor="margin" w:tblpY="241"/>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Management Expert Group 20-21 key deliverables status"/>
        <w:tblDescription w:val="Table outlining the progress and next steps for outputs of the data management expert group."/>
      </w:tblPr>
      <w:tblGrid>
        <w:gridCol w:w="2529"/>
        <w:gridCol w:w="3791"/>
        <w:gridCol w:w="2817"/>
        <w:gridCol w:w="2488"/>
        <w:gridCol w:w="1276"/>
        <w:gridCol w:w="1369"/>
      </w:tblGrid>
      <w:tr w:rsidR="008F5015" w:rsidRPr="00A04685" w14:paraId="6C0375D8" w14:textId="77777777" w:rsidTr="008F5015">
        <w:trPr>
          <w:cantSplit/>
          <w:trHeight w:val="260"/>
          <w:tblHeader/>
        </w:trPr>
        <w:tc>
          <w:tcPr>
            <w:tcW w:w="2529" w:type="dxa"/>
          </w:tcPr>
          <w:p w14:paraId="0B808E39" w14:textId="5A7F962B" w:rsidR="008F5015" w:rsidRPr="00A04685" w:rsidRDefault="008F5015" w:rsidP="00AC1045">
            <w:pPr>
              <w:pStyle w:val="Tableheadingboardreport"/>
            </w:pPr>
            <w:r w:rsidRPr="00A04685">
              <w:t>Output</w:t>
            </w:r>
          </w:p>
        </w:tc>
        <w:tc>
          <w:tcPr>
            <w:tcW w:w="3791" w:type="dxa"/>
          </w:tcPr>
          <w:p w14:paraId="7E6E2218" w14:textId="7B69604A" w:rsidR="008F5015" w:rsidRPr="00A04685" w:rsidRDefault="008F5015" w:rsidP="00AC1045">
            <w:pPr>
              <w:pStyle w:val="Tableheadingboardreport"/>
            </w:pPr>
            <w:r w:rsidRPr="00A04685">
              <w:t>Update</w:t>
            </w:r>
          </w:p>
        </w:tc>
        <w:tc>
          <w:tcPr>
            <w:tcW w:w="2817" w:type="dxa"/>
          </w:tcPr>
          <w:p w14:paraId="621EE0DD" w14:textId="149FF930" w:rsidR="008F5015" w:rsidRPr="00A04685" w:rsidRDefault="008F5015" w:rsidP="00AC1045">
            <w:pPr>
              <w:pStyle w:val="Tableheadingboardreport"/>
            </w:pPr>
            <w:r w:rsidRPr="00A04685">
              <w:t>Next Steps</w:t>
            </w:r>
          </w:p>
        </w:tc>
        <w:tc>
          <w:tcPr>
            <w:tcW w:w="2488" w:type="dxa"/>
          </w:tcPr>
          <w:p w14:paraId="55A558B9" w14:textId="5827551E" w:rsidR="008F5015" w:rsidRPr="00A04685" w:rsidRDefault="008F5015" w:rsidP="00AC1045">
            <w:pPr>
              <w:pStyle w:val="Tableheadingboardreport"/>
            </w:pPr>
            <w:r w:rsidRPr="00A04685">
              <w:t>Risks &amp; Issues</w:t>
            </w:r>
          </w:p>
        </w:tc>
        <w:tc>
          <w:tcPr>
            <w:tcW w:w="1276" w:type="dxa"/>
          </w:tcPr>
          <w:p w14:paraId="43499443" w14:textId="77F93FF4" w:rsidR="008F5015" w:rsidRPr="00A04685" w:rsidRDefault="008F5015" w:rsidP="00AC1045">
            <w:pPr>
              <w:pStyle w:val="Tableheadingboardreport"/>
            </w:pPr>
            <w:r w:rsidRPr="00A04685">
              <w:t>Due Date</w:t>
            </w:r>
          </w:p>
        </w:tc>
        <w:tc>
          <w:tcPr>
            <w:tcW w:w="1369" w:type="dxa"/>
          </w:tcPr>
          <w:p w14:paraId="78C9AD1F" w14:textId="3F0E56E1" w:rsidR="008F5015" w:rsidRPr="00A04685" w:rsidRDefault="008F5015" w:rsidP="00AC1045">
            <w:pPr>
              <w:pStyle w:val="Tableheadingboardreport"/>
            </w:pPr>
            <w:r>
              <w:t xml:space="preserve">Updated </w:t>
            </w:r>
            <w:r w:rsidRPr="00A04685">
              <w:t>RAG</w:t>
            </w:r>
          </w:p>
        </w:tc>
      </w:tr>
      <w:tr w:rsidR="008F5015" w:rsidRPr="00A04685" w14:paraId="771B3719" w14:textId="77777777" w:rsidTr="008F5015">
        <w:trPr>
          <w:trHeight w:val="260"/>
        </w:trPr>
        <w:tc>
          <w:tcPr>
            <w:tcW w:w="2529" w:type="dxa"/>
          </w:tcPr>
          <w:p w14:paraId="5BCCDBC6" w14:textId="06BF6287" w:rsidR="008F5015" w:rsidRPr="00A04685" w:rsidRDefault="008F5015" w:rsidP="00D61839">
            <w:pPr>
              <w:pStyle w:val="Tabletext"/>
              <w:rPr>
                <w:b/>
                <w:bCs/>
              </w:rPr>
            </w:pPr>
            <w:r w:rsidRPr="00A04685">
              <w:rPr>
                <w:b/>
                <w:bCs/>
              </w:rPr>
              <w:t>SharePoint investment decision</w:t>
            </w:r>
          </w:p>
        </w:tc>
        <w:tc>
          <w:tcPr>
            <w:tcW w:w="3791" w:type="dxa"/>
          </w:tcPr>
          <w:p w14:paraId="01DB847B" w14:textId="02D141DB" w:rsidR="008F5015" w:rsidRPr="00A04685" w:rsidRDefault="008F5015" w:rsidP="00D61839">
            <w:pPr>
              <w:pStyle w:val="Tabletext"/>
            </w:pPr>
            <w:r w:rsidRPr="00A04685">
              <w:t>Programme Manager and additional consultancy support procured to contribute to next iteration of business case, vision, blueprint, and roadmap for future programme.</w:t>
            </w:r>
          </w:p>
        </w:tc>
        <w:tc>
          <w:tcPr>
            <w:tcW w:w="2817" w:type="dxa"/>
          </w:tcPr>
          <w:p w14:paraId="5D76194E" w14:textId="37243BA9" w:rsidR="008F5015" w:rsidRPr="00A04685" w:rsidRDefault="008F5015" w:rsidP="00D61839">
            <w:pPr>
              <w:pStyle w:val="Tabletext"/>
            </w:pPr>
            <w:r w:rsidRPr="00A04685">
              <w:t>Revise report and carry out quality review to enable a submission to Board in April.</w:t>
            </w:r>
          </w:p>
        </w:tc>
        <w:tc>
          <w:tcPr>
            <w:tcW w:w="2488" w:type="dxa"/>
          </w:tcPr>
          <w:p w14:paraId="16B5AF24" w14:textId="1AFDD5D5" w:rsidR="008F5015" w:rsidRPr="00A04685" w:rsidRDefault="008F5015" w:rsidP="00D61839">
            <w:pPr>
              <w:pStyle w:val="Tabletext"/>
            </w:pPr>
            <w:r w:rsidRPr="00A04685">
              <w:t>Achieving a revised submission that provides assurance and justifies approval</w:t>
            </w:r>
          </w:p>
        </w:tc>
        <w:tc>
          <w:tcPr>
            <w:tcW w:w="1276" w:type="dxa"/>
          </w:tcPr>
          <w:p w14:paraId="530CAE7A" w14:textId="44555E7D" w:rsidR="008F5015" w:rsidRPr="00A04685" w:rsidRDefault="008F5015" w:rsidP="00D61839">
            <w:pPr>
              <w:pStyle w:val="Tabletext"/>
              <w:rPr>
                <w:b/>
                <w:bCs/>
              </w:rPr>
            </w:pPr>
            <w:r w:rsidRPr="00A04685">
              <w:rPr>
                <w:b/>
                <w:bCs/>
              </w:rPr>
              <w:t>Q1 21-22</w:t>
            </w:r>
          </w:p>
        </w:tc>
        <w:tc>
          <w:tcPr>
            <w:tcW w:w="1369" w:type="dxa"/>
          </w:tcPr>
          <w:p w14:paraId="288E5337" w14:textId="1A16C37E" w:rsidR="008F5015" w:rsidRPr="00A04685" w:rsidRDefault="008F5015" w:rsidP="00D61839">
            <w:pPr>
              <w:pStyle w:val="Tabletext"/>
              <w:rPr>
                <w:b/>
                <w:bCs/>
              </w:rPr>
            </w:pPr>
            <w:r w:rsidRPr="00A04685">
              <w:rPr>
                <w:b/>
                <w:bCs/>
              </w:rPr>
              <w:t>Green</w:t>
            </w:r>
          </w:p>
        </w:tc>
      </w:tr>
      <w:tr w:rsidR="008F5015" w:rsidRPr="00A04685" w14:paraId="45E4C19F" w14:textId="77777777" w:rsidTr="008F5015">
        <w:trPr>
          <w:trHeight w:val="260"/>
        </w:trPr>
        <w:tc>
          <w:tcPr>
            <w:tcW w:w="2529" w:type="dxa"/>
          </w:tcPr>
          <w:p w14:paraId="6A1DBD47" w14:textId="77338F1C" w:rsidR="008F5015" w:rsidRPr="00A04685" w:rsidRDefault="008F5015" w:rsidP="00D61839">
            <w:pPr>
              <w:pStyle w:val="Tabletext"/>
              <w:rPr>
                <w:b/>
                <w:bCs/>
              </w:rPr>
            </w:pPr>
            <w:r w:rsidRPr="00A04685">
              <w:rPr>
                <w:b/>
                <w:bCs/>
              </w:rPr>
              <w:t>Continue roll out of next phase of comment collection tool</w:t>
            </w:r>
          </w:p>
        </w:tc>
        <w:tc>
          <w:tcPr>
            <w:tcW w:w="3791" w:type="dxa"/>
          </w:tcPr>
          <w:p w14:paraId="3E2E20B0" w14:textId="00A13BC3" w:rsidR="008F5015" w:rsidRPr="00A04685" w:rsidRDefault="008F5015" w:rsidP="00D61839">
            <w:pPr>
              <w:pStyle w:val="Tabletext"/>
            </w:pPr>
            <w:r w:rsidRPr="00A04685">
              <w:t xml:space="preserve">This is a tool to make it easier for external stakeholders to provide feedback on our consultations - public beta is underway. Work currently paused as DIT team currently working on EU Exit UK </w:t>
            </w:r>
            <w:proofErr w:type="spellStart"/>
            <w:r w:rsidRPr="00A04685">
              <w:t>PharmaScan</w:t>
            </w:r>
            <w:proofErr w:type="spellEnd"/>
            <w:r w:rsidRPr="00A04685">
              <w:t xml:space="preserve"> changes.</w:t>
            </w:r>
          </w:p>
        </w:tc>
        <w:tc>
          <w:tcPr>
            <w:tcW w:w="2817" w:type="dxa"/>
          </w:tcPr>
          <w:p w14:paraId="0AA8D908" w14:textId="25355CCB" w:rsidR="008F5015" w:rsidRPr="00A04685" w:rsidRDefault="008F5015" w:rsidP="00D61839">
            <w:pPr>
              <w:pStyle w:val="Tabletext"/>
            </w:pPr>
            <w:r w:rsidRPr="00A04685">
              <w:t>Agreed with Gold Group that the team will complete the current feature (organisational commenting) then work will temporarily pause – and be included within stakeholder projects in 21-22.</w:t>
            </w:r>
          </w:p>
        </w:tc>
        <w:tc>
          <w:tcPr>
            <w:tcW w:w="2488" w:type="dxa"/>
          </w:tcPr>
          <w:p w14:paraId="0FA68377" w14:textId="77777777" w:rsidR="008F5015" w:rsidRDefault="008F5015" w:rsidP="00D61839">
            <w:pPr>
              <w:pStyle w:val="Tabletext"/>
            </w:pPr>
          </w:p>
          <w:p w14:paraId="71004A26" w14:textId="77777777" w:rsidR="008441DB" w:rsidRDefault="008441DB" w:rsidP="00D61839">
            <w:pPr>
              <w:pStyle w:val="Tabletext"/>
            </w:pPr>
          </w:p>
          <w:p w14:paraId="0A9ABA43" w14:textId="3CE6454C" w:rsidR="008441DB" w:rsidRPr="00A04685" w:rsidRDefault="008441DB" w:rsidP="00D61839">
            <w:pPr>
              <w:pStyle w:val="Tabletext"/>
            </w:pPr>
            <w:r>
              <w:t>N/A</w:t>
            </w:r>
          </w:p>
        </w:tc>
        <w:tc>
          <w:tcPr>
            <w:tcW w:w="1276" w:type="dxa"/>
          </w:tcPr>
          <w:p w14:paraId="6CE85236" w14:textId="5653FEF0" w:rsidR="008F5015" w:rsidRPr="00A04685" w:rsidRDefault="008F5015" w:rsidP="00D61839">
            <w:pPr>
              <w:pStyle w:val="Tabletext"/>
              <w:rPr>
                <w:b/>
                <w:bCs/>
              </w:rPr>
            </w:pPr>
            <w:r w:rsidRPr="00A04685">
              <w:rPr>
                <w:b/>
                <w:bCs/>
              </w:rPr>
              <w:t>Q4</w:t>
            </w:r>
          </w:p>
        </w:tc>
        <w:tc>
          <w:tcPr>
            <w:tcW w:w="1369" w:type="dxa"/>
          </w:tcPr>
          <w:p w14:paraId="27A6D276" w14:textId="6F682676" w:rsidR="008F5015" w:rsidRPr="00A04685" w:rsidRDefault="008F5015" w:rsidP="00D61839">
            <w:pPr>
              <w:pStyle w:val="Tabletext"/>
              <w:rPr>
                <w:b/>
                <w:bCs/>
              </w:rPr>
            </w:pPr>
            <w:r w:rsidRPr="00A04685">
              <w:rPr>
                <w:b/>
                <w:bCs/>
              </w:rPr>
              <w:t>Green</w:t>
            </w:r>
          </w:p>
        </w:tc>
      </w:tr>
    </w:tbl>
    <w:p w14:paraId="13E4B18C" w14:textId="74BD358A" w:rsidR="007F048B" w:rsidRPr="00A04685" w:rsidRDefault="007F048B" w:rsidP="00C214BC">
      <w:pPr>
        <w:pStyle w:val="Tableheadingboardreport"/>
      </w:pPr>
    </w:p>
    <w:p w14:paraId="2405ECF4" w14:textId="77777777" w:rsidR="008F5015" w:rsidRDefault="008F5015">
      <w:pPr>
        <w:rPr>
          <w:rFonts w:ascii="Arial" w:hAnsi="Arial"/>
          <w:b/>
          <w:color w:val="00506A"/>
          <w:sz w:val="22"/>
        </w:rPr>
      </w:pPr>
      <w:r>
        <w:br w:type="page"/>
      </w:r>
    </w:p>
    <w:p w14:paraId="460664CA" w14:textId="2427C038" w:rsidR="007F048B" w:rsidRPr="00A04685" w:rsidRDefault="009262FA" w:rsidP="00C214BC">
      <w:pPr>
        <w:pStyle w:val="Tableheadingboardreport"/>
      </w:pPr>
      <w:r w:rsidRPr="00A04685">
        <w:lastRenderedPageBreak/>
        <w:t xml:space="preserve">Process, Methods &amp; Analytics Expert Group 20-21 key deliverables status </w:t>
      </w:r>
    </w:p>
    <w:tbl>
      <w:tblPr>
        <w:tblpPr w:leftFromText="180" w:rightFromText="180" w:vertAnchor="text" w:horzAnchor="margin" w:tblpY="241"/>
        <w:tblW w:w="1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cess, Methods &amp; Analytics Expert Group 20-21 key deliverables status"/>
        <w:tblDescription w:val="Table outlining the progress and next steps for outputs of the process, methods and analytics expert group."/>
      </w:tblPr>
      <w:tblGrid>
        <w:gridCol w:w="2547"/>
        <w:gridCol w:w="3827"/>
        <w:gridCol w:w="2835"/>
        <w:gridCol w:w="2410"/>
        <w:gridCol w:w="1276"/>
        <w:gridCol w:w="1556"/>
      </w:tblGrid>
      <w:tr w:rsidR="008F5015" w:rsidRPr="00A04685" w14:paraId="60075D40" w14:textId="77777777" w:rsidTr="008F5015">
        <w:trPr>
          <w:cantSplit/>
          <w:trHeight w:val="286"/>
          <w:tblHeader/>
        </w:trPr>
        <w:tc>
          <w:tcPr>
            <w:tcW w:w="2547" w:type="dxa"/>
          </w:tcPr>
          <w:p w14:paraId="69E44D58" w14:textId="73AAEF52" w:rsidR="008F5015" w:rsidRPr="00A04685" w:rsidRDefault="008F5015" w:rsidP="00AB4518">
            <w:pPr>
              <w:pStyle w:val="Tableheadingboardreport"/>
              <w:rPr>
                <w:b w:val="0"/>
                <w:bCs/>
              </w:rPr>
            </w:pPr>
            <w:r w:rsidRPr="00A04685">
              <w:t>Output</w:t>
            </w:r>
          </w:p>
        </w:tc>
        <w:tc>
          <w:tcPr>
            <w:tcW w:w="3827" w:type="dxa"/>
          </w:tcPr>
          <w:p w14:paraId="7ACA8EE9" w14:textId="049F9EF7" w:rsidR="008F5015" w:rsidRPr="00A04685" w:rsidRDefault="008F5015" w:rsidP="00AB4518">
            <w:pPr>
              <w:pStyle w:val="Tableheadingboardreport"/>
              <w:rPr>
                <w:b w:val="0"/>
                <w:bCs/>
              </w:rPr>
            </w:pPr>
            <w:r w:rsidRPr="00A04685">
              <w:t>Update</w:t>
            </w:r>
          </w:p>
        </w:tc>
        <w:tc>
          <w:tcPr>
            <w:tcW w:w="2835" w:type="dxa"/>
          </w:tcPr>
          <w:p w14:paraId="47D988A4" w14:textId="7AA211D0" w:rsidR="008F5015" w:rsidRPr="00A04685" w:rsidRDefault="008F5015" w:rsidP="00AB4518">
            <w:pPr>
              <w:pStyle w:val="Tableheadingboardreport"/>
              <w:rPr>
                <w:b w:val="0"/>
                <w:bCs/>
              </w:rPr>
            </w:pPr>
            <w:r w:rsidRPr="00A04685">
              <w:t>Next Steps</w:t>
            </w:r>
          </w:p>
        </w:tc>
        <w:tc>
          <w:tcPr>
            <w:tcW w:w="2410" w:type="dxa"/>
          </w:tcPr>
          <w:p w14:paraId="7F5BC920" w14:textId="36925F96" w:rsidR="008F5015" w:rsidRPr="00A04685" w:rsidRDefault="008F5015" w:rsidP="00AB4518">
            <w:pPr>
              <w:pStyle w:val="Tableheadingboardreport"/>
              <w:rPr>
                <w:b w:val="0"/>
                <w:bCs/>
              </w:rPr>
            </w:pPr>
            <w:r w:rsidRPr="00A04685">
              <w:t>Risks &amp; Issues</w:t>
            </w:r>
          </w:p>
        </w:tc>
        <w:tc>
          <w:tcPr>
            <w:tcW w:w="1276" w:type="dxa"/>
          </w:tcPr>
          <w:p w14:paraId="7F3FD0C0" w14:textId="2869BD42" w:rsidR="008F5015" w:rsidRPr="00A04685" w:rsidRDefault="008F5015" w:rsidP="00AB4518">
            <w:pPr>
              <w:pStyle w:val="Tableheadingboardreport"/>
              <w:rPr>
                <w:b w:val="0"/>
                <w:bCs/>
              </w:rPr>
            </w:pPr>
            <w:r w:rsidRPr="00A04685">
              <w:t>Due Date</w:t>
            </w:r>
          </w:p>
        </w:tc>
        <w:tc>
          <w:tcPr>
            <w:tcW w:w="1556" w:type="dxa"/>
          </w:tcPr>
          <w:p w14:paraId="4E3846F7" w14:textId="3A91E95A" w:rsidR="008F5015" w:rsidRPr="00A04685" w:rsidRDefault="008F5015" w:rsidP="00AB4518">
            <w:pPr>
              <w:pStyle w:val="Tableheadingboardreport"/>
              <w:rPr>
                <w:b w:val="0"/>
                <w:bCs/>
              </w:rPr>
            </w:pPr>
            <w:r>
              <w:t xml:space="preserve">Updated </w:t>
            </w:r>
            <w:r w:rsidRPr="00A04685">
              <w:t>RAG</w:t>
            </w:r>
          </w:p>
        </w:tc>
      </w:tr>
      <w:tr w:rsidR="008F5015" w:rsidRPr="00A04685" w14:paraId="4694EBAC" w14:textId="77777777" w:rsidTr="008F5015">
        <w:trPr>
          <w:trHeight w:val="286"/>
        </w:trPr>
        <w:tc>
          <w:tcPr>
            <w:tcW w:w="2547" w:type="dxa"/>
          </w:tcPr>
          <w:p w14:paraId="15915331" w14:textId="34FB95A4" w:rsidR="008F5015" w:rsidRPr="00A04685" w:rsidRDefault="008F5015" w:rsidP="00D61839">
            <w:pPr>
              <w:pStyle w:val="Tabletext"/>
              <w:rPr>
                <w:b/>
                <w:bCs/>
              </w:rPr>
            </w:pPr>
            <w:r w:rsidRPr="00A04685">
              <w:rPr>
                <w:b/>
                <w:bCs/>
              </w:rPr>
              <w:t>Integrated Surveillance</w:t>
            </w:r>
          </w:p>
        </w:tc>
        <w:tc>
          <w:tcPr>
            <w:tcW w:w="3827" w:type="dxa"/>
          </w:tcPr>
          <w:p w14:paraId="150BB54F" w14:textId="41A3956D" w:rsidR="008F5015" w:rsidRPr="00A04685" w:rsidRDefault="008F5015" w:rsidP="00D61839">
            <w:pPr>
              <w:pStyle w:val="Tabletext"/>
            </w:pPr>
            <w:r w:rsidRPr="00A04685">
              <w:t>4 options are being finalised including reviewing the anticipated scale and cost of organisational change for the possible future models.</w:t>
            </w:r>
          </w:p>
        </w:tc>
        <w:tc>
          <w:tcPr>
            <w:tcW w:w="2835" w:type="dxa"/>
          </w:tcPr>
          <w:p w14:paraId="7D3749FA" w14:textId="4C21091A" w:rsidR="008F5015" w:rsidRPr="00A04685" w:rsidRDefault="008F5015" w:rsidP="00D61839">
            <w:pPr>
              <w:pStyle w:val="Tabletext"/>
            </w:pPr>
            <w:r w:rsidRPr="00A04685">
              <w:t>Finalise the proposed options and present back to Expert Group on 22 March.</w:t>
            </w:r>
          </w:p>
        </w:tc>
        <w:tc>
          <w:tcPr>
            <w:tcW w:w="2410" w:type="dxa"/>
          </w:tcPr>
          <w:p w14:paraId="4D1DE817" w14:textId="0D8455C8" w:rsidR="008F5015" w:rsidRPr="00A04685" w:rsidRDefault="008F5015" w:rsidP="00D61839">
            <w:pPr>
              <w:pStyle w:val="Tabletext"/>
            </w:pPr>
            <w:r w:rsidRPr="00A04685">
              <w:t>Resistance to change and potential impact on BAU as organisational change is embedded</w:t>
            </w:r>
          </w:p>
        </w:tc>
        <w:tc>
          <w:tcPr>
            <w:tcW w:w="1276" w:type="dxa"/>
          </w:tcPr>
          <w:p w14:paraId="0F5DA655" w14:textId="1B8072CE" w:rsidR="008F5015" w:rsidRPr="00A04685" w:rsidRDefault="008F5015" w:rsidP="00D61839">
            <w:pPr>
              <w:pStyle w:val="Tabletext"/>
              <w:rPr>
                <w:b/>
                <w:bCs/>
              </w:rPr>
            </w:pPr>
            <w:r w:rsidRPr="00A04685">
              <w:rPr>
                <w:b/>
                <w:bCs/>
              </w:rPr>
              <w:t>Q4</w:t>
            </w:r>
          </w:p>
        </w:tc>
        <w:tc>
          <w:tcPr>
            <w:tcW w:w="1556" w:type="dxa"/>
          </w:tcPr>
          <w:p w14:paraId="16C2B48B" w14:textId="221E73A8" w:rsidR="008F5015" w:rsidRPr="00A04685" w:rsidRDefault="008F5015" w:rsidP="00D61839">
            <w:pPr>
              <w:pStyle w:val="Tabletext"/>
              <w:rPr>
                <w:b/>
                <w:bCs/>
              </w:rPr>
            </w:pPr>
            <w:r w:rsidRPr="00A04685">
              <w:rPr>
                <w:b/>
                <w:bCs/>
              </w:rPr>
              <w:t>Green</w:t>
            </w:r>
          </w:p>
        </w:tc>
      </w:tr>
      <w:tr w:rsidR="008F5015" w:rsidRPr="00A04685" w14:paraId="5BC8D4B5" w14:textId="77777777" w:rsidTr="008F5015">
        <w:trPr>
          <w:trHeight w:val="286"/>
        </w:trPr>
        <w:tc>
          <w:tcPr>
            <w:tcW w:w="2547" w:type="dxa"/>
          </w:tcPr>
          <w:p w14:paraId="4E2E36F2" w14:textId="32A88653" w:rsidR="008F5015" w:rsidRPr="00A04685" w:rsidRDefault="008F5015" w:rsidP="00D61839">
            <w:pPr>
              <w:pStyle w:val="Tabletext"/>
              <w:rPr>
                <w:b/>
                <w:bCs/>
              </w:rPr>
            </w:pPr>
            <w:r w:rsidRPr="00A04685">
              <w:rPr>
                <w:b/>
                <w:bCs/>
              </w:rPr>
              <w:t>CHTE updated methods &amp; processes</w:t>
            </w:r>
          </w:p>
        </w:tc>
        <w:tc>
          <w:tcPr>
            <w:tcW w:w="3827" w:type="dxa"/>
          </w:tcPr>
          <w:p w14:paraId="6D34E93D" w14:textId="77777777" w:rsidR="008F5015" w:rsidRPr="00A04685" w:rsidRDefault="008F5015" w:rsidP="00E7712F">
            <w:pPr>
              <w:pStyle w:val="Tabletext"/>
            </w:pPr>
            <w:r w:rsidRPr="00A04685">
              <w:t>Board approval to start processes consultation which is now underway until 15 April.</w:t>
            </w:r>
          </w:p>
          <w:p w14:paraId="13444C75" w14:textId="6683E6AA" w:rsidR="008F5015" w:rsidRPr="00A04685" w:rsidRDefault="008F5015" w:rsidP="00E7712F">
            <w:pPr>
              <w:pStyle w:val="Tabletext"/>
            </w:pPr>
            <w:r w:rsidRPr="00A04685">
              <w:t>Collaborated with CMA team &amp; NHS E on requirements and changes to commercial processes.</w:t>
            </w:r>
          </w:p>
        </w:tc>
        <w:tc>
          <w:tcPr>
            <w:tcW w:w="2835" w:type="dxa"/>
          </w:tcPr>
          <w:p w14:paraId="2A1CAC2D" w14:textId="77777777" w:rsidR="008F5015" w:rsidRPr="00A04685" w:rsidRDefault="008F5015" w:rsidP="00E7712F">
            <w:pPr>
              <w:pStyle w:val="Tabletext"/>
            </w:pPr>
            <w:r w:rsidRPr="00A04685">
              <w:t>Stakeholder webinar on HST.</w:t>
            </w:r>
          </w:p>
          <w:p w14:paraId="3E35DD13" w14:textId="47307C48" w:rsidR="008F5015" w:rsidRPr="00A04685" w:rsidRDefault="008F5015" w:rsidP="00E7712F">
            <w:pPr>
              <w:pStyle w:val="Tabletext"/>
            </w:pPr>
            <w:r w:rsidRPr="00A04685">
              <w:t>Continue process alignment and progress towards revised manual for publication in Oct 21.</w:t>
            </w:r>
          </w:p>
        </w:tc>
        <w:tc>
          <w:tcPr>
            <w:tcW w:w="2410" w:type="dxa"/>
          </w:tcPr>
          <w:p w14:paraId="336F0110" w14:textId="7486C5A8" w:rsidR="008F5015" w:rsidRPr="00A04685" w:rsidRDefault="008F5015" w:rsidP="00D61839">
            <w:pPr>
              <w:pStyle w:val="Tabletext"/>
            </w:pPr>
            <w:r w:rsidRPr="00A04685">
              <w:t>Potential impact of the end of the EU transition period</w:t>
            </w:r>
          </w:p>
        </w:tc>
        <w:tc>
          <w:tcPr>
            <w:tcW w:w="1276" w:type="dxa"/>
          </w:tcPr>
          <w:p w14:paraId="44889083" w14:textId="28710513" w:rsidR="008F5015" w:rsidRPr="00A04685" w:rsidRDefault="008F5015" w:rsidP="00D61839">
            <w:pPr>
              <w:pStyle w:val="Tabletext"/>
              <w:rPr>
                <w:b/>
                <w:bCs/>
              </w:rPr>
            </w:pPr>
            <w:r w:rsidRPr="00A04685">
              <w:rPr>
                <w:b/>
                <w:bCs/>
              </w:rPr>
              <w:t>Oct 21</w:t>
            </w:r>
          </w:p>
        </w:tc>
        <w:tc>
          <w:tcPr>
            <w:tcW w:w="1556" w:type="dxa"/>
          </w:tcPr>
          <w:p w14:paraId="461CD94A" w14:textId="7DB47AB2" w:rsidR="008F5015" w:rsidRPr="00A04685" w:rsidRDefault="008F5015" w:rsidP="00D61839">
            <w:pPr>
              <w:pStyle w:val="Tabletext"/>
              <w:rPr>
                <w:b/>
                <w:bCs/>
              </w:rPr>
            </w:pPr>
            <w:r w:rsidRPr="00A04685">
              <w:rPr>
                <w:b/>
                <w:bCs/>
              </w:rPr>
              <w:t>Green</w:t>
            </w:r>
          </w:p>
        </w:tc>
      </w:tr>
      <w:tr w:rsidR="008F5015" w:rsidRPr="00A04685" w14:paraId="47EAACD5" w14:textId="77777777" w:rsidTr="008F5015">
        <w:trPr>
          <w:trHeight w:val="286"/>
        </w:trPr>
        <w:tc>
          <w:tcPr>
            <w:tcW w:w="2547" w:type="dxa"/>
          </w:tcPr>
          <w:p w14:paraId="5A2201A5" w14:textId="0635FE84" w:rsidR="008F5015" w:rsidRPr="00A04685" w:rsidRDefault="008F5015" w:rsidP="00D61839">
            <w:pPr>
              <w:pStyle w:val="Tabletext"/>
              <w:rPr>
                <w:b/>
                <w:bCs/>
              </w:rPr>
            </w:pPr>
            <w:r w:rsidRPr="00A04685">
              <w:rPr>
                <w:b/>
                <w:bCs/>
              </w:rPr>
              <w:t>NICE-wide consultation activities (for guidance products)</w:t>
            </w:r>
          </w:p>
        </w:tc>
        <w:tc>
          <w:tcPr>
            <w:tcW w:w="3827" w:type="dxa"/>
          </w:tcPr>
          <w:p w14:paraId="2C7A1EA7" w14:textId="0317F298" w:rsidR="008F5015" w:rsidRPr="00A04685" w:rsidRDefault="008F5015" w:rsidP="00D61839">
            <w:pPr>
              <w:pStyle w:val="Tabletext"/>
            </w:pPr>
            <w:r w:rsidRPr="00A04685">
              <w:t>Phases 1&amp;2 (benchmarking and ‘as is’ process) running in parallel.</w:t>
            </w:r>
          </w:p>
        </w:tc>
        <w:tc>
          <w:tcPr>
            <w:tcW w:w="2835" w:type="dxa"/>
          </w:tcPr>
          <w:p w14:paraId="63F6C681" w14:textId="52EFB80E" w:rsidR="008F5015" w:rsidRPr="00A04685" w:rsidRDefault="008F5015" w:rsidP="00D61839">
            <w:pPr>
              <w:pStyle w:val="Tabletext"/>
            </w:pPr>
            <w:r w:rsidRPr="00A04685">
              <w:t>Complete phases 1&amp;2 and present recommendations for change.</w:t>
            </w:r>
          </w:p>
        </w:tc>
        <w:tc>
          <w:tcPr>
            <w:tcW w:w="2410" w:type="dxa"/>
          </w:tcPr>
          <w:p w14:paraId="0D2A3AE7" w14:textId="1D605CA0" w:rsidR="008F5015" w:rsidRPr="00A04685" w:rsidRDefault="008F5015" w:rsidP="00D61839">
            <w:pPr>
              <w:pStyle w:val="Tabletext"/>
            </w:pPr>
            <w:r w:rsidRPr="00A04685">
              <w:t>Maintaining sufficient resource to complete work within timescale</w:t>
            </w:r>
          </w:p>
        </w:tc>
        <w:tc>
          <w:tcPr>
            <w:tcW w:w="1276" w:type="dxa"/>
          </w:tcPr>
          <w:p w14:paraId="282262F2" w14:textId="69442C4A" w:rsidR="008F5015" w:rsidRPr="00A04685" w:rsidRDefault="008F5015" w:rsidP="00D61839">
            <w:pPr>
              <w:pStyle w:val="Tabletext"/>
              <w:rPr>
                <w:b/>
                <w:bCs/>
              </w:rPr>
            </w:pPr>
            <w:r w:rsidRPr="00A04685">
              <w:rPr>
                <w:b/>
                <w:bCs/>
              </w:rPr>
              <w:t>May 21</w:t>
            </w:r>
          </w:p>
        </w:tc>
        <w:tc>
          <w:tcPr>
            <w:tcW w:w="1556" w:type="dxa"/>
          </w:tcPr>
          <w:p w14:paraId="4A3AAC24" w14:textId="0C6D6B90" w:rsidR="008F5015" w:rsidRPr="00A04685" w:rsidRDefault="008F5015" w:rsidP="00D61839">
            <w:pPr>
              <w:pStyle w:val="Tabletext"/>
              <w:rPr>
                <w:b/>
                <w:bCs/>
              </w:rPr>
            </w:pPr>
            <w:r w:rsidRPr="00A04685">
              <w:rPr>
                <w:b/>
                <w:bCs/>
              </w:rPr>
              <w:t>Green</w:t>
            </w:r>
          </w:p>
        </w:tc>
      </w:tr>
      <w:tr w:rsidR="008F5015" w:rsidRPr="00A04685" w14:paraId="42DAD83A" w14:textId="77777777" w:rsidTr="008F5015">
        <w:trPr>
          <w:trHeight w:val="286"/>
        </w:trPr>
        <w:tc>
          <w:tcPr>
            <w:tcW w:w="2547" w:type="dxa"/>
          </w:tcPr>
          <w:p w14:paraId="10F5335C" w14:textId="6071B1B1" w:rsidR="008F5015" w:rsidRPr="00A04685" w:rsidRDefault="008F5015" w:rsidP="00D61839">
            <w:pPr>
              <w:pStyle w:val="Tabletext"/>
              <w:rPr>
                <w:b/>
                <w:bCs/>
              </w:rPr>
            </w:pPr>
            <w:r w:rsidRPr="00A04685">
              <w:rPr>
                <w:b/>
                <w:bCs/>
              </w:rPr>
              <w:t>Data &amp; Analytics methods &amp; standards framework</w:t>
            </w:r>
          </w:p>
        </w:tc>
        <w:tc>
          <w:tcPr>
            <w:tcW w:w="3827" w:type="dxa"/>
          </w:tcPr>
          <w:p w14:paraId="47709412" w14:textId="1D31B935" w:rsidR="008F5015" w:rsidRPr="00A04685" w:rsidRDefault="008F5015" w:rsidP="00D61839">
            <w:pPr>
              <w:pStyle w:val="Tabletext"/>
            </w:pPr>
            <w:r w:rsidRPr="00A04685">
              <w:t>Board approved the delivery plan on 27 Jan for the Methods and Standards Programme.</w:t>
            </w:r>
          </w:p>
        </w:tc>
        <w:tc>
          <w:tcPr>
            <w:tcW w:w="2835" w:type="dxa"/>
          </w:tcPr>
          <w:p w14:paraId="44ED4C2F" w14:textId="5A57E985" w:rsidR="008F5015" w:rsidRPr="00A04685" w:rsidRDefault="008F5015" w:rsidP="00D61839">
            <w:pPr>
              <w:pStyle w:val="Tabletext"/>
            </w:pPr>
            <w:r w:rsidRPr="00A04685">
              <w:t>Recruitment of the wider programme team, and call for engagement and contributions from academia, industry, and wider system partners.</w:t>
            </w:r>
          </w:p>
        </w:tc>
        <w:tc>
          <w:tcPr>
            <w:tcW w:w="2410" w:type="dxa"/>
          </w:tcPr>
          <w:p w14:paraId="5E907227" w14:textId="015898B7" w:rsidR="008F5015" w:rsidRPr="00A04685" w:rsidRDefault="008F5015" w:rsidP="00D61839">
            <w:pPr>
              <w:pStyle w:val="Tabletext"/>
            </w:pPr>
            <w:r w:rsidRPr="00A04685">
              <w:t>Delays in recruitment or start dates due to notice periods</w:t>
            </w:r>
          </w:p>
        </w:tc>
        <w:tc>
          <w:tcPr>
            <w:tcW w:w="1276" w:type="dxa"/>
          </w:tcPr>
          <w:p w14:paraId="66781C28" w14:textId="37DE87ED" w:rsidR="008F5015" w:rsidRPr="00A04685" w:rsidRDefault="008F5015" w:rsidP="00D61839">
            <w:pPr>
              <w:pStyle w:val="Tabletext"/>
              <w:rPr>
                <w:b/>
                <w:bCs/>
              </w:rPr>
            </w:pPr>
            <w:r w:rsidRPr="00A04685">
              <w:rPr>
                <w:b/>
                <w:bCs/>
              </w:rPr>
              <w:t>Q4</w:t>
            </w:r>
          </w:p>
        </w:tc>
        <w:tc>
          <w:tcPr>
            <w:tcW w:w="1556" w:type="dxa"/>
          </w:tcPr>
          <w:p w14:paraId="28DD0A24" w14:textId="2630CB61" w:rsidR="008F5015" w:rsidRPr="00A04685" w:rsidRDefault="008F5015" w:rsidP="00D61839">
            <w:pPr>
              <w:pStyle w:val="Tabletext"/>
              <w:rPr>
                <w:b/>
                <w:bCs/>
              </w:rPr>
            </w:pPr>
            <w:r w:rsidRPr="00A04685">
              <w:rPr>
                <w:b/>
                <w:bCs/>
              </w:rPr>
              <w:t>Green</w:t>
            </w:r>
          </w:p>
        </w:tc>
      </w:tr>
    </w:tbl>
    <w:p w14:paraId="50B2794D" w14:textId="77777777" w:rsidR="00AB4518" w:rsidRPr="00A04685" w:rsidRDefault="00AB4518" w:rsidP="00C214BC">
      <w:pPr>
        <w:pStyle w:val="Tableheadingboardreport"/>
      </w:pPr>
    </w:p>
    <w:p w14:paraId="38C197CF" w14:textId="77777777" w:rsidR="001903B5" w:rsidRPr="00A04685" w:rsidRDefault="001903B5" w:rsidP="001903B5">
      <w:pPr>
        <w:pStyle w:val="NICEnormal"/>
      </w:pPr>
      <w:r w:rsidRPr="00A04685">
        <w:t xml:space="preserve">© NICE 2021. All rights reserved. </w:t>
      </w:r>
      <w:hyperlink r:id="rId12" w:anchor="notice-of-rights" w:history="1">
        <w:r w:rsidRPr="00A04685">
          <w:rPr>
            <w:rStyle w:val="Hyperlink"/>
          </w:rPr>
          <w:t>Subject to Notice of rights</w:t>
        </w:r>
      </w:hyperlink>
      <w:r w:rsidRPr="00A04685">
        <w:t>.</w:t>
      </w:r>
    </w:p>
    <w:p w14:paraId="39841B0D" w14:textId="59B2FED6" w:rsidR="00CC0F37" w:rsidRDefault="00D61839" w:rsidP="008D2418">
      <w:pPr>
        <w:pStyle w:val="NICEnormal"/>
      </w:pPr>
      <w:r w:rsidRPr="00A04685">
        <w:t>March</w:t>
      </w:r>
      <w:r w:rsidR="001903B5" w:rsidRPr="00A04685">
        <w:t xml:space="preserve"> 2021</w:t>
      </w:r>
    </w:p>
    <w:sectPr w:rsidR="00CC0F37" w:rsidSect="001903B5">
      <w:headerReference w:type="default" r:id="rId13"/>
      <w:footerReference w:type="default" r:id="rId14"/>
      <w:pgSz w:w="16840" w:h="11907" w:orient="landscape" w:code="9"/>
      <w:pgMar w:top="1797" w:right="1440" w:bottom="179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7DFBF" w14:textId="77777777" w:rsidR="00375F98" w:rsidRDefault="00375F98">
      <w:r>
        <w:separator/>
      </w:r>
    </w:p>
  </w:endnote>
  <w:endnote w:type="continuationSeparator" w:id="0">
    <w:p w14:paraId="417B9D3A" w14:textId="77777777" w:rsidR="00375F98" w:rsidRDefault="0037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8AF12" w14:textId="77777777" w:rsidR="00F33119" w:rsidRPr="00BA589F" w:rsidRDefault="00F33119" w:rsidP="00F33119">
    <w:pPr>
      <w:pStyle w:val="Footer"/>
    </w:pPr>
    <w:r w:rsidRPr="00BA589F">
      <w:t>National Institute for Health and Care Excellence</w:t>
    </w:r>
    <w:r w:rsidRPr="00BA589F">
      <w:tab/>
    </w:r>
    <w:r w:rsidRPr="00BA589F">
      <w:tab/>
      <w:t xml:space="preserve">Page </w:t>
    </w:r>
    <w:r w:rsidRPr="00BA589F">
      <w:fldChar w:fldCharType="begin"/>
    </w:r>
    <w:r w:rsidRPr="00BA589F">
      <w:instrText xml:space="preserve"> PAGE  \* Arabic  \* MERGEFORMAT </w:instrText>
    </w:r>
    <w:r w:rsidRPr="00BA589F">
      <w:fldChar w:fldCharType="separate"/>
    </w:r>
    <w:r w:rsidRPr="00BA589F">
      <w:t>1</w:t>
    </w:r>
    <w:r w:rsidRPr="00BA589F">
      <w:fldChar w:fldCharType="end"/>
    </w:r>
    <w:r w:rsidRPr="00BA589F">
      <w:t xml:space="preserve"> of </w:t>
    </w:r>
    <w:r w:rsidR="008441DB">
      <w:fldChar w:fldCharType="begin"/>
    </w:r>
    <w:r w:rsidR="008441DB">
      <w:instrText xml:space="preserve"> NUMPAGES  \* Arabic  \* MERGEFORMAT </w:instrText>
    </w:r>
    <w:r w:rsidR="008441DB">
      <w:fldChar w:fldCharType="separate"/>
    </w:r>
    <w:r w:rsidRPr="00BA589F">
      <w:t>6</w:t>
    </w:r>
    <w:r w:rsidR="008441DB">
      <w:fldChar w:fldCharType="end"/>
    </w:r>
  </w:p>
  <w:p w14:paraId="2DB0E8AF" w14:textId="0CF09E49" w:rsidR="00F33119" w:rsidRPr="00A70E85" w:rsidRDefault="001A6F90" w:rsidP="00F33119">
    <w:pPr>
      <w:pStyle w:val="Footer"/>
    </w:pPr>
    <w:r w:rsidRPr="00A70E85">
      <w:t>Resources Report</w:t>
    </w:r>
    <w:r w:rsidR="00F33119" w:rsidRPr="00A70E85">
      <w:tab/>
    </w:r>
  </w:p>
  <w:p w14:paraId="76DB3C51" w14:textId="5E65C2E6" w:rsidR="00F33119" w:rsidRPr="00A70E85" w:rsidRDefault="00A70E85" w:rsidP="00F33119">
    <w:pPr>
      <w:pStyle w:val="Footer"/>
    </w:pPr>
    <w:r w:rsidRPr="00A70E85">
      <w:t>Date: 24 March 2021</w:t>
    </w:r>
  </w:p>
  <w:p w14:paraId="53A5D8D9" w14:textId="391188B4" w:rsidR="00EB1C36" w:rsidRPr="00F33119" w:rsidRDefault="00F33119" w:rsidP="00F33119">
    <w:pPr>
      <w:pStyle w:val="Footer"/>
    </w:pPr>
    <w:r w:rsidRPr="00A70E85">
      <w:t>Reference</w:t>
    </w:r>
    <w:r w:rsidR="00A70E85" w:rsidRPr="00A70E85">
      <w:t>: 21/0</w:t>
    </w:r>
    <w:r w:rsidR="00380C4E">
      <w:t>29</w:t>
    </w:r>
    <w:r w:rsidRPr="00A70E8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765F8" w14:textId="3113E211" w:rsidR="00A70E85" w:rsidRPr="00BA589F" w:rsidRDefault="00A70E85" w:rsidP="00F33119">
    <w:pPr>
      <w:pStyle w:val="Footer"/>
    </w:pPr>
    <w:r w:rsidRPr="00BA589F">
      <w:t>National Institute for Health and Care Excellence</w:t>
    </w:r>
    <w:r w:rsidRPr="00BA589F">
      <w:tab/>
    </w:r>
    <w:r w:rsidRPr="00BA589F">
      <w:tab/>
    </w:r>
    <w:r>
      <w:tab/>
    </w:r>
    <w:r>
      <w:tab/>
    </w:r>
    <w:r>
      <w:tab/>
    </w:r>
    <w:r>
      <w:tab/>
    </w:r>
    <w:r>
      <w:tab/>
    </w:r>
    <w:r>
      <w:tab/>
    </w:r>
    <w:r>
      <w:tab/>
    </w:r>
    <w:r w:rsidRPr="00BA589F">
      <w:t xml:space="preserve">Page </w:t>
    </w:r>
    <w:r w:rsidRPr="00BA589F">
      <w:fldChar w:fldCharType="begin"/>
    </w:r>
    <w:r w:rsidRPr="00BA589F">
      <w:instrText xml:space="preserve"> PAGE  \* Arabic  \* MERGEFORMAT </w:instrText>
    </w:r>
    <w:r w:rsidRPr="00BA589F">
      <w:fldChar w:fldCharType="separate"/>
    </w:r>
    <w:r w:rsidRPr="00BA589F">
      <w:t>1</w:t>
    </w:r>
    <w:r w:rsidRPr="00BA589F">
      <w:fldChar w:fldCharType="end"/>
    </w:r>
    <w:r w:rsidRPr="00BA589F">
      <w:t xml:space="preserve"> of </w:t>
    </w:r>
    <w:fldSimple w:instr=" NUMPAGES  \* Arabic  \* MERGEFORMAT ">
      <w:r w:rsidRPr="00BA589F">
        <w:t>6</w:t>
      </w:r>
    </w:fldSimple>
  </w:p>
  <w:p w14:paraId="782F9768" w14:textId="77777777" w:rsidR="00A70E85" w:rsidRPr="00A70E85" w:rsidRDefault="00A70E85" w:rsidP="00F33119">
    <w:pPr>
      <w:pStyle w:val="Footer"/>
    </w:pPr>
    <w:r w:rsidRPr="00A70E85">
      <w:t>Resources Report</w:t>
    </w:r>
    <w:r w:rsidRPr="00A70E85">
      <w:tab/>
    </w:r>
  </w:p>
  <w:p w14:paraId="54D07973" w14:textId="77777777" w:rsidR="00A70E85" w:rsidRPr="00A70E85" w:rsidRDefault="00A70E85" w:rsidP="00F33119">
    <w:pPr>
      <w:pStyle w:val="Footer"/>
    </w:pPr>
    <w:r w:rsidRPr="00A70E85">
      <w:t>Date: 24 March 2021</w:t>
    </w:r>
  </w:p>
  <w:p w14:paraId="5CD0169A" w14:textId="6329E06B" w:rsidR="00A70E85" w:rsidRPr="00F33119" w:rsidRDefault="00A70E85" w:rsidP="00F33119">
    <w:pPr>
      <w:pStyle w:val="Footer"/>
    </w:pPr>
    <w:r w:rsidRPr="00A70E85">
      <w:t>Reference: 21/0</w:t>
    </w:r>
    <w:r w:rsidR="00380C4E">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C06B7" w14:textId="77777777" w:rsidR="00375F98" w:rsidRDefault="00375F98">
      <w:r>
        <w:separator/>
      </w:r>
    </w:p>
  </w:footnote>
  <w:footnote w:type="continuationSeparator" w:id="0">
    <w:p w14:paraId="4872F4CD" w14:textId="77777777" w:rsidR="00375F98" w:rsidRDefault="0037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B4942" w14:textId="1CBD2543" w:rsidR="002F15CF" w:rsidRPr="000578E2" w:rsidRDefault="002F15CF" w:rsidP="002F15CF">
    <w:pPr>
      <w:pStyle w:val="Header"/>
    </w:pPr>
    <w:r w:rsidRPr="000578E2">
      <w:tab/>
      <w:t xml:space="preserve">Item </w:t>
    </w:r>
    <w:r w:rsidR="00A70E85">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BDA9" w14:textId="131ED2D2" w:rsidR="00EB1C36" w:rsidRPr="002F15CF" w:rsidRDefault="002F15CF" w:rsidP="002F15CF">
    <w:pPr>
      <w:pStyle w:val="Header"/>
      <w:ind w:left="0"/>
      <w:jc w:val="right"/>
    </w:pPr>
    <w:r w:rsidRPr="00F07534">
      <w:t xml:space="preserve">Item </w:t>
    </w:r>
    <w:r w:rsidR="00A70E85">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78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222CB"/>
    <w:multiLevelType w:val="hybridMultilevel"/>
    <w:tmpl w:val="25F46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0"/>
  </w:num>
  <w:num w:numId="17">
    <w:abstractNumId w:val="1"/>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3"/>
  </w:num>
  <w:num w:numId="26">
    <w:abstractNumId w:val="3"/>
  </w:num>
  <w:num w:numId="27">
    <w:abstractNumId w:val="3"/>
    <w:lvlOverride w:ilvl="0">
      <w:startOverride w:val="1"/>
    </w:lvlOverride>
  </w:num>
  <w:num w:numId="28">
    <w:abstractNumId w:val="3"/>
  </w:num>
  <w:num w:numId="29">
    <w:abstractNumId w:val="3"/>
  </w:num>
  <w:num w:numId="3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98"/>
    <w:rsid w:val="000119FB"/>
    <w:rsid w:val="0001264D"/>
    <w:rsid w:val="00014DBD"/>
    <w:rsid w:val="000179C5"/>
    <w:rsid w:val="000242AA"/>
    <w:rsid w:val="00026A4C"/>
    <w:rsid w:val="000276B8"/>
    <w:rsid w:val="00033C3D"/>
    <w:rsid w:val="0005389F"/>
    <w:rsid w:val="000578E2"/>
    <w:rsid w:val="00070CA3"/>
    <w:rsid w:val="0008202A"/>
    <w:rsid w:val="000844B8"/>
    <w:rsid w:val="000859D3"/>
    <w:rsid w:val="00090479"/>
    <w:rsid w:val="00096B21"/>
    <w:rsid w:val="000A1EC0"/>
    <w:rsid w:val="000B382E"/>
    <w:rsid w:val="000B3FCE"/>
    <w:rsid w:val="000B6695"/>
    <w:rsid w:val="000C2487"/>
    <w:rsid w:val="000C4168"/>
    <w:rsid w:val="000C54BC"/>
    <w:rsid w:val="000C700D"/>
    <w:rsid w:val="000E6C5F"/>
    <w:rsid w:val="00101F34"/>
    <w:rsid w:val="001172E1"/>
    <w:rsid w:val="001219F1"/>
    <w:rsid w:val="00123D3F"/>
    <w:rsid w:val="001271A9"/>
    <w:rsid w:val="00131EB8"/>
    <w:rsid w:val="00146065"/>
    <w:rsid w:val="00161AA0"/>
    <w:rsid w:val="001663D9"/>
    <w:rsid w:val="001727F1"/>
    <w:rsid w:val="00176A69"/>
    <w:rsid w:val="00184700"/>
    <w:rsid w:val="001903B5"/>
    <w:rsid w:val="0019503B"/>
    <w:rsid w:val="00197358"/>
    <w:rsid w:val="001A6F90"/>
    <w:rsid w:val="001B0506"/>
    <w:rsid w:val="001B593F"/>
    <w:rsid w:val="001B737F"/>
    <w:rsid w:val="001C032E"/>
    <w:rsid w:val="001C199B"/>
    <w:rsid w:val="001C39BF"/>
    <w:rsid w:val="001D0D29"/>
    <w:rsid w:val="001E6EA3"/>
    <w:rsid w:val="001F6B1D"/>
    <w:rsid w:val="00214E8F"/>
    <w:rsid w:val="002169E7"/>
    <w:rsid w:val="00235CAB"/>
    <w:rsid w:val="0024275B"/>
    <w:rsid w:val="00251D56"/>
    <w:rsid w:val="002526E6"/>
    <w:rsid w:val="002535B1"/>
    <w:rsid w:val="002713F9"/>
    <w:rsid w:val="0027431A"/>
    <w:rsid w:val="00287745"/>
    <w:rsid w:val="002A0B7D"/>
    <w:rsid w:val="002A2BF8"/>
    <w:rsid w:val="002A3712"/>
    <w:rsid w:val="002C3FAA"/>
    <w:rsid w:val="002D175C"/>
    <w:rsid w:val="002D56CA"/>
    <w:rsid w:val="002F15CF"/>
    <w:rsid w:val="002F348E"/>
    <w:rsid w:val="002F3E8D"/>
    <w:rsid w:val="003101B3"/>
    <w:rsid w:val="00313FFC"/>
    <w:rsid w:val="0031664C"/>
    <w:rsid w:val="0032570E"/>
    <w:rsid w:val="00325C88"/>
    <w:rsid w:val="00327B6F"/>
    <w:rsid w:val="00330ACC"/>
    <w:rsid w:val="00331CD2"/>
    <w:rsid w:val="003330E6"/>
    <w:rsid w:val="003366C3"/>
    <w:rsid w:val="00336BE2"/>
    <w:rsid w:val="00350D6E"/>
    <w:rsid w:val="00353D3E"/>
    <w:rsid w:val="00362226"/>
    <w:rsid w:val="00363772"/>
    <w:rsid w:val="0037147B"/>
    <w:rsid w:val="00371C58"/>
    <w:rsid w:val="003728EA"/>
    <w:rsid w:val="00375F98"/>
    <w:rsid w:val="0037676F"/>
    <w:rsid w:val="00377E36"/>
    <w:rsid w:val="00380C4E"/>
    <w:rsid w:val="003814B7"/>
    <w:rsid w:val="0038661C"/>
    <w:rsid w:val="003948C1"/>
    <w:rsid w:val="003A0674"/>
    <w:rsid w:val="003A16C7"/>
    <w:rsid w:val="003A2488"/>
    <w:rsid w:val="003B1379"/>
    <w:rsid w:val="003B30BC"/>
    <w:rsid w:val="003C36AC"/>
    <w:rsid w:val="003C62C1"/>
    <w:rsid w:val="003C6573"/>
    <w:rsid w:val="003D2094"/>
    <w:rsid w:val="003D32D5"/>
    <w:rsid w:val="003E48CE"/>
    <w:rsid w:val="003F5656"/>
    <w:rsid w:val="003F7C7E"/>
    <w:rsid w:val="00412439"/>
    <w:rsid w:val="00422CAA"/>
    <w:rsid w:val="00441BB7"/>
    <w:rsid w:val="00445D8B"/>
    <w:rsid w:val="004519B2"/>
    <w:rsid w:val="00453FF9"/>
    <w:rsid w:val="00461997"/>
    <w:rsid w:val="00475774"/>
    <w:rsid w:val="004820E9"/>
    <w:rsid w:val="0048361F"/>
    <w:rsid w:val="00484FE9"/>
    <w:rsid w:val="0048535F"/>
    <w:rsid w:val="00485B88"/>
    <w:rsid w:val="0048668D"/>
    <w:rsid w:val="00487BB1"/>
    <w:rsid w:val="004914C0"/>
    <w:rsid w:val="004B514C"/>
    <w:rsid w:val="004C3FF5"/>
    <w:rsid w:val="004C612D"/>
    <w:rsid w:val="004D3DAD"/>
    <w:rsid w:val="004D6FFA"/>
    <w:rsid w:val="004E3855"/>
    <w:rsid w:val="004E5BC7"/>
    <w:rsid w:val="004E6370"/>
    <w:rsid w:val="004F72DF"/>
    <w:rsid w:val="005036C6"/>
    <w:rsid w:val="005209C8"/>
    <w:rsid w:val="00522BE0"/>
    <w:rsid w:val="00523A4F"/>
    <w:rsid w:val="00526C07"/>
    <w:rsid w:val="005325C1"/>
    <w:rsid w:val="0053387C"/>
    <w:rsid w:val="005354D3"/>
    <w:rsid w:val="00535E15"/>
    <w:rsid w:val="005706AD"/>
    <w:rsid w:val="0057246C"/>
    <w:rsid w:val="005860F4"/>
    <w:rsid w:val="005866B1"/>
    <w:rsid w:val="005A1F59"/>
    <w:rsid w:val="005A57BD"/>
    <w:rsid w:val="005A5E10"/>
    <w:rsid w:val="005C051F"/>
    <w:rsid w:val="005C762E"/>
    <w:rsid w:val="005D098C"/>
    <w:rsid w:val="005E051D"/>
    <w:rsid w:val="005F0635"/>
    <w:rsid w:val="005F29F2"/>
    <w:rsid w:val="005F2B93"/>
    <w:rsid w:val="005F61D0"/>
    <w:rsid w:val="005F6CE3"/>
    <w:rsid w:val="00600422"/>
    <w:rsid w:val="00600A01"/>
    <w:rsid w:val="00600DBE"/>
    <w:rsid w:val="00603E56"/>
    <w:rsid w:val="0060545D"/>
    <w:rsid w:val="0060662A"/>
    <w:rsid w:val="006071CB"/>
    <w:rsid w:val="00614BDA"/>
    <w:rsid w:val="00617519"/>
    <w:rsid w:val="00625429"/>
    <w:rsid w:val="006331B4"/>
    <w:rsid w:val="006340D4"/>
    <w:rsid w:val="006343F3"/>
    <w:rsid w:val="006349F3"/>
    <w:rsid w:val="00642906"/>
    <w:rsid w:val="006571D4"/>
    <w:rsid w:val="00665C09"/>
    <w:rsid w:val="00680B94"/>
    <w:rsid w:val="00686AE2"/>
    <w:rsid w:val="00691AAE"/>
    <w:rsid w:val="00693CFE"/>
    <w:rsid w:val="0069638A"/>
    <w:rsid w:val="006A721F"/>
    <w:rsid w:val="006D697C"/>
    <w:rsid w:val="006D73F1"/>
    <w:rsid w:val="006E0BC7"/>
    <w:rsid w:val="006E7C1F"/>
    <w:rsid w:val="00711977"/>
    <w:rsid w:val="00714C42"/>
    <w:rsid w:val="007277C3"/>
    <w:rsid w:val="00732519"/>
    <w:rsid w:val="00734E7B"/>
    <w:rsid w:val="00737F9C"/>
    <w:rsid w:val="00741254"/>
    <w:rsid w:val="00753E4B"/>
    <w:rsid w:val="007557C6"/>
    <w:rsid w:val="0076179D"/>
    <w:rsid w:val="007649D3"/>
    <w:rsid w:val="007666BD"/>
    <w:rsid w:val="00772098"/>
    <w:rsid w:val="0077288F"/>
    <w:rsid w:val="007759AE"/>
    <w:rsid w:val="0078188E"/>
    <w:rsid w:val="0079117B"/>
    <w:rsid w:val="007918A5"/>
    <w:rsid w:val="007A174B"/>
    <w:rsid w:val="007A2078"/>
    <w:rsid w:val="007A4EEE"/>
    <w:rsid w:val="007B1D9B"/>
    <w:rsid w:val="007D5B48"/>
    <w:rsid w:val="007F048B"/>
    <w:rsid w:val="008133CB"/>
    <w:rsid w:val="008441DB"/>
    <w:rsid w:val="00847D22"/>
    <w:rsid w:val="008505C3"/>
    <w:rsid w:val="00853BD8"/>
    <w:rsid w:val="00862C0C"/>
    <w:rsid w:val="00865C57"/>
    <w:rsid w:val="00873B01"/>
    <w:rsid w:val="008853CB"/>
    <w:rsid w:val="008A3CB5"/>
    <w:rsid w:val="008A6557"/>
    <w:rsid w:val="008B3A08"/>
    <w:rsid w:val="008C5D72"/>
    <w:rsid w:val="008C782E"/>
    <w:rsid w:val="008D2418"/>
    <w:rsid w:val="008D6069"/>
    <w:rsid w:val="008E3BCF"/>
    <w:rsid w:val="008E7585"/>
    <w:rsid w:val="008F462D"/>
    <w:rsid w:val="008F4D6E"/>
    <w:rsid w:val="008F5015"/>
    <w:rsid w:val="00903D10"/>
    <w:rsid w:val="0091177F"/>
    <w:rsid w:val="00913FE9"/>
    <w:rsid w:val="009170E3"/>
    <w:rsid w:val="00921354"/>
    <w:rsid w:val="00925E66"/>
    <w:rsid w:val="0092627D"/>
    <w:rsid w:val="009262FA"/>
    <w:rsid w:val="00934910"/>
    <w:rsid w:val="00943405"/>
    <w:rsid w:val="0094366C"/>
    <w:rsid w:val="00953ADF"/>
    <w:rsid w:val="0095576B"/>
    <w:rsid w:val="009573A0"/>
    <w:rsid w:val="00961D1E"/>
    <w:rsid w:val="00971131"/>
    <w:rsid w:val="009763ED"/>
    <w:rsid w:val="009764A1"/>
    <w:rsid w:val="00982788"/>
    <w:rsid w:val="009871F3"/>
    <w:rsid w:val="00991903"/>
    <w:rsid w:val="00991B0B"/>
    <w:rsid w:val="009A0289"/>
    <w:rsid w:val="009B2285"/>
    <w:rsid w:val="009B621A"/>
    <w:rsid w:val="009C45D9"/>
    <w:rsid w:val="009E5239"/>
    <w:rsid w:val="00A01B73"/>
    <w:rsid w:val="00A03056"/>
    <w:rsid w:val="00A04685"/>
    <w:rsid w:val="00A04CFA"/>
    <w:rsid w:val="00A06657"/>
    <w:rsid w:val="00A072D2"/>
    <w:rsid w:val="00A10F7D"/>
    <w:rsid w:val="00A122C4"/>
    <w:rsid w:val="00A15BB3"/>
    <w:rsid w:val="00A2194E"/>
    <w:rsid w:val="00A24C1C"/>
    <w:rsid w:val="00A36575"/>
    <w:rsid w:val="00A47357"/>
    <w:rsid w:val="00A477A3"/>
    <w:rsid w:val="00A554D7"/>
    <w:rsid w:val="00A6607E"/>
    <w:rsid w:val="00A70E85"/>
    <w:rsid w:val="00A72C7E"/>
    <w:rsid w:val="00A8409F"/>
    <w:rsid w:val="00A8484B"/>
    <w:rsid w:val="00A85D65"/>
    <w:rsid w:val="00A86D3D"/>
    <w:rsid w:val="00A956DE"/>
    <w:rsid w:val="00A95E5A"/>
    <w:rsid w:val="00AB2948"/>
    <w:rsid w:val="00AB39FA"/>
    <w:rsid w:val="00AB4518"/>
    <w:rsid w:val="00AC1045"/>
    <w:rsid w:val="00AD146C"/>
    <w:rsid w:val="00AD5CB7"/>
    <w:rsid w:val="00AD5E0B"/>
    <w:rsid w:val="00AD6933"/>
    <w:rsid w:val="00AD6B7B"/>
    <w:rsid w:val="00AD7341"/>
    <w:rsid w:val="00AF0644"/>
    <w:rsid w:val="00AF32F4"/>
    <w:rsid w:val="00B1067B"/>
    <w:rsid w:val="00B15262"/>
    <w:rsid w:val="00B26ADB"/>
    <w:rsid w:val="00B32B26"/>
    <w:rsid w:val="00B40021"/>
    <w:rsid w:val="00B60D70"/>
    <w:rsid w:val="00B65211"/>
    <w:rsid w:val="00B6565B"/>
    <w:rsid w:val="00B7043C"/>
    <w:rsid w:val="00B739A3"/>
    <w:rsid w:val="00B84BC1"/>
    <w:rsid w:val="00BA0179"/>
    <w:rsid w:val="00BA2586"/>
    <w:rsid w:val="00BA519E"/>
    <w:rsid w:val="00BA51EA"/>
    <w:rsid w:val="00BA589F"/>
    <w:rsid w:val="00BB047B"/>
    <w:rsid w:val="00BB6398"/>
    <w:rsid w:val="00BC0E86"/>
    <w:rsid w:val="00BD0372"/>
    <w:rsid w:val="00BD246E"/>
    <w:rsid w:val="00BF4768"/>
    <w:rsid w:val="00C00F7A"/>
    <w:rsid w:val="00C139CA"/>
    <w:rsid w:val="00C14BF7"/>
    <w:rsid w:val="00C214BC"/>
    <w:rsid w:val="00C2366B"/>
    <w:rsid w:val="00C2749A"/>
    <w:rsid w:val="00C433C5"/>
    <w:rsid w:val="00C51429"/>
    <w:rsid w:val="00C52E6F"/>
    <w:rsid w:val="00C551B0"/>
    <w:rsid w:val="00C67027"/>
    <w:rsid w:val="00C94E7F"/>
    <w:rsid w:val="00CA3397"/>
    <w:rsid w:val="00CA33E1"/>
    <w:rsid w:val="00CB2F75"/>
    <w:rsid w:val="00CB6BEB"/>
    <w:rsid w:val="00CC0F37"/>
    <w:rsid w:val="00CE6E49"/>
    <w:rsid w:val="00CE7855"/>
    <w:rsid w:val="00D04228"/>
    <w:rsid w:val="00D23804"/>
    <w:rsid w:val="00D3612A"/>
    <w:rsid w:val="00D365A5"/>
    <w:rsid w:val="00D37703"/>
    <w:rsid w:val="00D37F25"/>
    <w:rsid w:val="00D453F6"/>
    <w:rsid w:val="00D55B61"/>
    <w:rsid w:val="00D5772B"/>
    <w:rsid w:val="00D60D8D"/>
    <w:rsid w:val="00D6117B"/>
    <w:rsid w:val="00D61839"/>
    <w:rsid w:val="00D66408"/>
    <w:rsid w:val="00D679E5"/>
    <w:rsid w:val="00D73C98"/>
    <w:rsid w:val="00D933B0"/>
    <w:rsid w:val="00DA11DD"/>
    <w:rsid w:val="00DB332E"/>
    <w:rsid w:val="00DC0120"/>
    <w:rsid w:val="00DC1389"/>
    <w:rsid w:val="00DC7254"/>
    <w:rsid w:val="00DD1223"/>
    <w:rsid w:val="00DD7177"/>
    <w:rsid w:val="00DD7BFF"/>
    <w:rsid w:val="00DE643F"/>
    <w:rsid w:val="00DE69E4"/>
    <w:rsid w:val="00E04F21"/>
    <w:rsid w:val="00E104B5"/>
    <w:rsid w:val="00E2509B"/>
    <w:rsid w:val="00E41C3C"/>
    <w:rsid w:val="00E42CFB"/>
    <w:rsid w:val="00E4622C"/>
    <w:rsid w:val="00E46571"/>
    <w:rsid w:val="00E51FFB"/>
    <w:rsid w:val="00E545F1"/>
    <w:rsid w:val="00E561F0"/>
    <w:rsid w:val="00E63855"/>
    <w:rsid w:val="00E72C85"/>
    <w:rsid w:val="00E74814"/>
    <w:rsid w:val="00E7712F"/>
    <w:rsid w:val="00E82B8A"/>
    <w:rsid w:val="00EB03BB"/>
    <w:rsid w:val="00EB1C36"/>
    <w:rsid w:val="00EB2E1F"/>
    <w:rsid w:val="00EB5CE6"/>
    <w:rsid w:val="00EC48B8"/>
    <w:rsid w:val="00EE02BB"/>
    <w:rsid w:val="00EE2EB2"/>
    <w:rsid w:val="00EE406C"/>
    <w:rsid w:val="00EE49A3"/>
    <w:rsid w:val="00EF713F"/>
    <w:rsid w:val="00F00415"/>
    <w:rsid w:val="00F0315D"/>
    <w:rsid w:val="00F050DC"/>
    <w:rsid w:val="00F07534"/>
    <w:rsid w:val="00F23A02"/>
    <w:rsid w:val="00F24A73"/>
    <w:rsid w:val="00F26A9F"/>
    <w:rsid w:val="00F26E68"/>
    <w:rsid w:val="00F33119"/>
    <w:rsid w:val="00F359DD"/>
    <w:rsid w:val="00F406A6"/>
    <w:rsid w:val="00F73C47"/>
    <w:rsid w:val="00F76948"/>
    <w:rsid w:val="00F77CD3"/>
    <w:rsid w:val="00F81F2C"/>
    <w:rsid w:val="00F87BAD"/>
    <w:rsid w:val="00F90BAE"/>
    <w:rsid w:val="00F90E63"/>
    <w:rsid w:val="00FA05A6"/>
    <w:rsid w:val="00FA26BB"/>
    <w:rsid w:val="00FA66A6"/>
    <w:rsid w:val="00FA6C4F"/>
    <w:rsid w:val="00FA6EE7"/>
    <w:rsid w:val="00FB151A"/>
    <w:rsid w:val="00FB40C7"/>
    <w:rsid w:val="00FB47DD"/>
    <w:rsid w:val="00FB73D3"/>
    <w:rsid w:val="00FD21C6"/>
    <w:rsid w:val="00FD36E9"/>
    <w:rsid w:val="00FD4756"/>
    <w:rsid w:val="00FE07DE"/>
    <w:rsid w:val="00FE116A"/>
    <w:rsid w:val="00FE5114"/>
    <w:rsid w:val="00FE5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233AE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uiPriority="22"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AB4518"/>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lang w:eastAsia="en-GB"/>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lang w:eastAsia="en-GB"/>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lang w:eastAsia="en-GB"/>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lang w:eastAsia="en-GB"/>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lang w:eastAsia="en-GB"/>
    </w:rPr>
  </w:style>
  <w:style w:type="paragraph" w:styleId="TOC2">
    <w:name w:val="toc 2"/>
    <w:basedOn w:val="Normal"/>
    <w:next w:val="Normal"/>
    <w:locked/>
    <w:rsid w:val="00F26E68"/>
    <w:pPr>
      <w:ind w:left="240"/>
    </w:pPr>
    <w:rPr>
      <w:rFonts w:ascii="Arial" w:hAnsi="Arial"/>
      <w:lang w:eastAsia="en-GB"/>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lang w:eastAsia="en-GB"/>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rPr>
      <w:lang w:eastAsia="en-GB"/>
    </w:r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lang w:eastAsia="en-GB"/>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lang w:eastAsia="en-GB"/>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ind w:left="644"/>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9573A0"/>
    <w:rPr>
      <w:b/>
      <w:bCs/>
    </w:rPr>
  </w:style>
  <w:style w:type="character" w:customStyle="1" w:styleId="CommentSubjectChar">
    <w:name w:val="Comment Subject Char"/>
    <w:basedOn w:val="CommentTextChar"/>
    <w:link w:val="CommentSubject"/>
    <w:rsid w:val="009573A0"/>
    <w:rPr>
      <w:b/>
      <w:bCs/>
    </w:rPr>
  </w:style>
  <w:style w:type="character" w:styleId="Strong">
    <w:name w:val="Strong"/>
    <w:basedOn w:val="DefaultParagraphFont"/>
    <w:uiPriority w:val="22"/>
    <w:qFormat/>
    <w:locked/>
    <w:rsid w:val="005E0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1441">
      <w:bodyDiv w:val="1"/>
      <w:marLeft w:val="0"/>
      <w:marRight w:val="0"/>
      <w:marTop w:val="0"/>
      <w:marBottom w:val="0"/>
      <w:divBdr>
        <w:top w:val="none" w:sz="0" w:space="0" w:color="auto"/>
        <w:left w:val="none" w:sz="0" w:space="0" w:color="auto"/>
        <w:bottom w:val="none" w:sz="0" w:space="0" w:color="auto"/>
        <w:right w:val="none" w:sz="0" w:space="0" w:color="auto"/>
      </w:divBdr>
    </w:div>
    <w:div w:id="432283684">
      <w:bodyDiv w:val="1"/>
      <w:marLeft w:val="0"/>
      <w:marRight w:val="0"/>
      <w:marTop w:val="0"/>
      <w:marBottom w:val="0"/>
      <w:divBdr>
        <w:top w:val="none" w:sz="0" w:space="0" w:color="auto"/>
        <w:left w:val="none" w:sz="0" w:space="0" w:color="auto"/>
        <w:bottom w:val="none" w:sz="0" w:space="0" w:color="auto"/>
        <w:right w:val="none" w:sz="0" w:space="0" w:color="auto"/>
      </w:divBdr>
    </w:div>
    <w:div w:id="11853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rkingfamilies.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uk/conditions/stress-anxiety-depression/improve-mental-wellbe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2538</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2021-03-15T06:53:00Z</dcterms:created>
  <dcterms:modified xsi:type="dcterms:W3CDTF">2021-03-15T12:57:00Z</dcterms:modified>
</cp:coreProperties>
</file>