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D34BC" w14:textId="77777777" w:rsidR="004B4705" w:rsidRDefault="004B4705" w:rsidP="005614AA">
      <w:pPr>
        <w:pStyle w:val="Title20"/>
      </w:pPr>
      <w:r>
        <w:t>National Institute for Health and Care Excellence</w:t>
      </w:r>
    </w:p>
    <w:p w14:paraId="05CCFB13" w14:textId="50CA0E8C" w:rsidR="004B4705" w:rsidRPr="008036DF" w:rsidRDefault="00177BAD" w:rsidP="005614AA">
      <w:pPr>
        <w:pStyle w:val="Title1"/>
      </w:pPr>
      <w:r w:rsidRPr="00177BAD">
        <w:t>NICE International progress update</w:t>
      </w:r>
    </w:p>
    <w:p w14:paraId="23C8B53C" w14:textId="6360C410" w:rsidR="004B4705" w:rsidRDefault="004B4705" w:rsidP="005614AA">
      <w:pPr>
        <w:pStyle w:val="NICEnormal"/>
      </w:pPr>
      <w:r w:rsidRPr="005F613C">
        <w:t xml:space="preserve">This report </w:t>
      </w:r>
      <w:r>
        <w:t xml:space="preserve">gives details of </w:t>
      </w:r>
      <w:r w:rsidR="00177BAD">
        <w:t xml:space="preserve">NICE </w:t>
      </w:r>
      <w:r w:rsidR="00305BA4">
        <w:t>I</w:t>
      </w:r>
      <w:r w:rsidR="00177BAD">
        <w:t xml:space="preserve">nternational's progress for the financial year 2020/21, providing an overview of achievements and the pipeline and </w:t>
      </w:r>
      <w:r w:rsidR="006614EE">
        <w:t>ambition for the programme</w:t>
      </w:r>
      <w:r w:rsidR="00177BAD">
        <w:t xml:space="preserve"> for the 2021/22 financial year</w:t>
      </w:r>
      <w:r>
        <w:t>.</w:t>
      </w:r>
      <w:r w:rsidRPr="005F613C">
        <w:t xml:space="preserve"> </w:t>
      </w:r>
    </w:p>
    <w:p w14:paraId="65DD9483" w14:textId="67E291E3" w:rsidR="004B4705" w:rsidRPr="005614AA" w:rsidRDefault="004B4705" w:rsidP="005614AA">
      <w:pPr>
        <w:pStyle w:val="NICEnormal"/>
      </w:pPr>
      <w:r>
        <w:t xml:space="preserve">The Board is asked to </w:t>
      </w:r>
      <w:r w:rsidR="00177BAD">
        <w:t xml:space="preserve">review and comment on the progress and future aspirations of NICE </w:t>
      </w:r>
      <w:r w:rsidR="00305BA4">
        <w:t>I</w:t>
      </w:r>
      <w:r w:rsidR="00177BAD">
        <w:t>nternational</w:t>
      </w:r>
      <w:r w:rsidR="00BC5C7B">
        <w:t xml:space="preserve">. </w:t>
      </w:r>
      <w:r w:rsidRPr="005614AA">
        <w:t xml:space="preserve"> </w:t>
      </w:r>
    </w:p>
    <w:p w14:paraId="00975E01" w14:textId="17CEDF6F" w:rsidR="004B4705" w:rsidRDefault="00E736EE" w:rsidP="005614AA">
      <w:pPr>
        <w:pStyle w:val="NICEnormal"/>
      </w:pPr>
      <w:r>
        <w:t>Meindert Boysen</w:t>
      </w:r>
    </w:p>
    <w:p w14:paraId="5DCE579E" w14:textId="481A1817" w:rsidR="006709A9" w:rsidRPr="006709A9" w:rsidRDefault="000C6921" w:rsidP="006709A9">
      <w:pPr>
        <w:pStyle w:val="NICEnormal"/>
      </w:pPr>
      <w:r>
        <w:t>Director, Centre for Health Technology Evaluation</w:t>
      </w:r>
    </w:p>
    <w:p w14:paraId="2FB453A2" w14:textId="30B6C20E" w:rsidR="004B4705" w:rsidRPr="00B43E83" w:rsidRDefault="00177BAD" w:rsidP="005614AA">
      <w:pPr>
        <w:pStyle w:val="NICEnormal"/>
      </w:pPr>
      <w:r>
        <w:t>July 2021</w:t>
      </w:r>
    </w:p>
    <w:p w14:paraId="33F946F1" w14:textId="77777777" w:rsidR="004B4705" w:rsidRDefault="004B4705" w:rsidP="004511A7">
      <w:pPr>
        <w:pStyle w:val="NICEnormal"/>
      </w:pPr>
    </w:p>
    <w:p w14:paraId="7D236443" w14:textId="77777777" w:rsidR="004B4705" w:rsidRPr="005F10EE" w:rsidRDefault="004B4705" w:rsidP="004511A7">
      <w:pPr>
        <w:pStyle w:val="NICEnormal"/>
      </w:pPr>
      <w:r w:rsidRPr="005F10EE">
        <w:br w:type="page"/>
      </w:r>
    </w:p>
    <w:p w14:paraId="51CA60F0" w14:textId="73D19FE8" w:rsidR="004B4705" w:rsidRPr="00C30FD9" w:rsidRDefault="004B4705" w:rsidP="004B4705">
      <w:pPr>
        <w:pStyle w:val="Heading1boardreport"/>
      </w:pPr>
      <w:r>
        <w:lastRenderedPageBreak/>
        <w:t xml:space="preserve">Introduction </w:t>
      </w:r>
    </w:p>
    <w:p w14:paraId="730D8EF5" w14:textId="2CD6C6FD" w:rsidR="003119FB" w:rsidRDefault="009E6125" w:rsidP="00177BAD">
      <w:pPr>
        <w:pStyle w:val="NICEnormalnumbered"/>
      </w:pPr>
      <w:r>
        <w:t>The</w:t>
      </w:r>
      <w:r w:rsidRPr="00800210">
        <w:t xml:space="preserve"> mission</w:t>
      </w:r>
      <w:r>
        <w:t xml:space="preserve"> of NICE International</w:t>
      </w:r>
      <w:r w:rsidRPr="00800210">
        <w:t xml:space="preserve"> is to </w:t>
      </w:r>
      <w:r>
        <w:t>support</w:t>
      </w:r>
      <w:r w:rsidRPr="00800210">
        <w:t xml:space="preserve"> countries</w:t>
      </w:r>
      <w:r>
        <w:t xml:space="preserve"> to</w:t>
      </w:r>
      <w:r w:rsidRPr="00800210">
        <w:t xml:space="preserve"> improv</w:t>
      </w:r>
      <w:r>
        <w:t>e</w:t>
      </w:r>
      <w:r w:rsidRPr="00800210">
        <w:t xml:space="preserve"> their nation's health and wellbeing</w:t>
      </w:r>
      <w:r w:rsidR="00F41DFE">
        <w:t xml:space="preserve"> by sharing best practice and expertise from NICE</w:t>
      </w:r>
      <w:r w:rsidRPr="00800210">
        <w:t xml:space="preserve">, and to gain learnings and </w:t>
      </w:r>
      <w:r>
        <w:t xml:space="preserve">initiate </w:t>
      </w:r>
      <w:r w:rsidRPr="00800210">
        <w:t xml:space="preserve">international collaborations that help to shape our work at NICE. We do this by </w:t>
      </w:r>
      <w:r>
        <w:t xml:space="preserve">offering services </w:t>
      </w:r>
      <w:r w:rsidRPr="00800210">
        <w:t xml:space="preserve">to help </w:t>
      </w:r>
      <w:r>
        <w:t>drive</w:t>
      </w:r>
      <w:r w:rsidRPr="00800210">
        <w:t xml:space="preserve"> improvements in health and care decision-making</w:t>
      </w:r>
      <w:r>
        <w:t xml:space="preserve">, </w:t>
      </w:r>
      <w:r w:rsidRPr="00800210">
        <w:t>in</w:t>
      </w:r>
      <w:r>
        <w:t xml:space="preserve"> line with</w:t>
      </w:r>
      <w:r w:rsidRPr="00800210">
        <w:t xml:space="preserve"> the </w:t>
      </w:r>
      <w:r w:rsidR="00D76E93">
        <w:t xml:space="preserve">UN </w:t>
      </w:r>
      <w:r w:rsidRPr="00800210">
        <w:t>Sustainable Development Goals and UK global health ambition</w:t>
      </w:r>
      <w:r>
        <w:t>s</w:t>
      </w:r>
      <w:r w:rsidRPr="00800210">
        <w:t>.</w:t>
      </w:r>
    </w:p>
    <w:p w14:paraId="5C6C7537" w14:textId="75728F89" w:rsidR="009E6125" w:rsidRDefault="009E6125" w:rsidP="009E6125">
      <w:pPr>
        <w:pStyle w:val="NICEnormalnumbered"/>
      </w:pPr>
      <w:r w:rsidRPr="009E6125">
        <w:t xml:space="preserve">Our service offering is aimed at supporting international organisations, </w:t>
      </w:r>
      <w:r w:rsidR="00BC5C7B" w:rsidRPr="009E6125">
        <w:t>ministries,</w:t>
      </w:r>
      <w:r w:rsidRPr="009E6125">
        <w:t xml:space="preserve"> and government agencies whose task is to improve evidence-based decision making in health and social care in their context. We aim to work collaboratively with other system partners, strategic </w:t>
      </w:r>
      <w:r w:rsidR="00BC5C7B" w:rsidRPr="009E6125">
        <w:t>partners,</w:t>
      </w:r>
      <w:r w:rsidRPr="009E6125">
        <w:t xml:space="preserve"> and stakeholders nationally and internationally to deliver our service </w:t>
      </w:r>
      <w:r w:rsidR="00BC5C7B" w:rsidRPr="009E6125">
        <w:t>offering and</w:t>
      </w:r>
      <w:r w:rsidRPr="009E6125">
        <w:t xml:space="preserve"> engage with influencers and funders to support and promote our work.</w:t>
      </w:r>
    </w:p>
    <w:p w14:paraId="0C11F2FC" w14:textId="20EA2FCF" w:rsidR="00177BAD" w:rsidRPr="00177BAD" w:rsidRDefault="00177BAD" w:rsidP="003A26D1">
      <w:pPr>
        <w:pStyle w:val="NICEnormalnumbered"/>
      </w:pPr>
      <w:r w:rsidRPr="00177BAD">
        <w:t>Since the official relaunch of NICE International in November 2019, the team has grown its presence in the global health space and expanded its service offering, transitioning from services almost exclusively focused on knowledge sharing activities to include more supportive consultancy-type advisory engagements.</w:t>
      </w:r>
      <w:r w:rsidR="003A26D1">
        <w:t xml:space="preserve"> </w:t>
      </w:r>
      <w:r w:rsidR="003A26D1" w:rsidRPr="003A26D1">
        <w:t xml:space="preserve">Our current service offering, including a list of topic areas, is detailed in </w:t>
      </w:r>
      <w:r w:rsidR="00BC5C7B">
        <w:t>appendix 1</w:t>
      </w:r>
      <w:r w:rsidR="003A26D1" w:rsidRPr="003A26D1">
        <w:t xml:space="preserve">. </w:t>
      </w:r>
    </w:p>
    <w:p w14:paraId="27A3628F" w14:textId="77777777" w:rsidR="00177BAD" w:rsidRPr="00177BAD" w:rsidRDefault="00177BAD" w:rsidP="00177BAD">
      <w:pPr>
        <w:pStyle w:val="NICEnormalnumbered"/>
      </w:pPr>
      <w:r w:rsidRPr="00177BAD">
        <w:t xml:space="preserve">Through establishing significant relationships with overseas organisations, government agencies and UK partners, NICE International has contributed to enhancing NICE's reputation worldwide and is keen to further contribute to NICE-wide strategic priorities and support NICE's ambitions. </w:t>
      </w:r>
    </w:p>
    <w:p w14:paraId="4208E233" w14:textId="1FA099C6" w:rsidR="00177BAD" w:rsidRPr="00177BAD" w:rsidRDefault="00177BAD" w:rsidP="00177BAD">
      <w:pPr>
        <w:pStyle w:val="NICEnormalnumbered"/>
      </w:pPr>
      <w:r w:rsidRPr="00177BAD">
        <w:t xml:space="preserve">NICE International has also provided learning opportunities and intelligence for NICE, fostering internal and external collaboration and new relationships. Importantly, NICE International has also provided NICE staff the opportunity to enhance their skills through collaboration on international projects, contributing to their ambitions, </w:t>
      </w:r>
      <w:r w:rsidR="00BC5C7B" w:rsidRPr="00177BAD">
        <w:t>motivation,</w:t>
      </w:r>
      <w:r w:rsidRPr="00177BAD">
        <w:t xml:space="preserve"> and satisfaction, while celebrating diversity and inclusivity. This aims to contribute to NICE’s transformational people strategy.</w:t>
      </w:r>
    </w:p>
    <w:p w14:paraId="7F0A8361" w14:textId="1B647742" w:rsidR="004B4705" w:rsidRDefault="00177BAD" w:rsidP="00177BAD">
      <w:pPr>
        <w:pStyle w:val="NICEnormalnumbered"/>
      </w:pPr>
      <w:r w:rsidRPr="00177BAD">
        <w:lastRenderedPageBreak/>
        <w:t>This paper summarises the progress made in the financial year 2020/21 and the projections for the financial year 2021/22 in line with the NICE Business plan objective 'to grow NICE International to allow an increased number of international consultancy projects to be delivered'.</w:t>
      </w:r>
    </w:p>
    <w:p w14:paraId="0AF0D685" w14:textId="37C92BD9" w:rsidR="009F4E09" w:rsidRDefault="009F4E09" w:rsidP="009F4E09">
      <w:pPr>
        <w:pStyle w:val="NICEnormalnumbered"/>
      </w:pPr>
      <w:r>
        <w:t xml:space="preserve">The launch of the NICE Strategy 2021-2026 and the UK and global health context in which more attention is being placed </w:t>
      </w:r>
      <w:r w:rsidR="006D45C0">
        <w:t>o</w:t>
      </w:r>
      <w:r>
        <w:t xml:space="preserve">n international collaboration has motivated the NICE International team to start developing an international strategic plan. This plan will detail NICE International's mission, vision and </w:t>
      </w:r>
      <w:r w:rsidR="006D45C0">
        <w:t>strategic ambitions</w:t>
      </w:r>
      <w:r>
        <w:t xml:space="preserve">, and how these align and contribute to NICE's strategic pillars. This plan is currently under development and will be presented to the Board in the future. </w:t>
      </w:r>
    </w:p>
    <w:p w14:paraId="783FCEDA" w14:textId="23E0D451" w:rsidR="00B540D8" w:rsidRDefault="009F4E09" w:rsidP="00423E44">
      <w:pPr>
        <w:pStyle w:val="NICEnormalnumbered"/>
      </w:pPr>
      <w:r>
        <w:t xml:space="preserve">This plan will aim to allow </w:t>
      </w:r>
      <w:r w:rsidR="00423E44">
        <w:t xml:space="preserve">for </w:t>
      </w:r>
      <w:r>
        <w:t>internal alignment on the future role and direction of NICE International</w:t>
      </w:r>
      <w:r w:rsidR="006D45C0">
        <w:t>,</w:t>
      </w:r>
      <w:r>
        <w:t xml:space="preserve"> to share our strategic ambitions for NICE International with our partner organisations in the system and to </w:t>
      </w:r>
      <w:r w:rsidR="00423E44">
        <w:t xml:space="preserve">pay particular attention to </w:t>
      </w:r>
      <w:r w:rsidR="006D45C0">
        <w:t>priority</w:t>
      </w:r>
      <w:r w:rsidR="00423E44">
        <w:t xml:space="preserve"> areas of the world</w:t>
      </w:r>
      <w:r w:rsidR="006D45C0">
        <w:t xml:space="preserve"> to work with</w:t>
      </w:r>
      <w:r w:rsidR="00423E44">
        <w:t xml:space="preserve"> and any priority topics of interest based on NICE's strategic ambitions.</w:t>
      </w:r>
      <w:r>
        <w:t xml:space="preserve"> </w:t>
      </w:r>
    </w:p>
    <w:p w14:paraId="515F1CB2" w14:textId="31D1C446" w:rsidR="004B4705" w:rsidRDefault="00177BAD" w:rsidP="004B4705">
      <w:pPr>
        <w:pStyle w:val="Heading1boardreport"/>
      </w:pPr>
      <w:r>
        <w:t>NICE International progress update</w:t>
      </w:r>
      <w:r w:rsidR="004B4705">
        <w:t xml:space="preserve"> </w:t>
      </w:r>
    </w:p>
    <w:p w14:paraId="48DCA743" w14:textId="68E349BA" w:rsidR="004B4705" w:rsidRDefault="00177BAD" w:rsidP="004B4705">
      <w:pPr>
        <w:pStyle w:val="Heading2boardreport"/>
      </w:pPr>
      <w:r w:rsidRPr="00177BAD">
        <w:t>International enquiries and delivered engagements</w:t>
      </w:r>
    </w:p>
    <w:p w14:paraId="38209769" w14:textId="77777777" w:rsidR="00177BAD" w:rsidRDefault="00177BAD" w:rsidP="004511A7">
      <w:pPr>
        <w:pStyle w:val="NICEnormalnumbered"/>
      </w:pPr>
      <w:r w:rsidRPr="00177BAD">
        <w:t>NICE International received a total of 85 enquiries in the financial year 2020/21. Figure 1 shows that the number of enquires received by NICE International has dipped in the last 12 months, most likely due to the impact of the COVID-19 pandemic. However, some of these enquiries are related to longer term consultancy projects.</w:t>
      </w:r>
    </w:p>
    <w:p w14:paraId="75836169" w14:textId="77777777" w:rsidR="00177BAD" w:rsidRPr="00177BAD" w:rsidRDefault="00177BAD" w:rsidP="00177BAD">
      <w:pPr>
        <w:pStyle w:val="Tableheadingboardreport"/>
      </w:pPr>
      <w:r w:rsidRPr="00177BAD">
        <w:lastRenderedPageBreak/>
        <w:t>Figure 1: total number of enquiries to NICE International by financial year and quarter</w:t>
      </w:r>
    </w:p>
    <w:p w14:paraId="5409A3EF" w14:textId="48AF1EAB" w:rsidR="004B4705" w:rsidRDefault="00FB5DC1" w:rsidP="00177BAD">
      <w:pPr>
        <w:pStyle w:val="NICEnormalnumbered"/>
        <w:numPr>
          <w:ilvl w:val="0"/>
          <w:numId w:val="0"/>
        </w:numPr>
        <w:ind w:left="284"/>
      </w:pPr>
      <w:r w:rsidRPr="00FB5DC1">
        <w:rPr>
          <w:noProof/>
        </w:rPr>
        <w:drawing>
          <wp:inline distT="0" distB="0" distL="0" distR="0" wp14:anchorId="01386728" wp14:editId="05B146E8">
            <wp:extent cx="4933950" cy="2333625"/>
            <wp:effectExtent l="0" t="0" r="0" b="9525"/>
            <wp:docPr id="15" name="Chart 15" descr="Chart showing the number of enquiries to NICE international since 2018 by quarter year. Shows an increase in requests from 2018 before a sharp decline during the quarter 1 of 2020/21 when the pandemic struck with signs of recovery thereafter.">
              <a:extLst xmlns:a="http://schemas.openxmlformats.org/drawingml/2006/main">
                <a:ext uri="{FF2B5EF4-FFF2-40B4-BE49-F238E27FC236}">
                  <a16:creationId xmlns:a16="http://schemas.microsoft.com/office/drawing/2014/main" id="{00000000-0008-0000-06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177BAD">
        <w:t xml:space="preserve"> </w:t>
      </w:r>
    </w:p>
    <w:p w14:paraId="63703565" w14:textId="391E667E" w:rsidR="00FB5DC1" w:rsidRDefault="00FB5DC1" w:rsidP="00FB5DC1">
      <w:pPr>
        <w:pStyle w:val="NICEnormalnumbered"/>
      </w:pPr>
      <w:r w:rsidRPr="00FB5DC1">
        <w:t>In 2020/21, NICE International delivered a total of 52 international engagements. Of these, 34 were fee-based projects and the remaining 18 were considered business development or of an introductory or strategic nature and therefore did not generate income.</w:t>
      </w:r>
    </w:p>
    <w:p w14:paraId="15AE4560" w14:textId="1E870432" w:rsidR="00FB5DC1" w:rsidRDefault="00FB5DC1" w:rsidP="00FB5DC1">
      <w:pPr>
        <w:pStyle w:val="Tableheadingboardreport"/>
      </w:pPr>
      <w:r>
        <w:t>Figure 2: Number of delivered engagements by region in 2020/21</w:t>
      </w:r>
    </w:p>
    <w:p w14:paraId="3CB8A9B0" w14:textId="2CFBDAC8" w:rsidR="00FB5DC1" w:rsidRDefault="00FB5DC1" w:rsidP="00FB5DC1">
      <w:pPr>
        <w:pStyle w:val="Tableheadingboardreport"/>
      </w:pPr>
      <w:r w:rsidRPr="00FB5DC1">
        <w:rPr>
          <w:noProof/>
        </w:rPr>
        <w:drawing>
          <wp:inline distT="0" distB="0" distL="0" distR="0" wp14:anchorId="5504FD9A" wp14:editId="7AD48AA5">
            <wp:extent cx="4362450" cy="2495550"/>
            <wp:effectExtent l="0" t="0" r="0" b="0"/>
            <wp:docPr id="19" name="Chart 19" descr="map highlighting the number of delivered engagements by world region in 2020/21. Shows engagements delivered worldwide with the highest number being in Latin America region (19) followed by Europe (12) and East Asia (9). ">
              <a:extLst xmlns:a="http://schemas.openxmlformats.org/drawingml/2006/main">
                <a:ext uri="{FF2B5EF4-FFF2-40B4-BE49-F238E27FC236}">
                  <a16:creationId xmlns:a16="http://schemas.microsoft.com/office/drawing/2014/main" id="{00000000-0008-0000-1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E05731" w14:textId="582033DE" w:rsidR="00FB5DC1" w:rsidRDefault="00FB5DC1" w:rsidP="00FB5DC1">
      <w:pPr>
        <w:pStyle w:val="NICEnormalnumbered"/>
      </w:pPr>
      <w:r w:rsidRPr="00FB5DC1">
        <w:t>Figure 2 presents the number of delivered engagements by world region in 2020/21. These engagements spanned across 24 different countries, mostly from those countries and contacts through which we already had established relationships, including Latin American countries like Brazil, Colombia, Uruguay and Mexico, and relationships established through the Better Health Programme work in the Philippines and South Africa.</w:t>
      </w:r>
    </w:p>
    <w:p w14:paraId="6672B73E" w14:textId="58070B39" w:rsidR="009A3BDB" w:rsidRDefault="009A3BDB" w:rsidP="009A3BDB">
      <w:pPr>
        <w:pStyle w:val="Tableheadingboardreport"/>
      </w:pPr>
      <w:r>
        <w:lastRenderedPageBreak/>
        <w:t>Figure 3: Word cloud of topic areas of focus for delivered engagements</w:t>
      </w:r>
    </w:p>
    <w:p w14:paraId="4C392AE6" w14:textId="137FB748" w:rsidR="009A3BDB" w:rsidRDefault="00457334" w:rsidP="009A3BDB">
      <w:pPr>
        <w:pStyle w:val="NICEnormalnumbered"/>
        <w:numPr>
          <w:ilvl w:val="0"/>
          <w:numId w:val="0"/>
        </w:numPr>
        <w:ind w:left="644"/>
      </w:pPr>
      <w:r>
        <w:rPr>
          <w:noProof/>
        </w:rPr>
        <w:drawing>
          <wp:inline distT="0" distB="0" distL="0" distR="0" wp14:anchorId="25A701A0" wp14:editId="2F8DE3BF">
            <wp:extent cx="5439628" cy="2733675"/>
            <wp:effectExtent l="0" t="0" r="8890" b="0"/>
            <wp:docPr id="2" name="Picture 2" descr="A word cloud of topic areas of focus for delivered NICE international engagements. full context is provided in poin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ord cloud of topic areas of focus for delivered NICE international engagements. full context is provided in point 12"/>
                    <pic:cNvPicPr/>
                  </pic:nvPicPr>
                  <pic:blipFill>
                    <a:blip r:embed="rId9">
                      <a:extLst>
                        <a:ext uri="{28A0092B-C50C-407E-A947-70E740481C1C}">
                          <a14:useLocalDpi xmlns:a14="http://schemas.microsoft.com/office/drawing/2010/main" val="0"/>
                        </a:ext>
                      </a:extLst>
                    </a:blip>
                    <a:stretch>
                      <a:fillRect/>
                    </a:stretch>
                  </pic:blipFill>
                  <pic:spPr>
                    <a:xfrm>
                      <a:off x="0" y="0"/>
                      <a:ext cx="5442760" cy="2735249"/>
                    </a:xfrm>
                    <a:prstGeom prst="rect">
                      <a:avLst/>
                    </a:prstGeom>
                  </pic:spPr>
                </pic:pic>
              </a:graphicData>
            </a:graphic>
          </wp:inline>
        </w:drawing>
      </w:r>
    </w:p>
    <w:p w14:paraId="08D28F53" w14:textId="49FCF109" w:rsidR="009A3BDB" w:rsidRDefault="009A3BDB" w:rsidP="009A3BDB">
      <w:pPr>
        <w:pStyle w:val="NICEnormalnumbered"/>
      </w:pPr>
      <w:r>
        <w:t xml:space="preserve">Figure 3 presents a word cloud of the topic areas covered in the delivered engagements. The most requested topic area to cover was around health technology assessment which featured in more than 70% of engagements, followed by introduction to NICE (30%), patient and public involvement (19%), NICE </w:t>
      </w:r>
      <w:r w:rsidR="004156DE">
        <w:t>I</w:t>
      </w:r>
      <w:r>
        <w:t>nternational (17%) and guidelines (17%).</w:t>
      </w:r>
    </w:p>
    <w:p w14:paraId="6856757A" w14:textId="436233AF" w:rsidR="00FB5DC1" w:rsidRDefault="00FB5DC1" w:rsidP="00FB5DC1">
      <w:pPr>
        <w:pStyle w:val="Tableheadingboardreport"/>
      </w:pPr>
      <w:r>
        <w:t>Table 1: Number of delivered engagements by financial year and service type</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262"/>
        <w:gridCol w:w="2268"/>
      </w:tblGrid>
      <w:tr w:rsidR="00FB5DC1" w14:paraId="3C6284A1" w14:textId="77777777" w:rsidTr="00BD22C0">
        <w:trPr>
          <w:cantSplit/>
          <w:trHeight w:val="1249"/>
          <w:tblHeader/>
        </w:trPr>
        <w:tc>
          <w:tcPr>
            <w:tcW w:w="2978" w:type="dxa"/>
          </w:tcPr>
          <w:p w14:paraId="376C2281" w14:textId="77777777" w:rsidR="00FB5DC1" w:rsidRPr="00FB5DC1" w:rsidRDefault="00FB5DC1" w:rsidP="00FB5DC1">
            <w:pPr>
              <w:pStyle w:val="Tableheadingboardreport"/>
            </w:pPr>
            <w:r>
              <w:t>Service type</w:t>
            </w:r>
          </w:p>
        </w:tc>
        <w:tc>
          <w:tcPr>
            <w:tcW w:w="2262" w:type="dxa"/>
          </w:tcPr>
          <w:p w14:paraId="4A74760B" w14:textId="77777777" w:rsidR="00FB5DC1" w:rsidRPr="00FB5DC1" w:rsidRDefault="00FB5DC1" w:rsidP="00FB5DC1">
            <w:pPr>
              <w:pStyle w:val="Tableheadingboardreport"/>
            </w:pPr>
            <w:r>
              <w:t>2019/20</w:t>
            </w:r>
            <w:r>
              <w:br/>
            </w:r>
            <w:r w:rsidRPr="00FB5DC1">
              <w:t xml:space="preserve">No. of delivered engagements </w:t>
            </w:r>
            <w:r w:rsidRPr="00FB5DC1">
              <w:br/>
              <w:t>(income generating)</w:t>
            </w:r>
          </w:p>
        </w:tc>
        <w:tc>
          <w:tcPr>
            <w:tcW w:w="2268" w:type="dxa"/>
          </w:tcPr>
          <w:p w14:paraId="70E17343" w14:textId="77777777" w:rsidR="00FB5DC1" w:rsidRPr="00FB5DC1" w:rsidRDefault="00FB5DC1" w:rsidP="00FB5DC1">
            <w:pPr>
              <w:pStyle w:val="Tableheadingboardreport"/>
            </w:pPr>
            <w:r>
              <w:t>2020/21</w:t>
            </w:r>
          </w:p>
          <w:p w14:paraId="140FC76E" w14:textId="77777777" w:rsidR="00FB5DC1" w:rsidRPr="00FB5DC1" w:rsidRDefault="00FB5DC1" w:rsidP="00FB5DC1">
            <w:pPr>
              <w:pStyle w:val="Tableheadingboardreport"/>
            </w:pPr>
            <w:r>
              <w:t>No</w:t>
            </w:r>
            <w:r w:rsidRPr="00FB5DC1">
              <w:t xml:space="preserve">. of delivered engagements </w:t>
            </w:r>
            <w:r w:rsidRPr="00FB5DC1">
              <w:br/>
              <w:t>(income generating)</w:t>
            </w:r>
          </w:p>
        </w:tc>
      </w:tr>
      <w:tr w:rsidR="00FB5DC1" w14:paraId="34E519F8" w14:textId="77777777" w:rsidTr="00BD22C0">
        <w:trPr>
          <w:cantSplit/>
          <w:trHeight w:val="315"/>
          <w:tblHeader/>
        </w:trPr>
        <w:tc>
          <w:tcPr>
            <w:tcW w:w="2978" w:type="dxa"/>
          </w:tcPr>
          <w:p w14:paraId="2A86DAC6" w14:textId="77777777" w:rsidR="00FB5DC1" w:rsidRPr="00FB5DC1" w:rsidRDefault="00FB5DC1" w:rsidP="00FB5DC1">
            <w:pPr>
              <w:pStyle w:val="Tabletext"/>
            </w:pPr>
            <w:r>
              <w:t>Meetings</w:t>
            </w:r>
          </w:p>
        </w:tc>
        <w:tc>
          <w:tcPr>
            <w:tcW w:w="2262" w:type="dxa"/>
          </w:tcPr>
          <w:p w14:paraId="12839FF2" w14:textId="77777777" w:rsidR="00FB5DC1" w:rsidRPr="00FB5DC1" w:rsidRDefault="00FB5DC1" w:rsidP="00FB5DC1">
            <w:pPr>
              <w:pStyle w:val="Tabletext"/>
            </w:pPr>
            <w:r>
              <w:t>19 (0)</w:t>
            </w:r>
          </w:p>
          <w:p w14:paraId="5E9BBB5D" w14:textId="77777777" w:rsidR="00FB5DC1" w:rsidRPr="008B4601" w:rsidRDefault="00FB5DC1" w:rsidP="00FB5DC1">
            <w:pPr>
              <w:pStyle w:val="Tabletext"/>
            </w:pPr>
          </w:p>
        </w:tc>
        <w:tc>
          <w:tcPr>
            <w:tcW w:w="2268" w:type="dxa"/>
          </w:tcPr>
          <w:p w14:paraId="176FBE52" w14:textId="77777777" w:rsidR="00FB5DC1" w:rsidRPr="00FB5DC1" w:rsidRDefault="00FB5DC1" w:rsidP="00FB5DC1">
            <w:pPr>
              <w:pStyle w:val="Tabletext"/>
            </w:pPr>
            <w:r>
              <w:t>5 (1)</w:t>
            </w:r>
          </w:p>
        </w:tc>
      </w:tr>
      <w:tr w:rsidR="00FB5DC1" w14:paraId="367B3E05" w14:textId="77777777" w:rsidTr="00BD22C0">
        <w:trPr>
          <w:cantSplit/>
          <w:trHeight w:val="645"/>
          <w:tblHeader/>
        </w:trPr>
        <w:tc>
          <w:tcPr>
            <w:tcW w:w="2978" w:type="dxa"/>
          </w:tcPr>
          <w:p w14:paraId="54221230" w14:textId="77777777" w:rsidR="00FB5DC1" w:rsidRPr="00FB5DC1" w:rsidRDefault="00FB5DC1" w:rsidP="00FB5DC1">
            <w:pPr>
              <w:pStyle w:val="Tabletext"/>
            </w:pPr>
            <w:r>
              <w:t>Speaking engagements</w:t>
            </w:r>
          </w:p>
        </w:tc>
        <w:tc>
          <w:tcPr>
            <w:tcW w:w="2262" w:type="dxa"/>
          </w:tcPr>
          <w:p w14:paraId="3A20A623" w14:textId="77777777" w:rsidR="00FB5DC1" w:rsidRPr="00FB5DC1" w:rsidRDefault="00FB5DC1" w:rsidP="00FB5DC1">
            <w:pPr>
              <w:pStyle w:val="Tablebullet"/>
              <w:numPr>
                <w:ilvl w:val="0"/>
                <w:numId w:val="0"/>
              </w:numPr>
              <w:ind w:left="360" w:hanging="360"/>
            </w:pPr>
            <w:r>
              <w:t>11 (4)</w:t>
            </w:r>
          </w:p>
        </w:tc>
        <w:tc>
          <w:tcPr>
            <w:tcW w:w="2268" w:type="dxa"/>
          </w:tcPr>
          <w:p w14:paraId="1192595F" w14:textId="77777777" w:rsidR="00FB5DC1" w:rsidRPr="00FB5DC1" w:rsidRDefault="00FB5DC1" w:rsidP="00FB5DC1">
            <w:pPr>
              <w:pStyle w:val="NICEnormal"/>
            </w:pPr>
            <w:r>
              <w:t>19 (8)</w:t>
            </w:r>
          </w:p>
        </w:tc>
      </w:tr>
      <w:tr w:rsidR="00FB5DC1" w14:paraId="216B2F02" w14:textId="77777777" w:rsidTr="00BD22C0">
        <w:trPr>
          <w:cantSplit/>
          <w:trHeight w:val="645"/>
          <w:tblHeader/>
        </w:trPr>
        <w:tc>
          <w:tcPr>
            <w:tcW w:w="2978" w:type="dxa"/>
          </w:tcPr>
          <w:p w14:paraId="31071B9C" w14:textId="77777777" w:rsidR="00FB5DC1" w:rsidRPr="00FB5DC1" w:rsidRDefault="00FB5DC1" w:rsidP="00FB5DC1">
            <w:pPr>
              <w:pStyle w:val="Tabletext"/>
            </w:pPr>
            <w:r>
              <w:t>Seminars/webinars</w:t>
            </w:r>
          </w:p>
        </w:tc>
        <w:tc>
          <w:tcPr>
            <w:tcW w:w="2262" w:type="dxa"/>
          </w:tcPr>
          <w:p w14:paraId="78BB08AF" w14:textId="77777777" w:rsidR="00FB5DC1" w:rsidRPr="00FB5DC1" w:rsidRDefault="00FB5DC1" w:rsidP="00FB5DC1">
            <w:pPr>
              <w:pStyle w:val="Tablebullet"/>
              <w:numPr>
                <w:ilvl w:val="0"/>
                <w:numId w:val="0"/>
              </w:numPr>
              <w:ind w:left="360" w:hanging="360"/>
            </w:pPr>
            <w:r>
              <w:t>20 (20)</w:t>
            </w:r>
          </w:p>
        </w:tc>
        <w:tc>
          <w:tcPr>
            <w:tcW w:w="2268" w:type="dxa"/>
          </w:tcPr>
          <w:p w14:paraId="3A4919AF" w14:textId="77777777" w:rsidR="00FB5DC1" w:rsidRPr="00FB5DC1" w:rsidRDefault="00FB5DC1" w:rsidP="00FB5DC1">
            <w:pPr>
              <w:pStyle w:val="NICEnormal"/>
            </w:pPr>
            <w:r>
              <w:t>16 (13)</w:t>
            </w:r>
          </w:p>
        </w:tc>
      </w:tr>
      <w:tr w:rsidR="00FB5DC1" w14:paraId="7F9CFBB4" w14:textId="77777777" w:rsidTr="00BD22C0">
        <w:trPr>
          <w:cantSplit/>
          <w:trHeight w:val="645"/>
          <w:tblHeader/>
        </w:trPr>
        <w:tc>
          <w:tcPr>
            <w:tcW w:w="2978" w:type="dxa"/>
          </w:tcPr>
          <w:p w14:paraId="27F730CD" w14:textId="77777777" w:rsidR="00FB5DC1" w:rsidRPr="00FB5DC1" w:rsidRDefault="00FB5DC1" w:rsidP="00FB5DC1">
            <w:pPr>
              <w:pStyle w:val="Tabletext"/>
            </w:pPr>
            <w:r>
              <w:t>Consultancy</w:t>
            </w:r>
          </w:p>
        </w:tc>
        <w:tc>
          <w:tcPr>
            <w:tcW w:w="2262" w:type="dxa"/>
          </w:tcPr>
          <w:p w14:paraId="5117F07A" w14:textId="77777777" w:rsidR="00FB5DC1" w:rsidRPr="00FB5DC1" w:rsidRDefault="00FB5DC1" w:rsidP="00FB5DC1">
            <w:pPr>
              <w:pStyle w:val="Tablebullet"/>
              <w:numPr>
                <w:ilvl w:val="0"/>
                <w:numId w:val="0"/>
              </w:numPr>
              <w:ind w:left="360" w:hanging="360"/>
            </w:pPr>
            <w:r>
              <w:t>8 (8)</w:t>
            </w:r>
          </w:p>
        </w:tc>
        <w:tc>
          <w:tcPr>
            <w:tcW w:w="2268" w:type="dxa"/>
          </w:tcPr>
          <w:p w14:paraId="1E716784" w14:textId="77777777" w:rsidR="00FB5DC1" w:rsidRPr="00FB5DC1" w:rsidRDefault="00FB5DC1" w:rsidP="00FB5DC1">
            <w:pPr>
              <w:pStyle w:val="NICEnormal"/>
            </w:pPr>
            <w:r>
              <w:t>12 (12)</w:t>
            </w:r>
            <w:r w:rsidRPr="00FB5DC1">
              <w:tab/>
            </w:r>
          </w:p>
        </w:tc>
      </w:tr>
      <w:tr w:rsidR="00FB5DC1" w14:paraId="7BDE7113" w14:textId="77777777" w:rsidTr="00BD22C0">
        <w:trPr>
          <w:cantSplit/>
          <w:trHeight w:val="343"/>
          <w:tblHeader/>
        </w:trPr>
        <w:tc>
          <w:tcPr>
            <w:tcW w:w="2978" w:type="dxa"/>
          </w:tcPr>
          <w:p w14:paraId="447136E8" w14:textId="77777777" w:rsidR="00FB5DC1" w:rsidRPr="00FB5DC1" w:rsidRDefault="00FB5DC1" w:rsidP="00FB5DC1">
            <w:pPr>
              <w:pStyle w:val="Tabletext"/>
            </w:pPr>
            <w:r>
              <w:t>Total</w:t>
            </w:r>
          </w:p>
        </w:tc>
        <w:tc>
          <w:tcPr>
            <w:tcW w:w="2262" w:type="dxa"/>
          </w:tcPr>
          <w:p w14:paraId="46542857" w14:textId="77777777" w:rsidR="00FB5DC1" w:rsidRPr="00FB5DC1" w:rsidRDefault="00FB5DC1" w:rsidP="00FB5DC1">
            <w:pPr>
              <w:pStyle w:val="Tablebullet"/>
              <w:numPr>
                <w:ilvl w:val="0"/>
                <w:numId w:val="0"/>
              </w:numPr>
              <w:ind w:left="360" w:hanging="360"/>
            </w:pPr>
            <w:r>
              <w:t>60 (32)</w:t>
            </w:r>
          </w:p>
        </w:tc>
        <w:tc>
          <w:tcPr>
            <w:tcW w:w="2268" w:type="dxa"/>
          </w:tcPr>
          <w:p w14:paraId="259C6514" w14:textId="77777777" w:rsidR="00FB5DC1" w:rsidRPr="00FB5DC1" w:rsidRDefault="00FB5DC1" w:rsidP="00FB5DC1">
            <w:pPr>
              <w:pStyle w:val="NICEnormal"/>
            </w:pPr>
            <w:r>
              <w:t xml:space="preserve">52 </w:t>
            </w:r>
            <w:r w:rsidRPr="00FB5DC1">
              <w:t>(34)</w:t>
            </w:r>
          </w:p>
        </w:tc>
      </w:tr>
    </w:tbl>
    <w:p w14:paraId="29658A01" w14:textId="77777777" w:rsidR="00FB5DC1" w:rsidRPr="00FB5DC1" w:rsidRDefault="00FB5DC1" w:rsidP="00FB5DC1">
      <w:pPr>
        <w:pStyle w:val="Tableheadingboardreport"/>
        <w:rPr>
          <w:lang w:eastAsia="en-GB"/>
        </w:rPr>
      </w:pPr>
    </w:p>
    <w:p w14:paraId="69534CBE" w14:textId="033DF3A2" w:rsidR="00032E47" w:rsidRPr="00032E47" w:rsidRDefault="00FB5DC1" w:rsidP="00F36EEB">
      <w:pPr>
        <w:pStyle w:val="NICEnormalnumbered"/>
      </w:pPr>
      <w:r w:rsidRPr="00FB5DC1">
        <w:t xml:space="preserve">Table 1 presents the number and type of engagements that have taken place in 2020/21. The data for 2019/20 financial year is presented as a comparison. </w:t>
      </w:r>
      <w:r w:rsidR="00032E47">
        <w:t xml:space="preserve">Seminars keep being a valued service offering from international organisations </w:t>
      </w:r>
      <w:r w:rsidR="00032E47">
        <w:lastRenderedPageBreak/>
        <w:t xml:space="preserve">who </w:t>
      </w:r>
      <w:r w:rsidR="00F36EEB">
        <w:t>can</w:t>
      </w:r>
      <w:r w:rsidR="00032E47">
        <w:t xml:space="preserve"> get </w:t>
      </w:r>
      <w:r w:rsidR="00032E47" w:rsidRPr="00032E47">
        <w:rPr>
          <w:rFonts w:eastAsia="Lato"/>
        </w:rPr>
        <w:t>a greater understanding of issues of interest based on NICE's</w:t>
      </w:r>
      <w:r w:rsidR="00032E47" w:rsidRPr="004556C5">
        <w:rPr>
          <w:rFonts w:eastAsia="Lato"/>
        </w:rPr>
        <w:t xml:space="preserve"> experience and a collaborative discussion with NICE</w:t>
      </w:r>
      <w:r w:rsidR="00032E47" w:rsidRPr="00F36EEB">
        <w:rPr>
          <w:rFonts w:eastAsia="Lato"/>
        </w:rPr>
        <w:t xml:space="preserve">. However, </w:t>
      </w:r>
      <w:r w:rsidR="00032E47">
        <w:rPr>
          <w:rFonts w:eastAsia="Lato"/>
        </w:rPr>
        <w:t xml:space="preserve">some international organisations are keen to get </w:t>
      </w:r>
      <w:r w:rsidR="00032E47">
        <w:t xml:space="preserve">a </w:t>
      </w:r>
      <w:r w:rsidR="00032E47" w:rsidRPr="00032E47">
        <w:rPr>
          <w:lang w:val="en-US"/>
        </w:rPr>
        <w:t xml:space="preserve">deeper understanding into an issue or </w:t>
      </w:r>
      <w:r w:rsidR="00F36EEB" w:rsidRPr="00032E47">
        <w:rPr>
          <w:lang w:val="en-US"/>
        </w:rPr>
        <w:t>challenge</w:t>
      </w:r>
      <w:r w:rsidR="00F36EEB">
        <w:t>,</w:t>
      </w:r>
      <w:r w:rsidR="004556C5">
        <w:t xml:space="preserve"> </w:t>
      </w:r>
      <w:r w:rsidR="008B3A6E">
        <w:t xml:space="preserve">and </w:t>
      </w:r>
      <w:r w:rsidR="004556C5">
        <w:t xml:space="preserve">jointly </w:t>
      </w:r>
      <w:r w:rsidR="004556C5">
        <w:rPr>
          <w:rFonts w:eastAsia="Lato"/>
        </w:rPr>
        <w:t>a</w:t>
      </w:r>
      <w:r w:rsidR="00032E47" w:rsidRPr="00032E47">
        <w:rPr>
          <w:rFonts w:eastAsia="Lato"/>
        </w:rPr>
        <w:t>nalys</w:t>
      </w:r>
      <w:r w:rsidR="004556C5">
        <w:rPr>
          <w:rFonts w:eastAsia="Lato"/>
        </w:rPr>
        <w:t>e</w:t>
      </w:r>
      <w:r w:rsidR="00032E47" w:rsidRPr="00032E47">
        <w:rPr>
          <w:rFonts w:eastAsia="Lato"/>
        </w:rPr>
        <w:t xml:space="preserve"> and discuss</w:t>
      </w:r>
      <w:r w:rsidR="004556C5">
        <w:rPr>
          <w:rFonts w:eastAsia="Lato"/>
        </w:rPr>
        <w:t xml:space="preserve"> it</w:t>
      </w:r>
      <w:r w:rsidR="00032E47" w:rsidRPr="00032E47">
        <w:rPr>
          <w:rFonts w:eastAsia="Lato"/>
        </w:rPr>
        <w:t xml:space="preserve"> with NICE</w:t>
      </w:r>
      <w:r w:rsidR="004556C5">
        <w:t xml:space="preserve">. </w:t>
      </w:r>
      <w:r w:rsidR="00F36EEB">
        <w:t xml:space="preserve">There is also demand for </w:t>
      </w:r>
      <w:r w:rsidR="00F36EEB">
        <w:rPr>
          <w:rFonts w:eastAsia="Lato"/>
        </w:rPr>
        <w:t>getting pr</w:t>
      </w:r>
      <w:r w:rsidR="00F36EEB" w:rsidRPr="00F36EEB">
        <w:rPr>
          <w:rFonts w:eastAsia="Lato"/>
        </w:rPr>
        <w:t>actical advice and review of plans and outputs based on NICE’s expertise</w:t>
      </w:r>
      <w:r w:rsidR="00F36EEB">
        <w:t xml:space="preserve">, </w:t>
      </w:r>
      <w:r w:rsidR="008B3A6E">
        <w:t>and for receiving</w:t>
      </w:r>
      <w:r w:rsidR="00F36EEB">
        <w:t xml:space="preserve"> </w:t>
      </w:r>
      <w:r w:rsidR="00F36EEB">
        <w:rPr>
          <w:rFonts w:eastAsia="Lato"/>
        </w:rPr>
        <w:t>t</w:t>
      </w:r>
      <w:r w:rsidR="00F36EEB" w:rsidRPr="00F36EEB">
        <w:rPr>
          <w:rFonts w:eastAsia="Lato"/>
        </w:rPr>
        <w:t>echnical training and support from NICE and different experts</w:t>
      </w:r>
      <w:r w:rsidR="00F36EEB">
        <w:t xml:space="preserve">. </w:t>
      </w:r>
      <w:r w:rsidR="004556C5" w:rsidRPr="00F36EEB">
        <w:rPr>
          <w:rFonts w:eastAsia="Lato"/>
        </w:rPr>
        <w:t>This is covered within NICE International consultancy</w:t>
      </w:r>
      <w:r w:rsidR="00F36EEB">
        <w:rPr>
          <w:rFonts w:eastAsia="Lato"/>
        </w:rPr>
        <w:t xml:space="preserve"> service offering and allows NICE to establish longer-term partnerships with the organisations demanding these services. </w:t>
      </w:r>
    </w:p>
    <w:p w14:paraId="34335095" w14:textId="29114FB6" w:rsidR="00FB5DC1" w:rsidRDefault="00FB5DC1" w:rsidP="00FB5DC1">
      <w:pPr>
        <w:pStyle w:val="NICEnormalnumbered"/>
      </w:pPr>
      <w:r w:rsidRPr="00FB5DC1">
        <w:t>D</w:t>
      </w:r>
      <w:r>
        <w:t>espite the slow start to the year, likely as a result of the pandemic, NICE International was able to adapt to the 'new normal'</w:t>
      </w:r>
      <w:r w:rsidR="00EA4F60">
        <w:t>,</w:t>
      </w:r>
      <w:r>
        <w:t xml:space="preserve"> further supported by the increasing acceptance worldwide of remote working. However, services have been affected by the impact that the pandemic has had, and continues to have, in many of the countries we have engaged with.</w:t>
      </w:r>
    </w:p>
    <w:p w14:paraId="2FA7326E" w14:textId="1B8F3082" w:rsidR="00FB5DC1" w:rsidRDefault="00FB5DC1" w:rsidP="00FB5DC1">
      <w:pPr>
        <w:pStyle w:val="NICEnormalnumbered"/>
      </w:pPr>
      <w:r>
        <w:t xml:space="preserve">Some key highlights of our </w:t>
      </w:r>
      <w:r w:rsidR="000F6AAE">
        <w:t xml:space="preserve">engagement </w:t>
      </w:r>
      <w:r>
        <w:t>work in 2020/21 include:</w:t>
      </w:r>
    </w:p>
    <w:p w14:paraId="3D097E3F" w14:textId="182BC0D4" w:rsidR="00B52B7E" w:rsidRDefault="00B52B7E" w:rsidP="00FB5DC1">
      <w:pPr>
        <w:pStyle w:val="NICEnormalnumbered"/>
        <w:numPr>
          <w:ilvl w:val="1"/>
          <w:numId w:val="41"/>
        </w:numPr>
      </w:pPr>
      <w:r>
        <w:t xml:space="preserve">Substantial input and participation in the </w:t>
      </w:r>
      <w:r w:rsidRPr="00B52B7E">
        <w:t>Foreign and Commonwealth Development Office (FCDO) Better Health Programme (BHP)</w:t>
      </w:r>
      <w:r>
        <w:t xml:space="preserve">, providing </w:t>
      </w:r>
      <w:r w:rsidRPr="00B52B7E">
        <w:t>support to the programme at a strategic level by being part of the steering group alongside the Department of Health and Social Care and other executive agencies and arm's length bodies</w:t>
      </w:r>
      <w:r>
        <w:t xml:space="preserve">, </w:t>
      </w:r>
      <w:r w:rsidR="00BC5C7B">
        <w:t>and</w:t>
      </w:r>
      <w:r w:rsidRPr="00B52B7E">
        <w:t xml:space="preserve"> supporting the programme at a technical level by providing direct technical advice and input as part of the consortium technical advisory service. </w:t>
      </w:r>
      <w:r w:rsidR="000F6AAE">
        <w:t>For the 2020/21 financial year</w:t>
      </w:r>
      <w:r w:rsidR="00C642C8">
        <w:t xml:space="preserve">, NICE has provided </w:t>
      </w:r>
      <w:r w:rsidR="000F6AAE">
        <w:t>290</w:t>
      </w:r>
      <w:r w:rsidR="00C642C8">
        <w:t xml:space="preserve"> hours of technical support to the programme, being the 3rd organisation who has contributed most to the programme.</w:t>
      </w:r>
    </w:p>
    <w:p w14:paraId="3C4678AF" w14:textId="178F6C01" w:rsidR="00FB5DC1" w:rsidRPr="00FB5DC1" w:rsidRDefault="00FB5DC1" w:rsidP="00FB5DC1">
      <w:pPr>
        <w:pStyle w:val="NICEnormalnumbered"/>
        <w:numPr>
          <w:ilvl w:val="1"/>
          <w:numId w:val="41"/>
        </w:numPr>
      </w:pPr>
      <w:r>
        <w:t>Providing an important technical exchange for HTA capacity building for the HTA unit (D</w:t>
      </w:r>
      <w:r w:rsidR="00B52B7E">
        <w:t xml:space="preserve">epartment of </w:t>
      </w:r>
      <w:r>
        <w:t>H</w:t>
      </w:r>
      <w:r w:rsidR="00B52B7E">
        <w:t>ealth</w:t>
      </w:r>
      <w:r>
        <w:t xml:space="preserve">), HTA council (decision making committee) and local government units in the Philippines through the </w:t>
      </w:r>
      <w:r w:rsidR="00B52B7E">
        <w:t xml:space="preserve">FCDO </w:t>
      </w:r>
      <w:r w:rsidRPr="00FB5DC1">
        <w:t xml:space="preserve">Better Health Programme (BHP) funded activities. NICE's contribution, led by NICE International, was recognised in the </w:t>
      </w:r>
      <w:hyperlink r:id="rId10" w:history="1">
        <w:r w:rsidR="006709A9" w:rsidRPr="006709A9">
          <w:rPr>
            <w:rStyle w:val="Hyperlink"/>
          </w:rPr>
          <w:t xml:space="preserve">Department of Health (DOH) Health Technology Assessment (HTA) </w:t>
        </w:r>
        <w:r w:rsidR="006709A9" w:rsidRPr="006709A9">
          <w:rPr>
            <w:rStyle w:val="Hyperlink"/>
          </w:rPr>
          <w:lastRenderedPageBreak/>
          <w:t>Philippines Annual Report</w:t>
        </w:r>
      </w:hyperlink>
      <w:r w:rsidRPr="00FB5DC1">
        <w:t>, and by the UK Government through the British Embassy in Manila as 'one of the strongest system-to-system linkages that has been enabled by the [Better Health] programme and has contributed much to our wider health diplomacy work'.</w:t>
      </w:r>
    </w:p>
    <w:p w14:paraId="24E5E686" w14:textId="4EFDD86A" w:rsidR="009818DA" w:rsidRPr="009818DA" w:rsidRDefault="00FB5DC1" w:rsidP="00665933">
      <w:pPr>
        <w:pStyle w:val="NICEnormalnumbered"/>
        <w:numPr>
          <w:ilvl w:val="1"/>
          <w:numId w:val="41"/>
        </w:numPr>
      </w:pPr>
      <w:r>
        <w:t xml:space="preserve">A </w:t>
      </w:r>
      <w:r w:rsidRPr="00FB5DC1">
        <w:t xml:space="preserve">third series of multi-country seminars in Latin America on HTA in </w:t>
      </w:r>
      <w:r w:rsidR="008457B7">
        <w:t>Brazil</w:t>
      </w:r>
      <w:r w:rsidRPr="00FB5DC1">
        <w:t>, Mexico and Uruguay funded by the Department for International Trade.</w:t>
      </w:r>
      <w:r w:rsidR="009818DA">
        <w:t xml:space="preserve"> Feedback from attendees was extremely positive, highlighting </w:t>
      </w:r>
      <w:r w:rsidR="009818DA" w:rsidRPr="009818DA">
        <w:t>not only the quality of the content but also the way it was delivered.</w:t>
      </w:r>
      <w:r w:rsidR="009818DA">
        <w:t xml:space="preserve"> NICE International was praised by our</w:t>
      </w:r>
      <w:r w:rsidR="009818DA" w:rsidRPr="009818DA">
        <w:t xml:space="preserve"> </w:t>
      </w:r>
      <w:r w:rsidR="009818DA">
        <w:t>'r</w:t>
      </w:r>
      <w:r w:rsidR="009818DA" w:rsidRPr="009818DA">
        <w:t>eadiness to adapt and anticipate inputs during the event</w:t>
      </w:r>
      <w:r w:rsidR="009818DA">
        <w:t xml:space="preserve">, </w:t>
      </w:r>
      <w:r w:rsidR="009818DA" w:rsidRPr="009818DA">
        <w:t>enabling the discussion towards constructive strategies to address the challenges in each of the healthcare systems</w:t>
      </w:r>
      <w:r w:rsidR="009818DA">
        <w:t>'</w:t>
      </w:r>
      <w:r w:rsidR="009818DA" w:rsidRPr="009818DA">
        <w:t>.</w:t>
      </w:r>
    </w:p>
    <w:p w14:paraId="22C979C0" w14:textId="20280529" w:rsidR="009818DA" w:rsidRPr="009818DA" w:rsidRDefault="009818DA" w:rsidP="00665933">
      <w:pPr>
        <w:pStyle w:val="NICEnormalnumbered"/>
        <w:numPr>
          <w:ilvl w:val="1"/>
          <w:numId w:val="41"/>
        </w:numPr>
      </w:pPr>
      <w:r w:rsidRPr="009818DA">
        <w:t xml:space="preserve">A knowledge exchange on HTA, guidelines, real world evidence and quality standards and indicators with the Colombian Instituto de </w:t>
      </w:r>
      <w:proofErr w:type="spellStart"/>
      <w:r w:rsidRPr="009818DA">
        <w:t>Evaluacion</w:t>
      </w:r>
      <w:proofErr w:type="spellEnd"/>
      <w:r w:rsidRPr="009818DA">
        <w:t xml:space="preserve"> </w:t>
      </w:r>
      <w:proofErr w:type="spellStart"/>
      <w:r w:rsidRPr="009818DA">
        <w:t>Tecnologica</w:t>
      </w:r>
      <w:proofErr w:type="spellEnd"/>
      <w:r w:rsidRPr="009818DA">
        <w:t xml:space="preserve"> </w:t>
      </w:r>
      <w:proofErr w:type="spellStart"/>
      <w:r w:rsidRPr="009818DA">
        <w:t>en</w:t>
      </w:r>
      <w:proofErr w:type="spellEnd"/>
      <w:r w:rsidRPr="009818DA">
        <w:t xml:space="preserve"> Salud (IETS) under the umbrella of our Memorandum of Understanding and funded by the Department for International Trade, and participation in IETS 10th anniversary event and launch of their public involvement manual.</w:t>
      </w:r>
    </w:p>
    <w:p w14:paraId="39D650B9" w14:textId="3AFD53CF" w:rsidR="004B1D16" w:rsidRPr="00FB5DC1" w:rsidRDefault="004B1D16" w:rsidP="00665933">
      <w:pPr>
        <w:pStyle w:val="NICEnormalnumbered"/>
        <w:numPr>
          <w:ilvl w:val="1"/>
          <w:numId w:val="41"/>
        </w:numPr>
      </w:pPr>
      <w:r>
        <w:t xml:space="preserve">Initial high-level conversations with the Cyprus Health Insurance Organisation for a </w:t>
      </w:r>
      <w:r w:rsidR="008E3CFA">
        <w:t>consultancy</w:t>
      </w:r>
      <w:r>
        <w:t xml:space="preserve"> project in developing, </w:t>
      </w:r>
      <w:r w:rsidR="00BC5C7B">
        <w:t>contextualising,</w:t>
      </w:r>
      <w:r>
        <w:t xml:space="preserve"> and implementing clinical guidelines and quality indicators in </w:t>
      </w:r>
      <w:r w:rsidR="00B52B7E">
        <w:t>Cyprus</w:t>
      </w:r>
      <w:r>
        <w:t>.</w:t>
      </w:r>
      <w:r w:rsidR="00A5135A">
        <w:t xml:space="preserve"> This project is now underway.</w:t>
      </w:r>
    </w:p>
    <w:p w14:paraId="245AF238" w14:textId="77777777" w:rsidR="00FB5DC1" w:rsidRPr="00FB5DC1" w:rsidRDefault="00FB5DC1" w:rsidP="00665933">
      <w:pPr>
        <w:pStyle w:val="NICEnormalnumbered"/>
        <w:numPr>
          <w:ilvl w:val="1"/>
          <w:numId w:val="41"/>
        </w:numPr>
      </w:pPr>
      <w:r>
        <w:t xml:space="preserve">Continued </w:t>
      </w:r>
      <w:r w:rsidRPr="00FB5DC1">
        <w:t>collaboration with the Danish Medicines Council in supporting their changes to their methods for HTA through a peer-to-peer seminar on committee decision making to its HTA council members</w:t>
      </w:r>
    </w:p>
    <w:p w14:paraId="7C9A97E5" w14:textId="6709432D" w:rsidR="00FB5DC1" w:rsidRDefault="00FB5DC1" w:rsidP="00665933">
      <w:pPr>
        <w:pStyle w:val="NICEnormalnumbered"/>
        <w:numPr>
          <w:ilvl w:val="1"/>
          <w:numId w:val="41"/>
        </w:numPr>
      </w:pPr>
      <w:r>
        <w:t>The All-Party Parliamentary Group on Global Health-hosted event to celebrate NICE International's 1st anniversary since its re-launch in November 2019</w:t>
      </w:r>
    </w:p>
    <w:p w14:paraId="6962FB53" w14:textId="384A321A" w:rsidR="00FB5DC1" w:rsidRDefault="00FB5DC1" w:rsidP="00BC5C7B">
      <w:pPr>
        <w:pStyle w:val="NICEnormalnumbered"/>
        <w:numPr>
          <w:ilvl w:val="1"/>
          <w:numId w:val="41"/>
        </w:numPr>
      </w:pPr>
      <w:r>
        <w:lastRenderedPageBreak/>
        <w:t xml:space="preserve">Representing NICE </w:t>
      </w:r>
      <w:r w:rsidR="00385D24">
        <w:t xml:space="preserve">as an official partner </w:t>
      </w:r>
      <w:r>
        <w:t xml:space="preserve">in the </w:t>
      </w:r>
      <w:r w:rsidR="00385D24">
        <w:t>launch</w:t>
      </w:r>
      <w:r>
        <w:t xml:space="preserve"> of </w:t>
      </w:r>
      <w:r w:rsidR="00235A39">
        <w:t xml:space="preserve">first </w:t>
      </w:r>
      <w:r>
        <w:t xml:space="preserve">World Evidence Based </w:t>
      </w:r>
      <w:r w:rsidR="00BC5C7B">
        <w:t>Healthcare Day</w:t>
      </w:r>
      <w:r w:rsidR="00385D24">
        <w:t xml:space="preserve"> on 20th October</w:t>
      </w:r>
      <w:r w:rsidR="00235A39">
        <w:t xml:space="preserve"> 2020</w:t>
      </w:r>
      <w:r w:rsidR="00385D24">
        <w:t xml:space="preserve">. </w:t>
      </w:r>
      <w:r w:rsidR="00235A39">
        <w:t>This is a global campaign with</w:t>
      </w:r>
      <w:r w:rsidR="00385D24" w:rsidRPr="00385D24">
        <w:t xml:space="preserve"> a view to raising awareness of the need for better evidence to inform healthcare policy, practice and decision making to improve health outcomes globally.</w:t>
      </w:r>
      <w:r w:rsidR="00235A39">
        <w:t xml:space="preserve"> </w:t>
      </w:r>
      <w:r w:rsidR="00385D24" w:rsidRPr="00385D24">
        <w:t>In its inaugural year, the World EBHC Day campaign Evidence to Impact asked the global evidence community to reflect and share experiences of using evidence to generate impact in healthcare globally.</w:t>
      </w:r>
      <w:r w:rsidR="00976CC1">
        <w:t xml:space="preserve"> </w:t>
      </w:r>
      <w:r w:rsidR="00D069AE">
        <w:t>W</w:t>
      </w:r>
      <w:r w:rsidR="00976CC1">
        <w:t xml:space="preserve">e worked with </w:t>
      </w:r>
      <w:r w:rsidR="00976CC1" w:rsidRPr="00976CC1">
        <w:t xml:space="preserve">other teams </w:t>
      </w:r>
      <w:r w:rsidR="00665933">
        <w:t>at</w:t>
      </w:r>
      <w:r w:rsidR="00976CC1" w:rsidRPr="00976CC1">
        <w:t xml:space="preserve"> </w:t>
      </w:r>
      <w:r w:rsidR="00665933">
        <w:t>NICE</w:t>
      </w:r>
      <w:r w:rsidR="00976CC1" w:rsidRPr="00976CC1">
        <w:t xml:space="preserve"> to organise </w:t>
      </w:r>
      <w:r w:rsidR="00976CC1">
        <w:t xml:space="preserve">some of </w:t>
      </w:r>
      <w:r w:rsidR="00976CC1" w:rsidRPr="00976CC1">
        <w:t>the activities and communications required to make this event a success</w:t>
      </w:r>
      <w:r w:rsidR="00976CC1">
        <w:t xml:space="preserve">, through </w:t>
      </w:r>
      <w:r w:rsidR="00D069AE">
        <w:t xml:space="preserve">promoting and organising the submission </w:t>
      </w:r>
      <w:r w:rsidR="00665933">
        <w:t xml:space="preserve">of </w:t>
      </w:r>
      <w:r w:rsidR="00976CC1">
        <w:t xml:space="preserve">impact stories, webinars, </w:t>
      </w:r>
      <w:r w:rsidR="00BC5C7B">
        <w:t>podcasts,</w:t>
      </w:r>
      <w:r w:rsidR="00976CC1">
        <w:t xml:space="preserve"> and infographics, </w:t>
      </w:r>
      <w:r w:rsidR="00D069AE">
        <w:t xml:space="preserve">with </w:t>
      </w:r>
      <w:r w:rsidR="00976CC1" w:rsidRPr="00976CC1">
        <w:t>statistics from the day sho</w:t>
      </w:r>
      <w:r w:rsidR="00976CC1">
        <w:t>w</w:t>
      </w:r>
      <w:r w:rsidR="00D069AE">
        <w:t>ing</w:t>
      </w:r>
      <w:r w:rsidR="00976CC1" w:rsidRPr="00976CC1">
        <w:t xml:space="preserve"> it reached</w:t>
      </w:r>
      <w:r w:rsidR="00D069AE">
        <w:t xml:space="preserve"> to</w:t>
      </w:r>
      <w:r w:rsidR="00976CC1" w:rsidRPr="00976CC1">
        <w:t xml:space="preserve"> 98 countries, with over 20,000 social media interactions</w:t>
      </w:r>
      <w:r w:rsidR="00D069AE">
        <w:t>.</w:t>
      </w:r>
    </w:p>
    <w:p w14:paraId="3EBFD717" w14:textId="7E2FD463" w:rsidR="00E21572" w:rsidRDefault="000F6AAE" w:rsidP="00FB5DC1">
      <w:pPr>
        <w:pStyle w:val="NICEnormalnumbered"/>
      </w:pPr>
      <w:r>
        <w:t xml:space="preserve">NICE </w:t>
      </w:r>
      <w:r w:rsidR="00BA02F5">
        <w:t>I</w:t>
      </w:r>
      <w:r>
        <w:t xml:space="preserve">nternational has been engaging with other </w:t>
      </w:r>
      <w:r w:rsidR="00E21572">
        <w:t>system partners</w:t>
      </w:r>
      <w:r>
        <w:t xml:space="preserve"> in developing vehicles for collaborative working and to minimise duplication of efforts. This is evident in our work with the:</w:t>
      </w:r>
    </w:p>
    <w:p w14:paraId="1B104414" w14:textId="783D7131" w:rsidR="008E3CFA" w:rsidRDefault="008E3CFA" w:rsidP="008E3CFA">
      <w:pPr>
        <w:pStyle w:val="NICEnormalnumbered"/>
        <w:numPr>
          <w:ilvl w:val="1"/>
          <w:numId w:val="41"/>
        </w:numPr>
      </w:pPr>
      <w:r>
        <w:t xml:space="preserve">NHS export collaborative, led by Healthcare UK: </w:t>
      </w:r>
      <w:r w:rsidRPr="008E3CFA">
        <w:t xml:space="preserve">programme announced in the NHS Long Term Plan to help the NHS access a higher share of international commercial income by convening organisations, brokering </w:t>
      </w:r>
      <w:r w:rsidR="00BC5C7B" w:rsidRPr="008E3CFA">
        <w:t>deals,</w:t>
      </w:r>
      <w:r w:rsidRPr="008E3CFA">
        <w:t xml:space="preserve"> and potentially acting as a prime contractor</w:t>
      </w:r>
      <w:r>
        <w:t xml:space="preserve">. NICE International has been heavily involved in the development of the export collaborative </w:t>
      </w:r>
      <w:r w:rsidR="0096463F">
        <w:t>initiative</w:t>
      </w:r>
      <w:r>
        <w:t>, attending several workshops and focus groups to</w:t>
      </w:r>
      <w:r w:rsidR="0096463F">
        <w:t xml:space="preserve"> provide input in the shape of the programme. </w:t>
      </w:r>
    </w:p>
    <w:p w14:paraId="50F28C9C" w14:textId="2A5DBCA9" w:rsidR="0096463F" w:rsidRDefault="0096463F" w:rsidP="008E3CFA">
      <w:pPr>
        <w:pStyle w:val="NICEnormalnumbered"/>
        <w:numPr>
          <w:ilvl w:val="1"/>
          <w:numId w:val="41"/>
        </w:numPr>
      </w:pPr>
      <w:r>
        <w:t xml:space="preserve">NHS Consortium for Global Health: </w:t>
      </w:r>
      <w:r w:rsidRPr="0096463F">
        <w:t>After two years of operation as the NHS Consortium</w:t>
      </w:r>
      <w:r w:rsidR="00C46D52">
        <w:t xml:space="preserve"> supporting the Better Health Programme</w:t>
      </w:r>
      <w:r w:rsidRPr="0096463F">
        <w:t xml:space="preserve">, a consortium of UK healthcare organisations managed through the NHS Joint Unit secretariat based within Health Education England and Public Health England, </w:t>
      </w:r>
      <w:r w:rsidR="00C46D52">
        <w:t>the group is working on a</w:t>
      </w:r>
      <w:r w:rsidRPr="0096463F">
        <w:t xml:space="preserve"> think-piece on the technical expertise which can be harnessed through the NHS Consortium </w:t>
      </w:r>
      <w:r w:rsidR="00C46D52">
        <w:t>for supporting global health opportunities. NICE International represents NICE in this consortium.</w:t>
      </w:r>
    </w:p>
    <w:p w14:paraId="66B4FA4A" w14:textId="3B6FCC08" w:rsidR="0059147B" w:rsidRDefault="00C46D52" w:rsidP="00665933">
      <w:pPr>
        <w:pStyle w:val="NICEnormalnumbered"/>
        <w:numPr>
          <w:ilvl w:val="1"/>
          <w:numId w:val="41"/>
        </w:numPr>
      </w:pPr>
      <w:r w:rsidRPr="00C46D52">
        <w:lastRenderedPageBreak/>
        <w:t>A</w:t>
      </w:r>
      <w:r w:rsidR="000611C0">
        <w:t xml:space="preserve">cademic </w:t>
      </w:r>
      <w:r w:rsidRPr="00C46D52">
        <w:t>H</w:t>
      </w:r>
      <w:r w:rsidR="000611C0">
        <w:t xml:space="preserve">ealth </w:t>
      </w:r>
      <w:r w:rsidRPr="00C46D52">
        <w:t>S</w:t>
      </w:r>
      <w:r w:rsidR="000611C0">
        <w:t xml:space="preserve">cience </w:t>
      </w:r>
      <w:r w:rsidRPr="00C46D52">
        <w:t>N</w:t>
      </w:r>
      <w:r w:rsidR="000611C0">
        <w:t>etwork</w:t>
      </w:r>
      <w:r w:rsidRPr="00C46D52">
        <w:t>s and the Royal College for Obstetricians and Gynaecology</w:t>
      </w:r>
      <w:r>
        <w:t xml:space="preserve"> to work </w:t>
      </w:r>
      <w:r w:rsidR="000611C0">
        <w:t>in partnership</w:t>
      </w:r>
      <w:r>
        <w:t xml:space="preserve"> </w:t>
      </w:r>
      <w:r w:rsidR="000611C0">
        <w:t xml:space="preserve">on </w:t>
      </w:r>
      <w:r>
        <w:t>international projects within the collaboration agreements between NICE and these organisations.</w:t>
      </w:r>
    </w:p>
    <w:p w14:paraId="0FBD5594" w14:textId="0DED9EB2" w:rsidR="00D069AE" w:rsidRDefault="00D069AE" w:rsidP="00FB5DC1">
      <w:pPr>
        <w:pStyle w:val="NICEnormalnumbered"/>
      </w:pPr>
      <w:r>
        <w:t xml:space="preserve">NICE International has taken up opportunities to showcase our work and the work of our international partners, </w:t>
      </w:r>
      <w:r w:rsidRPr="00D069AE">
        <w:t>inspired by our collaborations internally and externally</w:t>
      </w:r>
      <w:r>
        <w:t>,</w:t>
      </w:r>
      <w:r w:rsidRPr="00D069AE">
        <w:t xml:space="preserve"> and to identify areas at NICE that would benefit from our international learnings</w:t>
      </w:r>
      <w:r>
        <w:t>. Some examples include:</w:t>
      </w:r>
    </w:p>
    <w:p w14:paraId="3E93D5FA" w14:textId="4A07E12C" w:rsidR="00FB5DC1" w:rsidRPr="00BF2669" w:rsidRDefault="00D069AE" w:rsidP="00665933">
      <w:pPr>
        <w:pStyle w:val="NICEnormalnumbered"/>
        <w:numPr>
          <w:ilvl w:val="1"/>
          <w:numId w:val="41"/>
        </w:numPr>
      </w:pPr>
      <w:r>
        <w:t>Organising</w:t>
      </w:r>
      <w:r w:rsidR="00FB5DC1" w:rsidRPr="00BF2669">
        <w:t xml:space="preserve"> a technical forum to bring learnings to NICE on the experience of the HTA Unit in the Philippines in conducting rapid appraisals for COVID-19 technologies. This led to further conversations between the COVID-19 rapid guidelines team and the team in the Department of Health in the Philippines around potential collaboration in the surveillance and update of COVID-19 rapid guidelines. </w:t>
      </w:r>
    </w:p>
    <w:p w14:paraId="4884BACD" w14:textId="04FE991D" w:rsidR="00FB5DC1" w:rsidRDefault="00D069AE" w:rsidP="00D069AE">
      <w:pPr>
        <w:pStyle w:val="NICEnormalnumbered"/>
        <w:numPr>
          <w:ilvl w:val="1"/>
          <w:numId w:val="41"/>
        </w:numPr>
      </w:pPr>
      <w:r>
        <w:t>Supporting the</w:t>
      </w:r>
      <w:r w:rsidR="00FB5DC1" w:rsidRPr="00BF2669">
        <w:t xml:space="preserve"> SP&amp;R </w:t>
      </w:r>
      <w:r>
        <w:t xml:space="preserve">team </w:t>
      </w:r>
      <w:r w:rsidR="00FB5DC1" w:rsidRPr="00BF2669">
        <w:t>to organise a roundtable jointly with ISPOR on child health-related quality of life</w:t>
      </w:r>
      <w:r w:rsidR="00FB5DC1">
        <w:t>,</w:t>
      </w:r>
      <w:r w:rsidR="00FB5DC1" w:rsidRPr="00BF2669">
        <w:t xml:space="preserve"> </w:t>
      </w:r>
      <w:r w:rsidR="00EE622C">
        <w:t xml:space="preserve">helping to </w:t>
      </w:r>
      <w:r w:rsidR="00FB5DC1" w:rsidRPr="00BF2669">
        <w:t>organise an international workshop on interim access to health technologies</w:t>
      </w:r>
      <w:r w:rsidR="00EE622C" w:rsidRPr="00BF2669">
        <w:t xml:space="preserve"> alongside SP&amp;R, NHS England and the</w:t>
      </w:r>
      <w:r w:rsidR="00EE622C">
        <w:t xml:space="preserve"> NICE</w:t>
      </w:r>
      <w:r w:rsidR="00EE622C" w:rsidRPr="00BF2669">
        <w:t xml:space="preserve"> Commercial and Managed Access Team</w:t>
      </w:r>
      <w:r w:rsidR="00FB5DC1" w:rsidRPr="00BF2669">
        <w:t xml:space="preserve">. </w:t>
      </w:r>
    </w:p>
    <w:p w14:paraId="77DD4673" w14:textId="0BCF563B" w:rsidR="00D069AE" w:rsidRDefault="009C450E" w:rsidP="00665933">
      <w:pPr>
        <w:pStyle w:val="NICEnormalnumbered"/>
        <w:numPr>
          <w:ilvl w:val="1"/>
          <w:numId w:val="41"/>
        </w:numPr>
      </w:pPr>
      <w:r>
        <w:t>S</w:t>
      </w:r>
      <w:r w:rsidR="00D069AE" w:rsidRPr="00D069AE">
        <w:t>har</w:t>
      </w:r>
      <w:r w:rsidR="00D069AE">
        <w:t>ing</w:t>
      </w:r>
      <w:r w:rsidR="00D069AE" w:rsidRPr="00D069AE">
        <w:t xml:space="preserve"> links and insights on international projects, collaborations and initiatives to the health inequalities working group, the leads on sustainability and the data &amp; analytics team. In the future this will be done in a more coordinated manner through the</w:t>
      </w:r>
      <w:r w:rsidR="00D069AE">
        <w:t xml:space="preserve"> </w:t>
      </w:r>
      <w:r w:rsidR="00BC5C7B">
        <w:t>set-up</w:t>
      </w:r>
      <w:r w:rsidR="00D069AE">
        <w:t xml:space="preserve"> of an</w:t>
      </w:r>
      <w:r w:rsidR="00D069AE" w:rsidRPr="00D069AE">
        <w:t xml:space="preserve"> internal international group</w:t>
      </w:r>
      <w:r w:rsidR="00D069AE">
        <w:t>.</w:t>
      </w:r>
    </w:p>
    <w:p w14:paraId="4EFFF24D" w14:textId="2993241E" w:rsidR="004B1D16" w:rsidRPr="00BF2669" w:rsidRDefault="009C450E" w:rsidP="00665933">
      <w:pPr>
        <w:pStyle w:val="NICEnormalnumbered"/>
        <w:numPr>
          <w:ilvl w:val="1"/>
          <w:numId w:val="41"/>
        </w:numPr>
      </w:pPr>
      <w:r>
        <w:t>A</w:t>
      </w:r>
      <w:r w:rsidR="004B1D16">
        <w:t>ttend</w:t>
      </w:r>
      <w:r w:rsidR="00D069AE">
        <w:t>ing</w:t>
      </w:r>
      <w:r w:rsidR="004B1D16">
        <w:t xml:space="preserve"> and present</w:t>
      </w:r>
      <w:r w:rsidR="00D069AE">
        <w:t>ing</w:t>
      </w:r>
      <w:r w:rsidR="004B1D16">
        <w:t xml:space="preserve"> at </w:t>
      </w:r>
      <w:r w:rsidR="00FB4A0D">
        <w:t xml:space="preserve">relevant </w:t>
      </w:r>
      <w:r w:rsidR="00B52B7E">
        <w:t xml:space="preserve">international </w:t>
      </w:r>
      <w:r w:rsidR="00FB4A0D">
        <w:t>conferences including the ISPOR Asia Pacific 2020</w:t>
      </w:r>
      <w:r w:rsidR="00B52B7E">
        <w:t xml:space="preserve"> on the use of </w:t>
      </w:r>
      <w:r w:rsidR="00BC5C7B">
        <w:t>real-world</w:t>
      </w:r>
      <w:r w:rsidR="00B52B7E">
        <w:t xml:space="preserve"> evidence in HTA</w:t>
      </w:r>
      <w:r w:rsidR="000611C0">
        <w:t>,</w:t>
      </w:r>
      <w:r w:rsidR="00FB4A0D">
        <w:t xml:space="preserve"> and THET</w:t>
      </w:r>
      <w:r w:rsidR="00B52B7E">
        <w:t>'s 2020 Annual Conference on our experience in Latin America and the Caribbean on implementing HTA through a collaborative approach between stakeholders.</w:t>
      </w:r>
    </w:p>
    <w:p w14:paraId="24D3463A" w14:textId="214332A4" w:rsidR="00FB5DC1" w:rsidRDefault="00FB5DC1" w:rsidP="00FB5DC1">
      <w:pPr>
        <w:pStyle w:val="NICEnormalnumbered"/>
      </w:pPr>
      <w:r>
        <w:lastRenderedPageBreak/>
        <w:t xml:space="preserve">NICE International has also supported </w:t>
      </w:r>
      <w:r w:rsidR="00BC5C7B">
        <w:t>several</w:t>
      </w:r>
      <w:r>
        <w:t xml:space="preserve"> engagements linked to the global effort in tackling COVID-19 including:</w:t>
      </w:r>
    </w:p>
    <w:p w14:paraId="404FAEFB" w14:textId="77777777" w:rsidR="00EE622C" w:rsidRDefault="00FB5DC1" w:rsidP="00EE622C">
      <w:pPr>
        <w:pStyle w:val="NICEnormalnumbered"/>
        <w:numPr>
          <w:ilvl w:val="1"/>
          <w:numId w:val="41"/>
        </w:numPr>
      </w:pPr>
      <w:r>
        <w:t>a</w:t>
      </w:r>
      <w:r w:rsidRPr="00FB5DC1">
        <w:t xml:space="preserve"> webinar for international stakeholders on NICE's response to the pandemic in May 2020</w:t>
      </w:r>
    </w:p>
    <w:p w14:paraId="5839F4A3" w14:textId="5392DD75" w:rsidR="00FB5DC1" w:rsidRPr="00FB5DC1" w:rsidRDefault="00EE622C" w:rsidP="00EE622C">
      <w:pPr>
        <w:pStyle w:val="NICEnormalnumbered"/>
        <w:numPr>
          <w:ilvl w:val="1"/>
          <w:numId w:val="41"/>
        </w:numPr>
      </w:pPr>
      <w:r w:rsidRPr="0063706B">
        <w:t>shar</w:t>
      </w:r>
      <w:r w:rsidRPr="00EE622C">
        <w:t xml:space="preserve">ing insights from our experience dealing with COVID-19, particularly around the development of rapid guidelines and RAPID C-19 with countries including the Philippines (as part of the FCDO Better Health Programme), Colombia, Mexico, </w:t>
      </w:r>
      <w:r w:rsidR="00BC5C7B" w:rsidRPr="00EE622C">
        <w:t>Brazil,</w:t>
      </w:r>
      <w:r w:rsidRPr="00EE622C">
        <w:t xml:space="preserve"> and Slovakia as part of their engagements, and sharing our COVID-19 products with India amid the recent outbreak in the</w:t>
      </w:r>
      <w:r>
        <w:t xml:space="preserve"> country.</w:t>
      </w:r>
    </w:p>
    <w:p w14:paraId="2BE2DC27" w14:textId="1DB744D2" w:rsidR="00FB5DC1" w:rsidRDefault="00FB5DC1" w:rsidP="00FB5DC1">
      <w:pPr>
        <w:pStyle w:val="NICEnormalnumbered"/>
      </w:pPr>
      <w:r w:rsidRPr="00246AB9">
        <w:t xml:space="preserve">The year 2020/21 has also seen an effort to develop our marketing and communications strategy through an internal comms drive, the redesign of our webpages, the procurement of an animation to describe our role, and through audience insight exercises to inform the </w:t>
      </w:r>
      <w:r w:rsidR="003C1119">
        <w:t xml:space="preserve">future direction </w:t>
      </w:r>
      <w:r w:rsidRPr="00246AB9">
        <w:t xml:space="preserve">and understand </w:t>
      </w:r>
      <w:r w:rsidR="003C1119">
        <w:t xml:space="preserve">wider </w:t>
      </w:r>
      <w:r w:rsidRPr="00246AB9">
        <w:t xml:space="preserve">perceptions of NICE </w:t>
      </w:r>
      <w:r w:rsidRPr="00FB5DC1">
        <w:t>International.</w:t>
      </w:r>
    </w:p>
    <w:p w14:paraId="442ABA97" w14:textId="1B886D47" w:rsidR="00FB5DC1" w:rsidRDefault="00580D17" w:rsidP="00FB5DC1">
      <w:pPr>
        <w:pStyle w:val="Heading1boardreport"/>
      </w:pPr>
      <w:r>
        <w:t>People and Resources</w:t>
      </w:r>
    </w:p>
    <w:p w14:paraId="2B425CA4" w14:textId="2BE8C15E" w:rsidR="00FB5DC1" w:rsidRPr="00FB5DC1" w:rsidRDefault="00FB5DC1" w:rsidP="00FB5DC1">
      <w:pPr>
        <w:pStyle w:val="Heading3boardreport"/>
      </w:pPr>
      <w:r>
        <w:t>Financial and HR plans to support NICE International strategy</w:t>
      </w:r>
    </w:p>
    <w:p w14:paraId="3F47F215" w14:textId="2B3D20EB" w:rsidR="00E21572" w:rsidRDefault="00E21572" w:rsidP="00E21572">
      <w:pPr>
        <w:pStyle w:val="NICEnormalnumbered"/>
      </w:pPr>
      <w:r w:rsidRPr="00E21572">
        <w:t xml:space="preserve">NICE International is located within the NICE Scientific Advice team, as a not-for-profit, cost-recovery team. Staff supporting NICE International also participate in NICE Scientific Advice projects. The co-location of both teams allows for re-deployment of staff </w:t>
      </w:r>
      <w:r w:rsidR="00EE622C">
        <w:t xml:space="preserve">to NICE Scientific Advice </w:t>
      </w:r>
      <w:r w:rsidRPr="00E21572">
        <w:t>if demand for international services declines unexpectedly, without posing a risk to NICE.</w:t>
      </w:r>
      <w:r>
        <w:t xml:space="preserve"> NICE International is working on the trigger and decision points in which this re-deployment will be implemented in the 2021/22 financial year under different scenarios.</w:t>
      </w:r>
    </w:p>
    <w:p w14:paraId="521F8F9B" w14:textId="5DDB408B" w:rsidR="00FB5DC1" w:rsidRPr="00FB5DC1" w:rsidRDefault="00FB5DC1" w:rsidP="00FB5DC1">
      <w:pPr>
        <w:pStyle w:val="NICEnormalnumbered"/>
      </w:pPr>
      <w:r w:rsidRPr="00FB5DC1">
        <w:t xml:space="preserve">The NICE Business plan 2021/22 states that we will aim to grow NICE International to allow an increased number of international consultancy projects to be delivered. </w:t>
      </w:r>
    </w:p>
    <w:p w14:paraId="1FD50953" w14:textId="5156A8D2" w:rsidR="00FB5DC1" w:rsidRDefault="00BC5C7B" w:rsidP="00FB5DC1">
      <w:pPr>
        <w:pStyle w:val="NICEnormalnumbered"/>
      </w:pPr>
      <w:r w:rsidRPr="00FB5DC1">
        <w:lastRenderedPageBreak/>
        <w:t>To</w:t>
      </w:r>
      <w:r w:rsidR="00FB5DC1">
        <w:t xml:space="preserve"> support this initial expansion, the NICE Scientific Advice and NICE International Oversight group approved the recruitment of one 8b technical role and one 8d Associate Director post for NICE International. </w:t>
      </w:r>
    </w:p>
    <w:p w14:paraId="0157195E" w14:textId="77777777" w:rsidR="00FB5DC1" w:rsidRPr="00603CF5" w:rsidRDefault="00FB5DC1" w:rsidP="00FB5DC1">
      <w:pPr>
        <w:pStyle w:val="NICEnormalnumbered"/>
      </w:pPr>
      <w:r w:rsidRPr="00603CF5">
        <w:t>NICE International will aim to recover the costs of its advisory role when working with international organisations and sharing NICE’s learnings and expertise.</w:t>
      </w:r>
      <w:r>
        <w:t xml:space="preserve"> When working with low- and middle-income countries that may not have the ability to cover the cost-recovery fees,</w:t>
      </w:r>
      <w:r w:rsidRPr="00603CF5">
        <w:t xml:space="preserve"> NICE International will explore alternative funding models through actively looking for funding opportunities, for example participating in Official Development Assistance funded projects and providing support to international organisations aiming to obtain third party funding.</w:t>
      </w:r>
      <w:r>
        <w:t xml:space="preserve"> We will do this with support from the new business development team in the Finance, Strategy and Transformation directorate.</w:t>
      </w:r>
    </w:p>
    <w:p w14:paraId="0574EEBD" w14:textId="432E2952" w:rsidR="00FB5DC1" w:rsidRDefault="00E21572" w:rsidP="00FB5DC1">
      <w:pPr>
        <w:pStyle w:val="NICEnormalnumbered"/>
      </w:pPr>
      <w:r>
        <w:t xml:space="preserve">Some of </w:t>
      </w:r>
      <w:r w:rsidR="00FB5DC1" w:rsidRPr="00603CF5">
        <w:t>NICE International</w:t>
      </w:r>
      <w:r w:rsidR="00FB5DC1">
        <w:t>'s</w:t>
      </w:r>
      <w:r w:rsidR="00FB5DC1" w:rsidRPr="00603CF5">
        <w:t xml:space="preserve"> </w:t>
      </w:r>
      <w:r>
        <w:t xml:space="preserve">activities, such as support activities for NICE, </w:t>
      </w:r>
      <w:r w:rsidR="00FB5DC1" w:rsidRPr="00603CF5">
        <w:t>strategic</w:t>
      </w:r>
      <w:r>
        <w:t xml:space="preserve"> coordination</w:t>
      </w:r>
      <w:r w:rsidR="00FB5DC1" w:rsidRPr="00603CF5">
        <w:t xml:space="preserve"> and intelligence gathering </w:t>
      </w:r>
      <w:r w:rsidR="00FB5DC1">
        <w:t>do not generate any income, and therefore require additional financial support</w:t>
      </w:r>
      <w:r w:rsidR="00A13C00">
        <w:t xml:space="preserve"> from NICE</w:t>
      </w:r>
      <w:r w:rsidR="00FB5DC1">
        <w:t>. As NICE International is still developing and is in the early stages of its strategy, it is difficult at this stage to accurately estimate how much resource will be required to support this strategic role going forward.</w:t>
      </w:r>
      <w:r w:rsidR="00FB5DC1" w:rsidRPr="00852CE8">
        <w:t xml:space="preserve"> </w:t>
      </w:r>
    </w:p>
    <w:p w14:paraId="3FF2C0BE" w14:textId="5C3BBB0F" w:rsidR="00FB5DC1" w:rsidRPr="00FB5DC1" w:rsidRDefault="00FB5DC1" w:rsidP="00FB5DC1">
      <w:pPr>
        <w:pStyle w:val="Heading3boardreport"/>
      </w:pPr>
      <w:r>
        <w:t xml:space="preserve">Financial </w:t>
      </w:r>
      <w:r w:rsidR="00580D17">
        <w:t>position</w:t>
      </w:r>
      <w:r>
        <w:t xml:space="preserve"> </w:t>
      </w:r>
    </w:p>
    <w:p w14:paraId="42994874" w14:textId="360A8B8E" w:rsidR="0000778C" w:rsidRDefault="0000778C" w:rsidP="0000778C">
      <w:pPr>
        <w:pStyle w:val="NICEnormalnumbered"/>
      </w:pPr>
      <w:r>
        <w:t xml:space="preserve">The net outturn for 2020/21 was a deficit of £20,000. </w:t>
      </w:r>
      <w:r w:rsidR="00FB5DC1">
        <w:t xml:space="preserve">NICE International was asked to pause the signing of new contracts and organising international engagements between January and April </w:t>
      </w:r>
      <w:r w:rsidR="00BC5C7B">
        <w:t>due to</w:t>
      </w:r>
      <w:r w:rsidR="00FB5DC1">
        <w:t xml:space="preserve"> the internal reprioritisation of work due to the impact of COVID-19. This led to a postponement of at least 1 project and the cancellation and amendment of 4 engagements. </w:t>
      </w:r>
      <w:r>
        <w:t xml:space="preserve">The </w:t>
      </w:r>
      <w:r w:rsidRPr="00FB5DC1">
        <w:t xml:space="preserve">deficit made by NICE International in the 2020/21 financial year was </w:t>
      </w:r>
      <w:r w:rsidR="006B047C">
        <w:t>offset</w:t>
      </w:r>
      <w:r w:rsidRPr="00FB5DC1">
        <w:t xml:space="preserve"> by the NICE Scientific Advice surplus.</w:t>
      </w:r>
    </w:p>
    <w:p w14:paraId="70E69584" w14:textId="361BD7BA" w:rsidR="00FB5DC1" w:rsidRDefault="0000778C" w:rsidP="004156DE">
      <w:pPr>
        <w:pStyle w:val="NICEnormalnumbered"/>
      </w:pPr>
      <w:r>
        <w:t xml:space="preserve">In 2021/22 the team is expanding. </w:t>
      </w:r>
      <w:r w:rsidR="000D7127">
        <w:t>The 2 new posts recognised prior year ending,</w:t>
      </w:r>
      <w:r>
        <w:t xml:space="preserve"> will increase the </w:t>
      </w:r>
      <w:r w:rsidR="006B047C">
        <w:t xml:space="preserve">running </w:t>
      </w:r>
      <w:r>
        <w:t>costs of the team.</w:t>
      </w:r>
      <w:r w:rsidR="006B047C">
        <w:t xml:space="preserve"> </w:t>
      </w:r>
      <w:r w:rsidR="000D7127" w:rsidRPr="000D7127">
        <w:t>There will be lag-time before the new posts result in an increase in income.</w:t>
      </w:r>
      <w:r w:rsidR="000D7127">
        <w:t xml:space="preserve"> </w:t>
      </w:r>
      <w:r>
        <w:t>The income generated is also expected to increase, with predicted income of £170,000 based on current pipeline projections for each type of engagement.</w:t>
      </w:r>
      <w:r w:rsidR="0081056C" w:rsidDel="0081056C">
        <w:t xml:space="preserve"> </w:t>
      </w:r>
      <w:r w:rsidR="00F520B9">
        <w:t xml:space="preserve">The increase in income is </w:t>
      </w:r>
      <w:r w:rsidR="00F520B9">
        <w:lastRenderedPageBreak/>
        <w:t>expected to be driven by an increased number of consultancy projects.</w:t>
      </w:r>
      <w:r w:rsidR="000D7127">
        <w:t xml:space="preserve"> However, it is acknowledged that COVID-19 is still having an impact on the demand from international organisations for different services, which may affect our predictions at this stage. We will continue carefully reviewing and assessing the risks, planning and acting accordingly.</w:t>
      </w:r>
      <w:r w:rsidR="0081056C">
        <w:t xml:space="preserve"> </w:t>
      </w:r>
    </w:p>
    <w:p w14:paraId="01020B5C" w14:textId="2190D97D" w:rsidR="00434B52" w:rsidRPr="00434B52" w:rsidRDefault="006B047C" w:rsidP="00434B52">
      <w:pPr>
        <w:pStyle w:val="NICEnormalnumbered"/>
      </w:pPr>
      <w:r>
        <w:t>The</w:t>
      </w:r>
      <w:r w:rsidR="005C75D0" w:rsidRPr="00434B52">
        <w:t xml:space="preserve"> NICE International </w:t>
      </w:r>
      <w:r>
        <w:t xml:space="preserve">team </w:t>
      </w:r>
      <w:r w:rsidR="005C75D0" w:rsidRPr="00434B52">
        <w:t xml:space="preserve">will support NICE activities </w:t>
      </w:r>
      <w:r w:rsidR="0096463F" w:rsidRPr="00434B52">
        <w:t>in terms of</w:t>
      </w:r>
      <w:r w:rsidR="005C75D0" w:rsidRPr="00434B52">
        <w:t xml:space="preserve"> international coordination and intelligence gathering</w:t>
      </w:r>
      <w:r>
        <w:t xml:space="preserve"> that will not generate income in the short-term</w:t>
      </w:r>
      <w:r w:rsidR="008B3A6E">
        <w:t>. T</w:t>
      </w:r>
      <w:r>
        <w:t xml:space="preserve">hese activities contribute to </w:t>
      </w:r>
      <w:r w:rsidR="008B3A6E">
        <w:t xml:space="preserve">a </w:t>
      </w:r>
      <w:r>
        <w:t>projected deficit of £46,000</w:t>
      </w:r>
      <w:r w:rsidR="005C75D0">
        <w:t>.</w:t>
      </w:r>
      <w:r w:rsidR="005C75D0" w:rsidRPr="00434B52">
        <w:t xml:space="preserve"> </w:t>
      </w:r>
      <w:r w:rsidR="0096463F" w:rsidRPr="00434B52">
        <w:t>These activities will include:</w:t>
      </w:r>
      <w:r w:rsidR="00434B52" w:rsidRPr="00434B52">
        <w:t xml:space="preserve"> </w:t>
      </w:r>
    </w:p>
    <w:p w14:paraId="5269696E" w14:textId="1CE464F7" w:rsidR="00434B52" w:rsidRPr="0096463F" w:rsidRDefault="0096463F" w:rsidP="00434B52">
      <w:pPr>
        <w:pStyle w:val="NICEnormalnumbered"/>
        <w:numPr>
          <w:ilvl w:val="1"/>
          <w:numId w:val="41"/>
        </w:numPr>
      </w:pPr>
      <w:r w:rsidRPr="0096463F">
        <w:t>Further development and maintenance of the NICE-wide Strategic International Engagement plan (SIEP)</w:t>
      </w:r>
      <w:r w:rsidR="00F56A30">
        <w:t xml:space="preserve">, to coordinate and </w:t>
      </w:r>
      <w:r w:rsidR="0013393A">
        <w:t>drive</w:t>
      </w:r>
      <w:r w:rsidR="00F56A30">
        <w:t xml:space="preserve"> international engagement across the institute</w:t>
      </w:r>
      <w:r w:rsidRPr="0096463F">
        <w:t>.</w:t>
      </w:r>
    </w:p>
    <w:p w14:paraId="20D67527" w14:textId="17696C45" w:rsidR="0096463F" w:rsidRPr="0096463F" w:rsidRDefault="0096463F" w:rsidP="00434B52">
      <w:pPr>
        <w:pStyle w:val="NICEnormalnumbered"/>
        <w:numPr>
          <w:ilvl w:val="1"/>
          <w:numId w:val="41"/>
        </w:numPr>
      </w:pPr>
      <w:r w:rsidRPr="0096463F">
        <w:t xml:space="preserve">The initiation, coordination and chairing of </w:t>
      </w:r>
      <w:r w:rsidR="00EA4F60">
        <w:t>a new</w:t>
      </w:r>
      <w:r w:rsidR="00EA4F60" w:rsidRPr="0096463F">
        <w:t xml:space="preserve"> </w:t>
      </w:r>
      <w:r w:rsidRPr="0096463F">
        <w:t xml:space="preserve">internal </w:t>
      </w:r>
      <w:r w:rsidR="009A3BDB">
        <w:t>advisory group</w:t>
      </w:r>
      <w:r w:rsidR="00434B52">
        <w:t>,</w:t>
      </w:r>
      <w:r w:rsidR="009A3BDB">
        <w:t xml:space="preserve"> to </w:t>
      </w:r>
      <w:r w:rsidR="00434B52">
        <w:t>c</w:t>
      </w:r>
      <w:r w:rsidR="00434B52" w:rsidRPr="00434B52">
        <w:t>oordinate and drive NICE’s international engagements and efforts across the organisation, aligning them with NICE’s priority areas</w:t>
      </w:r>
      <w:r w:rsidR="00434B52">
        <w:t xml:space="preserve">, </w:t>
      </w:r>
      <w:r w:rsidRPr="0096463F">
        <w:t xml:space="preserve">and </w:t>
      </w:r>
      <w:r w:rsidR="009A3BDB">
        <w:t>a</w:t>
      </w:r>
      <w:r w:rsidR="00EA4F60">
        <w:t xml:space="preserve"> new</w:t>
      </w:r>
      <w:r w:rsidR="009A3BDB">
        <w:t xml:space="preserve"> </w:t>
      </w:r>
      <w:r w:rsidRPr="0096463F">
        <w:t>external advisory group</w:t>
      </w:r>
      <w:r w:rsidR="009A3BDB">
        <w:t xml:space="preserve"> to provide</w:t>
      </w:r>
      <w:r w:rsidR="009A3BDB" w:rsidRPr="009A3BDB">
        <w:t xml:space="preserve"> strategic advice</w:t>
      </w:r>
      <w:r w:rsidR="009A3BDB">
        <w:t xml:space="preserve">, </w:t>
      </w:r>
      <w:r w:rsidR="009A3BDB" w:rsidRPr="009A3BDB">
        <w:t>direction and guidance on NICE’s international engagement</w:t>
      </w:r>
      <w:r w:rsidR="009A3BDB">
        <w:t>s.</w:t>
      </w:r>
    </w:p>
    <w:p w14:paraId="5E592718" w14:textId="77777777" w:rsidR="0096463F" w:rsidRPr="0096463F" w:rsidRDefault="0096463F" w:rsidP="004A0353">
      <w:pPr>
        <w:pStyle w:val="NICEnormalnumbered"/>
        <w:numPr>
          <w:ilvl w:val="1"/>
          <w:numId w:val="41"/>
        </w:numPr>
      </w:pPr>
      <w:r w:rsidRPr="0096463F">
        <w:t>Representing NICE at various external international group meetings and events including special interest groups, DHSC/ALB NHS international groups, and events such as World Evidence Based Healthcare (EBHC) day.</w:t>
      </w:r>
    </w:p>
    <w:p w14:paraId="1D3D99F7" w14:textId="77777777" w:rsidR="0096463F" w:rsidRPr="0096463F" w:rsidRDefault="0096463F" w:rsidP="004A0353">
      <w:pPr>
        <w:pStyle w:val="NICEnormalnumbered"/>
        <w:numPr>
          <w:ilvl w:val="1"/>
          <w:numId w:val="41"/>
        </w:numPr>
      </w:pPr>
      <w:r w:rsidRPr="0096463F">
        <w:t>Liaison and coordination between internal teams on a 1-to-1 basis to share intelligence and provide briefings on NICE's international engagements with international organisations or countries ahead of other important engagements.</w:t>
      </w:r>
    </w:p>
    <w:p w14:paraId="5F484ED4" w14:textId="1D365439" w:rsidR="0096463F" w:rsidRPr="0096463F" w:rsidRDefault="0096463F" w:rsidP="004A0353">
      <w:pPr>
        <w:pStyle w:val="NICEnormalnumbered"/>
        <w:numPr>
          <w:ilvl w:val="1"/>
          <w:numId w:val="41"/>
        </w:numPr>
      </w:pPr>
      <w:r w:rsidRPr="0096463F">
        <w:t>Work</w:t>
      </w:r>
      <w:r w:rsidR="00EA4F60">
        <w:t>ing</w:t>
      </w:r>
      <w:r w:rsidRPr="0096463F">
        <w:t xml:space="preserve"> strategically with the scientific affairs team </w:t>
      </w:r>
      <w:r>
        <w:t xml:space="preserve">in the Science, Evidence and Analytics team </w:t>
      </w:r>
      <w:r w:rsidRPr="0096463F">
        <w:t>on NICE</w:t>
      </w:r>
      <w:r>
        <w:t xml:space="preserve">'s </w:t>
      </w:r>
      <w:r w:rsidRPr="0096463F">
        <w:t>strategic priorities</w:t>
      </w:r>
      <w:r>
        <w:t xml:space="preserve"> internationally</w:t>
      </w:r>
      <w:r w:rsidRPr="0096463F">
        <w:t>.</w:t>
      </w:r>
    </w:p>
    <w:p w14:paraId="4285C36A" w14:textId="6EB1497C" w:rsidR="0096463F" w:rsidRDefault="0096463F" w:rsidP="004A0353">
      <w:pPr>
        <w:pStyle w:val="NICEnormalnumbered"/>
        <w:numPr>
          <w:ilvl w:val="1"/>
          <w:numId w:val="41"/>
        </w:numPr>
      </w:pPr>
      <w:r w:rsidRPr="0096463F">
        <w:t>Providing coordination support to other no-fee strategic engagements.</w:t>
      </w:r>
    </w:p>
    <w:p w14:paraId="5480FB72" w14:textId="1B47195F" w:rsidR="005C75D0" w:rsidRDefault="005C75D0" w:rsidP="005C75D0">
      <w:pPr>
        <w:pStyle w:val="NICEnormalnumbered"/>
      </w:pPr>
      <w:r>
        <w:lastRenderedPageBreak/>
        <w:t>The resources required to support this</w:t>
      </w:r>
      <w:r w:rsidR="0096463F">
        <w:t xml:space="preserve"> coordination and intelligence gathering</w:t>
      </w:r>
      <w:r>
        <w:t xml:space="preserve"> role will be monitored over the next 12 months </w:t>
      </w:r>
      <w:r w:rsidR="00BC5C7B">
        <w:t>for</w:t>
      </w:r>
      <w:r>
        <w:t xml:space="preserve"> a more accurate estimate to be provided for subsequent financial years. It is anticipated that the proportion of costs that are not recoverable from income generation will decrease in future years as the number of paid projects increases.</w:t>
      </w:r>
      <w:r w:rsidRPr="00852CE8">
        <w:t xml:space="preserve"> </w:t>
      </w:r>
      <w:r w:rsidRPr="00603CF5">
        <w:t>Working with the NICE Finance, Strategy &amp; Transformation directorate, we will explore various financial business models over the coming year focusing on the long-term sustainability of the team.</w:t>
      </w:r>
    </w:p>
    <w:p w14:paraId="4AB9DDE5" w14:textId="77777777" w:rsidR="002338B4" w:rsidRPr="002338B4" w:rsidRDefault="002338B4" w:rsidP="002338B4">
      <w:pPr>
        <w:pStyle w:val="Heading1boardreport"/>
      </w:pPr>
      <w:r w:rsidRPr="009F5020">
        <w:t>Next steps</w:t>
      </w:r>
    </w:p>
    <w:p w14:paraId="555884FD" w14:textId="04891AE5" w:rsidR="00FB5DC1" w:rsidRDefault="00851F55" w:rsidP="00BC5C7B">
      <w:pPr>
        <w:pStyle w:val="NICEnormalnumbered"/>
      </w:pPr>
      <w:r>
        <w:t xml:space="preserve">NICE International are working on developing a </w:t>
      </w:r>
      <w:r w:rsidR="00BC5C7B">
        <w:t>longer-term</w:t>
      </w:r>
      <w:r>
        <w:t xml:space="preserve"> strategy that we aim to present to the </w:t>
      </w:r>
      <w:r w:rsidR="002E3146">
        <w:t>B</w:t>
      </w:r>
      <w:r>
        <w:t>oard later this year.</w:t>
      </w:r>
    </w:p>
    <w:p w14:paraId="01337489" w14:textId="77777777" w:rsidR="004B4705" w:rsidRDefault="004B4705" w:rsidP="004B4705">
      <w:pPr>
        <w:pStyle w:val="Heading1boardreport"/>
      </w:pPr>
      <w:r>
        <w:t>Conclusion</w:t>
      </w:r>
    </w:p>
    <w:p w14:paraId="5C5CC36F" w14:textId="05E94322" w:rsidR="004B4705" w:rsidRDefault="00371167" w:rsidP="00BC5C7B">
      <w:pPr>
        <w:pStyle w:val="NICEnormalnumbered"/>
      </w:pPr>
      <w:r w:rsidRPr="00371167">
        <w:t xml:space="preserve">This paper contains an update to </w:t>
      </w:r>
      <w:r>
        <w:t>the Board</w:t>
      </w:r>
      <w:r w:rsidRPr="00371167">
        <w:t xml:space="preserve"> on the progress of NICE International in the financial year 2020/21, providing an overview of achievements and developments during the last 12 months, and the pipeline and future aspirations of the team for the financial year 2021/22. </w:t>
      </w:r>
    </w:p>
    <w:p w14:paraId="6DC25718" w14:textId="0C397122" w:rsidR="004B4705" w:rsidRDefault="004B4705" w:rsidP="004B4705">
      <w:pPr>
        <w:pStyle w:val="Heading2boardreport"/>
      </w:pPr>
      <w:r>
        <w:t xml:space="preserve">Issues for consideration </w:t>
      </w:r>
    </w:p>
    <w:p w14:paraId="7693222C" w14:textId="5765FE41" w:rsidR="004B4705" w:rsidRPr="003D0243" w:rsidRDefault="00BC5C7B" w:rsidP="004B4705">
      <w:pPr>
        <w:pStyle w:val="NICEnormalnumbered"/>
      </w:pPr>
      <w:r w:rsidRPr="002E3146">
        <w:t xml:space="preserve">Note the progress of NICE International in the financial year 2020/21 </w:t>
      </w:r>
    </w:p>
    <w:p w14:paraId="02E2064B" w14:textId="77777777" w:rsidR="004B4705" w:rsidRDefault="004B4705" w:rsidP="004511A7">
      <w:pPr>
        <w:pStyle w:val="NICEnormal"/>
      </w:pPr>
    </w:p>
    <w:p w14:paraId="34181402" w14:textId="5590A1E2" w:rsidR="004B4705" w:rsidRPr="00DB6F82" w:rsidRDefault="004B4705" w:rsidP="004B4705">
      <w:pPr>
        <w:pStyle w:val="NICEnormal"/>
      </w:pPr>
      <w:r w:rsidRPr="00DB6F82">
        <w:t xml:space="preserve">© NICE </w:t>
      </w:r>
      <w:r w:rsidR="003B3053">
        <w:t>2021</w:t>
      </w:r>
      <w:r w:rsidRPr="00DB6F82">
        <w:t xml:space="preserve">. All rights reserved. </w:t>
      </w:r>
      <w:hyperlink r:id="rId11" w:anchor="notice-of-rights" w:history="1">
        <w:r w:rsidRPr="00DB6F82">
          <w:rPr>
            <w:rStyle w:val="Hyperlink"/>
          </w:rPr>
          <w:t>Subject to Notice of rights</w:t>
        </w:r>
      </w:hyperlink>
      <w:r w:rsidRPr="00DB6F82">
        <w:t>.</w:t>
      </w:r>
    </w:p>
    <w:p w14:paraId="1AC46361" w14:textId="289F45CD" w:rsidR="004B4705" w:rsidRDefault="003B3053" w:rsidP="004511A7">
      <w:pPr>
        <w:pStyle w:val="NICEnormal"/>
      </w:pPr>
      <w:r>
        <w:t>July 2021</w:t>
      </w:r>
    </w:p>
    <w:sectPr w:rsidR="004B4705" w:rsidSect="00B046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E32B5" w14:textId="77777777" w:rsidR="00CD4CC0" w:rsidRDefault="00CD4CC0">
      <w:r>
        <w:separator/>
      </w:r>
    </w:p>
  </w:endnote>
  <w:endnote w:type="continuationSeparator" w:id="0">
    <w:p w14:paraId="7C56435C" w14:textId="77777777" w:rsidR="00CD4CC0" w:rsidRDefault="00CD4CC0">
      <w:r>
        <w:continuationSeparator/>
      </w:r>
    </w:p>
  </w:endnote>
  <w:endnote w:type="continuationNotice" w:id="1">
    <w:p w14:paraId="4342EA8A" w14:textId="77777777" w:rsidR="00CD4CC0" w:rsidRDefault="00CD4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2E373" w14:textId="77777777" w:rsidR="00CD4CC0" w:rsidRDefault="00CD4CC0">
      <w:r>
        <w:separator/>
      </w:r>
    </w:p>
  </w:footnote>
  <w:footnote w:type="continuationSeparator" w:id="0">
    <w:p w14:paraId="20FEE8FC" w14:textId="77777777" w:rsidR="00CD4CC0" w:rsidRDefault="00CD4CC0">
      <w:r>
        <w:continuationSeparator/>
      </w:r>
    </w:p>
  </w:footnote>
  <w:footnote w:type="continuationNotice" w:id="1">
    <w:p w14:paraId="09D99662" w14:textId="77777777" w:rsidR="00CD4CC0" w:rsidRDefault="00CD4C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3A67"/>
    <w:multiLevelType w:val="hybridMultilevel"/>
    <w:tmpl w:val="68121554"/>
    <w:lvl w:ilvl="0" w:tplc="9B5CBE3A">
      <w:start w:val="1"/>
      <w:numFmt w:val="bullet"/>
      <w:lvlText w:val="•"/>
      <w:lvlJc w:val="left"/>
      <w:pPr>
        <w:tabs>
          <w:tab w:val="num" w:pos="720"/>
        </w:tabs>
        <w:ind w:left="720" w:hanging="360"/>
      </w:pPr>
      <w:rPr>
        <w:rFonts w:ascii="Arial" w:hAnsi="Arial" w:hint="default"/>
      </w:rPr>
    </w:lvl>
    <w:lvl w:ilvl="1" w:tplc="61F699B2" w:tentative="1">
      <w:start w:val="1"/>
      <w:numFmt w:val="bullet"/>
      <w:lvlText w:val="•"/>
      <w:lvlJc w:val="left"/>
      <w:pPr>
        <w:tabs>
          <w:tab w:val="num" w:pos="1440"/>
        </w:tabs>
        <w:ind w:left="1440" w:hanging="360"/>
      </w:pPr>
      <w:rPr>
        <w:rFonts w:ascii="Arial" w:hAnsi="Arial" w:hint="default"/>
      </w:rPr>
    </w:lvl>
    <w:lvl w:ilvl="2" w:tplc="BF9C5918" w:tentative="1">
      <w:start w:val="1"/>
      <w:numFmt w:val="bullet"/>
      <w:lvlText w:val="•"/>
      <w:lvlJc w:val="left"/>
      <w:pPr>
        <w:tabs>
          <w:tab w:val="num" w:pos="2160"/>
        </w:tabs>
        <w:ind w:left="2160" w:hanging="360"/>
      </w:pPr>
      <w:rPr>
        <w:rFonts w:ascii="Arial" w:hAnsi="Arial" w:hint="default"/>
      </w:rPr>
    </w:lvl>
    <w:lvl w:ilvl="3" w:tplc="644E8A7A" w:tentative="1">
      <w:start w:val="1"/>
      <w:numFmt w:val="bullet"/>
      <w:lvlText w:val="•"/>
      <w:lvlJc w:val="left"/>
      <w:pPr>
        <w:tabs>
          <w:tab w:val="num" w:pos="2880"/>
        </w:tabs>
        <w:ind w:left="2880" w:hanging="360"/>
      </w:pPr>
      <w:rPr>
        <w:rFonts w:ascii="Arial" w:hAnsi="Arial" w:hint="default"/>
      </w:rPr>
    </w:lvl>
    <w:lvl w:ilvl="4" w:tplc="DF78C456" w:tentative="1">
      <w:start w:val="1"/>
      <w:numFmt w:val="bullet"/>
      <w:lvlText w:val="•"/>
      <w:lvlJc w:val="left"/>
      <w:pPr>
        <w:tabs>
          <w:tab w:val="num" w:pos="3600"/>
        </w:tabs>
        <w:ind w:left="3600" w:hanging="360"/>
      </w:pPr>
      <w:rPr>
        <w:rFonts w:ascii="Arial" w:hAnsi="Arial" w:hint="default"/>
      </w:rPr>
    </w:lvl>
    <w:lvl w:ilvl="5" w:tplc="D19E55CE" w:tentative="1">
      <w:start w:val="1"/>
      <w:numFmt w:val="bullet"/>
      <w:lvlText w:val="•"/>
      <w:lvlJc w:val="left"/>
      <w:pPr>
        <w:tabs>
          <w:tab w:val="num" w:pos="4320"/>
        </w:tabs>
        <w:ind w:left="4320" w:hanging="360"/>
      </w:pPr>
      <w:rPr>
        <w:rFonts w:ascii="Arial" w:hAnsi="Arial" w:hint="default"/>
      </w:rPr>
    </w:lvl>
    <w:lvl w:ilvl="6" w:tplc="1F2AE338" w:tentative="1">
      <w:start w:val="1"/>
      <w:numFmt w:val="bullet"/>
      <w:lvlText w:val="•"/>
      <w:lvlJc w:val="left"/>
      <w:pPr>
        <w:tabs>
          <w:tab w:val="num" w:pos="5040"/>
        </w:tabs>
        <w:ind w:left="5040" w:hanging="360"/>
      </w:pPr>
      <w:rPr>
        <w:rFonts w:ascii="Arial" w:hAnsi="Arial" w:hint="default"/>
      </w:rPr>
    </w:lvl>
    <w:lvl w:ilvl="7" w:tplc="785836F6" w:tentative="1">
      <w:start w:val="1"/>
      <w:numFmt w:val="bullet"/>
      <w:lvlText w:val="•"/>
      <w:lvlJc w:val="left"/>
      <w:pPr>
        <w:tabs>
          <w:tab w:val="num" w:pos="5760"/>
        </w:tabs>
        <w:ind w:left="5760" w:hanging="360"/>
      </w:pPr>
      <w:rPr>
        <w:rFonts w:ascii="Arial" w:hAnsi="Arial" w:hint="default"/>
      </w:rPr>
    </w:lvl>
    <w:lvl w:ilvl="8" w:tplc="D7BE54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AA373B"/>
    <w:multiLevelType w:val="hybridMultilevel"/>
    <w:tmpl w:val="10166AD0"/>
    <w:lvl w:ilvl="0" w:tplc="0E94A7C2">
      <w:start w:val="1"/>
      <w:numFmt w:val="bullet"/>
      <w:lvlText w:val="•"/>
      <w:lvlJc w:val="left"/>
      <w:pPr>
        <w:tabs>
          <w:tab w:val="num" w:pos="720"/>
        </w:tabs>
        <w:ind w:left="720" w:hanging="360"/>
      </w:pPr>
      <w:rPr>
        <w:rFonts w:ascii="Arial" w:hAnsi="Arial" w:hint="default"/>
      </w:rPr>
    </w:lvl>
    <w:lvl w:ilvl="1" w:tplc="5852A5EC" w:tentative="1">
      <w:start w:val="1"/>
      <w:numFmt w:val="bullet"/>
      <w:lvlText w:val="•"/>
      <w:lvlJc w:val="left"/>
      <w:pPr>
        <w:tabs>
          <w:tab w:val="num" w:pos="1440"/>
        </w:tabs>
        <w:ind w:left="1440" w:hanging="360"/>
      </w:pPr>
      <w:rPr>
        <w:rFonts w:ascii="Arial" w:hAnsi="Arial" w:hint="default"/>
      </w:rPr>
    </w:lvl>
    <w:lvl w:ilvl="2" w:tplc="E42AC10E" w:tentative="1">
      <w:start w:val="1"/>
      <w:numFmt w:val="bullet"/>
      <w:lvlText w:val="•"/>
      <w:lvlJc w:val="left"/>
      <w:pPr>
        <w:tabs>
          <w:tab w:val="num" w:pos="2160"/>
        </w:tabs>
        <w:ind w:left="2160" w:hanging="360"/>
      </w:pPr>
      <w:rPr>
        <w:rFonts w:ascii="Arial" w:hAnsi="Arial" w:hint="default"/>
      </w:rPr>
    </w:lvl>
    <w:lvl w:ilvl="3" w:tplc="F028B51A" w:tentative="1">
      <w:start w:val="1"/>
      <w:numFmt w:val="bullet"/>
      <w:lvlText w:val="•"/>
      <w:lvlJc w:val="left"/>
      <w:pPr>
        <w:tabs>
          <w:tab w:val="num" w:pos="2880"/>
        </w:tabs>
        <w:ind w:left="2880" w:hanging="360"/>
      </w:pPr>
      <w:rPr>
        <w:rFonts w:ascii="Arial" w:hAnsi="Arial" w:hint="default"/>
      </w:rPr>
    </w:lvl>
    <w:lvl w:ilvl="4" w:tplc="2C50510C" w:tentative="1">
      <w:start w:val="1"/>
      <w:numFmt w:val="bullet"/>
      <w:lvlText w:val="•"/>
      <w:lvlJc w:val="left"/>
      <w:pPr>
        <w:tabs>
          <w:tab w:val="num" w:pos="3600"/>
        </w:tabs>
        <w:ind w:left="3600" w:hanging="360"/>
      </w:pPr>
      <w:rPr>
        <w:rFonts w:ascii="Arial" w:hAnsi="Arial" w:hint="default"/>
      </w:rPr>
    </w:lvl>
    <w:lvl w:ilvl="5" w:tplc="B77237CE" w:tentative="1">
      <w:start w:val="1"/>
      <w:numFmt w:val="bullet"/>
      <w:lvlText w:val="•"/>
      <w:lvlJc w:val="left"/>
      <w:pPr>
        <w:tabs>
          <w:tab w:val="num" w:pos="4320"/>
        </w:tabs>
        <w:ind w:left="4320" w:hanging="360"/>
      </w:pPr>
      <w:rPr>
        <w:rFonts w:ascii="Arial" w:hAnsi="Arial" w:hint="default"/>
      </w:rPr>
    </w:lvl>
    <w:lvl w:ilvl="6" w:tplc="5C26A976" w:tentative="1">
      <w:start w:val="1"/>
      <w:numFmt w:val="bullet"/>
      <w:lvlText w:val="•"/>
      <w:lvlJc w:val="left"/>
      <w:pPr>
        <w:tabs>
          <w:tab w:val="num" w:pos="5040"/>
        </w:tabs>
        <w:ind w:left="5040" w:hanging="360"/>
      </w:pPr>
      <w:rPr>
        <w:rFonts w:ascii="Arial" w:hAnsi="Arial" w:hint="default"/>
      </w:rPr>
    </w:lvl>
    <w:lvl w:ilvl="7" w:tplc="C50267DA" w:tentative="1">
      <w:start w:val="1"/>
      <w:numFmt w:val="bullet"/>
      <w:lvlText w:val="•"/>
      <w:lvlJc w:val="left"/>
      <w:pPr>
        <w:tabs>
          <w:tab w:val="num" w:pos="5760"/>
        </w:tabs>
        <w:ind w:left="5760" w:hanging="360"/>
      </w:pPr>
      <w:rPr>
        <w:rFonts w:ascii="Arial" w:hAnsi="Arial" w:hint="default"/>
      </w:rPr>
    </w:lvl>
    <w:lvl w:ilvl="8" w:tplc="878EB4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B8046BF"/>
    <w:multiLevelType w:val="hybridMultilevel"/>
    <w:tmpl w:val="AAA62C9E"/>
    <w:lvl w:ilvl="0" w:tplc="0A2CBEAA">
      <w:start w:val="1"/>
      <w:numFmt w:val="bullet"/>
      <w:lvlText w:val="•"/>
      <w:lvlJc w:val="left"/>
      <w:pPr>
        <w:tabs>
          <w:tab w:val="num" w:pos="720"/>
        </w:tabs>
        <w:ind w:left="720" w:hanging="360"/>
      </w:pPr>
      <w:rPr>
        <w:rFonts w:ascii="Times New Roman" w:hAnsi="Times New Roman" w:hint="default"/>
      </w:rPr>
    </w:lvl>
    <w:lvl w:ilvl="1" w:tplc="25C438E6" w:tentative="1">
      <w:start w:val="1"/>
      <w:numFmt w:val="bullet"/>
      <w:lvlText w:val="•"/>
      <w:lvlJc w:val="left"/>
      <w:pPr>
        <w:tabs>
          <w:tab w:val="num" w:pos="1440"/>
        </w:tabs>
        <w:ind w:left="1440" w:hanging="360"/>
      </w:pPr>
      <w:rPr>
        <w:rFonts w:ascii="Times New Roman" w:hAnsi="Times New Roman" w:hint="default"/>
      </w:rPr>
    </w:lvl>
    <w:lvl w:ilvl="2" w:tplc="5792E020" w:tentative="1">
      <w:start w:val="1"/>
      <w:numFmt w:val="bullet"/>
      <w:lvlText w:val="•"/>
      <w:lvlJc w:val="left"/>
      <w:pPr>
        <w:tabs>
          <w:tab w:val="num" w:pos="2160"/>
        </w:tabs>
        <w:ind w:left="2160" w:hanging="360"/>
      </w:pPr>
      <w:rPr>
        <w:rFonts w:ascii="Times New Roman" w:hAnsi="Times New Roman" w:hint="default"/>
      </w:rPr>
    </w:lvl>
    <w:lvl w:ilvl="3" w:tplc="AFC8FD18" w:tentative="1">
      <w:start w:val="1"/>
      <w:numFmt w:val="bullet"/>
      <w:lvlText w:val="•"/>
      <w:lvlJc w:val="left"/>
      <w:pPr>
        <w:tabs>
          <w:tab w:val="num" w:pos="2880"/>
        </w:tabs>
        <w:ind w:left="2880" w:hanging="360"/>
      </w:pPr>
      <w:rPr>
        <w:rFonts w:ascii="Times New Roman" w:hAnsi="Times New Roman" w:hint="default"/>
      </w:rPr>
    </w:lvl>
    <w:lvl w:ilvl="4" w:tplc="0CE87DD6" w:tentative="1">
      <w:start w:val="1"/>
      <w:numFmt w:val="bullet"/>
      <w:lvlText w:val="•"/>
      <w:lvlJc w:val="left"/>
      <w:pPr>
        <w:tabs>
          <w:tab w:val="num" w:pos="3600"/>
        </w:tabs>
        <w:ind w:left="3600" w:hanging="360"/>
      </w:pPr>
      <w:rPr>
        <w:rFonts w:ascii="Times New Roman" w:hAnsi="Times New Roman" w:hint="default"/>
      </w:rPr>
    </w:lvl>
    <w:lvl w:ilvl="5" w:tplc="137261F4" w:tentative="1">
      <w:start w:val="1"/>
      <w:numFmt w:val="bullet"/>
      <w:lvlText w:val="•"/>
      <w:lvlJc w:val="left"/>
      <w:pPr>
        <w:tabs>
          <w:tab w:val="num" w:pos="4320"/>
        </w:tabs>
        <w:ind w:left="4320" w:hanging="360"/>
      </w:pPr>
      <w:rPr>
        <w:rFonts w:ascii="Times New Roman" w:hAnsi="Times New Roman" w:hint="default"/>
      </w:rPr>
    </w:lvl>
    <w:lvl w:ilvl="6" w:tplc="478A032C" w:tentative="1">
      <w:start w:val="1"/>
      <w:numFmt w:val="bullet"/>
      <w:lvlText w:val="•"/>
      <w:lvlJc w:val="left"/>
      <w:pPr>
        <w:tabs>
          <w:tab w:val="num" w:pos="5040"/>
        </w:tabs>
        <w:ind w:left="5040" w:hanging="360"/>
      </w:pPr>
      <w:rPr>
        <w:rFonts w:ascii="Times New Roman" w:hAnsi="Times New Roman" w:hint="default"/>
      </w:rPr>
    </w:lvl>
    <w:lvl w:ilvl="7" w:tplc="04B62E2E" w:tentative="1">
      <w:start w:val="1"/>
      <w:numFmt w:val="bullet"/>
      <w:lvlText w:val="•"/>
      <w:lvlJc w:val="left"/>
      <w:pPr>
        <w:tabs>
          <w:tab w:val="num" w:pos="5760"/>
        </w:tabs>
        <w:ind w:left="5760" w:hanging="360"/>
      </w:pPr>
      <w:rPr>
        <w:rFonts w:ascii="Times New Roman" w:hAnsi="Times New Roman" w:hint="default"/>
      </w:rPr>
    </w:lvl>
    <w:lvl w:ilvl="8" w:tplc="1EAC1EF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8"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21C6039"/>
    <w:multiLevelType w:val="hybridMultilevel"/>
    <w:tmpl w:val="4638625E"/>
    <w:lvl w:ilvl="0" w:tplc="4CC0EC4E">
      <w:start w:val="1"/>
      <w:numFmt w:val="bullet"/>
      <w:lvlText w:val="•"/>
      <w:lvlJc w:val="left"/>
      <w:pPr>
        <w:tabs>
          <w:tab w:val="num" w:pos="720"/>
        </w:tabs>
        <w:ind w:left="720" w:hanging="360"/>
      </w:pPr>
      <w:rPr>
        <w:rFonts w:ascii="Arial" w:hAnsi="Arial" w:hint="default"/>
      </w:rPr>
    </w:lvl>
    <w:lvl w:ilvl="1" w:tplc="04987C78" w:tentative="1">
      <w:start w:val="1"/>
      <w:numFmt w:val="bullet"/>
      <w:lvlText w:val="•"/>
      <w:lvlJc w:val="left"/>
      <w:pPr>
        <w:tabs>
          <w:tab w:val="num" w:pos="1440"/>
        </w:tabs>
        <w:ind w:left="1440" w:hanging="360"/>
      </w:pPr>
      <w:rPr>
        <w:rFonts w:ascii="Arial" w:hAnsi="Arial" w:hint="default"/>
      </w:rPr>
    </w:lvl>
    <w:lvl w:ilvl="2" w:tplc="A3DEF094" w:tentative="1">
      <w:start w:val="1"/>
      <w:numFmt w:val="bullet"/>
      <w:lvlText w:val="•"/>
      <w:lvlJc w:val="left"/>
      <w:pPr>
        <w:tabs>
          <w:tab w:val="num" w:pos="2160"/>
        </w:tabs>
        <w:ind w:left="2160" w:hanging="360"/>
      </w:pPr>
      <w:rPr>
        <w:rFonts w:ascii="Arial" w:hAnsi="Arial" w:hint="default"/>
      </w:rPr>
    </w:lvl>
    <w:lvl w:ilvl="3" w:tplc="219A87E0" w:tentative="1">
      <w:start w:val="1"/>
      <w:numFmt w:val="bullet"/>
      <w:lvlText w:val="•"/>
      <w:lvlJc w:val="left"/>
      <w:pPr>
        <w:tabs>
          <w:tab w:val="num" w:pos="2880"/>
        </w:tabs>
        <w:ind w:left="2880" w:hanging="360"/>
      </w:pPr>
      <w:rPr>
        <w:rFonts w:ascii="Arial" w:hAnsi="Arial" w:hint="default"/>
      </w:rPr>
    </w:lvl>
    <w:lvl w:ilvl="4" w:tplc="2A86CBEA" w:tentative="1">
      <w:start w:val="1"/>
      <w:numFmt w:val="bullet"/>
      <w:lvlText w:val="•"/>
      <w:lvlJc w:val="left"/>
      <w:pPr>
        <w:tabs>
          <w:tab w:val="num" w:pos="3600"/>
        </w:tabs>
        <w:ind w:left="3600" w:hanging="360"/>
      </w:pPr>
      <w:rPr>
        <w:rFonts w:ascii="Arial" w:hAnsi="Arial" w:hint="default"/>
      </w:rPr>
    </w:lvl>
    <w:lvl w:ilvl="5" w:tplc="6DB40320" w:tentative="1">
      <w:start w:val="1"/>
      <w:numFmt w:val="bullet"/>
      <w:lvlText w:val="•"/>
      <w:lvlJc w:val="left"/>
      <w:pPr>
        <w:tabs>
          <w:tab w:val="num" w:pos="4320"/>
        </w:tabs>
        <w:ind w:left="4320" w:hanging="360"/>
      </w:pPr>
      <w:rPr>
        <w:rFonts w:ascii="Arial" w:hAnsi="Arial" w:hint="default"/>
      </w:rPr>
    </w:lvl>
    <w:lvl w:ilvl="6" w:tplc="3CDA09C4" w:tentative="1">
      <w:start w:val="1"/>
      <w:numFmt w:val="bullet"/>
      <w:lvlText w:val="•"/>
      <w:lvlJc w:val="left"/>
      <w:pPr>
        <w:tabs>
          <w:tab w:val="num" w:pos="5040"/>
        </w:tabs>
        <w:ind w:left="5040" w:hanging="360"/>
      </w:pPr>
      <w:rPr>
        <w:rFonts w:ascii="Arial" w:hAnsi="Arial" w:hint="default"/>
      </w:rPr>
    </w:lvl>
    <w:lvl w:ilvl="7" w:tplc="E638890A" w:tentative="1">
      <w:start w:val="1"/>
      <w:numFmt w:val="bullet"/>
      <w:lvlText w:val="•"/>
      <w:lvlJc w:val="left"/>
      <w:pPr>
        <w:tabs>
          <w:tab w:val="num" w:pos="5760"/>
        </w:tabs>
        <w:ind w:left="5760" w:hanging="360"/>
      </w:pPr>
      <w:rPr>
        <w:rFonts w:ascii="Arial" w:hAnsi="Arial" w:hint="default"/>
      </w:rPr>
    </w:lvl>
    <w:lvl w:ilvl="8" w:tplc="C642699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5"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2733CDE"/>
    <w:multiLevelType w:val="hybridMultilevel"/>
    <w:tmpl w:val="B24223EE"/>
    <w:lvl w:ilvl="0" w:tplc="EE549320">
      <w:start w:val="1"/>
      <w:numFmt w:val="bullet"/>
      <w:lvlText w:val="•"/>
      <w:lvlJc w:val="left"/>
      <w:pPr>
        <w:tabs>
          <w:tab w:val="num" w:pos="720"/>
        </w:tabs>
        <w:ind w:left="720" w:hanging="360"/>
      </w:pPr>
      <w:rPr>
        <w:rFonts w:ascii="Arial" w:hAnsi="Arial" w:hint="default"/>
      </w:rPr>
    </w:lvl>
    <w:lvl w:ilvl="1" w:tplc="9A6A7CC8" w:tentative="1">
      <w:start w:val="1"/>
      <w:numFmt w:val="bullet"/>
      <w:lvlText w:val="•"/>
      <w:lvlJc w:val="left"/>
      <w:pPr>
        <w:tabs>
          <w:tab w:val="num" w:pos="1440"/>
        </w:tabs>
        <w:ind w:left="1440" w:hanging="360"/>
      </w:pPr>
      <w:rPr>
        <w:rFonts w:ascii="Arial" w:hAnsi="Arial" w:hint="default"/>
      </w:rPr>
    </w:lvl>
    <w:lvl w:ilvl="2" w:tplc="97E81E06" w:tentative="1">
      <w:start w:val="1"/>
      <w:numFmt w:val="bullet"/>
      <w:lvlText w:val="•"/>
      <w:lvlJc w:val="left"/>
      <w:pPr>
        <w:tabs>
          <w:tab w:val="num" w:pos="2160"/>
        </w:tabs>
        <w:ind w:left="2160" w:hanging="360"/>
      </w:pPr>
      <w:rPr>
        <w:rFonts w:ascii="Arial" w:hAnsi="Arial" w:hint="default"/>
      </w:rPr>
    </w:lvl>
    <w:lvl w:ilvl="3" w:tplc="10980F68" w:tentative="1">
      <w:start w:val="1"/>
      <w:numFmt w:val="bullet"/>
      <w:lvlText w:val="•"/>
      <w:lvlJc w:val="left"/>
      <w:pPr>
        <w:tabs>
          <w:tab w:val="num" w:pos="2880"/>
        </w:tabs>
        <w:ind w:left="2880" w:hanging="360"/>
      </w:pPr>
      <w:rPr>
        <w:rFonts w:ascii="Arial" w:hAnsi="Arial" w:hint="default"/>
      </w:rPr>
    </w:lvl>
    <w:lvl w:ilvl="4" w:tplc="46C445C0" w:tentative="1">
      <w:start w:val="1"/>
      <w:numFmt w:val="bullet"/>
      <w:lvlText w:val="•"/>
      <w:lvlJc w:val="left"/>
      <w:pPr>
        <w:tabs>
          <w:tab w:val="num" w:pos="3600"/>
        </w:tabs>
        <w:ind w:left="3600" w:hanging="360"/>
      </w:pPr>
      <w:rPr>
        <w:rFonts w:ascii="Arial" w:hAnsi="Arial" w:hint="default"/>
      </w:rPr>
    </w:lvl>
    <w:lvl w:ilvl="5" w:tplc="26D8A0EE" w:tentative="1">
      <w:start w:val="1"/>
      <w:numFmt w:val="bullet"/>
      <w:lvlText w:val="•"/>
      <w:lvlJc w:val="left"/>
      <w:pPr>
        <w:tabs>
          <w:tab w:val="num" w:pos="4320"/>
        </w:tabs>
        <w:ind w:left="4320" w:hanging="360"/>
      </w:pPr>
      <w:rPr>
        <w:rFonts w:ascii="Arial" w:hAnsi="Arial" w:hint="default"/>
      </w:rPr>
    </w:lvl>
    <w:lvl w:ilvl="6" w:tplc="661A546E" w:tentative="1">
      <w:start w:val="1"/>
      <w:numFmt w:val="bullet"/>
      <w:lvlText w:val="•"/>
      <w:lvlJc w:val="left"/>
      <w:pPr>
        <w:tabs>
          <w:tab w:val="num" w:pos="5040"/>
        </w:tabs>
        <w:ind w:left="5040" w:hanging="360"/>
      </w:pPr>
      <w:rPr>
        <w:rFonts w:ascii="Arial" w:hAnsi="Arial" w:hint="default"/>
      </w:rPr>
    </w:lvl>
    <w:lvl w:ilvl="7" w:tplc="8D48AF34" w:tentative="1">
      <w:start w:val="1"/>
      <w:numFmt w:val="bullet"/>
      <w:lvlText w:val="•"/>
      <w:lvlJc w:val="left"/>
      <w:pPr>
        <w:tabs>
          <w:tab w:val="num" w:pos="5760"/>
        </w:tabs>
        <w:ind w:left="5760" w:hanging="360"/>
      </w:pPr>
      <w:rPr>
        <w:rFonts w:ascii="Arial" w:hAnsi="Arial" w:hint="default"/>
      </w:rPr>
    </w:lvl>
    <w:lvl w:ilvl="8" w:tplc="DCB47B7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45"/>
  </w:num>
  <w:num w:numId="3">
    <w:abstractNumId w:val="34"/>
  </w:num>
  <w:num w:numId="4">
    <w:abstractNumId w:val="36"/>
  </w:num>
  <w:num w:numId="5">
    <w:abstractNumId w:val="18"/>
  </w:num>
  <w:num w:numId="6">
    <w:abstractNumId w:val="22"/>
  </w:num>
  <w:num w:numId="7">
    <w:abstractNumId w:val="28"/>
  </w:num>
  <w:num w:numId="8">
    <w:abstractNumId w:val="30"/>
  </w:num>
  <w:num w:numId="9">
    <w:abstractNumId w:val="38"/>
  </w:num>
  <w:num w:numId="10">
    <w:abstractNumId w:val="20"/>
  </w:num>
  <w:num w:numId="11">
    <w:abstractNumId w:val="43"/>
  </w:num>
  <w:num w:numId="12">
    <w:abstractNumId w:val="26"/>
  </w:num>
  <w:num w:numId="13">
    <w:abstractNumId w:val="37"/>
  </w:num>
  <w:num w:numId="14">
    <w:abstractNumId w:val="41"/>
  </w:num>
  <w:num w:numId="15">
    <w:abstractNumId w:val="27"/>
  </w:num>
  <w:num w:numId="16">
    <w:abstractNumId w:val="11"/>
  </w:num>
  <w:num w:numId="17">
    <w:abstractNumId w:val="13"/>
  </w:num>
  <w:num w:numId="18">
    <w:abstractNumId w:val="24"/>
  </w:num>
  <w:num w:numId="19">
    <w:abstractNumId w:val="29"/>
  </w:num>
  <w:num w:numId="20">
    <w:abstractNumId w:val="19"/>
  </w:num>
  <w:num w:numId="21">
    <w:abstractNumId w:val="44"/>
  </w:num>
  <w:num w:numId="22">
    <w:abstractNumId w:val="2"/>
  </w:num>
  <w:num w:numId="23">
    <w:abstractNumId w:val="42"/>
  </w:num>
  <w:num w:numId="24">
    <w:abstractNumId w:val="15"/>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7"/>
  </w:num>
  <w:num w:numId="35">
    <w:abstractNumId w:val="31"/>
  </w:num>
  <w:num w:numId="36">
    <w:abstractNumId w:val="46"/>
  </w:num>
  <w:num w:numId="37">
    <w:abstractNumId w:val="46"/>
    <w:lvlOverride w:ilvl="0">
      <w:startOverride w:val="1"/>
    </w:lvlOverride>
  </w:num>
  <w:num w:numId="38">
    <w:abstractNumId w:val="46"/>
    <w:lvlOverride w:ilvl="0">
      <w:startOverride w:val="1"/>
    </w:lvlOverride>
  </w:num>
  <w:num w:numId="39">
    <w:abstractNumId w:val="25"/>
  </w:num>
  <w:num w:numId="40">
    <w:abstractNumId w:val="25"/>
    <w:lvlOverride w:ilvl="0">
      <w:startOverride w:val="1"/>
    </w:lvlOverride>
  </w:num>
  <w:num w:numId="41">
    <w:abstractNumId w:val="16"/>
  </w:num>
  <w:num w:numId="42">
    <w:abstractNumId w:val="35"/>
  </w:num>
  <w:num w:numId="43">
    <w:abstractNumId w:val="32"/>
  </w:num>
  <w:num w:numId="44">
    <w:abstractNumId w:val="23"/>
  </w:num>
  <w:num w:numId="45">
    <w:abstractNumId w:val="16"/>
    <w:lvlOverride w:ilvl="0">
      <w:startOverride w:val="1"/>
    </w:lvlOverride>
  </w:num>
  <w:num w:numId="46">
    <w:abstractNumId w:val="16"/>
    <w:lvlOverride w:ilvl="0">
      <w:startOverride w:val="1"/>
    </w:lvlOverride>
  </w:num>
  <w:num w:numId="47">
    <w:abstractNumId w:val="16"/>
    <w:lvlOverride w:ilvl="0">
      <w:startOverride w:val="1"/>
    </w:lvlOverride>
  </w:num>
  <w:num w:numId="48">
    <w:abstractNumId w:val="16"/>
    <w:lvlOverride w:ilvl="0">
      <w:startOverride w:val="1"/>
    </w:lvlOverride>
  </w:num>
  <w:num w:numId="49">
    <w:abstractNumId w:val="16"/>
    <w:lvlOverride w:ilvl="0">
      <w:startOverride w:val="1"/>
    </w:lvlOverride>
  </w:num>
  <w:num w:numId="50">
    <w:abstractNumId w:val="16"/>
    <w:lvlOverride w:ilvl="0">
      <w:startOverride w:val="1"/>
    </w:lvlOverride>
  </w:num>
  <w:num w:numId="51">
    <w:abstractNumId w:val="16"/>
    <w:lvlOverride w:ilvl="0">
      <w:startOverride w:val="1"/>
    </w:lvlOverride>
  </w:num>
  <w:num w:numId="52">
    <w:abstractNumId w:val="16"/>
    <w:lvlOverride w:ilvl="0">
      <w:startOverride w:val="1"/>
    </w:lvlOverride>
  </w:num>
  <w:num w:numId="53">
    <w:abstractNumId w:val="16"/>
    <w:lvlOverride w:ilvl="0">
      <w:startOverride w:val="1"/>
    </w:lvlOverride>
  </w:num>
  <w:num w:numId="54">
    <w:abstractNumId w:val="16"/>
    <w:lvlOverride w:ilvl="0">
      <w:startOverride w:val="1"/>
    </w:lvlOverride>
  </w:num>
  <w:num w:numId="55">
    <w:abstractNumId w:val="10"/>
  </w:num>
  <w:num w:numId="56">
    <w:abstractNumId w:val="21"/>
  </w:num>
  <w:num w:numId="57">
    <w:abstractNumId w:val="12"/>
  </w:num>
  <w:num w:numId="58">
    <w:abstractNumId w:val="39"/>
  </w:num>
  <w:num w:numId="59">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8193">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B6"/>
    <w:rsid w:val="0000778C"/>
    <w:rsid w:val="000119FB"/>
    <w:rsid w:val="000242AA"/>
    <w:rsid w:val="00032E47"/>
    <w:rsid w:val="000611C0"/>
    <w:rsid w:val="000A1EC0"/>
    <w:rsid w:val="000C3F75"/>
    <w:rsid w:val="000C4168"/>
    <w:rsid w:val="000C6921"/>
    <w:rsid w:val="000D134C"/>
    <w:rsid w:val="000D7127"/>
    <w:rsid w:val="000E6C5F"/>
    <w:rsid w:val="000F6AAE"/>
    <w:rsid w:val="00101F34"/>
    <w:rsid w:val="00103734"/>
    <w:rsid w:val="001172E1"/>
    <w:rsid w:val="001219F1"/>
    <w:rsid w:val="00123D3F"/>
    <w:rsid w:val="00131EB8"/>
    <w:rsid w:val="0013393A"/>
    <w:rsid w:val="00161AA0"/>
    <w:rsid w:val="00177BAD"/>
    <w:rsid w:val="001B0506"/>
    <w:rsid w:val="001B494B"/>
    <w:rsid w:val="001C032E"/>
    <w:rsid w:val="002169E7"/>
    <w:rsid w:val="002338B4"/>
    <w:rsid w:val="00235A39"/>
    <w:rsid w:val="00235CAB"/>
    <w:rsid w:val="002467B3"/>
    <w:rsid w:val="00251D56"/>
    <w:rsid w:val="002526E6"/>
    <w:rsid w:val="002535B1"/>
    <w:rsid w:val="002A3712"/>
    <w:rsid w:val="002C3FAA"/>
    <w:rsid w:val="002D1F71"/>
    <w:rsid w:val="002E3146"/>
    <w:rsid w:val="002F15CF"/>
    <w:rsid w:val="0030458B"/>
    <w:rsid w:val="00305BA4"/>
    <w:rsid w:val="003119FB"/>
    <w:rsid w:val="0031664C"/>
    <w:rsid w:val="003330E6"/>
    <w:rsid w:val="00353D3E"/>
    <w:rsid w:val="00362226"/>
    <w:rsid w:val="00371167"/>
    <w:rsid w:val="00377E36"/>
    <w:rsid w:val="00385D24"/>
    <w:rsid w:val="003A26D1"/>
    <w:rsid w:val="003B1379"/>
    <w:rsid w:val="003B3053"/>
    <w:rsid w:val="003B7BCF"/>
    <w:rsid w:val="003C1119"/>
    <w:rsid w:val="003C36AC"/>
    <w:rsid w:val="003F305C"/>
    <w:rsid w:val="004156DE"/>
    <w:rsid w:val="00423E44"/>
    <w:rsid w:val="00434B52"/>
    <w:rsid w:val="004511A7"/>
    <w:rsid w:val="004519B2"/>
    <w:rsid w:val="004556C5"/>
    <w:rsid w:val="00457334"/>
    <w:rsid w:val="00461997"/>
    <w:rsid w:val="004820E9"/>
    <w:rsid w:val="0048361F"/>
    <w:rsid w:val="00484FE9"/>
    <w:rsid w:val="00485B88"/>
    <w:rsid w:val="004914C0"/>
    <w:rsid w:val="004A0353"/>
    <w:rsid w:val="004B1D16"/>
    <w:rsid w:val="004B4705"/>
    <w:rsid w:val="004B514C"/>
    <w:rsid w:val="004D28AB"/>
    <w:rsid w:val="004E2D0B"/>
    <w:rsid w:val="00526C07"/>
    <w:rsid w:val="0053387C"/>
    <w:rsid w:val="005614AA"/>
    <w:rsid w:val="00570B8F"/>
    <w:rsid w:val="00580D17"/>
    <w:rsid w:val="005860F4"/>
    <w:rsid w:val="005866B1"/>
    <w:rsid w:val="0059147B"/>
    <w:rsid w:val="005A5A98"/>
    <w:rsid w:val="005A5E10"/>
    <w:rsid w:val="005C051F"/>
    <w:rsid w:val="005C75D0"/>
    <w:rsid w:val="005C762E"/>
    <w:rsid w:val="005D098C"/>
    <w:rsid w:val="00603E56"/>
    <w:rsid w:val="0060662A"/>
    <w:rsid w:val="00614BDA"/>
    <w:rsid w:val="00617519"/>
    <w:rsid w:val="006331B4"/>
    <w:rsid w:val="006343F3"/>
    <w:rsid w:val="00642906"/>
    <w:rsid w:val="006571D4"/>
    <w:rsid w:val="006614EE"/>
    <w:rsid w:val="00665933"/>
    <w:rsid w:val="006709A9"/>
    <w:rsid w:val="00680B94"/>
    <w:rsid w:val="006A721F"/>
    <w:rsid w:val="006B047C"/>
    <w:rsid w:val="006D45C0"/>
    <w:rsid w:val="006D73F1"/>
    <w:rsid w:val="007277C3"/>
    <w:rsid w:val="00732519"/>
    <w:rsid w:val="00737F9C"/>
    <w:rsid w:val="007550C2"/>
    <w:rsid w:val="007A174B"/>
    <w:rsid w:val="007A4EEE"/>
    <w:rsid w:val="00804DFB"/>
    <w:rsid w:val="0081056C"/>
    <w:rsid w:val="008116B6"/>
    <w:rsid w:val="00831791"/>
    <w:rsid w:val="008457B7"/>
    <w:rsid w:val="008505C3"/>
    <w:rsid w:val="00851F55"/>
    <w:rsid w:val="00862C0C"/>
    <w:rsid w:val="008853CB"/>
    <w:rsid w:val="008A3CB5"/>
    <w:rsid w:val="008A6557"/>
    <w:rsid w:val="008B3A6E"/>
    <w:rsid w:val="008C782E"/>
    <w:rsid w:val="008D6069"/>
    <w:rsid w:val="008E3CFA"/>
    <w:rsid w:val="008E7585"/>
    <w:rsid w:val="00921354"/>
    <w:rsid w:val="0094366C"/>
    <w:rsid w:val="00953ADF"/>
    <w:rsid w:val="0095413B"/>
    <w:rsid w:val="0096463F"/>
    <w:rsid w:val="00971131"/>
    <w:rsid w:val="00976CC1"/>
    <w:rsid w:val="009818DA"/>
    <w:rsid w:val="009871F3"/>
    <w:rsid w:val="009A0289"/>
    <w:rsid w:val="009A3BDB"/>
    <w:rsid w:val="009B621A"/>
    <w:rsid w:val="009C450E"/>
    <w:rsid w:val="009C45D9"/>
    <w:rsid w:val="009E6125"/>
    <w:rsid w:val="009F4E09"/>
    <w:rsid w:val="00A06657"/>
    <w:rsid w:val="00A13C00"/>
    <w:rsid w:val="00A14C62"/>
    <w:rsid w:val="00A24C1C"/>
    <w:rsid w:val="00A36575"/>
    <w:rsid w:val="00A5135A"/>
    <w:rsid w:val="00A86D3D"/>
    <w:rsid w:val="00A956DE"/>
    <w:rsid w:val="00AB2948"/>
    <w:rsid w:val="00AB39FA"/>
    <w:rsid w:val="00AC52B3"/>
    <w:rsid w:val="00AD5CB7"/>
    <w:rsid w:val="00AD5E0B"/>
    <w:rsid w:val="00AD6933"/>
    <w:rsid w:val="00AD6B7B"/>
    <w:rsid w:val="00B0463B"/>
    <w:rsid w:val="00B15262"/>
    <w:rsid w:val="00B33FCA"/>
    <w:rsid w:val="00B52B7E"/>
    <w:rsid w:val="00B540D8"/>
    <w:rsid w:val="00B60D70"/>
    <w:rsid w:val="00B718B5"/>
    <w:rsid w:val="00B84BC1"/>
    <w:rsid w:val="00BA0179"/>
    <w:rsid w:val="00BA02F5"/>
    <w:rsid w:val="00BA51EA"/>
    <w:rsid w:val="00BA589F"/>
    <w:rsid w:val="00BB047B"/>
    <w:rsid w:val="00BB6398"/>
    <w:rsid w:val="00BC0E86"/>
    <w:rsid w:val="00BC5C7B"/>
    <w:rsid w:val="00BC78D5"/>
    <w:rsid w:val="00BD0372"/>
    <w:rsid w:val="00BD22C0"/>
    <w:rsid w:val="00BD246E"/>
    <w:rsid w:val="00BF4768"/>
    <w:rsid w:val="00BF73E6"/>
    <w:rsid w:val="00C139CA"/>
    <w:rsid w:val="00C433C5"/>
    <w:rsid w:val="00C46D52"/>
    <w:rsid w:val="00C51429"/>
    <w:rsid w:val="00C5531E"/>
    <w:rsid w:val="00C642C8"/>
    <w:rsid w:val="00C86E99"/>
    <w:rsid w:val="00CA3397"/>
    <w:rsid w:val="00CA33E1"/>
    <w:rsid w:val="00CB6BEB"/>
    <w:rsid w:val="00CD4CC0"/>
    <w:rsid w:val="00CE7855"/>
    <w:rsid w:val="00D069AE"/>
    <w:rsid w:val="00D3612A"/>
    <w:rsid w:val="00D37703"/>
    <w:rsid w:val="00D37F25"/>
    <w:rsid w:val="00D453F6"/>
    <w:rsid w:val="00D60D8D"/>
    <w:rsid w:val="00D73C98"/>
    <w:rsid w:val="00D76E93"/>
    <w:rsid w:val="00D93A71"/>
    <w:rsid w:val="00D93BCE"/>
    <w:rsid w:val="00DA11DD"/>
    <w:rsid w:val="00DC0120"/>
    <w:rsid w:val="00DE643F"/>
    <w:rsid w:val="00DF6906"/>
    <w:rsid w:val="00E21572"/>
    <w:rsid w:val="00E2509B"/>
    <w:rsid w:val="00E4622C"/>
    <w:rsid w:val="00E46571"/>
    <w:rsid w:val="00E51FFB"/>
    <w:rsid w:val="00E63855"/>
    <w:rsid w:val="00E736EE"/>
    <w:rsid w:val="00E95993"/>
    <w:rsid w:val="00EA4F60"/>
    <w:rsid w:val="00EB03BB"/>
    <w:rsid w:val="00EB1C36"/>
    <w:rsid w:val="00ED6106"/>
    <w:rsid w:val="00EE2EB2"/>
    <w:rsid w:val="00EE406C"/>
    <w:rsid w:val="00EE622C"/>
    <w:rsid w:val="00F07534"/>
    <w:rsid w:val="00F26A9F"/>
    <w:rsid w:val="00F26E68"/>
    <w:rsid w:val="00F33119"/>
    <w:rsid w:val="00F36EEB"/>
    <w:rsid w:val="00F41DFE"/>
    <w:rsid w:val="00F520B9"/>
    <w:rsid w:val="00F56A30"/>
    <w:rsid w:val="00F73C47"/>
    <w:rsid w:val="00F81F2C"/>
    <w:rsid w:val="00F90E63"/>
    <w:rsid w:val="00FA66A6"/>
    <w:rsid w:val="00FA6EE7"/>
    <w:rsid w:val="00FB47DD"/>
    <w:rsid w:val="00FB4A0D"/>
    <w:rsid w:val="00FB5DC1"/>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06"/>
    </o:shapedefaults>
    <o:shapelayout v:ext="edit">
      <o:idmap v:ext="edit" data="1"/>
    </o:shapelayout>
  </w:shapeDefaults>
  <w:decimalSymbol w:val="."/>
  <w:listSeparator w:val=","/>
  <w14:docId w14:val="0E5D7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177BAD"/>
    <w:rPr>
      <w:b/>
      <w:bCs/>
      <w:lang w:eastAsia="en-US"/>
    </w:rPr>
  </w:style>
  <w:style w:type="character" w:customStyle="1" w:styleId="CommentSubjectChar">
    <w:name w:val="Comment Subject Char"/>
    <w:basedOn w:val="CommentTextChar"/>
    <w:link w:val="CommentSubject"/>
    <w:rsid w:val="00177BAD"/>
    <w:rPr>
      <w:b/>
      <w:bCs/>
      <w:lang w:eastAsia="en-US"/>
    </w:rPr>
  </w:style>
  <w:style w:type="character" w:styleId="FollowedHyperlink">
    <w:name w:val="FollowedHyperlink"/>
    <w:basedOn w:val="DefaultParagraphFont"/>
    <w:rsid w:val="006709A9"/>
    <w:rPr>
      <w:color w:val="954F72" w:themeColor="followedHyperlink"/>
      <w:u w:val="single"/>
    </w:rPr>
  </w:style>
  <w:style w:type="paragraph" w:styleId="Revision">
    <w:name w:val="Revision"/>
    <w:hidden/>
    <w:uiPriority w:val="99"/>
    <w:semiHidden/>
    <w:rsid w:val="00CD4C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36668">
      <w:bodyDiv w:val="1"/>
      <w:marLeft w:val="0"/>
      <w:marRight w:val="0"/>
      <w:marTop w:val="0"/>
      <w:marBottom w:val="0"/>
      <w:divBdr>
        <w:top w:val="none" w:sz="0" w:space="0" w:color="auto"/>
        <w:left w:val="none" w:sz="0" w:space="0" w:color="auto"/>
        <w:bottom w:val="none" w:sz="0" w:space="0" w:color="auto"/>
        <w:right w:val="none" w:sz="0" w:space="0" w:color="auto"/>
      </w:divBdr>
    </w:div>
    <w:div w:id="843396004">
      <w:bodyDiv w:val="1"/>
      <w:marLeft w:val="0"/>
      <w:marRight w:val="0"/>
      <w:marTop w:val="0"/>
      <w:marBottom w:val="0"/>
      <w:divBdr>
        <w:top w:val="none" w:sz="0" w:space="0" w:color="auto"/>
        <w:left w:val="none" w:sz="0" w:space="0" w:color="auto"/>
        <w:bottom w:val="none" w:sz="0" w:space="0" w:color="auto"/>
        <w:right w:val="none" w:sz="0" w:space="0" w:color="auto"/>
      </w:divBdr>
      <w:divsChild>
        <w:div w:id="1717662509">
          <w:marLeft w:val="547"/>
          <w:marRight w:val="0"/>
          <w:marTop w:val="0"/>
          <w:marBottom w:val="0"/>
          <w:divBdr>
            <w:top w:val="none" w:sz="0" w:space="0" w:color="auto"/>
            <w:left w:val="none" w:sz="0" w:space="0" w:color="auto"/>
            <w:bottom w:val="none" w:sz="0" w:space="0" w:color="auto"/>
            <w:right w:val="none" w:sz="0" w:space="0" w:color="auto"/>
          </w:divBdr>
        </w:div>
      </w:divsChild>
    </w:div>
    <w:div w:id="1103259891">
      <w:bodyDiv w:val="1"/>
      <w:marLeft w:val="0"/>
      <w:marRight w:val="0"/>
      <w:marTop w:val="0"/>
      <w:marBottom w:val="0"/>
      <w:divBdr>
        <w:top w:val="none" w:sz="0" w:space="0" w:color="auto"/>
        <w:left w:val="none" w:sz="0" w:space="0" w:color="auto"/>
        <w:bottom w:val="none" w:sz="0" w:space="0" w:color="auto"/>
        <w:right w:val="none" w:sz="0" w:space="0" w:color="auto"/>
      </w:divBdr>
    </w:div>
    <w:div w:id="1548566121">
      <w:bodyDiv w:val="1"/>
      <w:marLeft w:val="0"/>
      <w:marRight w:val="0"/>
      <w:marTop w:val="0"/>
      <w:marBottom w:val="0"/>
      <w:divBdr>
        <w:top w:val="none" w:sz="0" w:space="0" w:color="auto"/>
        <w:left w:val="none" w:sz="0" w:space="0" w:color="auto"/>
        <w:bottom w:val="none" w:sz="0" w:space="0" w:color="auto"/>
        <w:right w:val="none" w:sz="0" w:space="0" w:color="auto"/>
      </w:divBdr>
    </w:div>
    <w:div w:id="1849903971">
      <w:bodyDiv w:val="1"/>
      <w:marLeft w:val="0"/>
      <w:marRight w:val="0"/>
      <w:marTop w:val="0"/>
      <w:marBottom w:val="0"/>
      <w:divBdr>
        <w:top w:val="none" w:sz="0" w:space="0" w:color="auto"/>
        <w:left w:val="none" w:sz="0" w:space="0" w:color="auto"/>
        <w:bottom w:val="none" w:sz="0" w:space="0" w:color="auto"/>
        <w:right w:val="none" w:sz="0" w:space="0" w:color="auto"/>
      </w:divBdr>
      <w:divsChild>
        <w:div w:id="405036565">
          <w:marLeft w:val="274"/>
          <w:marRight w:val="0"/>
          <w:marTop w:val="0"/>
          <w:marBottom w:val="0"/>
          <w:divBdr>
            <w:top w:val="none" w:sz="0" w:space="0" w:color="auto"/>
            <w:left w:val="none" w:sz="0" w:space="0" w:color="auto"/>
            <w:bottom w:val="none" w:sz="0" w:space="0" w:color="auto"/>
            <w:right w:val="none" w:sz="0" w:space="0" w:color="auto"/>
          </w:divBdr>
        </w:div>
      </w:divsChild>
    </w:div>
    <w:div w:id="1885826884">
      <w:bodyDiv w:val="1"/>
      <w:marLeft w:val="0"/>
      <w:marRight w:val="0"/>
      <w:marTop w:val="0"/>
      <w:marBottom w:val="0"/>
      <w:divBdr>
        <w:top w:val="none" w:sz="0" w:space="0" w:color="auto"/>
        <w:left w:val="none" w:sz="0" w:space="0" w:color="auto"/>
        <w:bottom w:val="none" w:sz="0" w:space="0" w:color="auto"/>
        <w:right w:val="none" w:sz="0" w:space="0" w:color="auto"/>
      </w:divBdr>
    </w:div>
    <w:div w:id="1891108487">
      <w:bodyDiv w:val="1"/>
      <w:marLeft w:val="0"/>
      <w:marRight w:val="0"/>
      <w:marTop w:val="0"/>
      <w:marBottom w:val="0"/>
      <w:divBdr>
        <w:top w:val="none" w:sz="0" w:space="0" w:color="auto"/>
        <w:left w:val="none" w:sz="0" w:space="0" w:color="auto"/>
        <w:bottom w:val="none" w:sz="0" w:space="0" w:color="auto"/>
        <w:right w:val="none" w:sz="0" w:space="0" w:color="auto"/>
      </w:divBdr>
      <w:divsChild>
        <w:div w:id="197814539">
          <w:marLeft w:val="274"/>
          <w:marRight w:val="0"/>
          <w:marTop w:val="0"/>
          <w:marBottom w:val="0"/>
          <w:divBdr>
            <w:top w:val="none" w:sz="0" w:space="0" w:color="auto"/>
            <w:left w:val="none" w:sz="0" w:space="0" w:color="auto"/>
            <w:bottom w:val="none" w:sz="0" w:space="0" w:color="auto"/>
            <w:right w:val="none" w:sz="0" w:space="0" w:color="auto"/>
          </w:divBdr>
        </w:div>
      </w:divsChild>
    </w:div>
    <w:div w:id="1924143313">
      <w:bodyDiv w:val="1"/>
      <w:marLeft w:val="0"/>
      <w:marRight w:val="0"/>
      <w:marTop w:val="0"/>
      <w:marBottom w:val="0"/>
      <w:divBdr>
        <w:top w:val="none" w:sz="0" w:space="0" w:color="auto"/>
        <w:left w:val="none" w:sz="0" w:space="0" w:color="auto"/>
        <w:bottom w:val="none" w:sz="0" w:space="0" w:color="auto"/>
        <w:right w:val="none" w:sz="0" w:space="0" w:color="auto"/>
      </w:divBdr>
    </w:div>
    <w:div w:id="1928272766">
      <w:bodyDiv w:val="1"/>
      <w:marLeft w:val="0"/>
      <w:marRight w:val="0"/>
      <w:marTop w:val="0"/>
      <w:marBottom w:val="0"/>
      <w:divBdr>
        <w:top w:val="none" w:sz="0" w:space="0" w:color="auto"/>
        <w:left w:val="none" w:sz="0" w:space="0" w:color="auto"/>
        <w:bottom w:val="none" w:sz="0" w:space="0" w:color="auto"/>
        <w:right w:val="none" w:sz="0" w:space="0" w:color="auto"/>
      </w:divBdr>
      <w:divsChild>
        <w:div w:id="1348562238">
          <w:marLeft w:val="274"/>
          <w:marRight w:val="0"/>
          <w:marTop w:val="0"/>
          <w:marBottom w:val="0"/>
          <w:divBdr>
            <w:top w:val="none" w:sz="0" w:space="0" w:color="auto"/>
            <w:left w:val="none" w:sz="0" w:space="0" w:color="auto"/>
            <w:bottom w:val="none" w:sz="0" w:space="0" w:color="auto"/>
            <w:right w:val="none" w:sz="0" w:space="0" w:color="auto"/>
          </w:divBdr>
        </w:div>
        <w:div w:id="1687442014">
          <w:marLeft w:val="274"/>
          <w:marRight w:val="0"/>
          <w:marTop w:val="0"/>
          <w:marBottom w:val="0"/>
          <w:divBdr>
            <w:top w:val="none" w:sz="0" w:space="0" w:color="auto"/>
            <w:left w:val="none" w:sz="0" w:space="0" w:color="auto"/>
            <w:bottom w:val="none" w:sz="0" w:space="0" w:color="auto"/>
            <w:right w:val="none" w:sz="0" w:space="0" w:color="auto"/>
          </w:divBdr>
        </w:div>
      </w:divsChild>
    </w:div>
    <w:div w:id="2033337152">
      <w:bodyDiv w:val="1"/>
      <w:marLeft w:val="0"/>
      <w:marRight w:val="0"/>
      <w:marTop w:val="0"/>
      <w:marBottom w:val="0"/>
      <w:divBdr>
        <w:top w:val="none" w:sz="0" w:space="0" w:color="auto"/>
        <w:left w:val="none" w:sz="0" w:space="0" w:color="auto"/>
        <w:bottom w:val="none" w:sz="0" w:space="0" w:color="auto"/>
        <w:right w:val="none" w:sz="0" w:space="0" w:color="auto"/>
      </w:divBdr>
      <w:divsChild>
        <w:div w:id="10087967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terms-and-conditions" TargetMode="External"/><Relationship Id="rId5" Type="http://schemas.openxmlformats.org/officeDocument/2006/relationships/footnotes" Target="footnotes.xml"/><Relationship Id="rId10" Type="http://schemas.openxmlformats.org/officeDocument/2006/relationships/hyperlink" Target="https://doh.us2.list-manage.com/track/click?u=63e73026f066f1ad5a8ae2123&amp;id=a0e305b6c6&amp;e=3854040987" TargetMode="Externa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CHTE\Advice%20Programme\Project%20trackers\CONFIDENTIAL%20-%20Special%20Events%20tracker%202.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image" Target="../media/image1.jpg"/><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oleObject" Target="file:///\\nice.nhs.uk\Data\CHTE\Advice%20Programme\Project%20trackers\CONFIDENTIAL%20-%20Special%20Events%20tracker%202.xlsm" TargetMode="External"/><Relationship Id="rId4" Type="http://schemas.openxmlformats.org/officeDocument/2006/relationships/hyperlink" Target="https://pixabay.com/en/map-world-grid-layers-earth-14689/"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multiLvlStrRef>
              <c:f>'Triage dashboard'!$T$24:$U$34</c:f>
              <c:multiLvlStrCache>
                <c:ptCount val="11"/>
                <c:lvl>
                  <c:pt idx="0">
                    <c:v>Qtr2</c:v>
                  </c:pt>
                  <c:pt idx="1">
                    <c:v>Qtr3</c:v>
                  </c:pt>
                  <c:pt idx="2">
                    <c:v>Qtr4</c:v>
                  </c:pt>
                  <c:pt idx="3">
                    <c:v>Qtr1</c:v>
                  </c:pt>
                  <c:pt idx="4">
                    <c:v>Qtr2</c:v>
                  </c:pt>
                  <c:pt idx="5">
                    <c:v>Qtr3</c:v>
                  </c:pt>
                  <c:pt idx="6">
                    <c:v>Qtr4</c:v>
                  </c:pt>
                  <c:pt idx="7">
                    <c:v>Qtr1</c:v>
                  </c:pt>
                  <c:pt idx="8">
                    <c:v>Qtr2</c:v>
                  </c:pt>
                  <c:pt idx="9">
                    <c:v>Qtr3</c:v>
                  </c:pt>
                  <c:pt idx="10">
                    <c:v>Qtr4</c:v>
                  </c:pt>
                </c:lvl>
                <c:lvl>
                  <c:pt idx="0">
                    <c:v>2018/19</c:v>
                  </c:pt>
                  <c:pt idx="3">
                    <c:v>2019/20</c:v>
                  </c:pt>
                  <c:pt idx="7">
                    <c:v>2020/21</c:v>
                  </c:pt>
                </c:lvl>
              </c:multiLvlStrCache>
            </c:multiLvlStrRef>
          </c:cat>
          <c:val>
            <c:numRef>
              <c:f>'Triage dashboard'!$V$24:$V$34</c:f>
              <c:numCache>
                <c:formatCode>General</c:formatCode>
                <c:ptCount val="11"/>
                <c:pt idx="0">
                  <c:v>7</c:v>
                </c:pt>
                <c:pt idx="1">
                  <c:v>24</c:v>
                </c:pt>
                <c:pt idx="2">
                  <c:v>31</c:v>
                </c:pt>
                <c:pt idx="3">
                  <c:v>27</c:v>
                </c:pt>
                <c:pt idx="4">
                  <c:v>43</c:v>
                </c:pt>
                <c:pt idx="5">
                  <c:v>33</c:v>
                </c:pt>
                <c:pt idx="6">
                  <c:v>39</c:v>
                </c:pt>
                <c:pt idx="7">
                  <c:v>14</c:v>
                </c:pt>
                <c:pt idx="8">
                  <c:v>30</c:v>
                </c:pt>
                <c:pt idx="9">
                  <c:v>22</c:v>
                </c:pt>
                <c:pt idx="10">
                  <c:v>19</c:v>
                </c:pt>
              </c:numCache>
            </c:numRef>
          </c:val>
          <c:smooth val="0"/>
          <c:extLst>
            <c:ext xmlns:c16="http://schemas.microsoft.com/office/drawing/2014/chart" uri="{C3380CC4-5D6E-409C-BE32-E72D297353CC}">
              <c16:uniqueId val="{00000000-861F-451E-A4B4-AD5EADBB8292}"/>
            </c:ext>
          </c:extLst>
        </c:ser>
        <c:dLbls>
          <c:showLegendKey val="0"/>
          <c:showVal val="0"/>
          <c:showCatName val="0"/>
          <c:showSerName val="0"/>
          <c:showPercent val="0"/>
          <c:showBubbleSize val="0"/>
        </c:dLbls>
        <c:smooth val="0"/>
        <c:axId val="788517264"/>
        <c:axId val="788512344"/>
      </c:lineChart>
      <c:catAx>
        <c:axId val="78851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512344"/>
        <c:crosses val="autoZero"/>
        <c:auto val="1"/>
        <c:lblAlgn val="ctr"/>
        <c:lblOffset val="100"/>
        <c:noMultiLvlLbl val="0"/>
      </c:catAx>
      <c:valAx>
        <c:axId val="788512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517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4.1651638040654055E-4"/>
          <c:w val="0.99853018372703417"/>
          <c:h val="0.99958333333333338"/>
        </c:manualLayout>
      </c:layout>
      <c:bubbleChart>
        <c:varyColors val="0"/>
        <c:ser>
          <c:idx val="0"/>
          <c:order val="0"/>
          <c:tx>
            <c:v>Region</c:v>
          </c:tx>
          <c:spPr>
            <a:solidFill>
              <a:schemeClr val="accent1"/>
            </a:solidFill>
            <a:ln w="25400">
              <a:noFill/>
            </a:ln>
            <a:effectLst>
              <a:glow rad="165100">
                <a:schemeClr val="accent1">
                  <a:alpha val="49000"/>
                </a:schemeClr>
              </a:glow>
            </a:effectLst>
          </c:spPr>
          <c:invertIfNegative val="0"/>
          <c:dLbls>
            <c:spPr>
              <a:noFill/>
              <a:ln>
                <a:noFill/>
              </a:ln>
              <a:effectLst>
                <a:glow rad="152400">
                  <a:schemeClr val="accent1">
                    <a:alpha val="40000"/>
                  </a:schemeClr>
                </a:glo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1"/>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'Project dashboard'!$U$4:$U$11</c:f>
              <c:numCache>
                <c:formatCode>General</c:formatCode>
                <c:ptCount val="8"/>
                <c:pt idx="0">
                  <c:v>8.8000000000000007</c:v>
                </c:pt>
                <c:pt idx="1">
                  <c:v>8.3000000000000007</c:v>
                </c:pt>
                <c:pt idx="2">
                  <c:v>4.8</c:v>
                </c:pt>
                <c:pt idx="3">
                  <c:v>2.7</c:v>
                </c:pt>
                <c:pt idx="4">
                  <c:v>5.8</c:v>
                </c:pt>
                <c:pt idx="5">
                  <c:v>1.7</c:v>
                </c:pt>
                <c:pt idx="6">
                  <c:v>7</c:v>
                </c:pt>
                <c:pt idx="7">
                  <c:v>5.2</c:v>
                </c:pt>
              </c:numCache>
            </c:numRef>
          </c:xVal>
          <c:yVal>
            <c:numRef>
              <c:f>'Project dashboard'!$V$4:$V$11</c:f>
              <c:numCache>
                <c:formatCode>General</c:formatCode>
                <c:ptCount val="8"/>
                <c:pt idx="0">
                  <c:v>2.5</c:v>
                </c:pt>
                <c:pt idx="1">
                  <c:v>6.3</c:v>
                </c:pt>
                <c:pt idx="2">
                  <c:v>7.8</c:v>
                </c:pt>
                <c:pt idx="3">
                  <c:v>3</c:v>
                </c:pt>
                <c:pt idx="4">
                  <c:v>6.7</c:v>
                </c:pt>
                <c:pt idx="5">
                  <c:v>7.5</c:v>
                </c:pt>
                <c:pt idx="6">
                  <c:v>6</c:v>
                </c:pt>
                <c:pt idx="7">
                  <c:v>4.7</c:v>
                </c:pt>
              </c:numCache>
            </c:numRef>
          </c:yVal>
          <c:bubbleSize>
            <c:numRef>
              <c:f>'Project dashboard'!$W$4:$W$11</c:f>
              <c:numCache>
                <c:formatCode>General</c:formatCode>
                <c:ptCount val="8"/>
                <c:pt idx="0">
                  <c:v>1</c:v>
                </c:pt>
                <c:pt idx="1">
                  <c:v>9</c:v>
                </c:pt>
                <c:pt idx="2">
                  <c:v>12</c:v>
                </c:pt>
                <c:pt idx="3">
                  <c:v>19</c:v>
                </c:pt>
                <c:pt idx="4">
                  <c:v>3</c:v>
                </c:pt>
                <c:pt idx="5">
                  <c:v>3</c:v>
                </c:pt>
                <c:pt idx="6">
                  <c:v>1</c:v>
                </c:pt>
                <c:pt idx="7">
                  <c:v>3</c:v>
                </c:pt>
              </c:numCache>
            </c:numRef>
          </c:bubbleSize>
          <c:bubble3D val="0"/>
          <c:extLst>
            <c:ext xmlns:c16="http://schemas.microsoft.com/office/drawing/2014/chart" uri="{C3380CC4-5D6E-409C-BE32-E72D297353CC}">
              <c16:uniqueId val="{00000000-D020-4513-81FD-1C5EFE643246}"/>
            </c:ext>
          </c:extLst>
        </c:ser>
        <c:ser>
          <c:idx val="1"/>
          <c:order val="1"/>
          <c:tx>
            <c:v>Max</c:v>
          </c:tx>
          <c:spPr>
            <a:solidFill>
              <a:schemeClr val="accent2"/>
            </a:solidFill>
            <a:ln w="25400">
              <a:noFill/>
            </a:ln>
            <a:effectLst>
              <a:glow rad="101600">
                <a:schemeClr val="accent1">
                  <a:alpha val="40000"/>
                </a:schemeClr>
              </a:glow>
            </a:effectLst>
          </c:spPr>
          <c:invertIfNegative val="0"/>
          <c:xVal>
            <c:numRef>
              <c:f>'Project dashboard'!$U$4:$U$11</c:f>
              <c:numCache>
                <c:formatCode>General</c:formatCode>
                <c:ptCount val="8"/>
                <c:pt idx="0">
                  <c:v>8.8000000000000007</c:v>
                </c:pt>
                <c:pt idx="1">
                  <c:v>8.3000000000000007</c:v>
                </c:pt>
                <c:pt idx="2">
                  <c:v>4.8</c:v>
                </c:pt>
                <c:pt idx="3">
                  <c:v>2.7</c:v>
                </c:pt>
                <c:pt idx="4">
                  <c:v>5.8</c:v>
                </c:pt>
                <c:pt idx="5">
                  <c:v>1.7</c:v>
                </c:pt>
                <c:pt idx="6">
                  <c:v>7</c:v>
                </c:pt>
                <c:pt idx="7">
                  <c:v>5.2</c:v>
                </c:pt>
              </c:numCache>
            </c:numRef>
          </c:xVal>
          <c:yVal>
            <c:numRef>
              <c:f>'Project dashboard'!$V$4:$V$11</c:f>
              <c:numCache>
                <c:formatCode>General</c:formatCode>
                <c:ptCount val="8"/>
                <c:pt idx="0">
                  <c:v>2.5</c:v>
                </c:pt>
                <c:pt idx="1">
                  <c:v>6.3</c:v>
                </c:pt>
                <c:pt idx="2">
                  <c:v>7.8</c:v>
                </c:pt>
                <c:pt idx="3">
                  <c:v>3</c:v>
                </c:pt>
                <c:pt idx="4">
                  <c:v>6.7</c:v>
                </c:pt>
                <c:pt idx="5">
                  <c:v>7.5</c:v>
                </c:pt>
                <c:pt idx="6">
                  <c:v>6</c:v>
                </c:pt>
                <c:pt idx="7">
                  <c:v>4.7</c:v>
                </c:pt>
              </c:numCache>
            </c:numRef>
          </c:yVal>
          <c:bubbleSize>
            <c:numRef>
              <c:f>'Project dashboard'!$X$4:$X$11</c:f>
              <c:numCache>
                <c:formatCode>General</c:formatCode>
                <c:ptCount val="8"/>
                <c:pt idx="0">
                  <c:v>0</c:v>
                </c:pt>
                <c:pt idx="1">
                  <c:v>0</c:v>
                </c:pt>
                <c:pt idx="2">
                  <c:v>0</c:v>
                </c:pt>
                <c:pt idx="3">
                  <c:v>19</c:v>
                </c:pt>
                <c:pt idx="4">
                  <c:v>0</c:v>
                </c:pt>
                <c:pt idx="5">
                  <c:v>0</c:v>
                </c:pt>
                <c:pt idx="6">
                  <c:v>0</c:v>
                </c:pt>
                <c:pt idx="7">
                  <c:v>0</c:v>
                </c:pt>
              </c:numCache>
            </c:numRef>
          </c:bubbleSize>
          <c:bubble3D val="0"/>
          <c:extLst>
            <c:ext xmlns:c16="http://schemas.microsoft.com/office/drawing/2014/chart" uri="{C3380CC4-5D6E-409C-BE32-E72D297353CC}">
              <c16:uniqueId val="{00000001-D020-4513-81FD-1C5EFE643246}"/>
            </c:ext>
          </c:extLst>
        </c:ser>
        <c:dLbls>
          <c:showLegendKey val="0"/>
          <c:showVal val="0"/>
          <c:showCatName val="0"/>
          <c:showSerName val="0"/>
          <c:showPercent val="0"/>
          <c:showBubbleSize val="0"/>
        </c:dLbls>
        <c:bubbleScale val="100"/>
        <c:showNegBubbles val="0"/>
        <c:axId val="929821664"/>
        <c:axId val="929824944"/>
      </c:bubbleChart>
      <c:valAx>
        <c:axId val="929821664"/>
        <c:scaling>
          <c:orientation val="minMax"/>
          <c:max val="10"/>
          <c:min val="0"/>
        </c:scaling>
        <c:delete val="0"/>
        <c:axPos val="b"/>
        <c:majorGridlines>
          <c:spPr>
            <a:ln w="9525" cap="flat" cmpd="sng" algn="ctr">
              <a:noFill/>
              <a:round/>
            </a:ln>
            <a:effectLst/>
          </c:spPr>
        </c:majorGridlines>
        <c:numFmt formatCode="General" sourceLinked="1"/>
        <c:majorTickMark val="out"/>
        <c:minorTickMark val="none"/>
        <c:tickLblPos val="none"/>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9824944"/>
        <c:crosses val="autoZero"/>
        <c:crossBetween val="midCat"/>
      </c:valAx>
      <c:valAx>
        <c:axId val="929824944"/>
        <c:scaling>
          <c:orientation val="minMax"/>
          <c:max val="10"/>
        </c:scaling>
        <c:delete val="0"/>
        <c:axPos val="l"/>
        <c:majorGridlines>
          <c:spPr>
            <a:ln w="9525" cap="flat" cmpd="sng" algn="ctr">
              <a:noFill/>
              <a:round/>
            </a:ln>
            <a:effectLst/>
          </c:spPr>
        </c:majorGridlines>
        <c:numFmt formatCode="General" sourceLinked="1"/>
        <c:majorTickMark val="out"/>
        <c:minorTickMark val="none"/>
        <c:tickLblPos val="none"/>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98216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dpi="0" rotWithShape="1">
      <a:blip xmlns:r="http://schemas.openxmlformats.org/officeDocument/2006/relationships" r:embed="rId3">
        <a:alphaModFix amt="50000"/>
        <a:extLst>
          <a:ext uri="{837473B0-CC2E-450A-ABE3-18F120FF3D39}">
            <a1611:picAttrSrcUrl xmlns:a1611="http://schemas.microsoft.com/office/drawing/2016/11/main" r:id="rId4"/>
          </a:ext>
        </a:extLst>
      </a:blip>
      <a:srcRect/>
      <a:stretch>
        <a:fillRect/>
      </a:stretch>
    </a:blipFill>
    <a:ln w="9525" cap="flat" cmpd="sng" algn="ctr">
      <a:noFill/>
      <a:round/>
    </a:ln>
    <a:effectLst/>
  </c:spPr>
  <c:txPr>
    <a:bodyPr/>
    <a:lstStyle/>
    <a:p>
      <a:pPr>
        <a:defRPr/>
      </a:pPr>
      <a:endParaRPr lang="en-US"/>
    </a:p>
  </c:txPr>
  <c:externalData r:id="rId5">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3056</Words>
  <Characters>17498</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2021-07-12T12:12:00Z</dcterms:created>
  <dcterms:modified xsi:type="dcterms:W3CDTF">2021-07-12T12:12:00Z</dcterms:modified>
</cp:coreProperties>
</file>