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E510" w14:textId="77777777" w:rsidR="00057044" w:rsidRPr="002679F3" w:rsidRDefault="00057044" w:rsidP="003D3B28">
      <w:pPr>
        <w:pStyle w:val="Title1"/>
      </w:pPr>
      <w:r w:rsidRPr="002679F3">
        <w:t xml:space="preserve">Board meeting </w:t>
      </w:r>
    </w:p>
    <w:p w14:paraId="57708149" w14:textId="416C0893" w:rsidR="004B4705" w:rsidRPr="002679F3" w:rsidRDefault="004F57C9" w:rsidP="003D3B28">
      <w:pPr>
        <w:pStyle w:val="Title20"/>
      </w:pPr>
      <w:r w:rsidRPr="002679F3">
        <w:t>2</w:t>
      </w:r>
      <w:r w:rsidR="000237A4" w:rsidRPr="002679F3">
        <w:t>0</w:t>
      </w:r>
      <w:r w:rsidRPr="002679F3">
        <w:t xml:space="preserve"> March 2024</w:t>
      </w:r>
    </w:p>
    <w:p w14:paraId="121CABA2" w14:textId="77777777" w:rsidR="004F57C9" w:rsidRPr="002679F3" w:rsidRDefault="004F57C9" w:rsidP="003D3B28">
      <w:pPr>
        <w:pStyle w:val="Heading1boardreport"/>
        <w:rPr>
          <w:kern w:val="28"/>
          <w:sz w:val="40"/>
        </w:rPr>
      </w:pPr>
      <w:r w:rsidRPr="002679F3">
        <w:rPr>
          <w:kern w:val="28"/>
          <w:sz w:val="40"/>
        </w:rPr>
        <w:t>Interim process guide for Quality Standards</w:t>
      </w:r>
    </w:p>
    <w:p w14:paraId="70F11EB8" w14:textId="77777777" w:rsidR="009B1D56" w:rsidRPr="002679F3" w:rsidRDefault="009B1D56" w:rsidP="003D3B28">
      <w:pPr>
        <w:pStyle w:val="Heading1boardreport"/>
      </w:pPr>
      <w:r w:rsidRPr="002679F3">
        <w:t>Purpose of paper</w:t>
      </w:r>
    </w:p>
    <w:p w14:paraId="6D3473E0" w14:textId="32F007D0" w:rsidR="004F57C9" w:rsidRPr="002679F3" w:rsidRDefault="00776922" w:rsidP="003D3B28">
      <w:pPr>
        <w:pStyle w:val="Heading1boardreport"/>
        <w:rPr>
          <w:rFonts w:cs="Times New Roman"/>
          <w:b w:val="0"/>
          <w:bCs w:val="0"/>
          <w:kern w:val="0"/>
          <w:sz w:val="24"/>
          <w:szCs w:val="24"/>
        </w:rPr>
      </w:pPr>
      <w:r w:rsidRPr="002679F3">
        <w:rPr>
          <w:rFonts w:cs="Times New Roman"/>
          <w:b w:val="0"/>
          <w:bCs w:val="0"/>
          <w:kern w:val="0"/>
          <w:sz w:val="24"/>
          <w:szCs w:val="24"/>
        </w:rPr>
        <w:t>For approval</w:t>
      </w:r>
      <w:r w:rsidR="008C157B" w:rsidRPr="002679F3">
        <w:rPr>
          <w:rFonts w:cs="Times New Roman"/>
          <w:b w:val="0"/>
          <w:bCs w:val="0"/>
          <w:kern w:val="0"/>
          <w:sz w:val="24"/>
          <w:szCs w:val="24"/>
        </w:rPr>
        <w:t>.</w:t>
      </w:r>
    </w:p>
    <w:p w14:paraId="104E3C1C" w14:textId="77777777" w:rsidR="009B1D56" w:rsidRPr="002679F3" w:rsidRDefault="009B1D56" w:rsidP="003D3B28">
      <w:pPr>
        <w:pStyle w:val="Heading1boardreport"/>
      </w:pPr>
      <w:r w:rsidRPr="002679F3">
        <w:t xml:space="preserve">Board action </w:t>
      </w:r>
      <w:proofErr w:type="gramStart"/>
      <w:r w:rsidRPr="002679F3">
        <w:t>required</w:t>
      </w:r>
      <w:proofErr w:type="gramEnd"/>
    </w:p>
    <w:p w14:paraId="16322B40" w14:textId="77777777" w:rsidR="000237A4" w:rsidRPr="002679F3" w:rsidRDefault="000237A4" w:rsidP="004F57C9">
      <w:pPr>
        <w:pStyle w:val="Heading1boardreport"/>
        <w:rPr>
          <w:rFonts w:cs="Times New Roman"/>
          <w:b w:val="0"/>
          <w:bCs w:val="0"/>
          <w:kern w:val="0"/>
          <w:sz w:val="24"/>
          <w:szCs w:val="24"/>
        </w:rPr>
      </w:pPr>
      <w:r w:rsidRPr="002679F3">
        <w:rPr>
          <w:rFonts w:cs="Times New Roman"/>
          <w:b w:val="0"/>
          <w:bCs w:val="0"/>
          <w:kern w:val="0"/>
          <w:sz w:val="24"/>
          <w:szCs w:val="24"/>
        </w:rPr>
        <w:t>The Board is asked to:</w:t>
      </w:r>
    </w:p>
    <w:p w14:paraId="2464A8A9" w14:textId="73F51819" w:rsidR="004F57C9" w:rsidRPr="002679F3" w:rsidRDefault="000237A4" w:rsidP="007D7178">
      <w:pPr>
        <w:pStyle w:val="Heading1boardreport"/>
        <w:numPr>
          <w:ilvl w:val="0"/>
          <w:numId w:val="35"/>
        </w:numPr>
        <w:rPr>
          <w:rFonts w:cs="Times New Roman"/>
          <w:b w:val="0"/>
          <w:bCs w:val="0"/>
          <w:kern w:val="0"/>
          <w:sz w:val="24"/>
          <w:szCs w:val="24"/>
        </w:rPr>
      </w:pPr>
      <w:r w:rsidRPr="002679F3">
        <w:rPr>
          <w:rFonts w:cs="Times New Roman"/>
          <w:b w:val="0"/>
          <w:bCs w:val="0"/>
          <w:kern w:val="0"/>
          <w:sz w:val="24"/>
          <w:szCs w:val="24"/>
        </w:rPr>
        <w:t>R</w:t>
      </w:r>
      <w:r w:rsidR="004F57C9" w:rsidRPr="002679F3">
        <w:rPr>
          <w:rFonts w:cs="Times New Roman"/>
          <w:b w:val="0"/>
          <w:bCs w:val="0"/>
          <w:kern w:val="0"/>
          <w:sz w:val="24"/>
          <w:szCs w:val="24"/>
        </w:rPr>
        <w:t xml:space="preserve">eview and approve the quality standards interim process guide </w:t>
      </w:r>
      <w:r w:rsidRPr="002679F3">
        <w:rPr>
          <w:rFonts w:cs="Times New Roman"/>
          <w:b w:val="0"/>
          <w:bCs w:val="0"/>
          <w:kern w:val="0"/>
          <w:sz w:val="24"/>
          <w:szCs w:val="24"/>
        </w:rPr>
        <w:t xml:space="preserve">for </w:t>
      </w:r>
      <w:r w:rsidR="004F57C9" w:rsidRPr="002679F3">
        <w:rPr>
          <w:rFonts w:cs="Times New Roman"/>
          <w:b w:val="0"/>
          <w:bCs w:val="0"/>
          <w:kern w:val="0"/>
          <w:sz w:val="24"/>
          <w:szCs w:val="24"/>
        </w:rPr>
        <w:t>public consultation.</w:t>
      </w:r>
    </w:p>
    <w:p w14:paraId="3AB42F77" w14:textId="1D7DDB18" w:rsidR="000237A4" w:rsidRPr="002679F3" w:rsidRDefault="000237A4" w:rsidP="007D7178">
      <w:pPr>
        <w:pStyle w:val="NICEnormal"/>
        <w:numPr>
          <w:ilvl w:val="0"/>
          <w:numId w:val="35"/>
        </w:numPr>
      </w:pPr>
      <w:r w:rsidRPr="002679F3">
        <w:t xml:space="preserve">Delegate </w:t>
      </w:r>
      <w:r w:rsidR="007D7178" w:rsidRPr="002679F3">
        <w:t xml:space="preserve">to Guidance Executive </w:t>
      </w:r>
      <w:r w:rsidRPr="002679F3">
        <w:t xml:space="preserve">approval of any changes following </w:t>
      </w:r>
      <w:r w:rsidR="007D7178" w:rsidRPr="002679F3">
        <w:t>public consultation.</w:t>
      </w:r>
    </w:p>
    <w:p w14:paraId="44A70E7F" w14:textId="77777777" w:rsidR="009B1D56" w:rsidRPr="002679F3" w:rsidRDefault="009B1D56" w:rsidP="004F57C9">
      <w:pPr>
        <w:pStyle w:val="Heading1boardreport"/>
      </w:pPr>
      <w:proofErr w:type="gramStart"/>
      <w:r w:rsidRPr="002679F3">
        <w:t>Brief summary</w:t>
      </w:r>
      <w:proofErr w:type="gramEnd"/>
    </w:p>
    <w:p w14:paraId="57E3F354" w14:textId="64978108" w:rsidR="009B1D56" w:rsidRPr="002679F3" w:rsidRDefault="00A4268D" w:rsidP="003830CE">
      <w:pPr>
        <w:pStyle w:val="NICEnormal"/>
        <w:rPr>
          <w:highlight w:val="lightGray"/>
        </w:rPr>
      </w:pPr>
      <w:r w:rsidRPr="002679F3">
        <w:t>This paper summarises the quality standards interim process guide. The interim process guide has been developed for use over the next 24 months</w:t>
      </w:r>
      <w:r w:rsidR="008C157B" w:rsidRPr="002679F3">
        <w:t>,</w:t>
      </w:r>
      <w:r w:rsidRPr="002679F3">
        <w:t xml:space="preserve"> to support proportionate approaches to the development and maintenance of NICE quality standards.</w:t>
      </w:r>
    </w:p>
    <w:p w14:paraId="5EFACB82" w14:textId="77777777" w:rsidR="009B1D56" w:rsidRPr="002679F3" w:rsidRDefault="009B1D56" w:rsidP="003D3B28">
      <w:pPr>
        <w:pStyle w:val="Heading1boardreport"/>
      </w:pPr>
      <w:r w:rsidRPr="002679F3">
        <w:t>Board sponsor</w:t>
      </w:r>
    </w:p>
    <w:p w14:paraId="565E2CF1" w14:textId="77777777" w:rsidR="004B4705" w:rsidRPr="002679F3" w:rsidRDefault="00A4268D" w:rsidP="004511A7">
      <w:pPr>
        <w:pStyle w:val="NICEnormal"/>
      </w:pPr>
      <w:r w:rsidRPr="002679F3">
        <w:t>Jonathan Benger, Chief Medical Officer and Interim Director, Centre for Guidelines</w:t>
      </w:r>
      <w:r w:rsidR="004B4705" w:rsidRPr="002679F3">
        <w:br w:type="page"/>
      </w:r>
    </w:p>
    <w:p w14:paraId="75EEF6E9" w14:textId="77777777" w:rsidR="004B4705" w:rsidRPr="002679F3" w:rsidRDefault="004B4705" w:rsidP="003D3B28">
      <w:pPr>
        <w:pStyle w:val="Heading1boardreport"/>
      </w:pPr>
      <w:r w:rsidRPr="002679F3">
        <w:lastRenderedPageBreak/>
        <w:t xml:space="preserve">Introduction </w:t>
      </w:r>
    </w:p>
    <w:p w14:paraId="6B832EEB" w14:textId="4801FC5A" w:rsidR="00554959" w:rsidRPr="002679F3" w:rsidRDefault="00554959" w:rsidP="00845E6D">
      <w:pPr>
        <w:pStyle w:val="NICEnormalnumbered"/>
      </w:pPr>
      <w:r w:rsidRPr="002679F3">
        <w:t xml:space="preserve">To support the changing needs and objectives of all parts of the health and care system, NICE is transforming to ensure its guidance remains relevant, timely, useable and effective. To achieve these aims, the methods and processes that underpin NICE's guidance </w:t>
      </w:r>
      <w:r w:rsidR="00A4268D" w:rsidRPr="002679F3">
        <w:t>are evolving.</w:t>
      </w:r>
    </w:p>
    <w:p w14:paraId="22ABEB54" w14:textId="34BBBF86" w:rsidR="004B4705" w:rsidRPr="002679F3" w:rsidRDefault="00554959" w:rsidP="00845E6D">
      <w:pPr>
        <w:pStyle w:val="NICEnormalnumbered"/>
      </w:pPr>
      <w:r w:rsidRPr="002679F3">
        <w:t>The quality standards interim process guide has been developed for use over the next 24 months to support proportionate approaches to the development and maintenance of NICE quality standards.</w:t>
      </w:r>
      <w:r w:rsidR="00224B7B" w:rsidRPr="002679F3">
        <w:t xml:space="preserve"> </w:t>
      </w:r>
      <w:r w:rsidRPr="002679F3">
        <w:t xml:space="preserve">The interim process will also allow </w:t>
      </w:r>
      <w:r w:rsidR="00A4268D" w:rsidRPr="002679F3">
        <w:t>the quality standards team</w:t>
      </w:r>
      <w:r w:rsidRPr="002679F3">
        <w:t xml:space="preserve"> to learn from planned work </w:t>
      </w:r>
      <w:r w:rsidR="00224B7B" w:rsidRPr="002679F3">
        <w:t>which will see the</w:t>
      </w:r>
      <w:r w:rsidRPr="002679F3">
        <w:t xml:space="preserve"> </w:t>
      </w:r>
      <w:r w:rsidR="00845E6D" w:rsidRPr="002679F3">
        <w:t>integration</w:t>
      </w:r>
      <w:r w:rsidR="00224B7B" w:rsidRPr="002679F3">
        <w:t xml:space="preserve"> of</w:t>
      </w:r>
      <w:r w:rsidRPr="002679F3">
        <w:t xml:space="preserve"> guideline</w:t>
      </w:r>
      <w:r w:rsidR="00224B7B" w:rsidRPr="002679F3">
        <w:t>s</w:t>
      </w:r>
      <w:r w:rsidRPr="002679F3">
        <w:t xml:space="preserve"> and </w:t>
      </w:r>
      <w:r w:rsidR="00A4268D" w:rsidRPr="002679F3">
        <w:t>quality standards</w:t>
      </w:r>
      <w:r w:rsidRPr="002679F3">
        <w:t xml:space="preserve">. We anticipate these new ways of working, and the learning from them will influence a complete future update of the </w:t>
      </w:r>
      <w:r w:rsidR="00224B7B" w:rsidRPr="002679F3">
        <w:t>quality standards</w:t>
      </w:r>
      <w:r w:rsidRPr="002679F3">
        <w:t xml:space="preserve"> process guide.</w:t>
      </w:r>
    </w:p>
    <w:p w14:paraId="386FB608" w14:textId="77777777" w:rsidR="004F57C9" w:rsidRPr="002679F3" w:rsidRDefault="004B4705" w:rsidP="003D3B28">
      <w:pPr>
        <w:pStyle w:val="Heading1boardreport"/>
      </w:pPr>
      <w:r w:rsidRPr="002679F3">
        <w:t>Background</w:t>
      </w:r>
    </w:p>
    <w:p w14:paraId="30A71372" w14:textId="77777777" w:rsidR="004F57C9" w:rsidRPr="002679F3" w:rsidRDefault="004F57C9" w:rsidP="00845E6D">
      <w:pPr>
        <w:pStyle w:val="NICEnormalnumbered"/>
      </w:pPr>
      <w:r w:rsidRPr="002679F3">
        <w:t xml:space="preserve">In July 2023, the Centre for Guidelines senior team agreed with the proposal to develop an </w:t>
      </w:r>
      <w:r w:rsidRPr="00845E6D">
        <w:t>interim</w:t>
      </w:r>
      <w:r w:rsidRPr="002679F3">
        <w:t xml:space="preserve"> process guide for quality standards. The interim process would support proportionate approaches to the development and maintenance of quality standards, which may be needed when:</w:t>
      </w:r>
    </w:p>
    <w:p w14:paraId="14A1BB48" w14:textId="77777777" w:rsidR="004F57C9" w:rsidRPr="002679F3" w:rsidRDefault="004F57C9" w:rsidP="004F57C9">
      <w:pPr>
        <w:pStyle w:val="ParagraphNumbered"/>
        <w:numPr>
          <w:ilvl w:val="1"/>
          <w:numId w:val="28"/>
        </w:numPr>
      </w:pPr>
      <w:r w:rsidRPr="002679F3">
        <w:t xml:space="preserve">The health and care system needs a new or updated quality standard faster than the current process can deliver. </w:t>
      </w:r>
    </w:p>
    <w:p w14:paraId="1B9A7BD8" w14:textId="77777777" w:rsidR="004F57C9" w:rsidRPr="002679F3" w:rsidRDefault="004F57C9" w:rsidP="004F57C9">
      <w:pPr>
        <w:pStyle w:val="ParagraphNumbered"/>
        <w:numPr>
          <w:ilvl w:val="1"/>
          <w:numId w:val="28"/>
        </w:numPr>
      </w:pPr>
      <w:r w:rsidRPr="002679F3">
        <w:t>The extent of update needed to an existing quality standard does not justify the resource use associated with the full development process.</w:t>
      </w:r>
    </w:p>
    <w:p w14:paraId="108DDA46" w14:textId="77777777" w:rsidR="004F57C9" w:rsidRPr="002679F3" w:rsidRDefault="004F57C9" w:rsidP="004F57C9">
      <w:pPr>
        <w:pStyle w:val="ParagraphNumbered"/>
        <w:numPr>
          <w:ilvl w:val="1"/>
          <w:numId w:val="28"/>
        </w:numPr>
      </w:pPr>
      <w:r w:rsidRPr="002679F3">
        <w:t>When integrating guideline and quality standard development processes.</w:t>
      </w:r>
    </w:p>
    <w:p w14:paraId="2CFB69E0" w14:textId="6A07BB2C" w:rsidR="004F57C9" w:rsidRPr="002679F3" w:rsidRDefault="004F57C9" w:rsidP="004F57C9">
      <w:pPr>
        <w:pStyle w:val="ParagraphNumbered"/>
        <w:numPr>
          <w:ilvl w:val="1"/>
          <w:numId w:val="28"/>
        </w:numPr>
      </w:pPr>
      <w:r>
        <w:t xml:space="preserve">Quality standards, which are published, in development or have been referred and are awaiting development, are deemed suitable to be stood down and removed </w:t>
      </w:r>
      <w:r w:rsidR="4CEA656D">
        <w:t xml:space="preserve">from </w:t>
      </w:r>
      <w:r>
        <w:t>the NICE website.</w:t>
      </w:r>
    </w:p>
    <w:p w14:paraId="441983ED" w14:textId="77777777" w:rsidR="00224B7B" w:rsidRPr="002679F3" w:rsidRDefault="00224B7B" w:rsidP="00224B7B">
      <w:pPr>
        <w:pStyle w:val="ParagraphNumbered"/>
        <w:numPr>
          <w:ilvl w:val="0"/>
          <w:numId w:val="0"/>
        </w:numPr>
        <w:ind w:left="1440"/>
      </w:pPr>
    </w:p>
    <w:p w14:paraId="21E6F4DD" w14:textId="77777777" w:rsidR="004F57C9" w:rsidRPr="002679F3" w:rsidRDefault="004F57C9" w:rsidP="004F57C9">
      <w:pPr>
        <w:pStyle w:val="Numberedlist"/>
        <w:numPr>
          <w:ilvl w:val="0"/>
          <w:numId w:val="0"/>
        </w:numPr>
        <w:tabs>
          <w:tab w:val="left" w:pos="1276"/>
        </w:tabs>
        <w:spacing w:after="120"/>
        <w:rPr>
          <w:rFonts w:cs="Arial"/>
          <w:b/>
          <w:bCs/>
          <w:kern w:val="32"/>
          <w:sz w:val="32"/>
          <w:szCs w:val="32"/>
        </w:rPr>
      </w:pPr>
      <w:r w:rsidRPr="002679F3">
        <w:rPr>
          <w:rFonts w:cs="Arial"/>
          <w:b/>
          <w:bCs/>
          <w:kern w:val="32"/>
          <w:sz w:val="32"/>
          <w:szCs w:val="32"/>
        </w:rPr>
        <w:lastRenderedPageBreak/>
        <w:t>Summary of the interim process</w:t>
      </w:r>
    </w:p>
    <w:p w14:paraId="344C8CFD" w14:textId="77777777" w:rsidR="004F57C9" w:rsidRPr="002679F3" w:rsidRDefault="004F57C9" w:rsidP="00310161">
      <w:pPr>
        <w:pStyle w:val="NICEnormalnumbered"/>
      </w:pPr>
      <w:r w:rsidRPr="002679F3">
        <w:t>The interim process guide should be read alongside the relevant sections of the current NICE quality standards process guide. Summarised briefly below are the proposed process changes:</w:t>
      </w:r>
    </w:p>
    <w:p w14:paraId="77C9A36B" w14:textId="0AEE5446" w:rsidR="004F57C9" w:rsidRPr="002679F3" w:rsidRDefault="004F57C9" w:rsidP="00310161">
      <w:pPr>
        <w:pStyle w:val="ParagraphNumbered"/>
        <w:numPr>
          <w:ilvl w:val="0"/>
          <w:numId w:val="36"/>
        </w:numPr>
      </w:pPr>
      <w:r w:rsidRPr="002679F3">
        <w:t>Proportional approach to topic engagement (3.1).</w:t>
      </w:r>
      <w:r w:rsidR="000C3102">
        <w:t xml:space="preserve"> (see note 1)</w:t>
      </w:r>
    </w:p>
    <w:p w14:paraId="0D8F3417" w14:textId="77777777" w:rsidR="004F57C9" w:rsidRPr="002679F3" w:rsidRDefault="004F57C9" w:rsidP="00310161">
      <w:pPr>
        <w:pStyle w:val="ParagraphNumbered"/>
        <w:numPr>
          <w:ilvl w:val="0"/>
          <w:numId w:val="36"/>
        </w:numPr>
      </w:pPr>
      <w:r w:rsidRPr="002679F3">
        <w:t xml:space="preserve">Changes to committee decision making outside of formal meetings (3.2, 3.6). </w:t>
      </w:r>
    </w:p>
    <w:p w14:paraId="49CDFF57" w14:textId="77777777" w:rsidR="004F57C9" w:rsidRPr="002679F3" w:rsidRDefault="004F57C9" w:rsidP="00310161">
      <w:pPr>
        <w:pStyle w:val="ParagraphNumbered"/>
        <w:numPr>
          <w:ilvl w:val="0"/>
          <w:numId w:val="36"/>
        </w:numPr>
      </w:pPr>
      <w:r w:rsidRPr="002679F3">
        <w:t xml:space="preserve">A flexible approach to public consultation (3.5). </w:t>
      </w:r>
    </w:p>
    <w:p w14:paraId="7EC99427" w14:textId="77777777" w:rsidR="004F57C9" w:rsidRPr="002679F3" w:rsidRDefault="004F57C9" w:rsidP="00310161">
      <w:pPr>
        <w:pStyle w:val="ParagraphNumbered"/>
        <w:numPr>
          <w:ilvl w:val="0"/>
          <w:numId w:val="36"/>
        </w:numPr>
      </w:pPr>
      <w:r w:rsidRPr="002679F3">
        <w:t>The utilisation of the guideline committee (GC) in place of a quality standard advisory committee. (QSAC).</w:t>
      </w:r>
    </w:p>
    <w:p w14:paraId="16459D6C" w14:textId="77777777" w:rsidR="004F57C9" w:rsidRPr="002679F3" w:rsidRDefault="004F57C9" w:rsidP="00310161">
      <w:pPr>
        <w:pStyle w:val="ParagraphNumbered"/>
        <w:numPr>
          <w:ilvl w:val="0"/>
          <w:numId w:val="36"/>
        </w:numPr>
      </w:pPr>
      <w:r w:rsidRPr="002679F3">
        <w:t>Standing down of existing quality standards.</w:t>
      </w:r>
    </w:p>
    <w:p w14:paraId="07B4F874" w14:textId="77777777" w:rsidR="004F57C9" w:rsidRDefault="004F57C9" w:rsidP="00310161">
      <w:pPr>
        <w:pStyle w:val="ParagraphNumbered"/>
        <w:numPr>
          <w:ilvl w:val="0"/>
          <w:numId w:val="36"/>
        </w:numPr>
      </w:pPr>
      <w:r w:rsidRPr="002679F3">
        <w:t>The use of external guidance to support the development of Quality Standards</w:t>
      </w:r>
    </w:p>
    <w:p w14:paraId="70FF9892" w14:textId="57B0100A" w:rsidR="000C3102" w:rsidRPr="002679F3" w:rsidRDefault="000C3102" w:rsidP="000C3102">
      <w:pPr>
        <w:pStyle w:val="NICEnormal"/>
        <w:ind w:left="720"/>
      </w:pPr>
      <w:r>
        <w:t xml:space="preserve">Note 1: </w:t>
      </w:r>
      <w:r w:rsidRPr="000C3102">
        <w:t>Topic engagement is the 2-week period during which stakeholders are invited to submit comments on key areas for quality improvement. This is used to create the topic overview which describes core elements of the standard, such as the population and condition or services to be covered and lists the key source guidance that will be used to underpin the quality statements.</w:t>
      </w:r>
    </w:p>
    <w:p w14:paraId="44AC20CE" w14:textId="77777777" w:rsidR="004F57C9" w:rsidRPr="002679F3" w:rsidRDefault="004F57C9" w:rsidP="00845E6D">
      <w:pPr>
        <w:pStyle w:val="Paragraph"/>
        <w:rPr>
          <w:noProof w:val="0"/>
        </w:rPr>
      </w:pPr>
      <w:r w:rsidRPr="002679F3">
        <w:rPr>
          <w:noProof w:val="0"/>
        </w:rPr>
        <w:t>A table detailing the proposed changes can found on the next page.</w:t>
      </w:r>
    </w:p>
    <w:p w14:paraId="17AB2B85" w14:textId="77777777" w:rsidR="004F57C9" w:rsidRPr="002679F3" w:rsidRDefault="004F57C9" w:rsidP="00224B7B">
      <w:pPr>
        <w:pStyle w:val="NICEnormalnumbered"/>
        <w:numPr>
          <w:ilvl w:val="0"/>
          <w:numId w:val="0"/>
        </w:numPr>
        <w:rPr>
          <w:noProof w:val="0"/>
        </w:rPr>
      </w:pPr>
    </w:p>
    <w:tbl>
      <w:tblPr>
        <w:tblpPr w:leftFromText="180" w:rightFromText="180" w:vertAnchor="page" w:horzAnchor="margin" w:tblpXSpec="center" w:tblpY="1709"/>
        <w:tblW w:w="10535" w:type="dxa"/>
        <w:tblCellMar>
          <w:left w:w="0" w:type="dxa"/>
          <w:right w:w="0" w:type="dxa"/>
        </w:tblCellMar>
        <w:tblLook w:val="04A0" w:firstRow="1" w:lastRow="0" w:firstColumn="1" w:lastColumn="0" w:noHBand="0" w:noVBand="1"/>
      </w:tblPr>
      <w:tblGrid>
        <w:gridCol w:w="2967"/>
        <w:gridCol w:w="2308"/>
        <w:gridCol w:w="5260"/>
      </w:tblGrid>
      <w:tr w:rsidR="004F57C9" w:rsidRPr="002679F3" w14:paraId="14C233F0" w14:textId="77777777" w:rsidTr="003E3506">
        <w:trPr>
          <w:trHeight w:val="814"/>
        </w:trPr>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1455E" w14:textId="77777777" w:rsidR="004F57C9" w:rsidRPr="002679F3" w:rsidRDefault="004F57C9" w:rsidP="003E3506">
            <w:pPr>
              <w:pStyle w:val="NICEnormal"/>
              <w:rPr>
                <w:b/>
                <w:bCs/>
                <w:sz w:val="22"/>
                <w:szCs w:val="22"/>
              </w:rPr>
            </w:pPr>
            <w:bookmarkStart w:id="0" w:name="_Hlk159245665"/>
            <w:r w:rsidRPr="002679F3">
              <w:rPr>
                <w:b/>
                <w:bCs/>
                <w:sz w:val="22"/>
                <w:szCs w:val="22"/>
              </w:rPr>
              <w:lastRenderedPageBreak/>
              <w:t>Current process Guide</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D587" w14:textId="77777777" w:rsidR="004F57C9" w:rsidRPr="002679F3" w:rsidRDefault="004F57C9" w:rsidP="003E3506">
            <w:pPr>
              <w:pStyle w:val="NICEnormal"/>
              <w:rPr>
                <w:b/>
                <w:bCs/>
                <w:sz w:val="22"/>
                <w:szCs w:val="22"/>
              </w:rPr>
            </w:pPr>
            <w:r w:rsidRPr="002679F3">
              <w:rPr>
                <w:b/>
                <w:bCs/>
                <w:sz w:val="22"/>
                <w:szCs w:val="22"/>
              </w:rPr>
              <w:t>Current process section</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28697" w14:textId="77777777" w:rsidR="004F57C9" w:rsidRPr="002679F3" w:rsidRDefault="004F57C9" w:rsidP="003E3506">
            <w:pPr>
              <w:pStyle w:val="NICEnormal"/>
              <w:rPr>
                <w:b/>
                <w:bCs/>
                <w:sz w:val="22"/>
                <w:szCs w:val="22"/>
              </w:rPr>
            </w:pPr>
            <w:r w:rsidRPr="002679F3">
              <w:rPr>
                <w:b/>
                <w:bCs/>
                <w:sz w:val="22"/>
                <w:szCs w:val="22"/>
              </w:rPr>
              <w:t>Proposed change to be included in the interim process guide</w:t>
            </w:r>
          </w:p>
        </w:tc>
      </w:tr>
      <w:tr w:rsidR="004F57C9" w:rsidRPr="002679F3" w14:paraId="5888EC0B" w14:textId="77777777" w:rsidTr="003E3506">
        <w:trPr>
          <w:trHeight w:val="2165"/>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4F32EF" w14:textId="77777777" w:rsidR="004F57C9" w:rsidRPr="002679F3" w:rsidRDefault="004F57C9" w:rsidP="003E3506">
            <w:pPr>
              <w:pStyle w:val="NICEnormal"/>
              <w:rPr>
                <w:rFonts w:cs="Arial"/>
                <w:sz w:val="20"/>
                <w:szCs w:val="20"/>
              </w:rPr>
            </w:pPr>
            <w:r w:rsidRPr="002679F3">
              <w:rPr>
                <w:rFonts w:cs="Arial"/>
                <w:sz w:val="20"/>
                <w:szCs w:val="20"/>
              </w:rPr>
              <w:t>Topic Engagement requires a briefing paper and a 2-week topic engagement period with all stakeholders.</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6E61F63B" w14:textId="77777777" w:rsidR="004F57C9" w:rsidRPr="002679F3" w:rsidRDefault="004F57C9" w:rsidP="003E3506">
            <w:pPr>
              <w:pStyle w:val="NICEnormal"/>
              <w:rPr>
                <w:rFonts w:cs="Arial"/>
                <w:sz w:val="20"/>
                <w:szCs w:val="20"/>
              </w:rPr>
            </w:pPr>
            <w:r w:rsidRPr="002679F3">
              <w:rPr>
                <w:rFonts w:cs="Arial"/>
                <w:sz w:val="20"/>
                <w:szCs w:val="20"/>
              </w:rPr>
              <w:t>Developing a topic overview (3.1)</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3F301591" w14:textId="77777777" w:rsidR="004F57C9" w:rsidRPr="002679F3" w:rsidRDefault="004F57C9" w:rsidP="003E3506">
            <w:pPr>
              <w:pStyle w:val="NICEnormal"/>
              <w:spacing w:before="120" w:line="240" w:lineRule="auto"/>
              <w:rPr>
                <w:rFonts w:cs="Arial"/>
                <w:sz w:val="20"/>
                <w:szCs w:val="20"/>
              </w:rPr>
            </w:pPr>
            <w:r w:rsidRPr="002679F3">
              <w:rPr>
                <w:rFonts w:cs="Arial"/>
                <w:sz w:val="20"/>
                <w:szCs w:val="20"/>
              </w:rPr>
              <w:t>The interim guide allows for flexibility in topic engagement exercise to:</w:t>
            </w:r>
          </w:p>
          <w:p w14:paraId="32B83750" w14:textId="77777777" w:rsidR="004F57C9" w:rsidRPr="002679F3" w:rsidRDefault="004F57C9" w:rsidP="004F57C9">
            <w:pPr>
              <w:pStyle w:val="NICEnormal"/>
              <w:numPr>
                <w:ilvl w:val="0"/>
                <w:numId w:val="30"/>
              </w:numPr>
              <w:spacing w:before="120" w:after="120" w:line="240" w:lineRule="auto"/>
              <w:ind w:left="771" w:hanging="357"/>
              <w:rPr>
                <w:rFonts w:cs="Arial"/>
                <w:sz w:val="20"/>
                <w:szCs w:val="20"/>
              </w:rPr>
            </w:pPr>
            <w:r w:rsidRPr="002679F3">
              <w:rPr>
                <w:rFonts w:cs="Arial"/>
                <w:sz w:val="20"/>
                <w:szCs w:val="20"/>
              </w:rPr>
              <w:t xml:space="preserve">target to key stakeholders </w:t>
            </w:r>
            <w:proofErr w:type="gramStart"/>
            <w:r w:rsidRPr="002679F3">
              <w:rPr>
                <w:rFonts w:cs="Arial"/>
                <w:sz w:val="20"/>
                <w:szCs w:val="20"/>
              </w:rPr>
              <w:t>only;</w:t>
            </w:r>
            <w:proofErr w:type="gramEnd"/>
          </w:p>
          <w:p w14:paraId="602ED785" w14:textId="77777777" w:rsidR="004F57C9" w:rsidRPr="002679F3" w:rsidRDefault="004F57C9" w:rsidP="004F57C9">
            <w:pPr>
              <w:pStyle w:val="NICEnormal"/>
              <w:numPr>
                <w:ilvl w:val="0"/>
                <w:numId w:val="30"/>
              </w:numPr>
              <w:spacing w:before="120" w:after="120" w:line="240" w:lineRule="auto"/>
              <w:ind w:left="771" w:hanging="357"/>
              <w:rPr>
                <w:rFonts w:cs="Arial"/>
                <w:sz w:val="20"/>
                <w:szCs w:val="20"/>
              </w:rPr>
            </w:pPr>
            <w:r w:rsidRPr="002679F3">
              <w:rPr>
                <w:rFonts w:cs="Arial"/>
                <w:sz w:val="20"/>
                <w:szCs w:val="20"/>
              </w:rPr>
              <w:t>be reduced, (1 week minimum</w:t>
            </w:r>
            <w:proofErr w:type="gramStart"/>
            <w:r w:rsidRPr="002679F3">
              <w:rPr>
                <w:rFonts w:cs="Arial"/>
                <w:sz w:val="20"/>
                <w:szCs w:val="20"/>
              </w:rPr>
              <w:t>);</w:t>
            </w:r>
            <w:proofErr w:type="gramEnd"/>
          </w:p>
          <w:p w14:paraId="000EF2E5" w14:textId="77777777" w:rsidR="004F57C9" w:rsidRPr="002679F3" w:rsidRDefault="004F57C9" w:rsidP="004F57C9">
            <w:pPr>
              <w:pStyle w:val="NICEnormal"/>
              <w:numPr>
                <w:ilvl w:val="0"/>
                <w:numId w:val="30"/>
              </w:numPr>
              <w:spacing w:before="120" w:after="120" w:line="240" w:lineRule="auto"/>
              <w:ind w:left="771" w:hanging="357"/>
              <w:rPr>
                <w:rFonts w:cs="Arial"/>
                <w:sz w:val="20"/>
                <w:szCs w:val="20"/>
              </w:rPr>
            </w:pPr>
            <w:r w:rsidRPr="002679F3">
              <w:rPr>
                <w:rFonts w:cs="Arial"/>
                <w:sz w:val="20"/>
                <w:szCs w:val="20"/>
              </w:rPr>
              <w:t>utilise a workshop instead of a 2-week comment period.</w:t>
            </w:r>
          </w:p>
        </w:tc>
      </w:tr>
      <w:tr w:rsidR="004F57C9" w:rsidRPr="002679F3" w14:paraId="3117CB7E" w14:textId="77777777" w:rsidTr="003E3506">
        <w:trPr>
          <w:trHeight w:val="1529"/>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D44C53" w14:textId="77777777" w:rsidR="004F57C9" w:rsidRPr="002679F3" w:rsidRDefault="004F57C9" w:rsidP="003E3506">
            <w:pPr>
              <w:pStyle w:val="NICEnormal"/>
              <w:rPr>
                <w:rFonts w:cs="Arial"/>
                <w:sz w:val="20"/>
                <w:szCs w:val="20"/>
              </w:rPr>
            </w:pPr>
            <w:r w:rsidRPr="002679F3">
              <w:rPr>
                <w:rFonts w:cs="Arial"/>
                <w:sz w:val="20"/>
                <w:szCs w:val="20"/>
              </w:rPr>
              <w:t>All updates must be considered by a full QSAC committee prior to consultation</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4680C399" w14:textId="77777777" w:rsidR="004F57C9" w:rsidRPr="002679F3" w:rsidRDefault="004F57C9" w:rsidP="003E3506">
            <w:pPr>
              <w:pStyle w:val="NICEnormal"/>
              <w:rPr>
                <w:rFonts w:cs="Arial"/>
                <w:sz w:val="20"/>
                <w:szCs w:val="20"/>
              </w:rPr>
            </w:pPr>
            <w:r w:rsidRPr="002679F3">
              <w:rPr>
                <w:rFonts w:cs="Arial"/>
                <w:sz w:val="20"/>
                <w:szCs w:val="20"/>
              </w:rPr>
              <w:t>Prioritising areas for quality improvement (3.2)</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54DCAE4E" w14:textId="77777777" w:rsidR="004F57C9" w:rsidRPr="002679F3" w:rsidRDefault="004F57C9" w:rsidP="003E3506">
            <w:pPr>
              <w:pStyle w:val="NICEnormal"/>
              <w:rPr>
                <w:rFonts w:cs="Arial"/>
                <w:sz w:val="20"/>
                <w:szCs w:val="20"/>
              </w:rPr>
            </w:pPr>
            <w:r w:rsidRPr="002679F3">
              <w:rPr>
                <w:rFonts w:cs="Arial"/>
                <w:sz w:val="20"/>
                <w:szCs w:val="20"/>
              </w:rPr>
              <w:t>The interim guide provides the option of a working group made up of a subset of committee members and topic experts in place of the full QSAC meeting.</w:t>
            </w:r>
          </w:p>
        </w:tc>
      </w:tr>
      <w:tr w:rsidR="004F57C9" w:rsidRPr="002679F3" w14:paraId="0161618B" w14:textId="77777777" w:rsidTr="003E3506">
        <w:trPr>
          <w:trHeight w:val="632"/>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65C7D" w14:textId="77777777" w:rsidR="004F57C9" w:rsidRPr="002679F3" w:rsidRDefault="004F57C9" w:rsidP="003E3506">
            <w:pPr>
              <w:pStyle w:val="NICEnormal"/>
              <w:rPr>
                <w:rFonts w:cs="Arial"/>
                <w:sz w:val="20"/>
                <w:szCs w:val="20"/>
              </w:rPr>
            </w:pPr>
            <w:r w:rsidRPr="002679F3">
              <w:rPr>
                <w:rFonts w:cs="Arial"/>
                <w:sz w:val="20"/>
                <w:szCs w:val="20"/>
              </w:rPr>
              <w:t>The consultation period is specified as 4-weeks.</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38771EB2" w14:textId="77777777" w:rsidR="004F57C9" w:rsidRPr="002679F3" w:rsidRDefault="004F57C9" w:rsidP="003E3506">
            <w:pPr>
              <w:pStyle w:val="NICEnormal"/>
              <w:rPr>
                <w:rFonts w:cs="Arial"/>
                <w:sz w:val="20"/>
                <w:szCs w:val="20"/>
              </w:rPr>
            </w:pPr>
            <w:r w:rsidRPr="002679F3">
              <w:rPr>
                <w:rFonts w:cs="Arial"/>
                <w:sz w:val="20"/>
                <w:szCs w:val="20"/>
              </w:rPr>
              <w:t>Consultation (3.5)</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4CE17319" w14:textId="77777777" w:rsidR="004F57C9" w:rsidRPr="002679F3" w:rsidRDefault="004F57C9" w:rsidP="003E3506">
            <w:pPr>
              <w:pStyle w:val="NICEnormal"/>
              <w:rPr>
                <w:rFonts w:cs="Arial"/>
                <w:sz w:val="20"/>
                <w:szCs w:val="20"/>
              </w:rPr>
            </w:pPr>
            <w:r w:rsidRPr="002679F3">
              <w:rPr>
                <w:rFonts w:cs="Arial"/>
                <w:sz w:val="20"/>
                <w:szCs w:val="20"/>
              </w:rPr>
              <w:t xml:space="preserve">The interim guide is more flexible: </w:t>
            </w:r>
          </w:p>
          <w:p w14:paraId="00095729" w14:textId="77777777" w:rsidR="004F57C9" w:rsidRPr="002679F3" w:rsidRDefault="004F57C9" w:rsidP="003E3506">
            <w:pPr>
              <w:pStyle w:val="NICEnormal"/>
              <w:rPr>
                <w:rFonts w:cs="Arial"/>
                <w:sz w:val="20"/>
                <w:szCs w:val="20"/>
              </w:rPr>
            </w:pPr>
            <w:r w:rsidRPr="002679F3">
              <w:rPr>
                <w:rFonts w:cs="Arial"/>
                <w:sz w:val="20"/>
                <w:szCs w:val="20"/>
              </w:rPr>
              <w:t>“Consultation is generally 4 weeks but can be 2 weeks or on exception more than 4 weeks”</w:t>
            </w:r>
          </w:p>
        </w:tc>
      </w:tr>
      <w:bookmarkEnd w:id="0"/>
      <w:tr w:rsidR="004F57C9" w:rsidRPr="002679F3" w14:paraId="500E24E1" w14:textId="77777777" w:rsidTr="003E3506">
        <w:trPr>
          <w:trHeight w:val="632"/>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E7B3F8" w14:textId="77777777" w:rsidR="004F57C9" w:rsidRPr="002679F3" w:rsidRDefault="004F57C9" w:rsidP="003E3506">
            <w:pPr>
              <w:pStyle w:val="NICEnormal"/>
              <w:rPr>
                <w:rFonts w:cs="Arial"/>
                <w:sz w:val="20"/>
                <w:szCs w:val="20"/>
              </w:rPr>
            </w:pPr>
            <w:r w:rsidRPr="002679F3">
              <w:rPr>
                <w:rFonts w:cs="Arial"/>
                <w:sz w:val="20"/>
                <w:szCs w:val="20"/>
              </w:rPr>
              <w:t>All updates must be considered by a full QSAC committee post consultation</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46EFE124" w14:textId="77777777" w:rsidR="004F57C9" w:rsidRPr="002679F3" w:rsidRDefault="004F57C9" w:rsidP="003E3506">
            <w:pPr>
              <w:pStyle w:val="NICEnormal"/>
              <w:rPr>
                <w:rFonts w:cs="Arial"/>
                <w:sz w:val="20"/>
                <w:szCs w:val="20"/>
              </w:rPr>
            </w:pPr>
            <w:r w:rsidRPr="002679F3">
              <w:rPr>
                <w:rFonts w:cs="Arial"/>
                <w:sz w:val="20"/>
                <w:szCs w:val="20"/>
              </w:rPr>
              <w:t>Reviewing consultation feedback (3.6)</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7B9CF91F" w14:textId="77777777" w:rsidR="004F57C9" w:rsidRPr="002679F3" w:rsidRDefault="004F57C9" w:rsidP="003E3506">
            <w:pPr>
              <w:pStyle w:val="NICEnormal"/>
              <w:rPr>
                <w:rFonts w:cs="Arial"/>
                <w:sz w:val="20"/>
                <w:szCs w:val="20"/>
              </w:rPr>
            </w:pPr>
            <w:r w:rsidRPr="002679F3">
              <w:rPr>
                <w:rFonts w:cs="Arial"/>
                <w:sz w:val="20"/>
                <w:szCs w:val="20"/>
              </w:rPr>
              <w:t>The interim guides offer the option of utilising a working group made up of a subset of committee members and topic experts. Or, if there is a high degree of agreement at consultation gaining committee approval via email.</w:t>
            </w:r>
          </w:p>
        </w:tc>
      </w:tr>
      <w:tr w:rsidR="004F57C9" w:rsidRPr="002679F3" w14:paraId="7ACB5B8B" w14:textId="77777777" w:rsidTr="003E3506">
        <w:trPr>
          <w:trHeight w:val="632"/>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A9A713" w14:textId="77777777" w:rsidR="004F57C9" w:rsidRPr="002679F3" w:rsidRDefault="004F57C9" w:rsidP="003E3506">
            <w:pPr>
              <w:pStyle w:val="NICEnormal"/>
              <w:rPr>
                <w:rFonts w:cs="Arial"/>
                <w:sz w:val="20"/>
                <w:szCs w:val="20"/>
              </w:rPr>
            </w:pPr>
            <w:r w:rsidRPr="002679F3">
              <w:rPr>
                <w:rFonts w:cs="Arial"/>
                <w:sz w:val="20"/>
                <w:szCs w:val="20"/>
              </w:rPr>
              <w:t>No current process to integrate guideline and quality standard processes</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0C7B6DDB" w14:textId="77777777" w:rsidR="004F57C9" w:rsidRPr="002679F3" w:rsidRDefault="004F57C9" w:rsidP="003E3506">
            <w:pPr>
              <w:pStyle w:val="NICEnormal"/>
              <w:rPr>
                <w:rFonts w:cs="Arial"/>
                <w:sz w:val="20"/>
                <w:szCs w:val="20"/>
              </w:rPr>
            </w:pPr>
            <w:r w:rsidRPr="002679F3">
              <w:rPr>
                <w:rFonts w:cs="Arial"/>
                <w:sz w:val="20"/>
                <w:szCs w:val="20"/>
              </w:rPr>
              <w:t>n/a</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763217E3" w14:textId="77777777" w:rsidR="004F57C9" w:rsidRPr="002679F3" w:rsidRDefault="004F57C9" w:rsidP="003E3506">
            <w:pPr>
              <w:pStyle w:val="NICEnormal"/>
              <w:rPr>
                <w:rFonts w:cs="Arial"/>
                <w:sz w:val="20"/>
                <w:szCs w:val="20"/>
              </w:rPr>
            </w:pPr>
            <w:r w:rsidRPr="002679F3">
              <w:rPr>
                <w:rFonts w:cs="Arial"/>
                <w:sz w:val="20"/>
                <w:szCs w:val="20"/>
              </w:rPr>
              <w:t>The interim guide offers the option of utilising the Guideline committee (GC) in place of the QSAC committee in developing QS statements.</w:t>
            </w:r>
          </w:p>
        </w:tc>
      </w:tr>
      <w:tr w:rsidR="004F57C9" w:rsidRPr="002679F3" w14:paraId="08735B0E" w14:textId="77777777" w:rsidTr="003E3506">
        <w:trPr>
          <w:trHeight w:val="1509"/>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83DBE7" w14:textId="77777777" w:rsidR="004F57C9" w:rsidRPr="002679F3" w:rsidRDefault="004F57C9" w:rsidP="003E3506">
            <w:pPr>
              <w:pStyle w:val="NICEnormal"/>
              <w:rPr>
                <w:rFonts w:cs="Arial"/>
                <w:sz w:val="20"/>
                <w:szCs w:val="20"/>
              </w:rPr>
            </w:pPr>
            <w:r w:rsidRPr="002679F3">
              <w:rPr>
                <w:rFonts w:cs="Arial"/>
                <w:sz w:val="20"/>
                <w:szCs w:val="20"/>
              </w:rPr>
              <w:t xml:space="preserve">No current process to allow the standing down or removal of quality standards. </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6B982939" w14:textId="77777777" w:rsidR="004F57C9" w:rsidRPr="002679F3" w:rsidRDefault="004F57C9" w:rsidP="003E3506">
            <w:pPr>
              <w:pStyle w:val="NICEnormal"/>
              <w:rPr>
                <w:rFonts w:cs="Arial"/>
                <w:sz w:val="20"/>
                <w:szCs w:val="20"/>
              </w:rPr>
            </w:pPr>
            <w:r w:rsidRPr="002679F3">
              <w:rPr>
                <w:rFonts w:cs="Arial"/>
                <w:sz w:val="20"/>
                <w:szCs w:val="20"/>
              </w:rPr>
              <w:t>n/a</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477256A9" w14:textId="77777777" w:rsidR="004F57C9" w:rsidRPr="002679F3" w:rsidRDefault="004F57C9" w:rsidP="003E3506">
            <w:pPr>
              <w:pStyle w:val="NICEnormal"/>
              <w:rPr>
                <w:rFonts w:cs="Arial"/>
                <w:sz w:val="20"/>
                <w:szCs w:val="20"/>
              </w:rPr>
            </w:pPr>
            <w:r w:rsidRPr="002679F3">
              <w:rPr>
                <w:rFonts w:cs="Arial"/>
                <w:sz w:val="20"/>
                <w:szCs w:val="20"/>
              </w:rPr>
              <w:t>The interim guide enables the standing down of quality standards</w:t>
            </w:r>
            <w:r w:rsidRPr="002679F3">
              <w:t xml:space="preserve"> </w:t>
            </w:r>
            <w:r w:rsidRPr="002679F3">
              <w:rPr>
                <w:rFonts w:cs="Arial"/>
                <w:sz w:val="20"/>
                <w:szCs w:val="20"/>
              </w:rPr>
              <w:t>deemed to no longer add value to the system, such as when the quality standard has been superseded by statutory requirements. Internal approval and formal de-endorsement from the endorsing body will be sought before the quality standard is stood down.</w:t>
            </w:r>
          </w:p>
        </w:tc>
      </w:tr>
      <w:tr w:rsidR="004F57C9" w:rsidRPr="002679F3" w14:paraId="047E46FC" w14:textId="77777777" w:rsidTr="003E3506">
        <w:trPr>
          <w:trHeight w:val="1509"/>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8CA67" w14:textId="77777777" w:rsidR="004F57C9" w:rsidRPr="002679F3" w:rsidRDefault="004F57C9" w:rsidP="003E3506">
            <w:pPr>
              <w:pStyle w:val="NICEnormal"/>
              <w:rPr>
                <w:rFonts w:cs="Arial"/>
                <w:sz w:val="20"/>
                <w:szCs w:val="20"/>
              </w:rPr>
            </w:pPr>
            <w:r w:rsidRPr="002679F3">
              <w:rPr>
                <w:rFonts w:cs="Arial"/>
                <w:sz w:val="20"/>
                <w:szCs w:val="20"/>
              </w:rPr>
              <w:t>Use of external guidance to support the development of Quality Standards only when accredited or meets accreditation criteria.</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14:paraId="50F9B299" w14:textId="77777777" w:rsidR="004F57C9" w:rsidRPr="002679F3" w:rsidRDefault="004F57C9" w:rsidP="003E3506">
            <w:pPr>
              <w:pStyle w:val="NICEnormal"/>
              <w:rPr>
                <w:rFonts w:cs="Arial"/>
                <w:sz w:val="20"/>
                <w:szCs w:val="20"/>
              </w:rPr>
            </w:pPr>
            <w:r w:rsidRPr="002679F3">
              <w:rPr>
                <w:rFonts w:cs="Arial"/>
                <w:sz w:val="20"/>
                <w:szCs w:val="20"/>
              </w:rPr>
              <w:t>Throughout</w:t>
            </w:r>
          </w:p>
        </w:tc>
        <w:tc>
          <w:tcPr>
            <w:tcW w:w="5260" w:type="dxa"/>
            <w:tcBorders>
              <w:top w:val="nil"/>
              <w:left w:val="nil"/>
              <w:bottom w:val="single" w:sz="8" w:space="0" w:color="auto"/>
              <w:right w:val="single" w:sz="8" w:space="0" w:color="auto"/>
            </w:tcBorders>
            <w:tcMar>
              <w:top w:w="0" w:type="dxa"/>
              <w:left w:w="108" w:type="dxa"/>
              <w:bottom w:w="0" w:type="dxa"/>
              <w:right w:w="108" w:type="dxa"/>
            </w:tcMar>
          </w:tcPr>
          <w:p w14:paraId="164587FA" w14:textId="77777777" w:rsidR="004F57C9" w:rsidRPr="002679F3" w:rsidRDefault="004F57C9" w:rsidP="003E3506">
            <w:pPr>
              <w:pStyle w:val="NICEnormal"/>
              <w:rPr>
                <w:rFonts w:cs="Arial"/>
                <w:sz w:val="20"/>
                <w:szCs w:val="20"/>
              </w:rPr>
            </w:pPr>
            <w:r w:rsidRPr="002679F3">
              <w:rPr>
                <w:rFonts w:cs="Arial"/>
                <w:sz w:val="20"/>
                <w:szCs w:val="20"/>
              </w:rPr>
              <w:t>The accreditation programme has closed, and the accreditation criteria is no longer available. The interim process guide clarifies our position on the use of non-accredited guidance where it is of a high standard and has had NICE internal sign off.</w:t>
            </w:r>
          </w:p>
        </w:tc>
      </w:tr>
    </w:tbl>
    <w:p w14:paraId="7B75D7C2" w14:textId="77777777" w:rsidR="004F57C9" w:rsidRPr="002679F3" w:rsidRDefault="004F57C9" w:rsidP="004F57C9">
      <w:pPr>
        <w:pStyle w:val="NICEnormalnumbered"/>
        <w:numPr>
          <w:ilvl w:val="0"/>
          <w:numId w:val="0"/>
        </w:numPr>
        <w:ind w:left="360" w:hanging="360"/>
        <w:rPr>
          <w:noProof w:val="0"/>
        </w:rPr>
      </w:pPr>
    </w:p>
    <w:p w14:paraId="72E31FBD" w14:textId="77777777" w:rsidR="0017277D" w:rsidRPr="002679F3" w:rsidRDefault="00554959" w:rsidP="003D3B28">
      <w:pPr>
        <w:pStyle w:val="Heading1boardreport"/>
      </w:pPr>
      <w:r w:rsidRPr="002679F3">
        <w:t>L</w:t>
      </w:r>
      <w:r w:rsidR="0017277D" w:rsidRPr="002679F3">
        <w:t>egal implications</w:t>
      </w:r>
    </w:p>
    <w:p w14:paraId="0E459604" w14:textId="3B5C36A9" w:rsidR="00554959" w:rsidRPr="002679F3" w:rsidRDefault="00554959" w:rsidP="4D4EDDAD">
      <w:pPr>
        <w:pStyle w:val="NICEnormalnumbered"/>
        <w:numPr>
          <w:ilvl w:val="0"/>
          <w:numId w:val="0"/>
        </w:numPr>
      </w:pPr>
      <w:r>
        <w:t xml:space="preserve">Legal advice was sought during the drafting of the interim process guide as the development of quality standards is covered within the </w:t>
      </w:r>
      <w:hyperlink r:id="rId7">
        <w:r w:rsidRPr="4D4EDDAD">
          <w:rPr>
            <w:rStyle w:val="Hyperlink"/>
            <w:noProof w:val="0"/>
          </w:rPr>
          <w:t>Health and Social Care Act 2012</w:t>
        </w:r>
      </w:hyperlink>
      <w:r>
        <w:t xml:space="preserve">. </w:t>
      </w:r>
      <w:r w:rsidR="1298FC8C">
        <w:t>Public consultation was recommended</w:t>
      </w:r>
      <w:r>
        <w:t xml:space="preserve"> as the Interim Process amounts to a change to the way NICE will/may produce quality standards.</w:t>
      </w:r>
    </w:p>
    <w:p w14:paraId="1E98D0C7" w14:textId="69F30253" w:rsidR="0017277D" w:rsidRPr="002679F3" w:rsidRDefault="0017277D" w:rsidP="003D3B28">
      <w:pPr>
        <w:pStyle w:val="Heading1boardreport"/>
      </w:pPr>
      <w:r w:rsidRPr="002679F3">
        <w:t>Risk assessment</w:t>
      </w:r>
      <w:r w:rsidR="000A103F" w:rsidRPr="002679F3">
        <w:t xml:space="preserve"> </w:t>
      </w:r>
    </w:p>
    <w:p w14:paraId="50A3DB36" w14:textId="69782A1E" w:rsidR="000C5EDE" w:rsidRPr="002679F3" w:rsidRDefault="000C5EDE" w:rsidP="00D42CCB">
      <w:pPr>
        <w:pStyle w:val="NICEnormalnumbered"/>
        <w:sectPr w:rsidR="000C5EDE" w:rsidRPr="002679F3" w:rsidSect="00425816">
          <w:headerReference w:type="default" r:id="rId8"/>
          <w:footerReference w:type="default" r:id="rId9"/>
          <w:pgSz w:w="11906" w:h="16838"/>
          <w:pgMar w:top="1440" w:right="1440" w:bottom="1440" w:left="1440" w:header="708" w:footer="708" w:gutter="0"/>
          <w:cols w:space="708"/>
          <w:docGrid w:linePitch="360"/>
        </w:sectPr>
      </w:pPr>
      <w:r w:rsidRPr="002679F3">
        <w:t>The benefits of the interim process have been conveyed in this paper</w:t>
      </w:r>
      <w:r w:rsidR="00D42CCB">
        <w:t>. A</w:t>
      </w:r>
      <w:r w:rsidRPr="002679F3">
        <w:t xml:space="preserve"> small number of risks have been identified</w:t>
      </w:r>
      <w:r w:rsidR="00D42CCB">
        <w:t xml:space="preserve"> as noted in the below </w:t>
      </w:r>
      <w:r w:rsidRPr="002679F3">
        <w:t xml:space="preserve">table. </w:t>
      </w:r>
    </w:p>
    <w:p w14:paraId="3E795BC9" w14:textId="77777777" w:rsidR="000A103F" w:rsidRPr="002679F3" w:rsidRDefault="000A103F" w:rsidP="006E0F0C">
      <w:pPr>
        <w:pStyle w:val="Caption"/>
      </w:pPr>
      <w:r w:rsidRPr="002679F3">
        <w:lastRenderedPageBreak/>
        <w:t>Risk assessment table</w:t>
      </w:r>
    </w:p>
    <w:tbl>
      <w:tblPr>
        <w:tblW w:w="5210" w:type="pct"/>
        <w:tblInd w:w="-289" w:type="dxa"/>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Caption w:val="Risk assessment and mitigation table with current and target ratings"/>
      </w:tblPr>
      <w:tblGrid>
        <w:gridCol w:w="2260"/>
        <w:gridCol w:w="2816"/>
        <w:gridCol w:w="28"/>
        <w:gridCol w:w="916"/>
        <w:gridCol w:w="1308"/>
        <w:gridCol w:w="1003"/>
        <w:gridCol w:w="3081"/>
        <w:gridCol w:w="919"/>
        <w:gridCol w:w="9"/>
        <w:gridCol w:w="1302"/>
        <w:gridCol w:w="892"/>
      </w:tblGrid>
      <w:tr w:rsidR="00C2595A" w:rsidRPr="002679F3" w14:paraId="35F688DB" w14:textId="77777777" w:rsidTr="4D4EDDAD">
        <w:trPr>
          <w:trHeight w:val="463"/>
        </w:trPr>
        <w:tc>
          <w:tcPr>
            <w:tcW w:w="778" w:type="pct"/>
            <w:shd w:val="clear" w:color="auto" w:fill="auto"/>
          </w:tcPr>
          <w:p w14:paraId="50C2FE0B" w14:textId="77777777" w:rsidR="000A103F" w:rsidRPr="002679F3" w:rsidRDefault="000A103F" w:rsidP="006E0F0C">
            <w:pPr>
              <w:pStyle w:val="Tableheadingboardreport"/>
              <w:rPr>
                <w:sz w:val="20"/>
                <w:szCs w:val="20"/>
              </w:rPr>
            </w:pPr>
            <w:r w:rsidRPr="002679F3">
              <w:rPr>
                <w:sz w:val="20"/>
                <w:szCs w:val="20"/>
              </w:rPr>
              <w:t>Risk</w:t>
            </w:r>
          </w:p>
        </w:tc>
        <w:tc>
          <w:tcPr>
            <w:tcW w:w="969" w:type="pct"/>
            <w:shd w:val="clear" w:color="auto" w:fill="auto"/>
          </w:tcPr>
          <w:p w14:paraId="6398C589" w14:textId="77777777" w:rsidR="000A103F" w:rsidRPr="002679F3" w:rsidRDefault="000A103F" w:rsidP="006E0F0C">
            <w:pPr>
              <w:pStyle w:val="Tableheadingboardreport"/>
              <w:rPr>
                <w:sz w:val="20"/>
                <w:szCs w:val="20"/>
              </w:rPr>
            </w:pPr>
            <w:r w:rsidRPr="002679F3">
              <w:rPr>
                <w:sz w:val="20"/>
                <w:szCs w:val="20"/>
              </w:rPr>
              <w:t xml:space="preserve">Current mitigation, </w:t>
            </w:r>
            <w:proofErr w:type="gramStart"/>
            <w:r w:rsidRPr="002679F3">
              <w:rPr>
                <w:sz w:val="20"/>
                <w:szCs w:val="20"/>
              </w:rPr>
              <w:t>controls</w:t>
            </w:r>
            <w:proofErr w:type="gramEnd"/>
            <w:r w:rsidRPr="002679F3">
              <w:rPr>
                <w:sz w:val="20"/>
                <w:szCs w:val="20"/>
              </w:rPr>
              <w:t xml:space="preserve"> and assurance</w:t>
            </w:r>
          </w:p>
        </w:tc>
        <w:tc>
          <w:tcPr>
            <w:tcW w:w="323" w:type="pct"/>
            <w:gridSpan w:val="2"/>
            <w:shd w:val="clear" w:color="auto" w:fill="auto"/>
          </w:tcPr>
          <w:p w14:paraId="76DEF4EE" w14:textId="77777777" w:rsidR="000A103F" w:rsidRPr="002679F3" w:rsidRDefault="000A103F" w:rsidP="006E0F0C">
            <w:pPr>
              <w:pStyle w:val="Tableheadingboardreport"/>
              <w:rPr>
                <w:sz w:val="20"/>
                <w:szCs w:val="20"/>
              </w:rPr>
            </w:pPr>
            <w:r w:rsidRPr="002679F3">
              <w:rPr>
                <w:sz w:val="20"/>
                <w:szCs w:val="20"/>
              </w:rPr>
              <w:t>Current rating: Impact</w:t>
            </w:r>
          </w:p>
        </w:tc>
        <w:tc>
          <w:tcPr>
            <w:tcW w:w="450" w:type="pct"/>
            <w:shd w:val="clear" w:color="auto" w:fill="auto"/>
          </w:tcPr>
          <w:p w14:paraId="62673855" w14:textId="77777777" w:rsidR="000A103F" w:rsidRPr="002679F3" w:rsidRDefault="000A103F" w:rsidP="006E0F0C">
            <w:pPr>
              <w:pStyle w:val="Tableheadingboardreport"/>
              <w:rPr>
                <w:sz w:val="20"/>
                <w:szCs w:val="20"/>
              </w:rPr>
            </w:pPr>
            <w:r w:rsidRPr="002679F3">
              <w:rPr>
                <w:sz w:val="20"/>
                <w:szCs w:val="20"/>
              </w:rPr>
              <w:t>Current rating: Likelihood</w:t>
            </w:r>
          </w:p>
        </w:tc>
        <w:tc>
          <w:tcPr>
            <w:tcW w:w="345" w:type="pct"/>
            <w:shd w:val="clear" w:color="auto" w:fill="auto"/>
          </w:tcPr>
          <w:p w14:paraId="2CE9080C" w14:textId="77777777" w:rsidR="000A103F" w:rsidRPr="002679F3" w:rsidRDefault="000A103F" w:rsidP="006E0F0C">
            <w:pPr>
              <w:pStyle w:val="Tableheadingboardreport"/>
              <w:rPr>
                <w:sz w:val="20"/>
                <w:szCs w:val="20"/>
              </w:rPr>
            </w:pPr>
            <w:r w:rsidRPr="002679F3">
              <w:rPr>
                <w:sz w:val="20"/>
                <w:szCs w:val="20"/>
              </w:rPr>
              <w:t>Current rating: Score</w:t>
            </w:r>
          </w:p>
        </w:tc>
        <w:tc>
          <w:tcPr>
            <w:tcW w:w="1060" w:type="pct"/>
            <w:shd w:val="clear" w:color="auto" w:fill="auto"/>
          </w:tcPr>
          <w:p w14:paraId="02E66ECF" w14:textId="77777777" w:rsidR="000A103F" w:rsidRPr="002679F3" w:rsidRDefault="000A103F" w:rsidP="006E0F0C">
            <w:pPr>
              <w:pStyle w:val="Tableheadingboardreport"/>
              <w:rPr>
                <w:sz w:val="20"/>
                <w:szCs w:val="20"/>
              </w:rPr>
            </w:pPr>
            <w:r w:rsidRPr="002679F3">
              <w:rPr>
                <w:sz w:val="20"/>
                <w:szCs w:val="20"/>
              </w:rPr>
              <w:t xml:space="preserve">Further actions to strengthen mitigations and achieve the target </w:t>
            </w:r>
            <w:proofErr w:type="gramStart"/>
            <w:r w:rsidRPr="002679F3">
              <w:rPr>
                <w:sz w:val="20"/>
                <w:szCs w:val="20"/>
              </w:rPr>
              <w:t>score</w:t>
            </w:r>
            <w:proofErr w:type="gramEnd"/>
          </w:p>
          <w:p w14:paraId="5D35A263" w14:textId="77777777" w:rsidR="000A103F" w:rsidRPr="002679F3" w:rsidRDefault="000A103F" w:rsidP="006E0F0C">
            <w:pPr>
              <w:pStyle w:val="Tableheadingboardreport"/>
              <w:rPr>
                <w:sz w:val="20"/>
                <w:szCs w:val="20"/>
              </w:rPr>
            </w:pPr>
            <w:r w:rsidRPr="002679F3">
              <w:rPr>
                <w:sz w:val="20"/>
                <w:szCs w:val="20"/>
              </w:rPr>
              <w:t>(include due dates)</w:t>
            </w:r>
          </w:p>
        </w:tc>
        <w:tc>
          <w:tcPr>
            <w:tcW w:w="316" w:type="pct"/>
            <w:shd w:val="clear" w:color="auto" w:fill="auto"/>
          </w:tcPr>
          <w:p w14:paraId="6DA389BB" w14:textId="77777777" w:rsidR="000A103F" w:rsidRPr="002679F3" w:rsidRDefault="000A103F" w:rsidP="006E0F0C">
            <w:pPr>
              <w:pStyle w:val="Tableheadingboardreport"/>
              <w:rPr>
                <w:sz w:val="20"/>
                <w:szCs w:val="20"/>
              </w:rPr>
            </w:pPr>
            <w:r w:rsidRPr="002679F3">
              <w:rPr>
                <w:sz w:val="20"/>
                <w:szCs w:val="20"/>
              </w:rPr>
              <w:t>Target rating: Impact</w:t>
            </w:r>
          </w:p>
        </w:tc>
        <w:tc>
          <w:tcPr>
            <w:tcW w:w="451" w:type="pct"/>
            <w:gridSpan w:val="2"/>
            <w:shd w:val="clear" w:color="auto" w:fill="auto"/>
          </w:tcPr>
          <w:p w14:paraId="35E7ACA4" w14:textId="77777777" w:rsidR="000A103F" w:rsidRPr="002679F3" w:rsidRDefault="000A103F" w:rsidP="006E0F0C">
            <w:pPr>
              <w:pStyle w:val="Tableheadingboardreport"/>
              <w:rPr>
                <w:sz w:val="20"/>
                <w:szCs w:val="20"/>
              </w:rPr>
            </w:pPr>
            <w:r w:rsidRPr="002679F3">
              <w:rPr>
                <w:sz w:val="20"/>
                <w:szCs w:val="20"/>
              </w:rPr>
              <w:t>Target rating: Likelihood</w:t>
            </w:r>
          </w:p>
        </w:tc>
        <w:tc>
          <w:tcPr>
            <w:tcW w:w="307" w:type="pct"/>
            <w:shd w:val="clear" w:color="auto" w:fill="auto"/>
          </w:tcPr>
          <w:p w14:paraId="13D6E406" w14:textId="77777777" w:rsidR="000A103F" w:rsidRPr="002679F3" w:rsidRDefault="000A103F" w:rsidP="006E0F0C">
            <w:pPr>
              <w:pStyle w:val="Tableheadingboardreport"/>
              <w:rPr>
                <w:sz w:val="20"/>
                <w:szCs w:val="20"/>
              </w:rPr>
            </w:pPr>
            <w:r w:rsidRPr="002679F3">
              <w:rPr>
                <w:sz w:val="20"/>
                <w:szCs w:val="20"/>
              </w:rPr>
              <w:t>Target rating: Score</w:t>
            </w:r>
          </w:p>
        </w:tc>
      </w:tr>
      <w:tr w:rsidR="00C2595A" w:rsidRPr="002679F3" w14:paraId="3261B1B7" w14:textId="77777777" w:rsidTr="4D4EDDAD">
        <w:tc>
          <w:tcPr>
            <w:tcW w:w="778" w:type="pct"/>
            <w:shd w:val="clear" w:color="auto" w:fill="auto"/>
          </w:tcPr>
          <w:p w14:paraId="11EDB9FD" w14:textId="77777777" w:rsidR="00425816" w:rsidRPr="002679F3" w:rsidRDefault="00425816" w:rsidP="003E1DDD">
            <w:pPr>
              <w:pStyle w:val="Tabletext"/>
              <w:rPr>
                <w:sz w:val="20"/>
                <w:szCs w:val="20"/>
              </w:rPr>
            </w:pPr>
            <w:r w:rsidRPr="002679F3">
              <w:rPr>
                <w:sz w:val="20"/>
                <w:szCs w:val="20"/>
              </w:rPr>
              <w:t xml:space="preserve">The current approach to QS development and maintenance is well established. </w:t>
            </w:r>
          </w:p>
          <w:p w14:paraId="4DED08C2" w14:textId="2B42D718" w:rsidR="000A103F" w:rsidRPr="002679F3" w:rsidRDefault="00425816" w:rsidP="003E1DDD">
            <w:pPr>
              <w:pStyle w:val="Tabletext"/>
              <w:rPr>
                <w:sz w:val="20"/>
                <w:szCs w:val="20"/>
              </w:rPr>
            </w:pPr>
            <w:r w:rsidRPr="002679F3">
              <w:rPr>
                <w:sz w:val="20"/>
                <w:szCs w:val="20"/>
              </w:rPr>
              <w:t xml:space="preserve">Adopting more flexible and proportionate approaches to individual topics may create some confusion in stakeholders and risks giving the impression that NICE lacks consistency </w:t>
            </w:r>
          </w:p>
        </w:tc>
        <w:tc>
          <w:tcPr>
            <w:tcW w:w="978" w:type="pct"/>
            <w:gridSpan w:val="2"/>
          </w:tcPr>
          <w:p w14:paraId="581B4928" w14:textId="5CDE4F9C" w:rsidR="00924CFC" w:rsidRPr="002679F3" w:rsidRDefault="572045FF" w:rsidP="003E1DDD">
            <w:pPr>
              <w:pStyle w:val="Tabletext"/>
              <w:rPr>
                <w:sz w:val="20"/>
                <w:szCs w:val="20"/>
              </w:rPr>
            </w:pPr>
            <w:r w:rsidRPr="4D4EDDAD">
              <w:rPr>
                <w:sz w:val="20"/>
                <w:szCs w:val="20"/>
              </w:rPr>
              <w:t>Clear</w:t>
            </w:r>
            <w:r w:rsidR="29511956" w:rsidRPr="4D4EDDAD">
              <w:rPr>
                <w:sz w:val="20"/>
                <w:szCs w:val="20"/>
              </w:rPr>
              <w:t>, agreed</w:t>
            </w:r>
            <w:r w:rsidRPr="4D4EDDAD">
              <w:rPr>
                <w:sz w:val="20"/>
                <w:szCs w:val="20"/>
              </w:rPr>
              <w:t xml:space="preserve"> </w:t>
            </w:r>
            <w:r w:rsidR="7360624C" w:rsidRPr="4D4EDDAD">
              <w:rPr>
                <w:sz w:val="20"/>
                <w:szCs w:val="20"/>
              </w:rPr>
              <w:t>comm</w:t>
            </w:r>
            <w:r w:rsidR="79739E0C" w:rsidRPr="4D4EDDAD">
              <w:rPr>
                <w:sz w:val="20"/>
                <w:szCs w:val="20"/>
              </w:rPr>
              <w:t>unication</w:t>
            </w:r>
            <w:r w:rsidR="7360624C" w:rsidRPr="4D4EDDAD">
              <w:rPr>
                <w:sz w:val="20"/>
                <w:szCs w:val="20"/>
              </w:rPr>
              <w:t>s</w:t>
            </w:r>
            <w:r w:rsidRPr="4D4EDDAD">
              <w:rPr>
                <w:sz w:val="20"/>
                <w:szCs w:val="20"/>
              </w:rPr>
              <w:t xml:space="preserve"> to stakeholders at key points of QS development</w:t>
            </w:r>
            <w:r w:rsidR="7360624C" w:rsidRPr="4D4EDDAD">
              <w:rPr>
                <w:sz w:val="20"/>
                <w:szCs w:val="20"/>
              </w:rPr>
              <w:t xml:space="preserve"> to </w:t>
            </w:r>
            <w:r w:rsidR="25BDE154" w:rsidRPr="4D4EDDAD">
              <w:rPr>
                <w:sz w:val="20"/>
                <w:szCs w:val="20"/>
              </w:rPr>
              <w:t>highlight when the</w:t>
            </w:r>
            <w:r w:rsidR="7360624C" w:rsidRPr="4D4EDDAD">
              <w:rPr>
                <w:sz w:val="20"/>
                <w:szCs w:val="20"/>
              </w:rPr>
              <w:t xml:space="preserve"> new process is utilised</w:t>
            </w:r>
            <w:r w:rsidR="25BDE154" w:rsidRPr="4D4EDDAD">
              <w:rPr>
                <w:sz w:val="20"/>
                <w:szCs w:val="20"/>
              </w:rPr>
              <w:t xml:space="preserve"> and why.</w:t>
            </w:r>
          </w:p>
          <w:p w14:paraId="27317161" w14:textId="77777777" w:rsidR="00924CFC" w:rsidRPr="002679F3" w:rsidRDefault="00924CFC" w:rsidP="003E1DDD">
            <w:pPr>
              <w:pStyle w:val="Tabletext"/>
              <w:rPr>
                <w:sz w:val="20"/>
                <w:szCs w:val="20"/>
              </w:rPr>
            </w:pPr>
          </w:p>
          <w:p w14:paraId="5891E438" w14:textId="46B22721" w:rsidR="00924CFC" w:rsidRPr="002679F3" w:rsidRDefault="001D03CE" w:rsidP="003E1DDD">
            <w:pPr>
              <w:pStyle w:val="Tabletext"/>
              <w:rPr>
                <w:sz w:val="20"/>
                <w:szCs w:val="20"/>
              </w:rPr>
            </w:pPr>
            <w:r w:rsidRPr="002679F3">
              <w:rPr>
                <w:sz w:val="20"/>
                <w:szCs w:val="20"/>
              </w:rPr>
              <w:t xml:space="preserve">Regular updates to QSAC committee members. </w:t>
            </w:r>
            <w:r w:rsidR="005A05AD" w:rsidRPr="002679F3">
              <w:rPr>
                <w:sz w:val="20"/>
                <w:szCs w:val="20"/>
              </w:rPr>
              <w:t xml:space="preserve">Our committees are held in </w:t>
            </w:r>
            <w:proofErr w:type="gramStart"/>
            <w:r w:rsidR="005A05AD" w:rsidRPr="002679F3">
              <w:rPr>
                <w:sz w:val="20"/>
                <w:szCs w:val="20"/>
              </w:rPr>
              <w:t>public</w:t>
            </w:r>
            <w:proofErr w:type="gramEnd"/>
            <w:r w:rsidR="00C4030C" w:rsidRPr="002679F3">
              <w:rPr>
                <w:sz w:val="20"/>
                <w:szCs w:val="20"/>
              </w:rPr>
              <w:t xml:space="preserve"> and these updates will be detailed in publicly available minutes. </w:t>
            </w:r>
          </w:p>
          <w:p w14:paraId="62F1254C" w14:textId="77777777" w:rsidR="005A05AD" w:rsidRPr="002679F3" w:rsidRDefault="005A05AD" w:rsidP="003E1DDD">
            <w:pPr>
              <w:pStyle w:val="Tabletext"/>
              <w:rPr>
                <w:sz w:val="20"/>
                <w:szCs w:val="20"/>
              </w:rPr>
            </w:pPr>
          </w:p>
          <w:p w14:paraId="1975D418" w14:textId="1734C294" w:rsidR="005A05AD" w:rsidRPr="002679F3" w:rsidRDefault="005A05AD" w:rsidP="003E1DDD">
            <w:pPr>
              <w:pStyle w:val="Tabletext"/>
              <w:rPr>
                <w:sz w:val="20"/>
                <w:szCs w:val="20"/>
              </w:rPr>
            </w:pPr>
          </w:p>
        </w:tc>
        <w:tc>
          <w:tcPr>
            <w:tcW w:w="315" w:type="pct"/>
            <w:shd w:val="clear" w:color="auto" w:fill="auto"/>
          </w:tcPr>
          <w:p w14:paraId="5856597C" w14:textId="3004A808" w:rsidR="000A103F" w:rsidRPr="002679F3" w:rsidRDefault="00C4030C" w:rsidP="003E1DDD">
            <w:pPr>
              <w:pStyle w:val="Tabletext"/>
              <w:rPr>
                <w:sz w:val="20"/>
                <w:szCs w:val="20"/>
              </w:rPr>
            </w:pPr>
            <w:r w:rsidRPr="002679F3">
              <w:rPr>
                <w:sz w:val="20"/>
                <w:szCs w:val="20"/>
              </w:rPr>
              <w:t>3</w:t>
            </w:r>
          </w:p>
        </w:tc>
        <w:tc>
          <w:tcPr>
            <w:tcW w:w="450" w:type="pct"/>
            <w:shd w:val="clear" w:color="auto" w:fill="auto"/>
          </w:tcPr>
          <w:p w14:paraId="03B3CFCE" w14:textId="667D606B" w:rsidR="000A103F" w:rsidRPr="002679F3" w:rsidRDefault="00C4030C" w:rsidP="003E1DDD">
            <w:pPr>
              <w:pStyle w:val="Tabletext"/>
              <w:rPr>
                <w:sz w:val="20"/>
                <w:szCs w:val="20"/>
              </w:rPr>
            </w:pPr>
            <w:r w:rsidRPr="002679F3">
              <w:rPr>
                <w:sz w:val="20"/>
                <w:szCs w:val="20"/>
              </w:rPr>
              <w:t>3</w:t>
            </w:r>
          </w:p>
        </w:tc>
        <w:tc>
          <w:tcPr>
            <w:tcW w:w="345" w:type="pct"/>
            <w:shd w:val="clear" w:color="auto" w:fill="auto"/>
          </w:tcPr>
          <w:p w14:paraId="2437B893" w14:textId="529A4EC1" w:rsidR="000A103F" w:rsidRPr="002679F3" w:rsidRDefault="00C4030C" w:rsidP="003E1DDD">
            <w:pPr>
              <w:pStyle w:val="Tabletext"/>
              <w:rPr>
                <w:sz w:val="20"/>
                <w:szCs w:val="20"/>
              </w:rPr>
            </w:pPr>
            <w:r w:rsidRPr="002679F3">
              <w:rPr>
                <w:sz w:val="20"/>
                <w:szCs w:val="20"/>
              </w:rPr>
              <w:t>Medium = 6</w:t>
            </w:r>
          </w:p>
        </w:tc>
        <w:tc>
          <w:tcPr>
            <w:tcW w:w="1060" w:type="pct"/>
            <w:shd w:val="clear" w:color="auto" w:fill="auto"/>
          </w:tcPr>
          <w:p w14:paraId="4EEC6D9C" w14:textId="0F3E6580" w:rsidR="005A05AD" w:rsidRPr="002679F3" w:rsidRDefault="005A05AD" w:rsidP="003E1DDD">
            <w:pPr>
              <w:pStyle w:val="Tabletext"/>
              <w:rPr>
                <w:sz w:val="20"/>
                <w:szCs w:val="20"/>
              </w:rPr>
            </w:pPr>
            <w:r w:rsidRPr="002679F3">
              <w:rPr>
                <w:sz w:val="20"/>
                <w:szCs w:val="20"/>
              </w:rPr>
              <w:t>Planned updates</w:t>
            </w:r>
            <w:r w:rsidR="00C4030C" w:rsidRPr="002679F3">
              <w:rPr>
                <w:sz w:val="20"/>
                <w:szCs w:val="20"/>
              </w:rPr>
              <w:t xml:space="preserve"> on interim process</w:t>
            </w:r>
            <w:r w:rsidRPr="002679F3">
              <w:rPr>
                <w:sz w:val="20"/>
                <w:szCs w:val="20"/>
              </w:rPr>
              <w:t xml:space="preserve"> </w:t>
            </w:r>
            <w:r w:rsidR="00C4030C" w:rsidRPr="002679F3">
              <w:rPr>
                <w:sz w:val="20"/>
                <w:szCs w:val="20"/>
              </w:rPr>
              <w:t>for</w:t>
            </w:r>
            <w:r w:rsidRPr="002679F3">
              <w:rPr>
                <w:sz w:val="20"/>
                <w:szCs w:val="20"/>
              </w:rPr>
              <w:t xml:space="preserve"> our key partners (HQIP, NHSE) 2024/25 Q1</w:t>
            </w:r>
          </w:p>
          <w:p w14:paraId="0F941154" w14:textId="77777777" w:rsidR="005A05AD" w:rsidRPr="002679F3" w:rsidRDefault="005A05AD" w:rsidP="003E1DDD">
            <w:pPr>
              <w:pStyle w:val="Tabletext"/>
              <w:rPr>
                <w:sz w:val="20"/>
                <w:szCs w:val="20"/>
              </w:rPr>
            </w:pPr>
          </w:p>
          <w:p w14:paraId="66D7CFD9" w14:textId="2734AC0A" w:rsidR="00924CFC" w:rsidRPr="002679F3" w:rsidRDefault="00C4030C" w:rsidP="003E1DDD">
            <w:pPr>
              <w:pStyle w:val="Tabletext"/>
              <w:rPr>
                <w:sz w:val="20"/>
                <w:szCs w:val="20"/>
              </w:rPr>
            </w:pPr>
            <w:r w:rsidRPr="002679F3">
              <w:rPr>
                <w:sz w:val="20"/>
                <w:szCs w:val="20"/>
              </w:rPr>
              <w:t>Introducing</w:t>
            </w:r>
            <w:r w:rsidR="001D03CE" w:rsidRPr="002679F3">
              <w:rPr>
                <w:sz w:val="20"/>
                <w:szCs w:val="20"/>
              </w:rPr>
              <w:t xml:space="preserve"> a more user-friendly process and interim process web page </w:t>
            </w:r>
            <w:r w:rsidR="005A05AD" w:rsidRPr="002679F3">
              <w:rPr>
                <w:sz w:val="20"/>
                <w:szCs w:val="20"/>
              </w:rPr>
              <w:t>which</w:t>
            </w:r>
            <w:r w:rsidRPr="002679F3">
              <w:rPr>
                <w:sz w:val="20"/>
                <w:szCs w:val="20"/>
              </w:rPr>
              <w:t xml:space="preserve"> will enable users to find information quicker and easier</w:t>
            </w:r>
            <w:r w:rsidR="005A05AD" w:rsidRPr="002679F3">
              <w:rPr>
                <w:sz w:val="20"/>
                <w:szCs w:val="20"/>
              </w:rPr>
              <w:t xml:space="preserve"> </w:t>
            </w:r>
            <w:r w:rsidR="001D03CE" w:rsidRPr="002679F3">
              <w:rPr>
                <w:sz w:val="20"/>
                <w:szCs w:val="20"/>
              </w:rPr>
              <w:t>(May 2024)</w:t>
            </w:r>
          </w:p>
          <w:p w14:paraId="6A596D9D" w14:textId="77777777" w:rsidR="00C4030C" w:rsidRPr="002679F3" w:rsidRDefault="00C4030C" w:rsidP="003E1DDD">
            <w:pPr>
              <w:pStyle w:val="Tabletext"/>
              <w:rPr>
                <w:sz w:val="20"/>
                <w:szCs w:val="20"/>
              </w:rPr>
            </w:pPr>
          </w:p>
          <w:p w14:paraId="5CDD37F4" w14:textId="7782EDEC" w:rsidR="00C4030C" w:rsidRPr="002679F3" w:rsidRDefault="00C4030C" w:rsidP="00C4030C">
            <w:pPr>
              <w:pStyle w:val="Tabletext"/>
              <w:rPr>
                <w:sz w:val="20"/>
                <w:szCs w:val="20"/>
              </w:rPr>
            </w:pPr>
            <w:r w:rsidRPr="002679F3">
              <w:rPr>
                <w:sz w:val="20"/>
                <w:szCs w:val="20"/>
              </w:rPr>
              <w:t>Inviting stakeholders to read the interim process and provide feedback at public consultation (</w:t>
            </w:r>
            <w:r w:rsidR="00A20159" w:rsidRPr="002679F3">
              <w:rPr>
                <w:sz w:val="20"/>
                <w:szCs w:val="20"/>
              </w:rPr>
              <w:t>April</w:t>
            </w:r>
            <w:r w:rsidRPr="002679F3">
              <w:rPr>
                <w:sz w:val="20"/>
                <w:szCs w:val="20"/>
              </w:rPr>
              <w:t xml:space="preserve"> 2024). </w:t>
            </w:r>
          </w:p>
          <w:p w14:paraId="08B0B5B9" w14:textId="08681356" w:rsidR="00C4030C" w:rsidRPr="002679F3" w:rsidRDefault="00C4030C" w:rsidP="003E1DDD">
            <w:pPr>
              <w:pStyle w:val="Tabletext"/>
              <w:rPr>
                <w:sz w:val="20"/>
                <w:szCs w:val="20"/>
              </w:rPr>
            </w:pPr>
          </w:p>
        </w:tc>
        <w:tc>
          <w:tcPr>
            <w:tcW w:w="319" w:type="pct"/>
            <w:gridSpan w:val="2"/>
            <w:shd w:val="clear" w:color="auto" w:fill="auto"/>
          </w:tcPr>
          <w:p w14:paraId="7E383745" w14:textId="69DAC5F4" w:rsidR="000A103F" w:rsidRPr="002679F3" w:rsidRDefault="001D03CE" w:rsidP="003E1DDD">
            <w:pPr>
              <w:pStyle w:val="Tabletext"/>
              <w:rPr>
                <w:sz w:val="20"/>
                <w:szCs w:val="20"/>
              </w:rPr>
            </w:pPr>
            <w:r w:rsidRPr="002679F3">
              <w:rPr>
                <w:sz w:val="20"/>
                <w:szCs w:val="20"/>
              </w:rPr>
              <w:t>2</w:t>
            </w:r>
          </w:p>
        </w:tc>
        <w:tc>
          <w:tcPr>
            <w:tcW w:w="448" w:type="pct"/>
            <w:shd w:val="clear" w:color="auto" w:fill="auto"/>
          </w:tcPr>
          <w:p w14:paraId="4DAD53B1" w14:textId="62A79830" w:rsidR="000A103F" w:rsidRPr="002679F3" w:rsidRDefault="001D03CE" w:rsidP="003E1DDD">
            <w:pPr>
              <w:pStyle w:val="Tabletext"/>
              <w:rPr>
                <w:sz w:val="20"/>
                <w:szCs w:val="20"/>
              </w:rPr>
            </w:pPr>
            <w:r w:rsidRPr="002679F3">
              <w:rPr>
                <w:sz w:val="20"/>
                <w:szCs w:val="20"/>
              </w:rPr>
              <w:t>1</w:t>
            </w:r>
          </w:p>
        </w:tc>
        <w:tc>
          <w:tcPr>
            <w:tcW w:w="307" w:type="pct"/>
            <w:shd w:val="clear" w:color="auto" w:fill="auto"/>
          </w:tcPr>
          <w:p w14:paraId="0D70906F" w14:textId="6CA2F89F" w:rsidR="000A103F" w:rsidRPr="002679F3" w:rsidRDefault="00C2595A" w:rsidP="003E1DDD">
            <w:pPr>
              <w:pStyle w:val="Tabletext"/>
              <w:rPr>
                <w:sz w:val="20"/>
                <w:szCs w:val="20"/>
              </w:rPr>
            </w:pPr>
            <w:r w:rsidRPr="002679F3">
              <w:rPr>
                <w:sz w:val="20"/>
                <w:szCs w:val="20"/>
              </w:rPr>
              <w:t xml:space="preserve">Very </w:t>
            </w:r>
            <w:r w:rsidR="00C4030C" w:rsidRPr="002679F3">
              <w:rPr>
                <w:sz w:val="20"/>
                <w:szCs w:val="20"/>
              </w:rPr>
              <w:t>Low =2</w:t>
            </w:r>
          </w:p>
        </w:tc>
      </w:tr>
      <w:tr w:rsidR="00C2595A" w:rsidRPr="002679F3" w14:paraId="154B2F2A" w14:textId="77777777" w:rsidTr="4D4EDDAD">
        <w:tc>
          <w:tcPr>
            <w:tcW w:w="778" w:type="pct"/>
            <w:shd w:val="clear" w:color="auto" w:fill="auto"/>
          </w:tcPr>
          <w:p w14:paraId="1F562A93" w14:textId="751E8322" w:rsidR="000A103F" w:rsidRPr="002679F3" w:rsidRDefault="00425816" w:rsidP="003E1DDD">
            <w:pPr>
              <w:pStyle w:val="Tabletext"/>
              <w:rPr>
                <w:sz w:val="20"/>
                <w:szCs w:val="20"/>
              </w:rPr>
            </w:pPr>
            <w:r w:rsidRPr="002679F3">
              <w:rPr>
                <w:sz w:val="20"/>
                <w:szCs w:val="20"/>
              </w:rPr>
              <w:t xml:space="preserve">The updated guide allows the option for guideline committees </w:t>
            </w:r>
            <w:r w:rsidR="00135A49" w:rsidRPr="002679F3">
              <w:rPr>
                <w:sz w:val="20"/>
                <w:szCs w:val="20"/>
              </w:rPr>
              <w:t xml:space="preserve">(GC) </w:t>
            </w:r>
            <w:r w:rsidRPr="002679F3">
              <w:rPr>
                <w:sz w:val="20"/>
                <w:szCs w:val="20"/>
              </w:rPr>
              <w:t>to develop quality standards rather than a separate QS advisory committee</w:t>
            </w:r>
            <w:r w:rsidR="003E1DDD" w:rsidRPr="002679F3">
              <w:rPr>
                <w:sz w:val="20"/>
                <w:szCs w:val="20"/>
              </w:rPr>
              <w:t xml:space="preserve"> (QSAC)</w:t>
            </w:r>
            <w:r w:rsidRPr="002679F3">
              <w:rPr>
                <w:sz w:val="20"/>
                <w:szCs w:val="20"/>
              </w:rPr>
              <w:t>.</w:t>
            </w:r>
          </w:p>
          <w:p w14:paraId="68EB8694" w14:textId="1F4D2B18" w:rsidR="003E1DDD" w:rsidRPr="002679F3" w:rsidRDefault="00135A49" w:rsidP="003E1DDD">
            <w:pPr>
              <w:pStyle w:val="Tabletext"/>
              <w:rPr>
                <w:sz w:val="20"/>
                <w:szCs w:val="20"/>
              </w:rPr>
            </w:pPr>
            <w:r w:rsidRPr="002679F3">
              <w:rPr>
                <w:sz w:val="20"/>
                <w:szCs w:val="20"/>
              </w:rPr>
              <w:t xml:space="preserve">Having GCs develop QS (rather than QSACs) may negatively impact on </w:t>
            </w:r>
            <w:r w:rsidR="000A1C40" w:rsidRPr="002679F3">
              <w:rPr>
                <w:sz w:val="20"/>
                <w:szCs w:val="20"/>
              </w:rPr>
              <w:t xml:space="preserve">the quality of </w:t>
            </w:r>
            <w:r w:rsidRPr="002679F3">
              <w:rPr>
                <w:sz w:val="20"/>
                <w:szCs w:val="20"/>
              </w:rPr>
              <w:t>QS products</w:t>
            </w:r>
            <w:r w:rsidR="000A1C40" w:rsidRPr="002679F3">
              <w:rPr>
                <w:sz w:val="20"/>
                <w:szCs w:val="20"/>
              </w:rPr>
              <w:t>.</w:t>
            </w:r>
          </w:p>
        </w:tc>
        <w:tc>
          <w:tcPr>
            <w:tcW w:w="978" w:type="pct"/>
            <w:gridSpan w:val="2"/>
          </w:tcPr>
          <w:p w14:paraId="101F18E4" w14:textId="46704EBE" w:rsidR="001D03CE" w:rsidRPr="002679F3" w:rsidRDefault="00A20159" w:rsidP="00924CFC">
            <w:pPr>
              <w:pStyle w:val="Tabletext"/>
              <w:rPr>
                <w:sz w:val="20"/>
                <w:szCs w:val="20"/>
              </w:rPr>
            </w:pPr>
            <w:r w:rsidRPr="002679F3">
              <w:rPr>
                <w:sz w:val="20"/>
                <w:szCs w:val="20"/>
              </w:rPr>
              <w:t>We are introducing a</w:t>
            </w:r>
            <w:r w:rsidR="00924CFC" w:rsidRPr="002679F3">
              <w:rPr>
                <w:sz w:val="20"/>
                <w:szCs w:val="20"/>
              </w:rPr>
              <w:t xml:space="preserve">dditional internal QA points </w:t>
            </w:r>
            <w:r w:rsidR="001D03CE" w:rsidRPr="002679F3">
              <w:rPr>
                <w:sz w:val="20"/>
                <w:szCs w:val="20"/>
              </w:rPr>
              <w:t>during development</w:t>
            </w:r>
            <w:r w:rsidRPr="002679F3">
              <w:rPr>
                <w:sz w:val="20"/>
                <w:szCs w:val="20"/>
              </w:rPr>
              <w:t xml:space="preserve"> </w:t>
            </w:r>
            <w:r w:rsidR="00696E99" w:rsidRPr="002679F3">
              <w:rPr>
                <w:sz w:val="20"/>
                <w:szCs w:val="20"/>
              </w:rPr>
              <w:t xml:space="preserve">which will help to ensure quality of </w:t>
            </w:r>
            <w:r w:rsidR="00451209" w:rsidRPr="002679F3">
              <w:rPr>
                <w:sz w:val="20"/>
                <w:szCs w:val="20"/>
              </w:rPr>
              <w:t xml:space="preserve">the </w:t>
            </w:r>
            <w:r w:rsidR="00696E99" w:rsidRPr="002679F3">
              <w:rPr>
                <w:sz w:val="20"/>
                <w:szCs w:val="20"/>
              </w:rPr>
              <w:t>QS product.</w:t>
            </w:r>
            <w:r w:rsidRPr="002679F3">
              <w:rPr>
                <w:sz w:val="20"/>
                <w:szCs w:val="20"/>
              </w:rPr>
              <w:t xml:space="preserve"> </w:t>
            </w:r>
          </w:p>
          <w:p w14:paraId="748F2758" w14:textId="77777777" w:rsidR="001D03CE" w:rsidRPr="002679F3" w:rsidRDefault="001D03CE" w:rsidP="00924CFC">
            <w:pPr>
              <w:pStyle w:val="Tabletext"/>
              <w:rPr>
                <w:sz w:val="20"/>
                <w:szCs w:val="20"/>
              </w:rPr>
            </w:pPr>
          </w:p>
          <w:p w14:paraId="273C70B8" w14:textId="4125D2C8" w:rsidR="00A20159" w:rsidRPr="002679F3" w:rsidRDefault="00696E99" w:rsidP="00A20159">
            <w:pPr>
              <w:pStyle w:val="Tabletext"/>
              <w:rPr>
                <w:sz w:val="20"/>
                <w:szCs w:val="20"/>
              </w:rPr>
            </w:pPr>
            <w:r w:rsidRPr="002679F3">
              <w:rPr>
                <w:sz w:val="20"/>
                <w:szCs w:val="20"/>
              </w:rPr>
              <w:t xml:space="preserve">All topics utilising this process will have </w:t>
            </w:r>
            <w:r w:rsidR="00A20159" w:rsidRPr="002679F3">
              <w:rPr>
                <w:sz w:val="20"/>
                <w:szCs w:val="20"/>
              </w:rPr>
              <w:t>a</w:t>
            </w:r>
            <w:r w:rsidR="001D03CE" w:rsidRPr="002679F3">
              <w:rPr>
                <w:sz w:val="20"/>
                <w:szCs w:val="20"/>
              </w:rPr>
              <w:t>ctive risk registers</w:t>
            </w:r>
            <w:r w:rsidRPr="002679F3">
              <w:rPr>
                <w:sz w:val="20"/>
                <w:szCs w:val="20"/>
              </w:rPr>
              <w:t>.</w:t>
            </w:r>
          </w:p>
          <w:p w14:paraId="75CEA81E" w14:textId="77777777" w:rsidR="00A20159" w:rsidRPr="002679F3" w:rsidRDefault="00A20159" w:rsidP="00A20159">
            <w:pPr>
              <w:pStyle w:val="Tabletext"/>
              <w:rPr>
                <w:sz w:val="20"/>
                <w:szCs w:val="20"/>
              </w:rPr>
            </w:pPr>
          </w:p>
          <w:p w14:paraId="498FA87E" w14:textId="57370FD1" w:rsidR="00A20159" w:rsidRPr="002679F3" w:rsidRDefault="00A20159" w:rsidP="00A20159">
            <w:pPr>
              <w:pStyle w:val="Tabletext"/>
              <w:rPr>
                <w:sz w:val="20"/>
                <w:szCs w:val="20"/>
              </w:rPr>
            </w:pPr>
            <w:r w:rsidRPr="002679F3">
              <w:rPr>
                <w:sz w:val="20"/>
                <w:szCs w:val="20"/>
              </w:rPr>
              <w:t xml:space="preserve">Scheduled </w:t>
            </w:r>
            <w:r w:rsidR="00696E99" w:rsidRPr="002679F3">
              <w:rPr>
                <w:sz w:val="20"/>
                <w:szCs w:val="20"/>
              </w:rPr>
              <w:t>r</w:t>
            </w:r>
            <w:r w:rsidRPr="002679F3">
              <w:rPr>
                <w:sz w:val="20"/>
                <w:szCs w:val="20"/>
              </w:rPr>
              <w:t xml:space="preserve">egular meetings between the GC and QS teams will allow for raising of issues regarding </w:t>
            </w:r>
            <w:r w:rsidR="00696E99" w:rsidRPr="002679F3">
              <w:rPr>
                <w:sz w:val="20"/>
                <w:szCs w:val="20"/>
              </w:rPr>
              <w:t xml:space="preserve">the GC </w:t>
            </w:r>
            <w:r w:rsidRPr="002679F3">
              <w:rPr>
                <w:sz w:val="20"/>
                <w:szCs w:val="20"/>
              </w:rPr>
              <w:lastRenderedPageBreak/>
              <w:t>committee and impact on QS.</w:t>
            </w:r>
          </w:p>
          <w:p w14:paraId="2E96D873" w14:textId="273FBC1F" w:rsidR="000A103F" w:rsidRPr="002679F3" w:rsidRDefault="000A103F" w:rsidP="00924CFC">
            <w:pPr>
              <w:pStyle w:val="Tabletext"/>
              <w:rPr>
                <w:sz w:val="20"/>
                <w:szCs w:val="20"/>
              </w:rPr>
            </w:pPr>
          </w:p>
        </w:tc>
        <w:tc>
          <w:tcPr>
            <w:tcW w:w="315" w:type="pct"/>
            <w:shd w:val="clear" w:color="auto" w:fill="auto"/>
          </w:tcPr>
          <w:p w14:paraId="6BFA70D7" w14:textId="1214CAA0" w:rsidR="000A103F" w:rsidRPr="002679F3" w:rsidRDefault="00696E99" w:rsidP="003E1DDD">
            <w:pPr>
              <w:pStyle w:val="Tabletext"/>
              <w:rPr>
                <w:sz w:val="20"/>
                <w:szCs w:val="20"/>
              </w:rPr>
            </w:pPr>
            <w:r w:rsidRPr="002679F3">
              <w:rPr>
                <w:sz w:val="20"/>
                <w:szCs w:val="20"/>
              </w:rPr>
              <w:lastRenderedPageBreak/>
              <w:t>4</w:t>
            </w:r>
          </w:p>
        </w:tc>
        <w:tc>
          <w:tcPr>
            <w:tcW w:w="450" w:type="pct"/>
            <w:shd w:val="clear" w:color="auto" w:fill="auto"/>
          </w:tcPr>
          <w:p w14:paraId="01C7E9BC" w14:textId="77777777" w:rsidR="000A103F" w:rsidRPr="002679F3" w:rsidRDefault="001D03CE" w:rsidP="003E1DDD">
            <w:pPr>
              <w:pStyle w:val="Tabletext"/>
              <w:rPr>
                <w:sz w:val="20"/>
                <w:szCs w:val="20"/>
              </w:rPr>
            </w:pPr>
            <w:r w:rsidRPr="002679F3">
              <w:rPr>
                <w:sz w:val="20"/>
                <w:szCs w:val="20"/>
              </w:rPr>
              <w:t>2</w:t>
            </w:r>
          </w:p>
        </w:tc>
        <w:tc>
          <w:tcPr>
            <w:tcW w:w="345" w:type="pct"/>
            <w:shd w:val="clear" w:color="auto" w:fill="auto"/>
          </w:tcPr>
          <w:p w14:paraId="6D5E8E10" w14:textId="75E9A79F" w:rsidR="000A103F" w:rsidRPr="002679F3" w:rsidRDefault="00696E99" w:rsidP="003E1DDD">
            <w:pPr>
              <w:pStyle w:val="Tabletext"/>
              <w:rPr>
                <w:sz w:val="20"/>
                <w:szCs w:val="20"/>
              </w:rPr>
            </w:pPr>
            <w:r w:rsidRPr="002679F3">
              <w:rPr>
                <w:sz w:val="20"/>
                <w:szCs w:val="20"/>
              </w:rPr>
              <w:t xml:space="preserve">Medium = </w:t>
            </w:r>
            <w:r w:rsidR="00C2595A" w:rsidRPr="002679F3">
              <w:rPr>
                <w:sz w:val="20"/>
                <w:szCs w:val="20"/>
              </w:rPr>
              <w:t>8</w:t>
            </w:r>
          </w:p>
        </w:tc>
        <w:tc>
          <w:tcPr>
            <w:tcW w:w="1060" w:type="pct"/>
            <w:shd w:val="clear" w:color="auto" w:fill="auto"/>
          </w:tcPr>
          <w:p w14:paraId="19E03AFF" w14:textId="77777777" w:rsidR="000E3C08" w:rsidRPr="002679F3" w:rsidRDefault="001D03CE" w:rsidP="003E1DDD">
            <w:pPr>
              <w:pStyle w:val="Tabletext"/>
              <w:rPr>
                <w:sz w:val="20"/>
                <w:szCs w:val="20"/>
              </w:rPr>
            </w:pPr>
            <w:r w:rsidRPr="002679F3">
              <w:rPr>
                <w:sz w:val="20"/>
                <w:szCs w:val="20"/>
              </w:rPr>
              <w:t xml:space="preserve">Kidney </w:t>
            </w:r>
            <w:r w:rsidR="0075607D" w:rsidRPr="002679F3">
              <w:rPr>
                <w:sz w:val="20"/>
                <w:szCs w:val="20"/>
              </w:rPr>
              <w:t>c</w:t>
            </w:r>
            <w:r w:rsidRPr="002679F3">
              <w:rPr>
                <w:sz w:val="20"/>
                <w:szCs w:val="20"/>
              </w:rPr>
              <w:t xml:space="preserve">ancer is the first topic which </w:t>
            </w:r>
            <w:r w:rsidR="00451209" w:rsidRPr="002679F3">
              <w:rPr>
                <w:sz w:val="20"/>
                <w:szCs w:val="20"/>
              </w:rPr>
              <w:t xml:space="preserve">will </w:t>
            </w:r>
            <w:r w:rsidRPr="002679F3">
              <w:rPr>
                <w:sz w:val="20"/>
                <w:szCs w:val="20"/>
              </w:rPr>
              <w:t xml:space="preserve">follow this process. </w:t>
            </w:r>
          </w:p>
          <w:p w14:paraId="5AFE5FC0" w14:textId="418CF245" w:rsidR="00451209" w:rsidRPr="002679F3" w:rsidRDefault="00451209" w:rsidP="003E1DDD">
            <w:pPr>
              <w:pStyle w:val="Tabletext"/>
              <w:rPr>
                <w:sz w:val="20"/>
                <w:szCs w:val="20"/>
              </w:rPr>
            </w:pPr>
            <w:r w:rsidRPr="002679F3">
              <w:rPr>
                <w:sz w:val="20"/>
                <w:szCs w:val="20"/>
              </w:rPr>
              <w:t xml:space="preserve">This </w:t>
            </w:r>
            <w:r w:rsidR="000E3C08" w:rsidRPr="002679F3">
              <w:rPr>
                <w:sz w:val="20"/>
                <w:szCs w:val="20"/>
              </w:rPr>
              <w:t xml:space="preserve">first topic </w:t>
            </w:r>
            <w:r w:rsidRPr="002679F3">
              <w:rPr>
                <w:sz w:val="20"/>
                <w:szCs w:val="20"/>
              </w:rPr>
              <w:t xml:space="preserve">will provide an opportunity to review and reflect on the composition of the GC, particularly around </w:t>
            </w:r>
            <w:r w:rsidR="000E3C08" w:rsidRPr="002679F3">
              <w:rPr>
                <w:sz w:val="20"/>
                <w:szCs w:val="20"/>
              </w:rPr>
              <w:t xml:space="preserve">membership from both professionals with an interest in QI / measurement and non-specialists. </w:t>
            </w:r>
          </w:p>
          <w:p w14:paraId="4641D4B5" w14:textId="77777777" w:rsidR="00451209" w:rsidRPr="002679F3" w:rsidRDefault="00451209" w:rsidP="003E1DDD">
            <w:pPr>
              <w:pStyle w:val="Tabletext"/>
              <w:rPr>
                <w:sz w:val="20"/>
                <w:szCs w:val="20"/>
              </w:rPr>
            </w:pPr>
          </w:p>
          <w:p w14:paraId="5F7CE191" w14:textId="02BF1A8C" w:rsidR="000A103F" w:rsidRPr="002679F3" w:rsidRDefault="000A103F" w:rsidP="003E1DDD">
            <w:pPr>
              <w:pStyle w:val="Tabletext"/>
              <w:rPr>
                <w:sz w:val="20"/>
                <w:szCs w:val="20"/>
              </w:rPr>
            </w:pPr>
          </w:p>
        </w:tc>
        <w:tc>
          <w:tcPr>
            <w:tcW w:w="319" w:type="pct"/>
            <w:gridSpan w:val="2"/>
            <w:shd w:val="clear" w:color="auto" w:fill="auto"/>
          </w:tcPr>
          <w:p w14:paraId="54E65BDB" w14:textId="51F0154E" w:rsidR="000A103F" w:rsidRPr="002679F3" w:rsidRDefault="00C2595A" w:rsidP="003E1DDD">
            <w:pPr>
              <w:pStyle w:val="Tabletext"/>
              <w:rPr>
                <w:sz w:val="20"/>
                <w:szCs w:val="20"/>
              </w:rPr>
            </w:pPr>
            <w:r w:rsidRPr="002679F3">
              <w:rPr>
                <w:sz w:val="20"/>
                <w:szCs w:val="20"/>
              </w:rPr>
              <w:t>2</w:t>
            </w:r>
          </w:p>
        </w:tc>
        <w:tc>
          <w:tcPr>
            <w:tcW w:w="448" w:type="pct"/>
            <w:shd w:val="clear" w:color="auto" w:fill="auto"/>
          </w:tcPr>
          <w:p w14:paraId="245EB4C8" w14:textId="62CEE7D4" w:rsidR="000A103F" w:rsidRPr="002679F3" w:rsidRDefault="00C2595A" w:rsidP="003E1DDD">
            <w:pPr>
              <w:pStyle w:val="Tabletext"/>
              <w:rPr>
                <w:sz w:val="20"/>
                <w:szCs w:val="20"/>
              </w:rPr>
            </w:pPr>
            <w:r w:rsidRPr="002679F3">
              <w:rPr>
                <w:sz w:val="20"/>
                <w:szCs w:val="20"/>
              </w:rPr>
              <w:t>2</w:t>
            </w:r>
          </w:p>
        </w:tc>
        <w:tc>
          <w:tcPr>
            <w:tcW w:w="307" w:type="pct"/>
            <w:shd w:val="clear" w:color="auto" w:fill="auto"/>
          </w:tcPr>
          <w:p w14:paraId="604A166D" w14:textId="06075CD6" w:rsidR="000A103F" w:rsidRPr="002679F3" w:rsidRDefault="00C2595A" w:rsidP="003E1DDD">
            <w:pPr>
              <w:pStyle w:val="Tabletext"/>
              <w:rPr>
                <w:sz w:val="20"/>
                <w:szCs w:val="20"/>
              </w:rPr>
            </w:pPr>
            <w:r w:rsidRPr="002679F3">
              <w:rPr>
                <w:sz w:val="20"/>
                <w:szCs w:val="20"/>
              </w:rPr>
              <w:t>Low = 4</w:t>
            </w:r>
          </w:p>
        </w:tc>
      </w:tr>
    </w:tbl>
    <w:p w14:paraId="005D1064" w14:textId="77777777" w:rsidR="000A103F" w:rsidRPr="002679F3" w:rsidRDefault="000A103F">
      <w:pPr>
        <w:rPr>
          <w:highlight w:val="cyan"/>
        </w:rPr>
        <w:sectPr w:rsidR="000A103F" w:rsidRPr="002679F3" w:rsidSect="00425816">
          <w:headerReference w:type="default" r:id="rId10"/>
          <w:footerReference w:type="default" r:id="rId11"/>
          <w:pgSz w:w="16838" w:h="11906" w:orient="landscape"/>
          <w:pgMar w:top="1440" w:right="1440" w:bottom="1440" w:left="1440" w:header="708" w:footer="708" w:gutter="0"/>
          <w:cols w:space="708"/>
          <w:docGrid w:linePitch="360"/>
        </w:sectPr>
      </w:pPr>
    </w:p>
    <w:p w14:paraId="0D4A6D4D" w14:textId="77777777" w:rsidR="004B4705" w:rsidRPr="002679F3" w:rsidRDefault="000A103F" w:rsidP="003D3B28">
      <w:pPr>
        <w:pStyle w:val="Heading1boardreport"/>
      </w:pPr>
      <w:r w:rsidRPr="002679F3">
        <w:lastRenderedPageBreak/>
        <w:t xml:space="preserve">Board action </w:t>
      </w:r>
      <w:proofErr w:type="gramStart"/>
      <w:r w:rsidRPr="002679F3">
        <w:t>required</w:t>
      </w:r>
      <w:proofErr w:type="gramEnd"/>
    </w:p>
    <w:p w14:paraId="7B4FD373" w14:textId="77777777" w:rsidR="000A103F" w:rsidRPr="002679F3" w:rsidRDefault="000A103F" w:rsidP="000A103F">
      <w:pPr>
        <w:pStyle w:val="NICEnormalnumbered"/>
        <w:rPr>
          <w:noProof w:val="0"/>
        </w:rPr>
      </w:pPr>
      <w:r w:rsidRPr="002679F3">
        <w:rPr>
          <w:noProof w:val="0"/>
        </w:rPr>
        <w:t>The Board is asked to:</w:t>
      </w:r>
    </w:p>
    <w:p w14:paraId="2F794D34" w14:textId="77777777" w:rsidR="00D84ADE" w:rsidRDefault="00D84ADE" w:rsidP="00D84ADE">
      <w:pPr>
        <w:pStyle w:val="NICEnormalnumbered"/>
        <w:numPr>
          <w:ilvl w:val="1"/>
          <w:numId w:val="25"/>
        </w:numPr>
        <w:rPr>
          <w:noProof w:val="0"/>
        </w:rPr>
      </w:pPr>
      <w:r>
        <w:rPr>
          <w:noProof w:val="0"/>
        </w:rPr>
        <w:t>Review and approve the quality standards interim process guide for public consultation.</w:t>
      </w:r>
    </w:p>
    <w:p w14:paraId="5B939C28" w14:textId="77777777" w:rsidR="00D84ADE" w:rsidRDefault="00D84ADE" w:rsidP="00D84ADE">
      <w:pPr>
        <w:pStyle w:val="NICEnormalnumbered"/>
        <w:numPr>
          <w:ilvl w:val="1"/>
          <w:numId w:val="25"/>
        </w:numPr>
        <w:rPr>
          <w:noProof w:val="0"/>
        </w:rPr>
      </w:pPr>
      <w:r>
        <w:rPr>
          <w:noProof w:val="0"/>
        </w:rPr>
        <w:t>Delegate to Guidance Executive approval of any changes following public consultation.</w:t>
      </w:r>
    </w:p>
    <w:p w14:paraId="672E60EA" w14:textId="77777777" w:rsidR="00D84ADE" w:rsidRDefault="00D84ADE" w:rsidP="004B4705">
      <w:pPr>
        <w:pStyle w:val="NICEnormal"/>
      </w:pPr>
    </w:p>
    <w:p w14:paraId="662E054B" w14:textId="3C0A0353" w:rsidR="004B4705" w:rsidRPr="002679F3" w:rsidRDefault="004B4705" w:rsidP="004B4705">
      <w:pPr>
        <w:pStyle w:val="NICEnormal"/>
      </w:pPr>
      <w:r w:rsidRPr="002679F3">
        <w:t xml:space="preserve">© NICE </w:t>
      </w:r>
      <w:r w:rsidR="00224B7B" w:rsidRPr="002679F3">
        <w:t xml:space="preserve">2024. </w:t>
      </w:r>
      <w:r w:rsidRPr="002679F3">
        <w:t xml:space="preserve">All rights reserved. </w:t>
      </w:r>
      <w:hyperlink r:id="rId12" w:anchor="notice-of-rights" w:history="1">
        <w:r w:rsidRPr="002679F3">
          <w:rPr>
            <w:rStyle w:val="Hyperlink"/>
          </w:rPr>
          <w:t>Subject to Notice of rights</w:t>
        </w:r>
      </w:hyperlink>
      <w:r w:rsidRPr="002679F3">
        <w:t>.</w:t>
      </w:r>
    </w:p>
    <w:p w14:paraId="0E8E09CE" w14:textId="77777777" w:rsidR="004B4705" w:rsidRPr="002679F3" w:rsidRDefault="00224B7B" w:rsidP="004511A7">
      <w:pPr>
        <w:pStyle w:val="NICEnormal"/>
      </w:pPr>
      <w:r w:rsidRPr="002679F3">
        <w:t>March 2024</w:t>
      </w:r>
    </w:p>
    <w:sectPr w:rsidR="004B4705" w:rsidRPr="002679F3" w:rsidSect="0042581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11FE" w14:textId="77777777" w:rsidR="00425816" w:rsidRDefault="00425816">
      <w:r>
        <w:separator/>
      </w:r>
    </w:p>
  </w:endnote>
  <w:endnote w:type="continuationSeparator" w:id="0">
    <w:p w14:paraId="4D15558F" w14:textId="77777777" w:rsidR="00425816" w:rsidRDefault="0042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ACC5" w14:textId="6A553A97" w:rsidR="00224B7B" w:rsidRDefault="00224B7B" w:rsidP="00A0443F">
    <w:pPr>
      <w:pStyle w:val="Footer"/>
      <w:tabs>
        <w:tab w:val="right" w:pos="8931"/>
        <w:tab w:val="right" w:pos="13892"/>
      </w:tabs>
      <w:rPr>
        <w:szCs w:val="16"/>
      </w:rPr>
    </w:pPr>
    <w:r w:rsidRPr="00224B7B">
      <w:rPr>
        <w:szCs w:val="16"/>
      </w:rPr>
      <w:t>Interim process guide for Quality Standards</w:t>
    </w:r>
    <w:r w:rsidR="00A0443F">
      <w:rPr>
        <w:szCs w:val="16"/>
      </w:rPr>
      <w:tab/>
    </w:r>
    <w:r w:rsidR="00D42CCB">
      <w:rPr>
        <w:szCs w:val="16"/>
      </w:rPr>
      <w:tab/>
    </w:r>
    <w:r w:rsidR="00A0443F" w:rsidRPr="00A4268D">
      <w:rPr>
        <w:szCs w:val="16"/>
      </w:rPr>
      <w:t xml:space="preserve">Page </w:t>
    </w:r>
    <w:r w:rsidR="00A0443F" w:rsidRPr="00A4268D">
      <w:rPr>
        <w:szCs w:val="16"/>
      </w:rPr>
      <w:fldChar w:fldCharType="begin"/>
    </w:r>
    <w:r w:rsidR="00A0443F" w:rsidRPr="00A4268D">
      <w:rPr>
        <w:szCs w:val="16"/>
      </w:rPr>
      <w:instrText xml:space="preserve"> PAGE  \* Arabic  \* MERGEFORMAT </w:instrText>
    </w:r>
    <w:r w:rsidR="00A0443F" w:rsidRPr="00A4268D">
      <w:rPr>
        <w:szCs w:val="16"/>
      </w:rPr>
      <w:fldChar w:fldCharType="separate"/>
    </w:r>
    <w:r w:rsidR="00A0443F">
      <w:rPr>
        <w:szCs w:val="16"/>
      </w:rPr>
      <w:t>1</w:t>
    </w:r>
    <w:r w:rsidR="00A0443F" w:rsidRPr="00A4268D">
      <w:rPr>
        <w:szCs w:val="16"/>
      </w:rPr>
      <w:fldChar w:fldCharType="end"/>
    </w:r>
    <w:r w:rsidR="00A0443F" w:rsidRPr="00A4268D">
      <w:rPr>
        <w:szCs w:val="16"/>
      </w:rPr>
      <w:t xml:space="preserve"> of </w:t>
    </w:r>
    <w:r w:rsidR="00A0443F" w:rsidRPr="00A4268D">
      <w:rPr>
        <w:szCs w:val="16"/>
      </w:rPr>
      <w:fldChar w:fldCharType="begin"/>
    </w:r>
    <w:r w:rsidR="00A0443F" w:rsidRPr="00A4268D">
      <w:rPr>
        <w:szCs w:val="16"/>
      </w:rPr>
      <w:instrText xml:space="preserve"> NUMPAGES  \* Arabic  \* MERGEFORMAT </w:instrText>
    </w:r>
    <w:r w:rsidR="00A0443F" w:rsidRPr="00A4268D">
      <w:rPr>
        <w:szCs w:val="16"/>
      </w:rPr>
      <w:fldChar w:fldCharType="separate"/>
    </w:r>
    <w:r w:rsidR="00A0443F">
      <w:rPr>
        <w:szCs w:val="16"/>
      </w:rPr>
      <w:t>9</w:t>
    </w:r>
    <w:r w:rsidR="00A0443F" w:rsidRPr="00A4268D">
      <w:rPr>
        <w:szCs w:val="16"/>
      </w:rPr>
      <w:fldChar w:fldCharType="end"/>
    </w:r>
  </w:p>
  <w:p w14:paraId="44CF1D86" w14:textId="77777777" w:rsidR="00A0443F" w:rsidRDefault="00A0443F" w:rsidP="004B4705">
    <w:pPr>
      <w:pStyle w:val="Footer"/>
      <w:rPr>
        <w:szCs w:val="16"/>
      </w:rPr>
    </w:pPr>
    <w:r>
      <w:rPr>
        <w:szCs w:val="16"/>
      </w:rPr>
      <w:t>Public Board meeting</w:t>
    </w:r>
  </w:p>
  <w:p w14:paraId="5942C17B" w14:textId="16A7D19E" w:rsidR="004B4705" w:rsidRPr="002A231B" w:rsidRDefault="00A0443F" w:rsidP="004B4705">
    <w:pPr>
      <w:pStyle w:val="Footer"/>
      <w:rPr>
        <w:szCs w:val="16"/>
      </w:rPr>
    </w:pPr>
    <w:r>
      <w:rPr>
        <w:szCs w:val="16"/>
      </w:rPr>
      <w:t xml:space="preserve">20 March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64FB" w14:textId="6C053142" w:rsidR="00D84ADE" w:rsidRDefault="00D84ADE" w:rsidP="00A0443F">
    <w:pPr>
      <w:pStyle w:val="Footer"/>
      <w:tabs>
        <w:tab w:val="right" w:pos="8931"/>
        <w:tab w:val="right" w:pos="13892"/>
      </w:tabs>
      <w:rPr>
        <w:szCs w:val="16"/>
      </w:rPr>
    </w:pPr>
    <w:r w:rsidRPr="00224B7B">
      <w:rPr>
        <w:szCs w:val="16"/>
      </w:rPr>
      <w:t>Interim process guide for Quality Standards</w:t>
    </w:r>
    <w:r>
      <w:rPr>
        <w:szCs w:val="16"/>
      </w:rPr>
      <w:tab/>
    </w:r>
    <w:r>
      <w:rPr>
        <w:szCs w:val="16"/>
      </w:rPr>
      <w:tab/>
    </w:r>
    <w:r>
      <w:rPr>
        <w:szCs w:val="16"/>
      </w:rPr>
      <w:tab/>
    </w:r>
    <w:r>
      <w:rPr>
        <w:szCs w:val="16"/>
      </w:rPr>
      <w:tab/>
      <w:t>P</w:t>
    </w:r>
    <w:r w:rsidRPr="00A4268D">
      <w:rPr>
        <w:szCs w:val="16"/>
      </w:rPr>
      <w:t xml:space="preserve">age </w:t>
    </w:r>
    <w:r w:rsidRPr="00A4268D">
      <w:rPr>
        <w:szCs w:val="16"/>
      </w:rPr>
      <w:fldChar w:fldCharType="begin"/>
    </w:r>
    <w:r w:rsidRPr="00A4268D">
      <w:rPr>
        <w:szCs w:val="16"/>
      </w:rPr>
      <w:instrText xml:space="preserve"> PAGE  \* Arabic  \* MERGEFORMAT </w:instrText>
    </w:r>
    <w:r w:rsidRPr="00A4268D">
      <w:rPr>
        <w:szCs w:val="16"/>
      </w:rPr>
      <w:fldChar w:fldCharType="separate"/>
    </w:r>
    <w:r>
      <w:rPr>
        <w:szCs w:val="16"/>
      </w:rPr>
      <w:t>1</w:t>
    </w:r>
    <w:r w:rsidRPr="00A4268D">
      <w:rPr>
        <w:szCs w:val="16"/>
      </w:rPr>
      <w:fldChar w:fldCharType="end"/>
    </w:r>
    <w:r w:rsidRPr="00A4268D">
      <w:rPr>
        <w:szCs w:val="16"/>
      </w:rPr>
      <w:t xml:space="preserve"> of </w:t>
    </w:r>
    <w:r w:rsidRPr="00A4268D">
      <w:rPr>
        <w:szCs w:val="16"/>
      </w:rPr>
      <w:fldChar w:fldCharType="begin"/>
    </w:r>
    <w:r w:rsidRPr="00A4268D">
      <w:rPr>
        <w:szCs w:val="16"/>
      </w:rPr>
      <w:instrText xml:space="preserve"> NUMPAGES  \* Arabic  \* MERGEFORMAT </w:instrText>
    </w:r>
    <w:r w:rsidRPr="00A4268D">
      <w:rPr>
        <w:szCs w:val="16"/>
      </w:rPr>
      <w:fldChar w:fldCharType="separate"/>
    </w:r>
    <w:r>
      <w:rPr>
        <w:szCs w:val="16"/>
      </w:rPr>
      <w:t>9</w:t>
    </w:r>
    <w:r w:rsidRPr="00A4268D">
      <w:rPr>
        <w:szCs w:val="16"/>
      </w:rPr>
      <w:fldChar w:fldCharType="end"/>
    </w:r>
  </w:p>
  <w:p w14:paraId="7FA5AA20" w14:textId="77777777" w:rsidR="00D84ADE" w:rsidRDefault="00D84ADE" w:rsidP="004B4705">
    <w:pPr>
      <w:pStyle w:val="Footer"/>
      <w:rPr>
        <w:szCs w:val="16"/>
      </w:rPr>
    </w:pPr>
    <w:r>
      <w:rPr>
        <w:szCs w:val="16"/>
      </w:rPr>
      <w:t>Public Board meeting</w:t>
    </w:r>
  </w:p>
  <w:p w14:paraId="117C8FA1" w14:textId="77777777" w:rsidR="00D84ADE" w:rsidRPr="002A231B" w:rsidRDefault="00D84ADE" w:rsidP="004B4705">
    <w:pPr>
      <w:pStyle w:val="Footer"/>
      <w:rPr>
        <w:szCs w:val="16"/>
      </w:rPr>
    </w:pPr>
    <w:r>
      <w:rPr>
        <w:szCs w:val="16"/>
      </w:rPr>
      <w:t xml:space="preserve">20 March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26F1" w14:textId="77777777" w:rsidR="00425816" w:rsidRDefault="00425816">
      <w:r>
        <w:separator/>
      </w:r>
    </w:p>
  </w:footnote>
  <w:footnote w:type="continuationSeparator" w:id="0">
    <w:p w14:paraId="5F0D16A7" w14:textId="77777777" w:rsidR="00425816" w:rsidRDefault="0042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3FB4" w14:textId="3BD7B9FD" w:rsidR="004B4705" w:rsidRPr="006E0F0C" w:rsidRDefault="006E0F0C" w:rsidP="006E0F0C">
    <w:pPr>
      <w:pStyle w:val="Header"/>
      <w:ind w:left="0"/>
    </w:pPr>
    <w:r>
      <w:rPr>
        <w:noProof/>
      </w:rPr>
      <w:drawing>
        <wp:inline distT="0" distB="0" distL="0" distR="0" wp14:anchorId="11785E8D" wp14:editId="51D010E0">
          <wp:extent cx="2352675" cy="257175"/>
          <wp:effectExtent l="0" t="0" r="9525" b="9525"/>
          <wp:docPr id="1647703303" name="Picture 1647703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0237A4">
      <w:t xml:space="preserve">Item </w:t>
    </w:r>
    <w:r w:rsidR="00776922" w:rsidRPr="000237A4">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75A8" w14:textId="5D36C794" w:rsidR="00D42CCB" w:rsidRPr="006E0F0C" w:rsidRDefault="00D42CCB" w:rsidP="006E0F0C">
    <w:pPr>
      <w:pStyle w:val="Header"/>
      <w:ind w:left="0"/>
    </w:pPr>
    <w:r>
      <w:rPr>
        <w:noProof/>
      </w:rPr>
      <w:drawing>
        <wp:inline distT="0" distB="0" distL="0" distR="0" wp14:anchorId="3F726DF2" wp14:editId="23F0B46F">
          <wp:extent cx="2352675" cy="257175"/>
          <wp:effectExtent l="0" t="0" r="9525" b="9525"/>
          <wp:docPr id="1375890004" name="Picture 1375890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tab/>
    </w:r>
    <w:r>
      <w:tab/>
    </w:r>
    <w:r>
      <w:tab/>
    </w:r>
    <w:r>
      <w:tab/>
    </w:r>
    <w:r>
      <w:tab/>
    </w:r>
    <w:r w:rsidRPr="000237A4">
      <w:t>Item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648F" w14:textId="33283DFE" w:rsidR="00D42CCB" w:rsidRPr="006E0F0C" w:rsidRDefault="00D42CCB" w:rsidP="006E0F0C">
    <w:pPr>
      <w:pStyle w:val="Header"/>
      <w:ind w:left="0"/>
    </w:pPr>
    <w:r>
      <w:rPr>
        <w:noProof/>
      </w:rPr>
      <w:drawing>
        <wp:inline distT="0" distB="0" distL="0" distR="0" wp14:anchorId="3381A96D" wp14:editId="104D8E98">
          <wp:extent cx="2352675" cy="257175"/>
          <wp:effectExtent l="0" t="0" r="9525" b="9525"/>
          <wp:docPr id="1486087802" name="Picture 14860878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0237A4">
      <w:t>Item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66E95"/>
    <w:multiLevelType w:val="hybridMultilevel"/>
    <w:tmpl w:val="1FA0B4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A5D514B"/>
    <w:multiLevelType w:val="hybridMultilevel"/>
    <w:tmpl w:val="5D388818"/>
    <w:lvl w:ilvl="0" w:tplc="84F415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037AE160"/>
    <w:lvl w:ilvl="0" w:tplc="D108C6A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293A9A"/>
    <w:multiLevelType w:val="hybridMultilevel"/>
    <w:tmpl w:val="E146E88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3C43D4"/>
    <w:multiLevelType w:val="hybridMultilevel"/>
    <w:tmpl w:val="1D5A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9E61D9"/>
    <w:multiLevelType w:val="hybridMultilevel"/>
    <w:tmpl w:val="0DCCB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start w:val="1"/>
      <w:numFmt w:val="lowerLetter"/>
      <w:lvlText w:val="%2."/>
      <w:lvlJc w:val="left"/>
      <w:pPr>
        <w:ind w:left="2120" w:hanging="360"/>
      </w:pPr>
    </w:lvl>
    <w:lvl w:ilvl="2" w:tplc="0809001B">
      <w:start w:val="1"/>
      <w:numFmt w:val="lowerRoman"/>
      <w:lvlText w:val="%3."/>
      <w:lvlJc w:val="right"/>
      <w:pPr>
        <w:ind w:left="2840" w:hanging="180"/>
      </w:pPr>
    </w:lvl>
    <w:lvl w:ilvl="3" w:tplc="0809000F">
      <w:start w:val="1"/>
      <w:numFmt w:val="decimal"/>
      <w:lvlText w:val="%4."/>
      <w:lvlJc w:val="left"/>
      <w:pPr>
        <w:ind w:left="3560" w:hanging="360"/>
      </w:pPr>
    </w:lvl>
    <w:lvl w:ilvl="4" w:tplc="08090019">
      <w:start w:val="1"/>
      <w:numFmt w:val="lowerLetter"/>
      <w:lvlText w:val="%5."/>
      <w:lvlJc w:val="left"/>
      <w:pPr>
        <w:ind w:left="4280" w:hanging="360"/>
      </w:pPr>
    </w:lvl>
    <w:lvl w:ilvl="5" w:tplc="0809001B">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4"/>
  </w:num>
  <w:num w:numId="2" w16cid:durableId="2039620118">
    <w:abstractNumId w:val="30"/>
  </w:num>
  <w:num w:numId="3" w16cid:durableId="2116749296">
    <w:abstractNumId w:val="18"/>
  </w:num>
  <w:num w:numId="4" w16cid:durableId="611715962">
    <w:abstractNumId w:val="19"/>
  </w:num>
  <w:num w:numId="5" w16cid:durableId="377554922">
    <w:abstractNumId w:val="6"/>
  </w:num>
  <w:num w:numId="6" w16cid:durableId="1967815002">
    <w:abstractNumId w:val="9"/>
  </w:num>
  <w:num w:numId="7" w16cid:durableId="1478373446">
    <w:abstractNumId w:val="14"/>
  </w:num>
  <w:num w:numId="8" w16cid:durableId="1216622483">
    <w:abstractNumId w:val="16"/>
  </w:num>
  <w:num w:numId="9" w16cid:durableId="1028289363">
    <w:abstractNumId w:val="22"/>
  </w:num>
  <w:num w:numId="10" w16cid:durableId="1748379919">
    <w:abstractNumId w:val="8"/>
  </w:num>
  <w:num w:numId="11" w16cid:durableId="1008825018">
    <w:abstractNumId w:val="28"/>
  </w:num>
  <w:num w:numId="12" w16cid:durableId="128134450">
    <w:abstractNumId w:val="12"/>
  </w:num>
  <w:num w:numId="13" w16cid:durableId="503516617">
    <w:abstractNumId w:val="20"/>
  </w:num>
  <w:num w:numId="14" w16cid:durableId="1971012577">
    <w:abstractNumId w:val="25"/>
  </w:num>
  <w:num w:numId="15" w16cid:durableId="1256014139">
    <w:abstractNumId w:val="13"/>
  </w:num>
  <w:num w:numId="16" w16cid:durableId="230039927">
    <w:abstractNumId w:val="0"/>
  </w:num>
  <w:num w:numId="17" w16cid:durableId="882135492">
    <w:abstractNumId w:val="2"/>
  </w:num>
  <w:num w:numId="18" w16cid:durableId="194315641">
    <w:abstractNumId w:val="10"/>
  </w:num>
  <w:num w:numId="19" w16cid:durableId="1279488302">
    <w:abstractNumId w:val="15"/>
  </w:num>
  <w:num w:numId="20" w16cid:durableId="102305755">
    <w:abstractNumId w:val="7"/>
  </w:num>
  <w:num w:numId="21" w16cid:durableId="1863712968">
    <w:abstractNumId w:val="29"/>
  </w:num>
  <w:num w:numId="22" w16cid:durableId="426196748">
    <w:abstractNumId w:val="27"/>
  </w:num>
  <w:num w:numId="23" w16cid:durableId="1440686053">
    <w:abstractNumId w:val="31"/>
  </w:num>
  <w:num w:numId="24" w16cid:durableId="87122838">
    <w:abstractNumId w:val="11"/>
  </w:num>
  <w:num w:numId="25" w16cid:durableId="2069259383">
    <w:abstractNumId w:val="5"/>
  </w:num>
  <w:num w:numId="26" w16cid:durableId="1082874494">
    <w:abstractNumId w:val="5"/>
  </w:num>
  <w:num w:numId="27" w16cid:durableId="1126239934">
    <w:abstractNumId w:val="3"/>
  </w:num>
  <w:num w:numId="28" w16cid:durableId="399716702">
    <w:abstractNumId w:val="26"/>
  </w:num>
  <w:num w:numId="29" w16cid:durableId="609512517">
    <w:abstractNumId w:val="32"/>
  </w:num>
  <w:num w:numId="30" w16cid:durableId="1754011937">
    <w:abstractNumId w:val="17"/>
  </w:num>
  <w:num w:numId="31" w16cid:durableId="914825284">
    <w:abstractNumId w:val="5"/>
    <w:lvlOverride w:ilvl="0">
      <w:startOverride w:val="1"/>
    </w:lvlOverride>
  </w:num>
  <w:num w:numId="32" w16cid:durableId="778716737">
    <w:abstractNumId w:val="5"/>
  </w:num>
  <w:num w:numId="33" w16cid:durableId="169948127">
    <w:abstractNumId w:val="5"/>
  </w:num>
  <w:num w:numId="34" w16cid:durableId="1420907651">
    <w:abstractNumId w:val="21"/>
  </w:num>
  <w:num w:numId="35" w16cid:durableId="40060801">
    <w:abstractNumId w:val="23"/>
  </w:num>
  <w:num w:numId="36" w16cid:durableId="206622272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16"/>
    <w:rsid w:val="000119FB"/>
    <w:rsid w:val="000237A4"/>
    <w:rsid w:val="000242AA"/>
    <w:rsid w:val="00057044"/>
    <w:rsid w:val="00094B5D"/>
    <w:rsid w:val="000A103F"/>
    <w:rsid w:val="000A1C40"/>
    <w:rsid w:val="000A1EC0"/>
    <w:rsid w:val="000C3102"/>
    <w:rsid w:val="000C3F75"/>
    <w:rsid w:val="000C4168"/>
    <w:rsid w:val="000C5EDE"/>
    <w:rsid w:val="000E3C08"/>
    <w:rsid w:val="000E6C5F"/>
    <w:rsid w:val="00101F34"/>
    <w:rsid w:val="001100C3"/>
    <w:rsid w:val="001172E1"/>
    <w:rsid w:val="001219F1"/>
    <w:rsid w:val="00123D3F"/>
    <w:rsid w:val="00131EB8"/>
    <w:rsid w:val="00135A49"/>
    <w:rsid w:val="00161AA0"/>
    <w:rsid w:val="0017277D"/>
    <w:rsid w:val="001B0506"/>
    <w:rsid w:val="001C032E"/>
    <w:rsid w:val="001D03CE"/>
    <w:rsid w:val="0021029D"/>
    <w:rsid w:val="002169E7"/>
    <w:rsid w:val="00224B7B"/>
    <w:rsid w:val="00235CAB"/>
    <w:rsid w:val="00251D56"/>
    <w:rsid w:val="002526E6"/>
    <w:rsid w:val="002535B1"/>
    <w:rsid w:val="00262EEB"/>
    <w:rsid w:val="002679F3"/>
    <w:rsid w:val="00283E0B"/>
    <w:rsid w:val="002A024B"/>
    <w:rsid w:val="002A3712"/>
    <w:rsid w:val="002C3FAA"/>
    <w:rsid w:val="002F15CF"/>
    <w:rsid w:val="00310161"/>
    <w:rsid w:val="0031664C"/>
    <w:rsid w:val="003330E6"/>
    <w:rsid w:val="00335267"/>
    <w:rsid w:val="00353D3E"/>
    <w:rsid w:val="00362226"/>
    <w:rsid w:val="00377E36"/>
    <w:rsid w:val="0038143A"/>
    <w:rsid w:val="003830CE"/>
    <w:rsid w:val="003B1379"/>
    <w:rsid w:val="003B7BCF"/>
    <w:rsid w:val="003C36AC"/>
    <w:rsid w:val="003D3B28"/>
    <w:rsid w:val="003E1DDD"/>
    <w:rsid w:val="00425816"/>
    <w:rsid w:val="004511A7"/>
    <w:rsid w:val="00451209"/>
    <w:rsid w:val="004519B2"/>
    <w:rsid w:val="00461997"/>
    <w:rsid w:val="004820E9"/>
    <w:rsid w:val="0048361F"/>
    <w:rsid w:val="00484FE9"/>
    <w:rsid w:val="00485B88"/>
    <w:rsid w:val="004914C0"/>
    <w:rsid w:val="00497CAE"/>
    <w:rsid w:val="004B4705"/>
    <w:rsid w:val="004B514C"/>
    <w:rsid w:val="004F57C9"/>
    <w:rsid w:val="00503454"/>
    <w:rsid w:val="00526C07"/>
    <w:rsid w:val="0053387C"/>
    <w:rsid w:val="00554959"/>
    <w:rsid w:val="005614AA"/>
    <w:rsid w:val="00582A95"/>
    <w:rsid w:val="00583034"/>
    <w:rsid w:val="005860F4"/>
    <w:rsid w:val="005866B1"/>
    <w:rsid w:val="005A05AD"/>
    <w:rsid w:val="005A5E10"/>
    <w:rsid w:val="005C051F"/>
    <w:rsid w:val="005C762E"/>
    <w:rsid w:val="005D098C"/>
    <w:rsid w:val="00603E56"/>
    <w:rsid w:val="0060662A"/>
    <w:rsid w:val="00614BDA"/>
    <w:rsid w:val="00617519"/>
    <w:rsid w:val="006331B4"/>
    <w:rsid w:val="006343F3"/>
    <w:rsid w:val="00642906"/>
    <w:rsid w:val="00644D61"/>
    <w:rsid w:val="006571D4"/>
    <w:rsid w:val="00680B94"/>
    <w:rsid w:val="00696E99"/>
    <w:rsid w:val="006A721F"/>
    <w:rsid w:val="006D73F1"/>
    <w:rsid w:val="006E0F0C"/>
    <w:rsid w:val="007277C3"/>
    <w:rsid w:val="00732519"/>
    <w:rsid w:val="00737F9C"/>
    <w:rsid w:val="00750E69"/>
    <w:rsid w:val="0075607D"/>
    <w:rsid w:val="00776922"/>
    <w:rsid w:val="007A174B"/>
    <w:rsid w:val="007A4EEE"/>
    <w:rsid w:val="007B5BCA"/>
    <w:rsid w:val="007D7178"/>
    <w:rsid w:val="0081404B"/>
    <w:rsid w:val="00845E6D"/>
    <w:rsid w:val="008505C3"/>
    <w:rsid w:val="00862C0C"/>
    <w:rsid w:val="008853CB"/>
    <w:rsid w:val="008A3CB5"/>
    <w:rsid w:val="008A6557"/>
    <w:rsid w:val="008C157B"/>
    <w:rsid w:val="008C782E"/>
    <w:rsid w:val="008D6069"/>
    <w:rsid w:val="008E7585"/>
    <w:rsid w:val="00921354"/>
    <w:rsid w:val="00924CFC"/>
    <w:rsid w:val="0094366C"/>
    <w:rsid w:val="00953ADF"/>
    <w:rsid w:val="00971131"/>
    <w:rsid w:val="009871F3"/>
    <w:rsid w:val="009A0289"/>
    <w:rsid w:val="009B1D56"/>
    <w:rsid w:val="009B621A"/>
    <w:rsid w:val="009C45D9"/>
    <w:rsid w:val="009C6E2D"/>
    <w:rsid w:val="00A0443F"/>
    <w:rsid w:val="00A06657"/>
    <w:rsid w:val="00A20159"/>
    <w:rsid w:val="00A24C1C"/>
    <w:rsid w:val="00A36575"/>
    <w:rsid w:val="00A4268D"/>
    <w:rsid w:val="00A820E1"/>
    <w:rsid w:val="00A86D3D"/>
    <w:rsid w:val="00A956DE"/>
    <w:rsid w:val="00AB2948"/>
    <w:rsid w:val="00AB39FA"/>
    <w:rsid w:val="00AD5CB7"/>
    <w:rsid w:val="00AD5E0B"/>
    <w:rsid w:val="00AD6933"/>
    <w:rsid w:val="00AD6B7B"/>
    <w:rsid w:val="00B0463B"/>
    <w:rsid w:val="00B15262"/>
    <w:rsid w:val="00B443CF"/>
    <w:rsid w:val="00B60D70"/>
    <w:rsid w:val="00B84BC1"/>
    <w:rsid w:val="00BA0179"/>
    <w:rsid w:val="00BA51EA"/>
    <w:rsid w:val="00BA589F"/>
    <w:rsid w:val="00BB047B"/>
    <w:rsid w:val="00BB6398"/>
    <w:rsid w:val="00BB73F8"/>
    <w:rsid w:val="00BC0E86"/>
    <w:rsid w:val="00BD0372"/>
    <w:rsid w:val="00BD246E"/>
    <w:rsid w:val="00BF4768"/>
    <w:rsid w:val="00BF6573"/>
    <w:rsid w:val="00C139CA"/>
    <w:rsid w:val="00C2595A"/>
    <w:rsid w:val="00C4030C"/>
    <w:rsid w:val="00C433C5"/>
    <w:rsid w:val="00C51429"/>
    <w:rsid w:val="00CA3397"/>
    <w:rsid w:val="00CA33E1"/>
    <w:rsid w:val="00CB6BEB"/>
    <w:rsid w:val="00CE7855"/>
    <w:rsid w:val="00D3612A"/>
    <w:rsid w:val="00D37703"/>
    <w:rsid w:val="00D37F25"/>
    <w:rsid w:val="00D42CCB"/>
    <w:rsid w:val="00D453F6"/>
    <w:rsid w:val="00D60D8D"/>
    <w:rsid w:val="00D73C98"/>
    <w:rsid w:val="00D84ADE"/>
    <w:rsid w:val="00DA11DD"/>
    <w:rsid w:val="00DC0120"/>
    <w:rsid w:val="00DE643F"/>
    <w:rsid w:val="00E2509B"/>
    <w:rsid w:val="00E4622C"/>
    <w:rsid w:val="00E46571"/>
    <w:rsid w:val="00E51FFB"/>
    <w:rsid w:val="00E63855"/>
    <w:rsid w:val="00E95993"/>
    <w:rsid w:val="00EB03BB"/>
    <w:rsid w:val="00EB1C36"/>
    <w:rsid w:val="00EE2EB2"/>
    <w:rsid w:val="00EE406C"/>
    <w:rsid w:val="00F07534"/>
    <w:rsid w:val="00F26A9F"/>
    <w:rsid w:val="00F26E68"/>
    <w:rsid w:val="00F33119"/>
    <w:rsid w:val="00F70A4C"/>
    <w:rsid w:val="00F73C47"/>
    <w:rsid w:val="00F81F2C"/>
    <w:rsid w:val="00F90E63"/>
    <w:rsid w:val="00FA66A6"/>
    <w:rsid w:val="00FA6EE7"/>
    <w:rsid w:val="00FB47DD"/>
    <w:rsid w:val="00FB73D3"/>
    <w:rsid w:val="00FD4756"/>
    <w:rsid w:val="04C9EA4F"/>
    <w:rsid w:val="1298FC8C"/>
    <w:rsid w:val="20D34DB4"/>
    <w:rsid w:val="25BDE154"/>
    <w:rsid w:val="29511956"/>
    <w:rsid w:val="4CEA656D"/>
    <w:rsid w:val="4D4EDDAD"/>
    <w:rsid w:val="572045FF"/>
    <w:rsid w:val="7360624C"/>
    <w:rsid w:val="79739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3AD70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750E69"/>
    <w:pPr>
      <w:widowControl w:val="0"/>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750E69"/>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6"/>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750E69"/>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ParagraphNumbered">
    <w:name w:val="Paragraph Numbered"/>
    <w:basedOn w:val="Normal"/>
    <w:uiPriority w:val="4"/>
    <w:qFormat/>
    <w:rsid w:val="004F57C9"/>
    <w:pPr>
      <w:numPr>
        <w:numId w:val="28"/>
      </w:numPr>
      <w:tabs>
        <w:tab w:val="left" w:pos="426"/>
      </w:tabs>
      <w:spacing w:after="240" w:line="360" w:lineRule="auto"/>
      <w:ind w:left="425" w:hanging="425"/>
    </w:pPr>
    <w:rPr>
      <w:rFonts w:ascii="Arial" w:hAnsi="Arial"/>
    </w:rPr>
  </w:style>
  <w:style w:type="paragraph" w:customStyle="1" w:styleId="Numberedlist">
    <w:name w:val="Numbered list"/>
    <w:basedOn w:val="Bullets"/>
    <w:qFormat/>
    <w:rsid w:val="004F57C9"/>
    <w:pPr>
      <w:numPr>
        <w:numId w:val="29"/>
      </w:numPr>
      <w:tabs>
        <w:tab w:val="left" w:pos="993"/>
      </w:tabs>
      <w:spacing w:after="0" w:line="360" w:lineRule="auto"/>
      <w:ind w:left="993" w:hanging="426"/>
    </w:pPr>
    <w:rPr>
      <w:lang w:eastAsia="en-US"/>
    </w:rPr>
  </w:style>
  <w:style w:type="paragraph" w:styleId="FootnoteText">
    <w:name w:val="footnote text"/>
    <w:basedOn w:val="Normal"/>
    <w:link w:val="FootnoteTextChar"/>
    <w:locked/>
    <w:rsid w:val="004F57C9"/>
    <w:rPr>
      <w:sz w:val="20"/>
      <w:szCs w:val="20"/>
      <w:lang w:eastAsia="en-GB"/>
    </w:rPr>
  </w:style>
  <w:style w:type="character" w:customStyle="1" w:styleId="FootnoteTextChar">
    <w:name w:val="Footnote Text Char"/>
    <w:basedOn w:val="DefaultParagraphFont"/>
    <w:link w:val="FootnoteText"/>
    <w:rsid w:val="004F57C9"/>
  </w:style>
  <w:style w:type="character" w:styleId="FootnoteReference">
    <w:name w:val="footnote reference"/>
    <w:basedOn w:val="DefaultParagraphFont"/>
    <w:locked/>
    <w:rsid w:val="004F57C9"/>
    <w:rPr>
      <w:vertAlign w:val="superscript"/>
    </w:rPr>
  </w:style>
  <w:style w:type="paragraph" w:styleId="CommentSubject">
    <w:name w:val="annotation subject"/>
    <w:basedOn w:val="CommentText"/>
    <w:next w:val="CommentText"/>
    <w:link w:val="CommentSubjectChar"/>
    <w:rsid w:val="00425816"/>
    <w:rPr>
      <w:b/>
      <w:bCs/>
      <w:lang w:eastAsia="en-US"/>
    </w:rPr>
  </w:style>
  <w:style w:type="character" w:customStyle="1" w:styleId="CommentSubjectChar">
    <w:name w:val="Comment Subject Char"/>
    <w:basedOn w:val="CommentTextChar"/>
    <w:link w:val="CommentSubject"/>
    <w:rsid w:val="004258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legislation.gov.uk/ukpga/2012/7/part/8/crossheading/functions-quality-standards/enacted" TargetMode="External"/><Relationship Id="rId12" Type="http://schemas.openxmlformats.org/officeDocument/2006/relationships/hyperlink" Target="https://www.nice.org.uk/terms-and-condition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DC10890B-0595-4D02-8CC0-AB23353A68EA}"/>
</file>

<file path=customXml/itemProps2.xml><?xml version="1.0" encoding="utf-8"?>
<ds:datastoreItem xmlns:ds="http://schemas.openxmlformats.org/officeDocument/2006/customXml" ds:itemID="{940961C7-A0FC-464A-A84C-3B8E7E30C937}"/>
</file>

<file path=customXml/itemProps3.xml><?xml version="1.0" encoding="utf-8"?>
<ds:datastoreItem xmlns:ds="http://schemas.openxmlformats.org/officeDocument/2006/customXml" ds:itemID="{D2C46556-69BD-4487-9D4A-9B84288DBCB8}"/>
</file>

<file path=docProps/app.xml><?xml version="1.0" encoding="utf-8"?>
<Properties xmlns="http://schemas.openxmlformats.org/officeDocument/2006/extended-properties" xmlns:vt="http://schemas.openxmlformats.org/officeDocument/2006/docPropsVTypes">
  <Template>Normal</Template>
  <TotalTime>0</TotalTime>
  <Pages>8</Pages>
  <Words>1327</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2024-03-11T12:57:00Z</dcterms:created>
  <dcterms:modified xsi:type="dcterms:W3CDTF">2024-03-11T12:57:00Z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2024-03-11T12:57:21Z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6d7beb0d-ea8c-49e3-a16d-572296d28f17</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TaxCatchAll">
    <vt:lpwstr>6;#Published to NICE Space|f71fafb2-379e-4f7a-b39f-0cae49bb0737</vt:lpwstr>
  </property>
  <property fmtid="{D5CDD505-2E9C-101B-9397-08002B2CF9AE}" pid="15" name="j31c8abf4698464c99deb46d7432c918">
    <vt:lpwstr/>
  </property>
  <property fmtid="{D5CDD505-2E9C-101B-9397-08002B2CF9AE}" pid="16" name="MediaServiceImageTags">
    <vt:lpwstr/>
  </property>
</Properties>
</file>