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C515" w14:textId="4D69EC39" w:rsidR="001A4DC5" w:rsidRPr="001A4DC5" w:rsidRDefault="001A4DC5" w:rsidP="001A4DC5">
      <w:pPr>
        <w:pStyle w:val="Title1"/>
      </w:pPr>
      <w:r w:rsidRPr="001A4DC5">
        <w:t>National Institute for Health and Care Excellence</w:t>
      </w:r>
    </w:p>
    <w:p w14:paraId="6DEF94A9" w14:textId="77777777" w:rsidR="001A4DC5" w:rsidRPr="001A4DC5" w:rsidRDefault="001A4DC5" w:rsidP="001A4DC5">
      <w:pPr>
        <w:pStyle w:val="Title1"/>
        <w:rPr>
          <w:lang w:eastAsia="en-GB"/>
        </w:rPr>
      </w:pPr>
      <w:r w:rsidRPr="001A4DC5">
        <w:rPr>
          <w:lang w:eastAsia="en-GB"/>
        </w:rPr>
        <w:t>Centre for Guidelines progress report</w:t>
      </w:r>
    </w:p>
    <w:p w14:paraId="1A13CE70" w14:textId="32EB84C6" w:rsidR="00BF45D2" w:rsidRPr="00BF45D2" w:rsidRDefault="00EB1C36" w:rsidP="009A3046">
      <w:pPr>
        <w:pStyle w:val="Paragraph"/>
        <w:numPr>
          <w:ilvl w:val="0"/>
          <w:numId w:val="26"/>
        </w:numPr>
      </w:pPr>
      <w:r w:rsidRPr="009871F3">
        <w:t xml:space="preserve">This report provides an update on </w:t>
      </w:r>
      <w:r w:rsidR="001A4DC5">
        <w:t xml:space="preserve">key issues and developments </w:t>
      </w:r>
      <w:r w:rsidR="001A4DC5" w:rsidRPr="001A4DC5">
        <w:t xml:space="preserve">in the Centre for Guidelines in the period of </w:t>
      </w:r>
      <w:r w:rsidR="0064438F">
        <w:t>March</w:t>
      </w:r>
      <w:r w:rsidR="00574FE7">
        <w:t xml:space="preserve"> </w:t>
      </w:r>
      <w:r w:rsidR="009969CB">
        <w:t>2021</w:t>
      </w:r>
      <w:r w:rsidR="00771CF9">
        <w:t>.</w:t>
      </w:r>
    </w:p>
    <w:p w14:paraId="3009A45E" w14:textId="77777777" w:rsidR="00EB1C36" w:rsidRDefault="00EB1C36" w:rsidP="00EB1C36">
      <w:pPr>
        <w:pStyle w:val="Heading1boardreport"/>
      </w:pPr>
      <w:r>
        <w:t>Summary of activity</w:t>
      </w:r>
    </w:p>
    <w:p w14:paraId="0288B782" w14:textId="6076F7ED" w:rsidR="00563B2B" w:rsidRDefault="00BE3541" w:rsidP="007208BE">
      <w:pPr>
        <w:pStyle w:val="NICEnormalnumbered"/>
      </w:pPr>
      <w:bookmarkStart w:id="0" w:name="_Hlk70408608"/>
      <w:r>
        <w:t>Three</w:t>
      </w:r>
      <w:r w:rsidR="00563B2B">
        <w:t xml:space="preserve"> </w:t>
      </w:r>
      <w:r w:rsidR="00C527A0" w:rsidRPr="004E3BE0">
        <w:t>guidelines were published in March</w:t>
      </w:r>
      <w:r>
        <w:t>:</w:t>
      </w:r>
      <w:r w:rsidR="006F129C">
        <w:t xml:space="preserve"> </w:t>
      </w:r>
      <w:bookmarkStart w:id="1" w:name="_Hlk65675348"/>
      <w:r w:rsidR="00C527A0" w:rsidRPr="004E3BE0">
        <w:t>Caesarean birth</w:t>
      </w:r>
      <w:r>
        <w:t xml:space="preserve">; </w:t>
      </w:r>
      <w:r w:rsidR="00C527A0" w:rsidRPr="004E3BE0">
        <w:t>Secondary bacterial infection of eczema and other common skin conditions: antimicrobial prescribing)</w:t>
      </w:r>
      <w:r>
        <w:t xml:space="preserve">; and </w:t>
      </w:r>
      <w:bookmarkEnd w:id="1"/>
      <w:r w:rsidR="00563B2B" w:rsidRPr="00D77BDD">
        <w:t xml:space="preserve">Managing COVID-19. </w:t>
      </w:r>
    </w:p>
    <w:bookmarkEnd w:id="0"/>
    <w:p w14:paraId="0236946C" w14:textId="0C9AE4C8" w:rsidR="00563B2B" w:rsidRDefault="00563B2B" w:rsidP="00563B2B">
      <w:pPr>
        <w:pStyle w:val="NICEnormalnumbered"/>
      </w:pPr>
      <w:r>
        <w:t>We</w:t>
      </w:r>
      <w:r w:rsidRPr="004E3BE0">
        <w:t xml:space="preserve"> consulted on 6 guidelines in March. We are continuing to ask stakeholders to tell us if there are </w:t>
      </w:r>
      <w:proofErr w:type="gramStart"/>
      <w:r w:rsidRPr="004E3BE0">
        <w:t>particular issues</w:t>
      </w:r>
      <w:proofErr w:type="gramEnd"/>
      <w:r w:rsidRPr="004E3BE0">
        <w:t xml:space="preserve"> relating to COVID-19 that we should take into account when finalising each guideline for publication.</w:t>
      </w:r>
    </w:p>
    <w:p w14:paraId="232B3ED7" w14:textId="1FDCA7ED" w:rsidR="00563B2B" w:rsidRPr="00C527A0" w:rsidRDefault="00563B2B" w:rsidP="00563B2B">
      <w:pPr>
        <w:pStyle w:val="NICEnormalnumbered"/>
      </w:pPr>
      <w:r w:rsidRPr="00C527A0">
        <w:t>Two surveillance reviews have published, both of which were exceptional reviews. The team has also completed a further update of the lung cancer algorithm</w:t>
      </w:r>
      <w:r w:rsidR="00BE6C07">
        <w:t xml:space="preserve"> to accommodate new medicines recommended in technology appraisals</w:t>
      </w:r>
      <w:r w:rsidRPr="00C527A0">
        <w:t>.</w:t>
      </w:r>
    </w:p>
    <w:p w14:paraId="7AD895A6" w14:textId="77777777" w:rsidR="00C67853" w:rsidRPr="00C30FD9" w:rsidRDefault="00C67853" w:rsidP="00C67853">
      <w:pPr>
        <w:pStyle w:val="Heading1boardreport"/>
      </w:pPr>
      <w:r>
        <w:t xml:space="preserve">Notable </w:t>
      </w:r>
      <w:r w:rsidRPr="00D959FE">
        <w:t>issues</w:t>
      </w:r>
      <w:r>
        <w:t xml:space="preserve"> and developments </w:t>
      </w:r>
    </w:p>
    <w:p w14:paraId="61F1EE67" w14:textId="77777777" w:rsidR="00C67853" w:rsidRPr="00C67853" w:rsidRDefault="00C67853" w:rsidP="00C67853">
      <w:pPr>
        <w:pStyle w:val="Heading2boardreport"/>
      </w:pPr>
      <w:r>
        <w:t>Ongoing response to COVID-19</w:t>
      </w:r>
    </w:p>
    <w:p w14:paraId="16B44043" w14:textId="73274E4D" w:rsidR="00D77BDD" w:rsidRPr="00D77BDD" w:rsidRDefault="006F129C" w:rsidP="00480220">
      <w:pPr>
        <w:pStyle w:val="NICEnormalnumbered"/>
      </w:pPr>
      <w:r>
        <w:t>The update of</w:t>
      </w:r>
      <w:r w:rsidR="00D77BDD" w:rsidRPr="00D77BDD">
        <w:t xml:space="preserve"> NHS England speciality guides</w:t>
      </w:r>
      <w:r w:rsidR="00D77BDD">
        <w:t xml:space="preserve"> </w:t>
      </w:r>
      <w:r>
        <w:t>continue</w:t>
      </w:r>
      <w:r w:rsidR="00BE6C07">
        <w:t>d,</w:t>
      </w:r>
      <w:r w:rsidR="00D77BDD" w:rsidRPr="00D77BDD">
        <w:t xml:space="preserve"> with guides being integrated into NICE COVID-19 content where appropriate. Seven guides have been withdrawn as content is no longer required. One guide has been fully integrated into the rheumatology COVID-19 guideline and the rapid guideline has been reissued. Three speciality guides have been updated and reissued </w:t>
      </w:r>
      <w:r>
        <w:t>in</w:t>
      </w:r>
      <w:r w:rsidR="00D77BDD" w:rsidRPr="00D77BDD">
        <w:t xml:space="preserve"> March.</w:t>
      </w:r>
    </w:p>
    <w:p w14:paraId="6860E025" w14:textId="6230040E" w:rsidR="006F129C" w:rsidRDefault="00BE6C07" w:rsidP="00D77BDD">
      <w:pPr>
        <w:pStyle w:val="NICEnormalnumbered"/>
      </w:pPr>
      <w:r>
        <w:t>We</w:t>
      </w:r>
      <w:r w:rsidR="00D77BDD" w:rsidRPr="00D77BDD">
        <w:t xml:space="preserve"> published the Managing COVID-19 guideline, which brings together existing disparate recommendations on care and treatment of people </w:t>
      </w:r>
      <w:r w:rsidR="00D77BDD" w:rsidRPr="00D77BDD">
        <w:lastRenderedPageBreak/>
        <w:t xml:space="preserve">with COVID-19. This involved the integration of seven rapid guidelines, which have now been stood down on the NICE website. </w:t>
      </w:r>
    </w:p>
    <w:p w14:paraId="5DBA7D66" w14:textId="6F129405" w:rsidR="00E11784" w:rsidRDefault="00D77BDD" w:rsidP="00E11784">
      <w:pPr>
        <w:pStyle w:val="NICEnormalnumbered"/>
      </w:pPr>
      <w:r w:rsidRPr="00D77BDD">
        <w:t xml:space="preserve">The </w:t>
      </w:r>
      <w:proofErr w:type="spellStart"/>
      <w:r w:rsidRPr="00D77BDD">
        <w:t>MAGICapp</w:t>
      </w:r>
      <w:proofErr w:type="spellEnd"/>
      <w:r w:rsidRPr="00D77BDD">
        <w:t xml:space="preserve"> authoring and publishing platform </w:t>
      </w:r>
      <w:r w:rsidR="002C4B0D">
        <w:t xml:space="preserve">was used </w:t>
      </w:r>
      <w:r w:rsidRPr="00D77BDD">
        <w:t xml:space="preserve">to publish the Managing COVID-19 guideline. Within this publication, new content and recommendations were published for </w:t>
      </w:r>
      <w:r w:rsidR="00BE6C07">
        <w:t>h</w:t>
      </w:r>
      <w:r w:rsidRPr="00D77BDD">
        <w:t xml:space="preserve">eparins and </w:t>
      </w:r>
      <w:proofErr w:type="spellStart"/>
      <w:r w:rsidR="00BE6C07">
        <w:t>r</w:t>
      </w:r>
      <w:r w:rsidRPr="00D77BDD">
        <w:t>emdesivir</w:t>
      </w:r>
      <w:proofErr w:type="spellEnd"/>
      <w:r w:rsidRPr="00D77BDD">
        <w:t>.</w:t>
      </w:r>
      <w:r w:rsidR="006F129C">
        <w:t xml:space="preserve"> Use of the </w:t>
      </w:r>
      <w:proofErr w:type="spellStart"/>
      <w:r w:rsidR="006F129C">
        <w:t>MAGICapp</w:t>
      </w:r>
      <w:proofErr w:type="spellEnd"/>
      <w:r w:rsidR="006F129C">
        <w:t xml:space="preserve"> platform has enabled the</w:t>
      </w:r>
      <w:r>
        <w:t xml:space="preserve"> COVID-19</w:t>
      </w:r>
      <w:r w:rsidRPr="00D77BDD">
        <w:t xml:space="preserve"> team to develop an efficient international collaboration with the Australian National COVID-19 Clinical Evidence taskforce and the World Health Organisation.</w:t>
      </w:r>
      <w:r w:rsidR="00E11784" w:rsidRPr="00E11784">
        <w:t xml:space="preserve"> </w:t>
      </w:r>
    </w:p>
    <w:p w14:paraId="795A0B8F" w14:textId="2660F0A9" w:rsidR="00D77BDD" w:rsidRPr="00D77BDD" w:rsidRDefault="002C4B0D" w:rsidP="00E11784">
      <w:pPr>
        <w:pStyle w:val="NICEnormalnumbered"/>
      </w:pPr>
      <w:r>
        <w:t>We</w:t>
      </w:r>
      <w:r w:rsidR="00E11784" w:rsidRPr="00E11784">
        <w:t xml:space="preserve"> are </w:t>
      </w:r>
      <w:r w:rsidR="00BE6C07">
        <w:t xml:space="preserve">taking a 'living guideline' approach by </w:t>
      </w:r>
      <w:r w:rsidR="00E11784" w:rsidRPr="00E11784">
        <w:t>continually updating the Managing COVID-19 guideline with new recommendations on therapeutics for COVID-19.</w:t>
      </w:r>
    </w:p>
    <w:p w14:paraId="379AAC6A" w14:textId="295ADD6E" w:rsidR="00945BA3" w:rsidRPr="002C785A" w:rsidRDefault="008F595A" w:rsidP="00945BA3">
      <w:pPr>
        <w:pStyle w:val="Heading2boardreport"/>
      </w:pPr>
      <w:r>
        <w:t>Other activities</w:t>
      </w:r>
    </w:p>
    <w:p w14:paraId="167DC0D7" w14:textId="3EA5BBE9" w:rsidR="007D76A9" w:rsidRDefault="00BE6C07" w:rsidP="007C098E">
      <w:pPr>
        <w:pStyle w:val="NICEnormalnumbered"/>
      </w:pPr>
      <w:r>
        <w:t xml:space="preserve">We </w:t>
      </w:r>
      <w:r w:rsidR="00C55898">
        <w:t xml:space="preserve">obtained final </w:t>
      </w:r>
      <w:r>
        <w:t xml:space="preserve">sign off </w:t>
      </w:r>
      <w:r w:rsidR="00C55898">
        <w:t xml:space="preserve">in </w:t>
      </w:r>
      <w:r w:rsidR="000A7B37">
        <w:t>March for a 12</w:t>
      </w:r>
      <w:r w:rsidR="00C55898">
        <w:t>-</w:t>
      </w:r>
      <w:r w:rsidR="000A7B37">
        <w:t xml:space="preserve">year contract </w:t>
      </w:r>
      <w:r w:rsidR="00C55898">
        <w:t>with the Royal Pharmaceutical Society of Great Britain, BMJ Publishing Group and R</w:t>
      </w:r>
      <w:r>
        <w:t xml:space="preserve">oyal </w:t>
      </w:r>
      <w:r w:rsidR="00C55898">
        <w:t>C</w:t>
      </w:r>
      <w:r>
        <w:t xml:space="preserve">ollege of </w:t>
      </w:r>
      <w:r w:rsidR="00C55898">
        <w:t>P</w:t>
      </w:r>
      <w:r>
        <w:t xml:space="preserve">aediatrics and </w:t>
      </w:r>
      <w:r w:rsidR="00C55898">
        <w:t>C</w:t>
      </w:r>
      <w:r>
        <w:t>hild Health</w:t>
      </w:r>
      <w:r w:rsidR="00C55898">
        <w:t xml:space="preserve"> to </w:t>
      </w:r>
      <w:r w:rsidR="000A7B37">
        <w:t>produc</w:t>
      </w:r>
      <w:r w:rsidR="00C55898">
        <w:t>e</w:t>
      </w:r>
      <w:r w:rsidR="000A7B37">
        <w:t xml:space="preserve"> the B</w:t>
      </w:r>
      <w:r w:rsidR="00C55898">
        <w:t xml:space="preserve">ritish National Formulary </w:t>
      </w:r>
      <w:r>
        <w:t xml:space="preserve">(BNF) </w:t>
      </w:r>
      <w:r w:rsidR="0076084B">
        <w:t xml:space="preserve">and BNF for children </w:t>
      </w:r>
      <w:r w:rsidR="00C55898">
        <w:t xml:space="preserve">for the </w:t>
      </w:r>
      <w:r w:rsidR="000A7B37">
        <w:t>NHS</w:t>
      </w:r>
      <w:r w:rsidR="00C55898">
        <w:t>.</w:t>
      </w:r>
      <w:r w:rsidR="00BE3541">
        <w:t xml:space="preserve"> The contract </w:t>
      </w:r>
      <w:r w:rsidR="0076084B">
        <w:t xml:space="preserve">aligns with </w:t>
      </w:r>
      <w:r w:rsidR="0076084B" w:rsidRPr="00BE3541">
        <w:rPr>
          <w:rFonts w:eastAsia="Lato"/>
        </w:rPr>
        <w:t xml:space="preserve">NICE’s strategy to provide wider and easier access to evidence-based information, expert </w:t>
      </w:r>
      <w:proofErr w:type="gramStart"/>
      <w:r w:rsidR="0076084B" w:rsidRPr="00BE3541">
        <w:rPr>
          <w:rFonts w:eastAsia="Lato"/>
        </w:rPr>
        <w:t>knowledge</w:t>
      </w:r>
      <w:proofErr w:type="gramEnd"/>
      <w:r w:rsidR="0076084B" w:rsidRPr="00BE3541">
        <w:rPr>
          <w:rFonts w:eastAsia="Lato"/>
        </w:rPr>
        <w:t xml:space="preserve"> and advice</w:t>
      </w:r>
      <w:r w:rsidR="0076084B" w:rsidRPr="0076084B">
        <w:rPr>
          <w:rFonts w:eastAsia="Lato"/>
        </w:rPr>
        <w:t xml:space="preserve">. The contract seeks to </w:t>
      </w:r>
      <w:r w:rsidR="0076084B" w:rsidRPr="00BE3541">
        <w:rPr>
          <w:rFonts w:eastAsia="Lato"/>
        </w:rPr>
        <w:t xml:space="preserve">manage the NHS’s </w:t>
      </w:r>
      <w:r w:rsidR="00717FFD">
        <w:rPr>
          <w:rFonts w:eastAsia="Lato"/>
        </w:rPr>
        <w:t>use of</w:t>
      </w:r>
      <w:r w:rsidR="0076084B" w:rsidRPr="00BE3541">
        <w:rPr>
          <w:rFonts w:eastAsia="Lato"/>
        </w:rPr>
        <w:t xml:space="preserve"> print versions and reduce </w:t>
      </w:r>
      <w:r w:rsidR="0076084B" w:rsidRPr="0076084B">
        <w:rPr>
          <w:rFonts w:eastAsia="Lato"/>
        </w:rPr>
        <w:t xml:space="preserve">the number of </w:t>
      </w:r>
      <w:r w:rsidR="0076084B" w:rsidRPr="00BE3541">
        <w:rPr>
          <w:rFonts w:eastAsia="Lato"/>
        </w:rPr>
        <w:t>copies distributed</w:t>
      </w:r>
      <w:r w:rsidR="0076084B" w:rsidRPr="0076084B">
        <w:rPr>
          <w:rFonts w:eastAsia="Lato"/>
        </w:rPr>
        <w:t xml:space="preserve"> with a continued migration from print to digital. </w:t>
      </w:r>
      <w:r w:rsidR="00BE3541" w:rsidRPr="00BE3541">
        <w:rPr>
          <w:rFonts w:eastAsia="Lato"/>
        </w:rPr>
        <w:t>The app will be freely available to the public and user registration will allow user feedback for the first time.</w:t>
      </w:r>
    </w:p>
    <w:p w14:paraId="30963411" w14:textId="54728BB3" w:rsidR="007D76A9" w:rsidRDefault="007D76A9" w:rsidP="007D76A9">
      <w:pPr>
        <w:pStyle w:val="Heading2boardreport"/>
      </w:pPr>
      <w:r>
        <w:t>Other specific guidelines and advice</w:t>
      </w:r>
    </w:p>
    <w:p w14:paraId="67C47237" w14:textId="4F1226CD" w:rsidR="00EF42F1" w:rsidRDefault="00EF42F1" w:rsidP="00003AC3">
      <w:pPr>
        <w:pStyle w:val="NICEnormalnumbered"/>
      </w:pPr>
      <w:r>
        <w:t>We published a clarification on the cannabis-based medicinal products guideline that t</w:t>
      </w:r>
      <w:r w:rsidRPr="00EF42F1">
        <w:t>here is no recommendation against the</w:t>
      </w:r>
      <w:r>
        <w:t>ir</w:t>
      </w:r>
      <w:r w:rsidRPr="00EF42F1">
        <w:t xml:space="preserve"> use </w:t>
      </w:r>
      <w:r>
        <w:t xml:space="preserve">in severe treatment-resistant epilepsy. Although </w:t>
      </w:r>
      <w:r w:rsidRPr="00EF42F1">
        <w:t xml:space="preserve">there </w:t>
      </w:r>
      <w:r>
        <w:t xml:space="preserve">is currently </w:t>
      </w:r>
      <w:r w:rsidRPr="00EF42F1">
        <w:t>insufficient evidence of safety and effectiveness to support a population-wide practice recommendation</w:t>
      </w:r>
      <w:r>
        <w:t xml:space="preserve"> this s</w:t>
      </w:r>
      <w:r w:rsidRPr="00EF42F1">
        <w:t xml:space="preserve">hould not be interpreted by healthcare professionals as meaning that they are prevented from considering the </w:t>
      </w:r>
      <w:r w:rsidRPr="00EF42F1">
        <w:lastRenderedPageBreak/>
        <w:t>use of unlicensed cannabis-based medicinal products where that is clinically appropriate in an individual case.</w:t>
      </w:r>
    </w:p>
    <w:p w14:paraId="06675693" w14:textId="48F5C959" w:rsidR="00BE3541" w:rsidRDefault="00BE3541" w:rsidP="00D93865">
      <w:pPr>
        <w:pStyle w:val="NICEnormalnumbered"/>
      </w:pPr>
      <w:r>
        <w:t xml:space="preserve">We updated the guideline on </w:t>
      </w:r>
      <w:r w:rsidRPr="00BE3541">
        <w:t>Asthma: diagnosis, monitoring and chronic asthma management</w:t>
      </w:r>
      <w:r>
        <w:t xml:space="preserve"> to </w:t>
      </w:r>
      <w:r w:rsidRPr="00BE3541">
        <w:t>highlight the importance of including advice in personalised action plan</w:t>
      </w:r>
      <w:r>
        <w:t>s</w:t>
      </w:r>
      <w:r w:rsidRPr="00BE3541">
        <w:t xml:space="preserve"> on minimising indoor air pollution and reducing exposure to outdoor air pollution</w:t>
      </w:r>
      <w:r>
        <w:t xml:space="preserve">. </w:t>
      </w:r>
    </w:p>
    <w:p w14:paraId="1223BF39" w14:textId="3ECC64E6" w:rsidR="009871F3" w:rsidRDefault="0000327C" w:rsidP="006C6FF6">
      <w:pPr>
        <w:pStyle w:val="Heading1boardreport"/>
        <w:tabs>
          <w:tab w:val="left" w:pos="7320"/>
        </w:tabs>
      </w:pPr>
      <w:r>
        <w:t xml:space="preserve">Key </w:t>
      </w:r>
      <w:r w:rsidRPr="00D959FE">
        <w:t>issues</w:t>
      </w:r>
      <w:r w:rsidRPr="0000327C">
        <w:t xml:space="preserve"> and developments</w:t>
      </w:r>
      <w:r w:rsidR="006C6FF6">
        <w:tab/>
      </w:r>
    </w:p>
    <w:p w14:paraId="3F1DD07D" w14:textId="63D2A54E" w:rsidR="00D77BDD" w:rsidRDefault="00BE6C07" w:rsidP="00ED2CBC">
      <w:pPr>
        <w:pStyle w:val="NICEnormalnumbered"/>
      </w:pPr>
      <w:r>
        <w:t xml:space="preserve">The content strategy was signed off by </w:t>
      </w:r>
      <w:r w:rsidR="00BE3541">
        <w:t xml:space="preserve">the </w:t>
      </w:r>
      <w:r>
        <w:t>Executive Team on 30 March</w:t>
      </w:r>
      <w:r w:rsidR="00B42225">
        <w:t xml:space="preserve">, and we </w:t>
      </w:r>
      <w:r w:rsidR="00404286">
        <w:t xml:space="preserve">are putting plans in place to achieve 2021/22 business plan objectives </w:t>
      </w:r>
      <w:r w:rsidR="00B42225">
        <w:t>that relate to it</w:t>
      </w:r>
      <w:r w:rsidR="00404286">
        <w:t xml:space="preserve">. This includes building a stronger content operations capability that will build on the strengths in the publishing team to develop </w:t>
      </w:r>
      <w:r w:rsidR="00404286" w:rsidRPr="00404286">
        <w:t>standards</w:t>
      </w:r>
      <w:r w:rsidR="00404286">
        <w:t>,</w:t>
      </w:r>
      <w:r w:rsidR="00404286" w:rsidRPr="00404286">
        <w:t xml:space="preserve"> processes and policies for content management and design</w:t>
      </w:r>
      <w:r w:rsidR="00404286">
        <w:t xml:space="preserve">. This will be informed by </w:t>
      </w:r>
      <w:r w:rsidR="00B42225">
        <w:t xml:space="preserve">our work on integrated guidance prototypes for type 2 diabetes, and </w:t>
      </w:r>
      <w:r w:rsidR="00404286">
        <w:t xml:space="preserve">the </w:t>
      </w:r>
      <w:r w:rsidR="00404286" w:rsidRPr="00404286">
        <w:t xml:space="preserve">learning points and areas for development to both authoring and publishing guidelines </w:t>
      </w:r>
      <w:r w:rsidR="00404286">
        <w:t>iden</w:t>
      </w:r>
      <w:r w:rsidR="00B42225">
        <w:t xml:space="preserve">tified </w:t>
      </w:r>
      <w:r w:rsidR="00404286">
        <w:t>b</w:t>
      </w:r>
      <w:r w:rsidR="00D77BDD" w:rsidRPr="00D77BDD">
        <w:t xml:space="preserve">y using the </w:t>
      </w:r>
      <w:proofErr w:type="spellStart"/>
      <w:r w:rsidR="00D77BDD" w:rsidRPr="00D77BDD">
        <w:t>MAGICapp</w:t>
      </w:r>
      <w:proofErr w:type="spellEnd"/>
      <w:r w:rsidR="00D77BDD" w:rsidRPr="00D77BDD">
        <w:t xml:space="preserve"> platform to develop and publish the Managing COVID-19 guideline</w:t>
      </w:r>
      <w:r w:rsidR="00D759DB">
        <w:t>.</w:t>
      </w:r>
    </w:p>
    <w:p w14:paraId="6E66B827" w14:textId="77777777" w:rsidR="0064438F" w:rsidRDefault="0064438F" w:rsidP="0064438F">
      <w:pPr>
        <w:pStyle w:val="NICEnormalnumbered"/>
        <w:numPr>
          <w:ilvl w:val="0"/>
          <w:numId w:val="0"/>
        </w:numPr>
        <w:ind w:left="644"/>
      </w:pPr>
    </w:p>
    <w:p w14:paraId="39E30CE4" w14:textId="70413964" w:rsidR="00EB1C36" w:rsidRPr="00070124" w:rsidRDefault="00EB1C36" w:rsidP="0000327C">
      <w:pPr>
        <w:pStyle w:val="NICEnormalnumbered"/>
        <w:numPr>
          <w:ilvl w:val="0"/>
          <w:numId w:val="0"/>
        </w:numPr>
      </w:pPr>
      <w:r w:rsidRPr="00070124">
        <w:t>© NICE</w:t>
      </w:r>
      <w:r w:rsidR="0000327C">
        <w:t xml:space="preserve"> 202</w:t>
      </w:r>
      <w:r w:rsidR="00374FC3">
        <w:t>1</w:t>
      </w:r>
      <w:r w:rsidRPr="00070124">
        <w:t xml:space="preserve">. All rights reserved. </w:t>
      </w:r>
      <w:hyperlink r:id="rId8" w:anchor="notice-of-rights" w:history="1">
        <w:r w:rsidRPr="00070124">
          <w:rPr>
            <w:rStyle w:val="Hyperlink"/>
          </w:rPr>
          <w:t>Subject to Notice of rights</w:t>
        </w:r>
      </w:hyperlink>
      <w:r w:rsidRPr="00070124">
        <w:t>.</w:t>
      </w:r>
    </w:p>
    <w:p w14:paraId="56725773" w14:textId="6A40460E" w:rsidR="00EB1C36" w:rsidRPr="00A36575" w:rsidRDefault="006C6FF6" w:rsidP="008A6557">
      <w:pPr>
        <w:pStyle w:val="NICEnormal"/>
      </w:pPr>
      <w:r>
        <w:t>May</w:t>
      </w:r>
      <w:r w:rsidR="009969CB">
        <w:t xml:space="preserve"> 2021</w:t>
      </w:r>
    </w:p>
    <w:sectPr w:rsidR="00EB1C36" w:rsidRPr="00A36575" w:rsidSect="00617519">
      <w:headerReference w:type="default" r:id="rId9"/>
      <w:footerReference w:type="default" r:id="rId10"/>
      <w:pgSz w:w="11907" w:h="16840" w:code="9"/>
      <w:pgMar w:top="1440" w:right="1797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0AE4" w14:textId="77777777" w:rsidR="00805936" w:rsidRDefault="00805936">
      <w:r>
        <w:separator/>
      </w:r>
    </w:p>
  </w:endnote>
  <w:endnote w:type="continuationSeparator" w:id="0">
    <w:p w14:paraId="2698EF8E" w14:textId="77777777" w:rsidR="00805936" w:rsidRDefault="0080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FC91" w14:textId="77777777" w:rsidR="00EB1C36" w:rsidRPr="00BA589F" w:rsidRDefault="00EB1C36" w:rsidP="00C30FD9">
    <w:pPr>
      <w:pStyle w:val="Footer"/>
    </w:pPr>
  </w:p>
  <w:p w14:paraId="4F762EFA" w14:textId="77777777" w:rsidR="00EB1C36" w:rsidRPr="00BA589F" w:rsidRDefault="00EB1C36" w:rsidP="00BA589F">
    <w:pPr>
      <w:pStyle w:val="Footer"/>
    </w:pPr>
    <w:r w:rsidRPr="00BA589F">
      <w:t>National Institute for Health and Care Excellence</w:t>
    </w:r>
    <w:r w:rsidRPr="00BA589F">
      <w:tab/>
    </w:r>
    <w:r w:rsidR="00D933B0">
      <w:tab/>
    </w:r>
    <w:r w:rsidRPr="00BA589F">
      <w:t xml:space="preserve">Page </w:t>
    </w:r>
    <w:r w:rsidRPr="00BA589F">
      <w:fldChar w:fldCharType="begin"/>
    </w:r>
    <w:r w:rsidRPr="00BA589F">
      <w:instrText xml:space="preserve"> PAGE  \* Arabic  \* MERGEFORMAT </w:instrText>
    </w:r>
    <w:r w:rsidRPr="00BA589F">
      <w:fldChar w:fldCharType="separate"/>
    </w:r>
    <w:r w:rsidRPr="00BA589F">
      <w:t>7</w:t>
    </w:r>
    <w:r w:rsidRPr="00BA589F">
      <w:fldChar w:fldCharType="end"/>
    </w:r>
    <w:r w:rsidRPr="00BA589F">
      <w:t xml:space="preserve"> of </w:t>
    </w:r>
    <w:r w:rsidR="00FB27EE">
      <w:fldChar w:fldCharType="begin"/>
    </w:r>
    <w:r w:rsidR="00FB27EE">
      <w:instrText xml:space="preserve"> NUMPAGES  \* Arabic  \* MERGEFORMAT </w:instrText>
    </w:r>
    <w:r w:rsidR="00FB27EE">
      <w:fldChar w:fldCharType="separate"/>
    </w:r>
    <w:r w:rsidRPr="00BA589F">
      <w:t>7</w:t>
    </w:r>
    <w:r w:rsidR="00FB27EE">
      <w:fldChar w:fldCharType="end"/>
    </w:r>
  </w:p>
  <w:p w14:paraId="03F500AB" w14:textId="37C6E5CA" w:rsidR="00EB1C36" w:rsidRPr="00711BB4" w:rsidRDefault="00711BB4" w:rsidP="00CF7AE3">
    <w:pPr>
      <w:pStyle w:val="Footer"/>
    </w:pPr>
    <w:r w:rsidRPr="00711BB4">
      <w:t xml:space="preserve">Centre for Guidelines progress report </w:t>
    </w:r>
  </w:p>
  <w:p w14:paraId="69275D69" w14:textId="0AD17D59" w:rsidR="00EB1C36" w:rsidRPr="00711BB4" w:rsidRDefault="00711BB4" w:rsidP="00DD58F8">
    <w:pPr>
      <w:pStyle w:val="Footer"/>
    </w:pPr>
    <w:r w:rsidRPr="00711BB4">
      <w:t>Date: 19 May 2021</w:t>
    </w:r>
  </w:p>
  <w:p w14:paraId="26377550" w14:textId="187FE883" w:rsidR="00EB1C36" w:rsidRPr="00BA589F" w:rsidRDefault="00EB1C36" w:rsidP="00DD58F8">
    <w:pPr>
      <w:pStyle w:val="Footer"/>
    </w:pPr>
    <w:r w:rsidRPr="00711BB4">
      <w:t>Reference</w:t>
    </w:r>
    <w:r w:rsidR="00711BB4" w:rsidRPr="00711BB4">
      <w:t>: 21/041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23DE" w14:textId="77777777" w:rsidR="00805936" w:rsidRDefault="00805936">
      <w:r>
        <w:separator/>
      </w:r>
    </w:p>
  </w:footnote>
  <w:footnote w:type="continuationSeparator" w:id="0">
    <w:p w14:paraId="2FE203C1" w14:textId="77777777" w:rsidR="00805936" w:rsidRDefault="00805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4363" w14:textId="3A37D902" w:rsidR="00EB1C36" w:rsidRPr="002F15CF" w:rsidRDefault="002F15CF" w:rsidP="002F15CF">
    <w:pPr>
      <w:pStyle w:val="Header"/>
      <w:ind w:left="0"/>
      <w:jc w:val="right"/>
    </w:pPr>
    <w:r w:rsidRPr="00F07534">
      <w:t xml:space="preserve">Item </w:t>
    </w:r>
    <w:r w:rsidR="00711BB4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6BA6316C"/>
    <w:lvl w:ilvl="0" w:tplc="7F9E7226">
      <w:start w:val="1"/>
      <w:numFmt w:val="decimal"/>
      <w:pStyle w:val="Paragraph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185DEF"/>
    <w:multiLevelType w:val="hybridMultilevel"/>
    <w:tmpl w:val="B2003EE0"/>
    <w:lvl w:ilvl="0" w:tplc="AB8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02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044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E25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FEC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AA6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C3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968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43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25"/>
  </w:num>
  <w:num w:numId="3">
    <w:abstractNumId w:val="15"/>
  </w:num>
  <w:num w:numId="4">
    <w:abstractNumId w:val="16"/>
  </w:num>
  <w:num w:numId="5">
    <w:abstractNumId w:val="4"/>
  </w:num>
  <w:num w:numId="6">
    <w:abstractNumId w:val="7"/>
  </w:num>
  <w:num w:numId="7">
    <w:abstractNumId w:val="12"/>
  </w:num>
  <w:num w:numId="8">
    <w:abstractNumId w:val="14"/>
  </w:num>
  <w:num w:numId="9">
    <w:abstractNumId w:val="19"/>
  </w:num>
  <w:num w:numId="10">
    <w:abstractNumId w:val="6"/>
  </w:num>
  <w:num w:numId="11">
    <w:abstractNumId w:val="23"/>
  </w:num>
  <w:num w:numId="12">
    <w:abstractNumId w:val="10"/>
  </w:num>
  <w:num w:numId="13">
    <w:abstractNumId w:val="17"/>
  </w:num>
  <w:num w:numId="14">
    <w:abstractNumId w:val="21"/>
  </w:num>
  <w:num w:numId="15">
    <w:abstractNumId w:val="11"/>
  </w:num>
  <w:num w:numId="16">
    <w:abstractNumId w:val="0"/>
  </w:num>
  <w:num w:numId="17">
    <w:abstractNumId w:val="1"/>
  </w:num>
  <w:num w:numId="18">
    <w:abstractNumId w:val="8"/>
  </w:num>
  <w:num w:numId="19">
    <w:abstractNumId w:val="13"/>
  </w:num>
  <w:num w:numId="20">
    <w:abstractNumId w:val="5"/>
  </w:num>
  <w:num w:numId="21">
    <w:abstractNumId w:val="24"/>
  </w:num>
  <w:num w:numId="22">
    <w:abstractNumId w:val="22"/>
  </w:num>
  <w:num w:numId="23">
    <w:abstractNumId w:val="26"/>
  </w:num>
  <w:num w:numId="24">
    <w:abstractNumId w:val="9"/>
  </w:num>
  <w:num w:numId="25">
    <w:abstractNumId w:val="3"/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52"/>
    <w:rsid w:val="0000327C"/>
    <w:rsid w:val="000119FB"/>
    <w:rsid w:val="000242AA"/>
    <w:rsid w:val="00050F3E"/>
    <w:rsid w:val="00071BC0"/>
    <w:rsid w:val="00085FCD"/>
    <w:rsid w:val="000A1EC0"/>
    <w:rsid w:val="000A27D6"/>
    <w:rsid w:val="000A7B37"/>
    <w:rsid w:val="000C4168"/>
    <w:rsid w:val="000E6C5F"/>
    <w:rsid w:val="00101F34"/>
    <w:rsid w:val="001107F4"/>
    <w:rsid w:val="00115F01"/>
    <w:rsid w:val="001172E1"/>
    <w:rsid w:val="001219F1"/>
    <w:rsid w:val="00123D3F"/>
    <w:rsid w:val="00131EB8"/>
    <w:rsid w:val="00151654"/>
    <w:rsid w:val="00151941"/>
    <w:rsid w:val="00161AA0"/>
    <w:rsid w:val="001A4DC5"/>
    <w:rsid w:val="001B0506"/>
    <w:rsid w:val="001B6166"/>
    <w:rsid w:val="001C032E"/>
    <w:rsid w:val="001C50F6"/>
    <w:rsid w:val="001F12AE"/>
    <w:rsid w:val="002169E7"/>
    <w:rsid w:val="00235CAB"/>
    <w:rsid w:val="00251D56"/>
    <w:rsid w:val="002526E6"/>
    <w:rsid w:val="002535B1"/>
    <w:rsid w:val="002A3712"/>
    <w:rsid w:val="002B6104"/>
    <w:rsid w:val="002C3FAA"/>
    <w:rsid w:val="002C4B0D"/>
    <w:rsid w:val="002F15CF"/>
    <w:rsid w:val="0031664C"/>
    <w:rsid w:val="003330E6"/>
    <w:rsid w:val="00336B43"/>
    <w:rsid w:val="0034114D"/>
    <w:rsid w:val="00353D3E"/>
    <w:rsid w:val="00362226"/>
    <w:rsid w:val="0036778D"/>
    <w:rsid w:val="00374FC3"/>
    <w:rsid w:val="00376009"/>
    <w:rsid w:val="00377E36"/>
    <w:rsid w:val="003A15EE"/>
    <w:rsid w:val="003B1379"/>
    <w:rsid w:val="003B4B78"/>
    <w:rsid w:val="003C36AC"/>
    <w:rsid w:val="003F77EF"/>
    <w:rsid w:val="00404286"/>
    <w:rsid w:val="0041645F"/>
    <w:rsid w:val="00425B48"/>
    <w:rsid w:val="004519B2"/>
    <w:rsid w:val="00461997"/>
    <w:rsid w:val="004820E9"/>
    <w:rsid w:val="0048361F"/>
    <w:rsid w:val="00484FE9"/>
    <w:rsid w:val="00485B88"/>
    <w:rsid w:val="004914C0"/>
    <w:rsid w:val="00494138"/>
    <w:rsid w:val="004B514C"/>
    <w:rsid w:val="004E3C8B"/>
    <w:rsid w:val="004E612B"/>
    <w:rsid w:val="00524294"/>
    <w:rsid w:val="00526C07"/>
    <w:rsid w:val="0053105F"/>
    <w:rsid w:val="0053387C"/>
    <w:rsid w:val="00563B2B"/>
    <w:rsid w:val="00574FE7"/>
    <w:rsid w:val="005860F4"/>
    <w:rsid w:val="005866B1"/>
    <w:rsid w:val="005A5E10"/>
    <w:rsid w:val="005C051F"/>
    <w:rsid w:val="005C762E"/>
    <w:rsid w:val="005D098C"/>
    <w:rsid w:val="005D368F"/>
    <w:rsid w:val="005D3692"/>
    <w:rsid w:val="00603E56"/>
    <w:rsid w:val="0060662A"/>
    <w:rsid w:val="0061365C"/>
    <w:rsid w:val="00614BDA"/>
    <w:rsid w:val="00617519"/>
    <w:rsid w:val="006331B4"/>
    <w:rsid w:val="006343F3"/>
    <w:rsid w:val="00642906"/>
    <w:rsid w:val="0064438F"/>
    <w:rsid w:val="006571D4"/>
    <w:rsid w:val="006702D8"/>
    <w:rsid w:val="00671CF8"/>
    <w:rsid w:val="00680152"/>
    <w:rsid w:val="00680B94"/>
    <w:rsid w:val="00683A75"/>
    <w:rsid w:val="006A721F"/>
    <w:rsid w:val="006C6FF6"/>
    <w:rsid w:val="006D73F1"/>
    <w:rsid w:val="006F129C"/>
    <w:rsid w:val="00711BB4"/>
    <w:rsid w:val="00717FFD"/>
    <w:rsid w:val="007277C3"/>
    <w:rsid w:val="00732519"/>
    <w:rsid w:val="00737F9C"/>
    <w:rsid w:val="0076084B"/>
    <w:rsid w:val="007629C3"/>
    <w:rsid w:val="00771CF9"/>
    <w:rsid w:val="007A174B"/>
    <w:rsid w:val="007A4EEE"/>
    <w:rsid w:val="007D76A9"/>
    <w:rsid w:val="00805936"/>
    <w:rsid w:val="00810B29"/>
    <w:rsid w:val="008300F1"/>
    <w:rsid w:val="008505C3"/>
    <w:rsid w:val="00862C0C"/>
    <w:rsid w:val="00882670"/>
    <w:rsid w:val="008853CB"/>
    <w:rsid w:val="00896BA6"/>
    <w:rsid w:val="008A3CB5"/>
    <w:rsid w:val="008A6557"/>
    <w:rsid w:val="008B2994"/>
    <w:rsid w:val="008C782E"/>
    <w:rsid w:val="008D6069"/>
    <w:rsid w:val="008E7585"/>
    <w:rsid w:val="008F0AB0"/>
    <w:rsid w:val="008F595A"/>
    <w:rsid w:val="00921354"/>
    <w:rsid w:val="0094366C"/>
    <w:rsid w:val="00945BA3"/>
    <w:rsid w:val="00953ADF"/>
    <w:rsid w:val="00971131"/>
    <w:rsid w:val="009871F3"/>
    <w:rsid w:val="009969CB"/>
    <w:rsid w:val="009A0289"/>
    <w:rsid w:val="009A3046"/>
    <w:rsid w:val="009A4174"/>
    <w:rsid w:val="009B3EF5"/>
    <w:rsid w:val="009B621A"/>
    <w:rsid w:val="009C45D9"/>
    <w:rsid w:val="00A06657"/>
    <w:rsid w:val="00A06BC0"/>
    <w:rsid w:val="00A24C1C"/>
    <w:rsid w:val="00A36575"/>
    <w:rsid w:val="00A65F33"/>
    <w:rsid w:val="00A86117"/>
    <w:rsid w:val="00A86D3D"/>
    <w:rsid w:val="00A956DE"/>
    <w:rsid w:val="00AB0FD6"/>
    <w:rsid w:val="00AB2948"/>
    <w:rsid w:val="00AB39FA"/>
    <w:rsid w:val="00AB744E"/>
    <w:rsid w:val="00AD5CB7"/>
    <w:rsid w:val="00AD5E0B"/>
    <w:rsid w:val="00AD6933"/>
    <w:rsid w:val="00AD6B7B"/>
    <w:rsid w:val="00AD7CE3"/>
    <w:rsid w:val="00B15262"/>
    <w:rsid w:val="00B42225"/>
    <w:rsid w:val="00B5181E"/>
    <w:rsid w:val="00B60D70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E3541"/>
    <w:rsid w:val="00BE6C07"/>
    <w:rsid w:val="00BF45D2"/>
    <w:rsid w:val="00BF4768"/>
    <w:rsid w:val="00C02139"/>
    <w:rsid w:val="00C139CA"/>
    <w:rsid w:val="00C433C5"/>
    <w:rsid w:val="00C51429"/>
    <w:rsid w:val="00C527A0"/>
    <w:rsid w:val="00C55898"/>
    <w:rsid w:val="00C67833"/>
    <w:rsid w:val="00C67853"/>
    <w:rsid w:val="00C774F0"/>
    <w:rsid w:val="00CA3397"/>
    <w:rsid w:val="00CA33E1"/>
    <w:rsid w:val="00CB6BEB"/>
    <w:rsid w:val="00CE7855"/>
    <w:rsid w:val="00D10D62"/>
    <w:rsid w:val="00D179FE"/>
    <w:rsid w:val="00D3612A"/>
    <w:rsid w:val="00D37703"/>
    <w:rsid w:val="00D37F25"/>
    <w:rsid w:val="00D453F6"/>
    <w:rsid w:val="00D51BFA"/>
    <w:rsid w:val="00D60D8D"/>
    <w:rsid w:val="00D62AEA"/>
    <w:rsid w:val="00D73C98"/>
    <w:rsid w:val="00D740D9"/>
    <w:rsid w:val="00D759DB"/>
    <w:rsid w:val="00D77BDD"/>
    <w:rsid w:val="00D933B0"/>
    <w:rsid w:val="00DA11DD"/>
    <w:rsid w:val="00DC0120"/>
    <w:rsid w:val="00DE643F"/>
    <w:rsid w:val="00E11784"/>
    <w:rsid w:val="00E2509B"/>
    <w:rsid w:val="00E4622C"/>
    <w:rsid w:val="00E46571"/>
    <w:rsid w:val="00E51FFB"/>
    <w:rsid w:val="00E63855"/>
    <w:rsid w:val="00EB03BB"/>
    <w:rsid w:val="00EB1C36"/>
    <w:rsid w:val="00EB5377"/>
    <w:rsid w:val="00EE2EB2"/>
    <w:rsid w:val="00EE406C"/>
    <w:rsid w:val="00EF42F1"/>
    <w:rsid w:val="00F07534"/>
    <w:rsid w:val="00F26A9F"/>
    <w:rsid w:val="00F26E68"/>
    <w:rsid w:val="00F33119"/>
    <w:rsid w:val="00F41698"/>
    <w:rsid w:val="00F55661"/>
    <w:rsid w:val="00F73C47"/>
    <w:rsid w:val="00F81F2C"/>
    <w:rsid w:val="00F90E63"/>
    <w:rsid w:val="00FA66A6"/>
    <w:rsid w:val="00FA6EE7"/>
    <w:rsid w:val="00FB27EE"/>
    <w:rsid w:val="00FB47DD"/>
    <w:rsid w:val="00FB73D3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4:docId w14:val="38BBA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534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locked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2"/>
    <w:basedOn w:val="Title"/>
    <w:locked/>
    <w:rsid w:val="005C762E"/>
    <w:rPr>
      <w:sz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Title"/>
    <w:qFormat/>
    <w:rsid w:val="001C032E"/>
    <w:rPr>
      <w:bCs w:val="0"/>
      <w:sz w:val="32"/>
    </w:rPr>
  </w:style>
  <w:style w:type="paragraph" w:styleId="Caption">
    <w:name w:val="caption"/>
    <w:basedOn w:val="Heading3"/>
    <w:next w:val="NICEnormal"/>
    <w:unhideWhenUsed/>
    <w:qFormat/>
    <w:rsid w:val="00FB73D3"/>
    <w:pPr>
      <w:spacing w:after="200"/>
    </w:pPr>
    <w:rPr>
      <w:bCs w:val="0"/>
      <w:iCs/>
      <w:color w:val="00506A"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4914C0"/>
    <w:rPr>
      <w:b/>
      <w:color w:val="00506A"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Title"/>
    <w:qFormat/>
    <w:rsid w:val="001C032E"/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4914C0"/>
    <w:rPr>
      <w:color w:val="00506A"/>
    </w:rPr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F33119"/>
  </w:style>
  <w:style w:type="paragraph" w:customStyle="1" w:styleId="Heading3boardreport">
    <w:name w:val="Heading 3 board report"/>
    <w:basedOn w:val="Heading3"/>
    <w:next w:val="NICEnormal"/>
    <w:qFormat/>
    <w:rsid w:val="004914C0"/>
    <w:rPr>
      <w:color w:val="00506A"/>
    </w:rPr>
  </w:style>
  <w:style w:type="paragraph" w:customStyle="1" w:styleId="Paragraph">
    <w:name w:val="Paragraph"/>
    <w:basedOn w:val="Paragraphnonumbers"/>
    <w:uiPriority w:val="4"/>
    <w:qFormat/>
    <w:locked/>
    <w:rsid w:val="00EB1C36"/>
    <w:pPr>
      <w:numPr>
        <w:numId w:val="25"/>
      </w:numPr>
      <w:tabs>
        <w:tab w:val="left" w:pos="426"/>
      </w:tabs>
    </w:pPr>
  </w:style>
  <w:style w:type="character" w:customStyle="1" w:styleId="TitleChar">
    <w:name w:val="Title Char"/>
    <w:link w:val="Title"/>
    <w:rsid w:val="00EB1C36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EB1C36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EB1C36"/>
    <w:rPr>
      <w:rFonts w:ascii="Arial" w:hAnsi="Arial" w:cs="Arial"/>
      <w:b/>
      <w:bCs/>
      <w:color w:val="00506A"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character" w:styleId="FollowedHyperlink">
    <w:name w:val="FollowedHyperlink"/>
    <w:basedOn w:val="DefaultParagraphFont"/>
    <w:rsid w:val="00D933B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1C50F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C50F6"/>
    <w:rPr>
      <w:b/>
      <w:bCs/>
      <w:lang w:eastAsia="en-US"/>
    </w:rPr>
  </w:style>
  <w:style w:type="paragraph" w:styleId="NormalWeb">
    <w:name w:val="Normal (Web)"/>
    <w:basedOn w:val="Normal"/>
    <w:locked/>
    <w:rsid w:val="00AB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2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6110">
          <w:marLeft w:val="446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519">
          <w:marLeft w:val="446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997">
          <w:marLeft w:val="446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45">
          <w:marLeft w:val="446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2021-05-11T13:42:00Z</dcterms:created>
  <dcterms:modified xsi:type="dcterms:W3CDTF">2021-05-11T13:42:00Z</dcterms:modified>
</cp:coreProperties>
</file>