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AB80" w14:textId="77777777" w:rsidR="004B4705" w:rsidRDefault="004B4705" w:rsidP="005614AA">
      <w:pPr>
        <w:pStyle w:val="Title20"/>
      </w:pPr>
      <w:r>
        <w:t>National Institute for Health and Care Excellence</w:t>
      </w:r>
    </w:p>
    <w:p w14:paraId="5CCC8E79" w14:textId="77777777" w:rsidR="001D7F2C" w:rsidRPr="008036DF" w:rsidRDefault="001D7F2C" w:rsidP="001D7F2C">
      <w:pPr>
        <w:pStyle w:val="Title"/>
      </w:pPr>
      <w:r>
        <w:t>Chief Executive's report</w:t>
      </w:r>
    </w:p>
    <w:p w14:paraId="2E82A5CE" w14:textId="7FB59AB3" w:rsidR="001D7F2C" w:rsidRDefault="001D7F2C" w:rsidP="001D7F2C">
      <w:pPr>
        <w:pStyle w:val="NICEnormal"/>
      </w:pPr>
      <w:r>
        <w:t xml:space="preserve">This report provides </w:t>
      </w:r>
      <w:r w:rsidR="00C261AC">
        <w:t>an update to the Board on the progress of</w:t>
      </w:r>
      <w:r>
        <w:t xml:space="preserve"> our </w:t>
      </w:r>
      <w:r w:rsidR="005C4F7B">
        <w:t>major programmes and</w:t>
      </w:r>
      <w:r>
        <w:t xml:space="preserve"> </w:t>
      </w:r>
      <w:r w:rsidR="00C261AC">
        <w:t xml:space="preserve">business plan objectives </w:t>
      </w:r>
      <w:r>
        <w:t xml:space="preserve">to the end of </w:t>
      </w:r>
      <w:r w:rsidR="0053219F">
        <w:t>March</w:t>
      </w:r>
      <w:r w:rsidR="00432064">
        <w:t xml:space="preserve"> 2021</w:t>
      </w:r>
      <w:r>
        <w:t>.</w:t>
      </w:r>
      <w:r w:rsidR="00ED0C9D" w:rsidRPr="00ED0C9D">
        <w:t xml:space="preserve"> </w:t>
      </w:r>
      <w:r w:rsidR="00ED0C9D" w:rsidRPr="006D0286">
        <w:t xml:space="preserve">The report notes the guidance published since the last public Board meeting in </w:t>
      </w:r>
      <w:r w:rsidR="00ED0C9D">
        <w:t>March</w:t>
      </w:r>
      <w:r w:rsidR="00ED0C9D" w:rsidRPr="006D0286">
        <w:t xml:space="preserve"> and refers to issues not covered elsewhere on the Board agenda.</w:t>
      </w:r>
    </w:p>
    <w:p w14:paraId="06A112DB" w14:textId="77777777" w:rsidR="001D7F2C" w:rsidRDefault="001D7F2C" w:rsidP="001D7F2C">
      <w:pPr>
        <w:pStyle w:val="NICEnormal"/>
      </w:pPr>
      <w:r>
        <w:t>The Board is asked to review the report.</w:t>
      </w:r>
    </w:p>
    <w:p w14:paraId="76BC661F" w14:textId="77777777" w:rsidR="001D7F2C" w:rsidRDefault="001D7F2C" w:rsidP="001D7F2C">
      <w:pPr>
        <w:pStyle w:val="NICEnormal"/>
      </w:pPr>
    </w:p>
    <w:p w14:paraId="4AD709C4" w14:textId="35862814" w:rsidR="001D7F2C" w:rsidRPr="00F523AC" w:rsidRDefault="001D7F2C" w:rsidP="001D7F2C">
      <w:pPr>
        <w:pStyle w:val="NICEnormal"/>
      </w:pPr>
      <w:r>
        <w:t>Professor Gill Leng</w:t>
      </w:r>
    </w:p>
    <w:p w14:paraId="369E8709" w14:textId="77777777" w:rsidR="001D7F2C" w:rsidRPr="00F523AC" w:rsidRDefault="001D7F2C" w:rsidP="001D7F2C">
      <w:pPr>
        <w:pStyle w:val="NICEnormal"/>
      </w:pPr>
      <w:r w:rsidRPr="006102EB">
        <w:t>Chief Executive</w:t>
      </w:r>
    </w:p>
    <w:p w14:paraId="49B3C651" w14:textId="264409E9" w:rsidR="004B4705" w:rsidRDefault="00432064" w:rsidP="004511A7">
      <w:pPr>
        <w:pStyle w:val="NICEnormal"/>
      </w:pPr>
      <w:r>
        <w:t>Ma</w:t>
      </w:r>
      <w:r w:rsidR="0053219F">
        <w:t>y</w:t>
      </w:r>
      <w:r w:rsidR="00195F5C">
        <w:t xml:space="preserve"> 2021</w:t>
      </w:r>
    </w:p>
    <w:p w14:paraId="10CBE007" w14:textId="77777777" w:rsidR="004B4705" w:rsidRPr="005F10EE" w:rsidRDefault="004B4705" w:rsidP="004511A7">
      <w:pPr>
        <w:pStyle w:val="NICEnormal"/>
      </w:pPr>
      <w:r w:rsidRPr="005F10EE">
        <w:br w:type="page"/>
      </w:r>
    </w:p>
    <w:p w14:paraId="488659AA" w14:textId="0C0F9AEC" w:rsidR="006D0286" w:rsidRPr="00467B95" w:rsidRDefault="006D0286" w:rsidP="006D0286">
      <w:pPr>
        <w:pStyle w:val="Heading1boardreport"/>
      </w:pPr>
      <w:r w:rsidRPr="006D0286">
        <w:lastRenderedPageBreak/>
        <w:t>Introduction</w:t>
      </w:r>
      <w:r w:rsidRPr="00467B95">
        <w:t xml:space="preserve"> </w:t>
      </w:r>
      <w:r w:rsidR="00CD2390">
        <w:t>and overview</w:t>
      </w:r>
    </w:p>
    <w:p w14:paraId="652AAF90" w14:textId="7304EC8B" w:rsidR="006D0286" w:rsidRDefault="006D0286" w:rsidP="006D0286">
      <w:pPr>
        <w:pStyle w:val="NICEnormalnumbered"/>
      </w:pPr>
      <w:r>
        <w:t>This</w:t>
      </w:r>
      <w:r w:rsidRPr="006D0286">
        <w:t xml:space="preserve"> report </w:t>
      </w:r>
      <w:r w:rsidR="00C261AC">
        <w:t xml:space="preserve">provides </w:t>
      </w:r>
      <w:r w:rsidR="00392BC6">
        <w:t>an overview of</w:t>
      </w:r>
      <w:r w:rsidR="00C261AC">
        <w:t xml:space="preserve"> the</w:t>
      </w:r>
      <w:r w:rsidRPr="006D0286">
        <w:t xml:space="preserve"> performance of the Institute against our business plan objectives for the </w:t>
      </w:r>
      <w:r w:rsidR="00432064">
        <w:t>1</w:t>
      </w:r>
      <w:r w:rsidR="0053219F">
        <w:t>2</w:t>
      </w:r>
      <w:r w:rsidR="008D4862">
        <w:t xml:space="preserve"> </w:t>
      </w:r>
      <w:r w:rsidRPr="006D0286">
        <w:t xml:space="preserve">months to the end of </w:t>
      </w:r>
      <w:r w:rsidR="0053219F">
        <w:t>March</w:t>
      </w:r>
      <w:r w:rsidR="00432064">
        <w:t xml:space="preserve"> 2021</w:t>
      </w:r>
      <w:r w:rsidRPr="008D4862">
        <w:t xml:space="preserve">. </w:t>
      </w:r>
    </w:p>
    <w:p w14:paraId="5F499C84" w14:textId="766338D1" w:rsidR="00474142" w:rsidRPr="00474142" w:rsidRDefault="00CD2390" w:rsidP="00CD2390">
      <w:pPr>
        <w:pStyle w:val="Heading2"/>
      </w:pPr>
      <w:r>
        <w:t>Responding to the pandemic</w:t>
      </w:r>
    </w:p>
    <w:p w14:paraId="44DFBFE5" w14:textId="66EC9CD8" w:rsidR="00742010" w:rsidRDefault="001E0966" w:rsidP="00E50DB4">
      <w:pPr>
        <w:pStyle w:val="NICEnormalnumbered"/>
      </w:pPr>
      <w:r w:rsidRPr="00E50DB4">
        <w:t xml:space="preserve">In March 2020, following Government advice, we took the decision to close our offices and move to </w:t>
      </w:r>
      <w:r w:rsidR="00F27EA7">
        <w:t>fully</w:t>
      </w:r>
      <w:r w:rsidRPr="00E50DB4">
        <w:t xml:space="preserve"> remote working. This required significant changes to the way people work</w:t>
      </w:r>
      <w:r w:rsidR="00CD2390">
        <w:t>ed</w:t>
      </w:r>
      <w:r w:rsidRPr="00E50DB4">
        <w:t xml:space="preserve"> with a rapid allocation of equipment and resources.</w:t>
      </w:r>
    </w:p>
    <w:p w14:paraId="70092AC6" w14:textId="1E49FCF6" w:rsidR="00404C31" w:rsidRPr="00404C31" w:rsidRDefault="00404C31" w:rsidP="00404C31">
      <w:pPr>
        <w:pStyle w:val="NICEnormalnumbered"/>
      </w:pPr>
      <w:r>
        <w:t>In the first wave of the pandemic, we</w:t>
      </w:r>
      <w:r w:rsidRPr="00404C31">
        <w:t xml:space="preserve"> </w:t>
      </w:r>
      <w:r>
        <w:t xml:space="preserve">sought to </w:t>
      </w:r>
      <w:r w:rsidRPr="00404C31">
        <w:t xml:space="preserve">avoid distracting the NHS at a time when it </w:t>
      </w:r>
      <w:r w:rsidR="00B5556C">
        <w:t>was</w:t>
      </w:r>
      <w:r w:rsidRPr="00404C31">
        <w:t xml:space="preserve"> facing unprecedented pressure</w:t>
      </w:r>
      <w:r>
        <w:t xml:space="preserve">, by </w:t>
      </w:r>
      <w:r w:rsidRPr="00404C31">
        <w:t xml:space="preserve">supporting the release of frontline staff who might otherwise be engaged in our committees, and minimising publication of outputs that might be a distraction during this critical time. </w:t>
      </w:r>
    </w:p>
    <w:p w14:paraId="20F202F2" w14:textId="2C42D365" w:rsidR="00865219" w:rsidRDefault="00C312CF" w:rsidP="00865219">
      <w:pPr>
        <w:pStyle w:val="NICEnormalnumbered"/>
      </w:pPr>
      <w:r w:rsidRPr="00C312CF">
        <w:t xml:space="preserve">This </w:t>
      </w:r>
      <w:r w:rsidR="00AD1822">
        <w:t xml:space="preserve">pause on publication </w:t>
      </w:r>
      <w:r w:rsidRPr="00C312CF">
        <w:t>had a significant</w:t>
      </w:r>
      <w:r>
        <w:t xml:space="preserve"> initial</w:t>
      </w:r>
      <w:r w:rsidRPr="00C312CF">
        <w:t xml:space="preserve"> impact on planned outputs but released capacity for us to develop a new programme of rapid guidelines relevant to the clinical management of COVID-19. </w:t>
      </w:r>
      <w:r w:rsidR="00CD2390">
        <w:t xml:space="preserve">These COVID-19 guidelines continue to be maintained and updated in the light of new evidence, and represent a significant resource for the healthcare system. </w:t>
      </w:r>
      <w:r w:rsidR="00AD1822">
        <w:t xml:space="preserve">We also collaborated closely with partner organisations in the RAPID-C19 initiative to accelerate access to potential new treatments for COVID. </w:t>
      </w:r>
    </w:p>
    <w:p w14:paraId="3404859A" w14:textId="3D4830E0" w:rsidR="00AD1822" w:rsidRDefault="00AD1822" w:rsidP="00AD1822">
      <w:pPr>
        <w:pStyle w:val="Heading2"/>
      </w:pPr>
      <w:r>
        <w:t>A new strategy for NICE</w:t>
      </w:r>
    </w:p>
    <w:p w14:paraId="5C877F85" w14:textId="7BF6C0C3" w:rsidR="0098476D" w:rsidRDefault="00AD1822" w:rsidP="00833BA9">
      <w:pPr>
        <w:pStyle w:val="NICEnormalnumbered"/>
      </w:pPr>
      <w:r>
        <w:t xml:space="preserve">Alongside </w:t>
      </w:r>
      <w:r w:rsidR="004541D0">
        <w:t xml:space="preserve">work to </w:t>
      </w:r>
      <w:r>
        <w:t xml:space="preserve">support the pandemic response, we also </w:t>
      </w:r>
      <w:r w:rsidR="004541D0">
        <w:t>develop</w:t>
      </w:r>
      <w:r>
        <w:t xml:space="preserve">ed a new 5 year strategy for NICE.  This was formally launched in April, with over 3,300 virtual attendees.  At the core of the strategy is the aim to make </w:t>
      </w:r>
      <w:r w:rsidR="00846468">
        <w:t xml:space="preserve">NICE </w:t>
      </w:r>
      <w:r>
        <w:t xml:space="preserve">more flexible, responsive and agile, building on approaches taken to respond to the pandemic.  Significant work is now underway to implement the new </w:t>
      </w:r>
      <w:r w:rsidR="004541D0">
        <w:t>strategy</w:t>
      </w:r>
      <w:r>
        <w:t xml:space="preserve">, with accompanying work on </w:t>
      </w:r>
      <w:r w:rsidR="00367432">
        <w:t xml:space="preserve">organisational </w:t>
      </w:r>
      <w:r>
        <w:t xml:space="preserve">culture and </w:t>
      </w:r>
      <w:r w:rsidR="00367432">
        <w:t>design</w:t>
      </w:r>
      <w:r w:rsidR="004541D0">
        <w:t xml:space="preserve">. </w:t>
      </w:r>
    </w:p>
    <w:p w14:paraId="448161E7" w14:textId="77777777" w:rsidR="00C71729" w:rsidRPr="00C71729" w:rsidRDefault="00C71729" w:rsidP="00C71729">
      <w:pPr>
        <w:pStyle w:val="NICEnormalnumbered"/>
      </w:pPr>
      <w:r w:rsidRPr="00C71729">
        <w:t xml:space="preserve">With the launch of this ambitious new strategy, we will continue to take forward the work started under the banner of NICE Connect as part of a broader transformation programme. </w:t>
      </w:r>
    </w:p>
    <w:p w14:paraId="3FA0B949" w14:textId="4425E2C5" w:rsidR="00AD1822" w:rsidRDefault="00AD1822" w:rsidP="00AD1822">
      <w:pPr>
        <w:pStyle w:val="Heading2"/>
      </w:pPr>
      <w:r>
        <w:lastRenderedPageBreak/>
        <w:t>Other priority activities</w:t>
      </w:r>
    </w:p>
    <w:p w14:paraId="59A7C335" w14:textId="77777777" w:rsidR="00C71729" w:rsidRDefault="0098476D" w:rsidP="0098476D">
      <w:pPr>
        <w:pStyle w:val="NICEnormalnumbered"/>
      </w:pPr>
      <w:r w:rsidRPr="00653CF2">
        <w:t xml:space="preserve">Alongside our </w:t>
      </w:r>
      <w:r w:rsidR="006756C3">
        <w:t xml:space="preserve">additional </w:t>
      </w:r>
      <w:r w:rsidRPr="00653CF2">
        <w:t xml:space="preserve">work on COVID-19 related activity, we </w:t>
      </w:r>
      <w:r>
        <w:t>continued</w:t>
      </w:r>
      <w:r w:rsidRPr="00653CF2">
        <w:t xml:space="preserve"> to support other priority initiatives in the health and care system. This include</w:t>
      </w:r>
      <w:r>
        <w:t>d</w:t>
      </w:r>
      <w:r w:rsidRPr="00653CF2">
        <w:t xml:space="preserve"> the Voluntary Scheme for Branded Medicines Pricing and Access, the Life Sciences Sector Deal, NHS Long Term Plan, and the Government’s manifesto commitment to establish an innovative medicines fund. </w:t>
      </w:r>
    </w:p>
    <w:p w14:paraId="46C24D52" w14:textId="7A09CA8B" w:rsidR="0098476D" w:rsidRPr="00653CF2" w:rsidRDefault="0098476D" w:rsidP="0098476D">
      <w:pPr>
        <w:pStyle w:val="NICEnormalnumbered"/>
      </w:pPr>
      <w:r w:rsidRPr="00B5798B">
        <w:t xml:space="preserve">In accordance with the commitments in the 2019 VPAS we </w:t>
      </w:r>
      <w:r w:rsidR="00C71729">
        <w:t xml:space="preserve">initiated </w:t>
      </w:r>
      <w:r w:rsidR="007D5483">
        <w:t>a significant</w:t>
      </w:r>
      <w:r w:rsidR="006756C3">
        <w:t xml:space="preserve"> </w:t>
      </w:r>
      <w:r w:rsidRPr="00B5798B">
        <w:t xml:space="preserve">review of the methods </w:t>
      </w:r>
      <w:r w:rsidR="00C71729">
        <w:t xml:space="preserve">and process </w:t>
      </w:r>
      <w:r w:rsidRPr="00B5798B">
        <w:t xml:space="preserve">guides for our technology evaluation programmes, including the routing criteria for the highly specialised technologies programme, </w:t>
      </w:r>
      <w:r w:rsidR="001448A8">
        <w:t>to ensure t</w:t>
      </w:r>
      <w:r w:rsidRPr="00B5798B">
        <w:t xml:space="preserve">hat they are fit for </w:t>
      </w:r>
      <w:r w:rsidR="00151807">
        <w:t>the future</w:t>
      </w:r>
      <w:r w:rsidRPr="00B5798B">
        <w:t xml:space="preserve">. </w:t>
      </w:r>
    </w:p>
    <w:p w14:paraId="3D6582A8" w14:textId="36550E89" w:rsidR="0098476D" w:rsidRDefault="00E44132" w:rsidP="00D31B81">
      <w:pPr>
        <w:pStyle w:val="Heading1boardreport"/>
      </w:pPr>
      <w:r>
        <w:t xml:space="preserve">Reflections on our </w:t>
      </w:r>
      <w:r w:rsidR="0098476D">
        <w:t>performance</w:t>
      </w:r>
      <w:r>
        <w:t xml:space="preserve"> this year</w:t>
      </w:r>
    </w:p>
    <w:p w14:paraId="0A299D2A" w14:textId="797EFA9E" w:rsidR="00CD2390" w:rsidRPr="00CD2390" w:rsidRDefault="00CD2390" w:rsidP="00CD2390">
      <w:pPr>
        <w:pStyle w:val="NICEnormalnumbered"/>
      </w:pPr>
      <w:r w:rsidRPr="00CD2390">
        <w:t xml:space="preserve">At the outset of the year, we agreed targets for our core outputs with NICE’s Department of Health and Social Care (DHSC) sponsor team, to be tracked using the 45 measures in our balanced scorecard. </w:t>
      </w:r>
    </w:p>
    <w:p w14:paraId="499D7584" w14:textId="6C9228F8" w:rsidR="007F2F82" w:rsidRDefault="007F2F82" w:rsidP="007F2F82">
      <w:pPr>
        <w:pStyle w:val="NICEnormalnumbered"/>
      </w:pPr>
      <w:r>
        <w:t xml:space="preserve">As the detail in appendices 1-5 </w:t>
      </w:r>
      <w:r w:rsidR="001747AA">
        <w:t>illustrate</w:t>
      </w:r>
      <w:r w:rsidR="00084807">
        <w:t>s</w:t>
      </w:r>
      <w:r>
        <w:t xml:space="preserve">, the NICE team has </w:t>
      </w:r>
      <w:r w:rsidR="001747AA">
        <w:t>shown</w:t>
      </w:r>
      <w:r>
        <w:t xml:space="preserve"> fantastic resilience in delivering our core output targets and the objectives in our business plan</w:t>
      </w:r>
      <w:r w:rsidR="00BA0E99">
        <w:t xml:space="preserve">, </w:t>
      </w:r>
      <w:r w:rsidR="008563DC">
        <w:t xml:space="preserve">alongside </w:t>
      </w:r>
      <w:r w:rsidR="00C36618">
        <w:t xml:space="preserve">a range of </w:t>
      </w:r>
      <w:r w:rsidR="008563DC">
        <w:t>new initiatives</w:t>
      </w:r>
      <w:r w:rsidR="00BA0E99">
        <w:t xml:space="preserve">, </w:t>
      </w:r>
      <w:r>
        <w:t xml:space="preserve">in the context of a remarkable year of disruption. </w:t>
      </w:r>
    </w:p>
    <w:p w14:paraId="4B8E98C6" w14:textId="77777777" w:rsidR="00CD2390" w:rsidRDefault="00CD2390" w:rsidP="00CD2390">
      <w:pPr>
        <w:pStyle w:val="Paragraph"/>
      </w:pPr>
      <w:r>
        <w:t>More detail on our performance is contained in five appendices to this report:</w:t>
      </w:r>
    </w:p>
    <w:p w14:paraId="3887CE67" w14:textId="02A0E9F3" w:rsidR="00CD2390" w:rsidRDefault="008E13D5" w:rsidP="00CD2390">
      <w:pPr>
        <w:pStyle w:val="NICEnormalnumbered"/>
        <w:numPr>
          <w:ilvl w:val="1"/>
          <w:numId w:val="25"/>
        </w:numPr>
      </w:pPr>
      <w:r>
        <w:t>T</w:t>
      </w:r>
      <w:r w:rsidR="00CD2390">
        <w:t>he latest position of the</w:t>
      </w:r>
      <w:r w:rsidR="00CD2390" w:rsidRPr="006D0286">
        <w:t xml:space="preserve"> objectives in our </w:t>
      </w:r>
      <w:r w:rsidR="00CD2390">
        <w:t xml:space="preserve">2020-21 </w:t>
      </w:r>
      <w:r w:rsidR="00CD2390" w:rsidRPr="006D0286">
        <w:t>business plan</w:t>
      </w:r>
      <w:r>
        <w:t xml:space="preserve"> (Appendix 1).</w:t>
      </w:r>
    </w:p>
    <w:p w14:paraId="4D062387" w14:textId="2AF6E4CD" w:rsidR="00CD2390" w:rsidRDefault="008E13D5" w:rsidP="00CD2390">
      <w:pPr>
        <w:pStyle w:val="NICEnormalnumbered"/>
        <w:numPr>
          <w:ilvl w:val="1"/>
          <w:numId w:val="25"/>
        </w:numPr>
      </w:pPr>
      <w:r>
        <w:t>T</w:t>
      </w:r>
      <w:r w:rsidR="00CD2390" w:rsidRPr="005C4F7B">
        <w:t xml:space="preserve">he </w:t>
      </w:r>
      <w:r w:rsidR="00CD2390">
        <w:t>volume of actual to planned outputs</w:t>
      </w:r>
      <w:r w:rsidR="00CD2390" w:rsidRPr="005C4F7B">
        <w:t xml:space="preserve"> of </w:t>
      </w:r>
      <w:r w:rsidR="00CD2390">
        <w:t>our major</w:t>
      </w:r>
      <w:r w:rsidR="00CD2390" w:rsidRPr="005C4F7B">
        <w:t xml:space="preserve"> programmes between April 2020 and </w:t>
      </w:r>
      <w:r w:rsidR="00CD2390">
        <w:t>March 2021</w:t>
      </w:r>
      <w:r>
        <w:t xml:space="preserve"> (Appendix 2)</w:t>
      </w:r>
      <w:r w:rsidR="00CD2390" w:rsidRPr="005C4F7B">
        <w:t>.</w:t>
      </w:r>
    </w:p>
    <w:p w14:paraId="7F8DD146" w14:textId="15193207" w:rsidR="00CD2390" w:rsidRDefault="008E13D5" w:rsidP="00CD2390">
      <w:pPr>
        <w:pStyle w:val="NICEnormalnumbered"/>
        <w:numPr>
          <w:ilvl w:val="1"/>
          <w:numId w:val="25"/>
        </w:numPr>
      </w:pPr>
      <w:r>
        <w:t xml:space="preserve">An explanation of </w:t>
      </w:r>
      <w:r w:rsidR="00CD2390" w:rsidRPr="006D0286">
        <w:t xml:space="preserve">the variance </w:t>
      </w:r>
      <w:r w:rsidR="00CD2390">
        <w:t>of major programme outputs</w:t>
      </w:r>
      <w:r>
        <w:t xml:space="preserve"> (Appendix 3).</w:t>
      </w:r>
    </w:p>
    <w:p w14:paraId="7EA26575" w14:textId="4C0A39C0" w:rsidR="00CD2390" w:rsidRDefault="008E13D5" w:rsidP="00CD2390">
      <w:pPr>
        <w:pStyle w:val="NICEnormalnumbered"/>
        <w:numPr>
          <w:ilvl w:val="1"/>
          <w:numId w:val="25"/>
        </w:numPr>
      </w:pPr>
      <w:r>
        <w:t>T</w:t>
      </w:r>
      <w:r w:rsidR="00CD2390">
        <w:t>he g</w:t>
      </w:r>
      <w:r w:rsidR="00CD2390" w:rsidRPr="006D0286">
        <w:t xml:space="preserve">uidance, quality standards and other advice published since the last Board meeting in </w:t>
      </w:r>
      <w:r w:rsidR="00CD2390">
        <w:t>March 2021</w:t>
      </w:r>
      <w:r>
        <w:t xml:space="preserve"> (Appendix 4)</w:t>
      </w:r>
      <w:r w:rsidR="00CD2390" w:rsidRPr="006D0286">
        <w:t xml:space="preserve">. </w:t>
      </w:r>
    </w:p>
    <w:p w14:paraId="371B4399" w14:textId="4069F26A" w:rsidR="00CD2390" w:rsidRDefault="008E13D5" w:rsidP="00CD2390">
      <w:pPr>
        <w:pStyle w:val="NICEnormalnumbered"/>
        <w:numPr>
          <w:ilvl w:val="1"/>
          <w:numId w:val="25"/>
        </w:numPr>
      </w:pPr>
      <w:r>
        <w:lastRenderedPageBreak/>
        <w:t>T</w:t>
      </w:r>
      <w:r w:rsidR="00CD2390" w:rsidRPr="0053219F">
        <w:t xml:space="preserve">he balanced scorecard showing performance against the measures in the business plan at </w:t>
      </w:r>
      <w:r w:rsidR="00CD2390">
        <w:t>31 March</w:t>
      </w:r>
      <w:r w:rsidR="00CD2390" w:rsidRPr="0053219F">
        <w:t xml:space="preserve"> 202</w:t>
      </w:r>
      <w:r w:rsidR="00CD2390">
        <w:t>1</w:t>
      </w:r>
      <w:r w:rsidR="00CD2390" w:rsidRPr="0053219F">
        <w:t xml:space="preserve"> (Q</w:t>
      </w:r>
      <w:r w:rsidR="00CD2390">
        <w:t>4</w:t>
      </w:r>
      <w:r w:rsidR="00CD2390" w:rsidRPr="0053219F">
        <w:t>)</w:t>
      </w:r>
      <w:r>
        <w:t xml:space="preserve"> (Appendix 5)</w:t>
      </w:r>
      <w:r w:rsidR="00CD2390" w:rsidRPr="0053219F">
        <w:t>.</w:t>
      </w:r>
    </w:p>
    <w:p w14:paraId="761FBA07" w14:textId="66DC0B40" w:rsidR="00E127D4" w:rsidRDefault="00E127D4" w:rsidP="00E127D4">
      <w:pPr>
        <w:pStyle w:val="Heading2"/>
      </w:pPr>
      <w:r>
        <w:t>Variation against plan</w:t>
      </w:r>
    </w:p>
    <w:p w14:paraId="46705FC0" w14:textId="14C00097" w:rsidR="0028563D" w:rsidRPr="00314D9B" w:rsidRDefault="009C5689" w:rsidP="00811012">
      <w:pPr>
        <w:pStyle w:val="NICEnormalnumbered"/>
      </w:pPr>
      <w:r>
        <w:t>Of our 42 business plan objectives</w:t>
      </w:r>
      <w:r w:rsidR="00D022E5">
        <w:t>, 3</w:t>
      </w:r>
      <w:r w:rsidR="00F77C1E">
        <w:t>6</w:t>
      </w:r>
      <w:r w:rsidR="00D022E5">
        <w:t xml:space="preserve"> were delivered to plan. </w:t>
      </w:r>
      <w:r w:rsidR="00404955">
        <w:t xml:space="preserve">Of the remaining </w:t>
      </w:r>
      <w:r w:rsidR="00F77C1E">
        <w:t>6</w:t>
      </w:r>
      <w:r w:rsidR="00FE2F9C">
        <w:t>,</w:t>
      </w:r>
      <w:r w:rsidR="00404955">
        <w:t xml:space="preserve"> </w:t>
      </w:r>
      <w:r w:rsidR="0028563D">
        <w:t>our</w:t>
      </w:r>
      <w:r w:rsidR="00FE2F9C">
        <w:t xml:space="preserve"> original</w:t>
      </w:r>
      <w:r w:rsidR="0028563D">
        <w:t xml:space="preserve"> objective to publish a </w:t>
      </w:r>
      <w:r w:rsidR="0028563D" w:rsidRPr="00E27A77">
        <w:t xml:space="preserve">detailed methodological framework for </w:t>
      </w:r>
      <w:r w:rsidR="00FE2F9C">
        <w:t>using</w:t>
      </w:r>
      <w:r w:rsidR="0028563D" w:rsidRPr="00E27A77">
        <w:t xml:space="preserve"> data analytics across NICE’s programmes</w:t>
      </w:r>
      <w:r w:rsidR="0028563D">
        <w:t xml:space="preserve"> evolved in-year and work is on track in line with the revised approach. W</w:t>
      </w:r>
      <w:r w:rsidR="00D022E5">
        <w:t xml:space="preserve">ork </w:t>
      </w:r>
      <w:r w:rsidR="00404955">
        <w:t>is</w:t>
      </w:r>
      <w:r w:rsidR="00E27A77">
        <w:t xml:space="preserve"> ongoing</w:t>
      </w:r>
      <w:r w:rsidR="00D022E5">
        <w:t xml:space="preserve"> to generate efficiency improvements and to implement the actions in our workforce strategy. The planned reputation research and social media strategy were postponed to the new financial yea</w:t>
      </w:r>
      <w:r w:rsidR="00E27A77">
        <w:t xml:space="preserve">r. </w:t>
      </w:r>
      <w:r w:rsidR="00051529">
        <w:t>Finally, while we did not exceed our resource plan</w:t>
      </w:r>
      <w:r w:rsidR="00314D9B" w:rsidRPr="00314D9B">
        <w:t xml:space="preserve">, </w:t>
      </w:r>
      <w:r w:rsidR="00051529">
        <w:t xml:space="preserve">ending the year with </w:t>
      </w:r>
      <w:r w:rsidR="00314D9B" w:rsidRPr="00314D9B">
        <w:t>a net underspend of £3.7m (9%)</w:t>
      </w:r>
      <w:r w:rsidR="00051529">
        <w:t xml:space="preserve">, </w:t>
      </w:r>
      <w:r w:rsidR="005E2AF8">
        <w:t xml:space="preserve">our </w:t>
      </w:r>
      <w:r w:rsidR="00051529">
        <w:t xml:space="preserve">non-exchequer </w:t>
      </w:r>
      <w:r w:rsidR="005E2AF8">
        <w:t xml:space="preserve">income </w:t>
      </w:r>
      <w:r w:rsidR="005E2AF8" w:rsidRPr="00F22F0E">
        <w:t xml:space="preserve">recognised </w:t>
      </w:r>
      <w:r w:rsidR="005E2AF8">
        <w:t>was</w:t>
      </w:r>
      <w:r w:rsidR="005E2AF8" w:rsidRPr="00F22F0E">
        <w:t xml:space="preserve"> </w:t>
      </w:r>
      <w:r w:rsidR="005E2AF8">
        <w:t xml:space="preserve">£10.3m, </w:t>
      </w:r>
      <w:r w:rsidR="005E2AF8" w:rsidRPr="00F22F0E">
        <w:t>£3.3m (32%) lower than target</w:t>
      </w:r>
      <w:r w:rsidR="005E2AF8">
        <w:t>.</w:t>
      </w:r>
      <w:r w:rsidR="005E2AF8" w:rsidRPr="00314D9B">
        <w:t xml:space="preserve"> </w:t>
      </w:r>
      <w:r w:rsidR="00314D9B" w:rsidRPr="00314D9B">
        <w:t xml:space="preserve">This was due to a range of factors outlined in detail in the Resources progress report. </w:t>
      </w:r>
      <w:r w:rsidR="0028563D">
        <w:t>Further detail on specific areas of work is provided in the directors’ reports.</w:t>
      </w:r>
    </w:p>
    <w:p w14:paraId="38B2360D" w14:textId="5D725FEC" w:rsidR="007F2F82" w:rsidRDefault="007F2F82" w:rsidP="007F2F82">
      <w:pPr>
        <w:pStyle w:val="NICEnormalnumbered"/>
      </w:pPr>
      <w:r>
        <w:t>Of our 45 balanced scorecard measures, 37 were green rated at year end. Two measures lapsed during the year. The remaining six were rated amber, and in one case red at year end. These relate to:</w:t>
      </w:r>
    </w:p>
    <w:p w14:paraId="27D0562F" w14:textId="4D4E5696" w:rsidR="007F2F82" w:rsidRDefault="000E1E78" w:rsidP="007F2F82">
      <w:pPr>
        <w:pStyle w:val="NICEnormalnumbered"/>
        <w:numPr>
          <w:ilvl w:val="1"/>
          <w:numId w:val="29"/>
        </w:numPr>
      </w:pPr>
      <w:r>
        <w:t>Delayed</w:t>
      </w:r>
      <w:r w:rsidR="007F2F82">
        <w:t xml:space="preserve"> publication of a small number of interventional procedures </w:t>
      </w:r>
      <w:r w:rsidR="007F2F82" w:rsidRPr="0084700C">
        <w:t>guidance</w:t>
      </w:r>
      <w:r w:rsidR="007F2F82">
        <w:t>.</w:t>
      </w:r>
    </w:p>
    <w:p w14:paraId="7E870B28" w14:textId="3215067A" w:rsidR="007F2F82" w:rsidRDefault="007F2F82" w:rsidP="007F2F82">
      <w:pPr>
        <w:pStyle w:val="NICEnormalnumbered"/>
        <w:numPr>
          <w:ilvl w:val="1"/>
          <w:numId w:val="29"/>
        </w:numPr>
      </w:pPr>
      <w:r>
        <w:t xml:space="preserve">A </w:t>
      </w:r>
      <w:r w:rsidRPr="005A6CD3">
        <w:t>reduced numbe</w:t>
      </w:r>
      <w:r>
        <w:t xml:space="preserve">r of </w:t>
      </w:r>
      <w:r w:rsidRPr="005A6CD3">
        <w:t>topics recommended for managed access</w:t>
      </w:r>
      <w:r>
        <w:t xml:space="preserve"> below the original target, in line with fewer </w:t>
      </w:r>
      <w:r w:rsidRPr="005A6CD3">
        <w:t>guidance publications during 2020</w:t>
      </w:r>
      <w:r w:rsidR="004F26F5">
        <w:t>-</w:t>
      </w:r>
      <w:r w:rsidRPr="005A6CD3">
        <w:t>21</w:t>
      </w:r>
      <w:r>
        <w:t>.</w:t>
      </w:r>
    </w:p>
    <w:p w14:paraId="1DC405AE" w14:textId="77777777" w:rsidR="007F2F82" w:rsidRDefault="007F2F82" w:rsidP="007F2F82">
      <w:pPr>
        <w:pStyle w:val="NICEnormalnumbered"/>
        <w:numPr>
          <w:ilvl w:val="1"/>
          <w:numId w:val="29"/>
        </w:numPr>
      </w:pPr>
      <w:r>
        <w:t xml:space="preserve">Some </w:t>
      </w:r>
      <w:r w:rsidRPr="009C262A">
        <w:t>negative media coverage, relating to antipsychotic medicines, campaigns to widen access to Kuvan for PKU, and abiraterone for prostate cancer</w:t>
      </w:r>
      <w:r>
        <w:t>.</w:t>
      </w:r>
    </w:p>
    <w:p w14:paraId="041A9957" w14:textId="7AA716C3" w:rsidR="007F2F82" w:rsidRDefault="00314D9B" w:rsidP="007F2F82">
      <w:pPr>
        <w:pStyle w:val="NICEnormalnumbered"/>
        <w:numPr>
          <w:ilvl w:val="1"/>
          <w:numId w:val="29"/>
        </w:numPr>
      </w:pPr>
      <w:r>
        <w:t>Our lower than planned income</w:t>
      </w:r>
      <w:r w:rsidR="00535B1E">
        <w:t xml:space="preserve"> from non-exchequer sources</w:t>
      </w:r>
      <w:r w:rsidR="007F2F82">
        <w:t>.</w:t>
      </w:r>
    </w:p>
    <w:p w14:paraId="0B7949C5" w14:textId="4826B0F7" w:rsidR="007F2F82" w:rsidRDefault="007F2F82" w:rsidP="007F2F82">
      <w:pPr>
        <w:pStyle w:val="NICEnormalnumbered"/>
        <w:numPr>
          <w:ilvl w:val="1"/>
          <w:numId w:val="29"/>
        </w:numPr>
      </w:pPr>
      <w:r>
        <w:lastRenderedPageBreak/>
        <w:t xml:space="preserve">6% of Freedom of Information requests took us longer than </w:t>
      </w:r>
      <w:r w:rsidR="00CD221E">
        <w:t xml:space="preserve">the target </w:t>
      </w:r>
      <w:r>
        <w:t>20 days to respond, in part due to delay</w:t>
      </w:r>
      <w:r w:rsidRPr="00AA6EC2">
        <w:t xml:space="preserve"> in obtaining necessary technical information</w:t>
      </w:r>
      <w:r>
        <w:t>.</w:t>
      </w:r>
    </w:p>
    <w:p w14:paraId="470FAFA8" w14:textId="27D5F2B7" w:rsidR="007F2F82" w:rsidRDefault="007F2F82" w:rsidP="007F2F82">
      <w:pPr>
        <w:pStyle w:val="NICEnormalnumbered"/>
        <w:numPr>
          <w:ilvl w:val="1"/>
          <w:numId w:val="29"/>
        </w:numPr>
      </w:pPr>
      <w:r>
        <w:t>Two</w:t>
      </w:r>
      <w:r w:rsidRPr="00F40265">
        <w:t xml:space="preserve"> appeal decisions </w:t>
      </w:r>
      <w:r w:rsidR="004838EB">
        <w:t xml:space="preserve">were </w:t>
      </w:r>
      <w:r w:rsidR="00B17F8C">
        <w:t>received</w:t>
      </w:r>
      <w:r w:rsidRPr="00F40265">
        <w:t xml:space="preserve"> outside of target</w:t>
      </w:r>
      <w:r>
        <w:t xml:space="preserve"> (within 3 weeks of the hearing).  </w:t>
      </w:r>
    </w:p>
    <w:p w14:paraId="06B2E8DE" w14:textId="0D17D192" w:rsidR="00C44689" w:rsidRDefault="00056451" w:rsidP="00ED2282">
      <w:pPr>
        <w:pStyle w:val="NICEnormalnumbered"/>
      </w:pPr>
      <w:r>
        <w:t xml:space="preserve">Overall, it has been </w:t>
      </w:r>
      <w:r w:rsidR="00BD22B0">
        <w:t>a challenging but successful</w:t>
      </w:r>
      <w:r>
        <w:t xml:space="preserve"> year and the whole </w:t>
      </w:r>
      <w:r w:rsidR="00BD22B0">
        <w:t xml:space="preserve">NICE </w:t>
      </w:r>
      <w:r>
        <w:t xml:space="preserve">team </w:t>
      </w:r>
      <w:r w:rsidR="009410F3">
        <w:t>can</w:t>
      </w:r>
      <w:r>
        <w:t xml:space="preserve"> be proud of </w:t>
      </w:r>
      <w:r w:rsidR="00536CF6">
        <w:t>our</w:t>
      </w:r>
      <w:r>
        <w:t xml:space="preserve"> achievements. </w:t>
      </w:r>
      <w:r w:rsidR="003D79CD">
        <w:t xml:space="preserve">I would like to thank all those across the organisation for their efforts in supporting these </w:t>
      </w:r>
      <w:r w:rsidR="00063790">
        <w:t>developments</w:t>
      </w:r>
      <w:r w:rsidR="003D79CD">
        <w:t xml:space="preserve">.  </w:t>
      </w:r>
      <w:r w:rsidR="003129DA">
        <w:t xml:space="preserve">It has been a remarkable year!  </w:t>
      </w:r>
      <w:r w:rsidR="003D79CD">
        <w:t xml:space="preserve">It </w:t>
      </w:r>
      <w:r w:rsidR="0058319F">
        <w:t xml:space="preserve">has </w:t>
      </w:r>
      <w:r w:rsidR="00063790">
        <w:t xml:space="preserve">also </w:t>
      </w:r>
      <w:r w:rsidR="0058319F">
        <w:t xml:space="preserve">been a real pleasure to see the whole organisation come together </w:t>
      </w:r>
      <w:r w:rsidR="00313DD6">
        <w:t>and get excited about</w:t>
      </w:r>
      <w:r w:rsidR="0058319F">
        <w:t xml:space="preserve"> our new strategy. </w:t>
      </w:r>
      <w:r w:rsidR="00313DD6">
        <w:t xml:space="preserve">The next 12 months will be another exciting period for all of us. I look forward to seeing what more we will achieve together.  </w:t>
      </w:r>
    </w:p>
    <w:p w14:paraId="6CECE6C5" w14:textId="77777777" w:rsidR="004B104B" w:rsidRDefault="004B104B">
      <w:pPr>
        <w:rPr>
          <w:rFonts w:ascii="Arial" w:hAnsi="Arial" w:cs="Arial"/>
          <w:b/>
          <w:bCs/>
          <w:color w:val="00506A"/>
          <w:kern w:val="32"/>
          <w:sz w:val="32"/>
          <w:szCs w:val="32"/>
        </w:rPr>
      </w:pPr>
      <w:r>
        <w:rPr>
          <w:rFonts w:cs="Arial"/>
          <w:b/>
          <w:bCs/>
          <w:color w:val="00506A"/>
          <w:kern w:val="32"/>
          <w:sz w:val="32"/>
          <w:szCs w:val="32"/>
        </w:rPr>
        <w:br w:type="page"/>
      </w:r>
    </w:p>
    <w:p w14:paraId="067D5B2F" w14:textId="25D0C984" w:rsidR="003F112A" w:rsidRDefault="003F112A" w:rsidP="00125062">
      <w:pPr>
        <w:pStyle w:val="Bulletindent2last"/>
        <w:numPr>
          <w:ilvl w:val="0"/>
          <w:numId w:val="0"/>
        </w:numPr>
        <w:sectPr w:rsidR="003F112A" w:rsidSect="004B4705">
          <w:headerReference w:type="default" r:id="rId8"/>
          <w:footerReference w:type="default" r:id="rId9"/>
          <w:pgSz w:w="11906" w:h="16838"/>
          <w:pgMar w:top="1440" w:right="1440" w:bottom="1440" w:left="1440" w:header="708" w:footer="708" w:gutter="0"/>
          <w:cols w:space="708"/>
          <w:docGrid w:linePitch="360"/>
        </w:sectPr>
      </w:pPr>
    </w:p>
    <w:p w14:paraId="005FADA8" w14:textId="63392AC7" w:rsidR="003F112A" w:rsidRPr="008B4B1E" w:rsidRDefault="003F112A" w:rsidP="003F112A">
      <w:pPr>
        <w:pStyle w:val="Heading1boardreport"/>
      </w:pPr>
      <w:r w:rsidRPr="008B4B1E">
        <w:lastRenderedPageBreak/>
        <w:t xml:space="preserve">Appendix </w:t>
      </w:r>
      <w:r w:rsidR="004B104B">
        <w:t>1</w:t>
      </w:r>
      <w:r w:rsidRPr="008B4B1E">
        <w:t xml:space="preserve">: Business objectives for </w:t>
      </w:r>
      <w:r>
        <w:t>2020</w:t>
      </w:r>
      <w:r w:rsidR="004F26F5">
        <w:t>-</w:t>
      </w:r>
      <w:r>
        <w:t xml:space="preserve">21 </w:t>
      </w:r>
      <w:r w:rsidR="004B104B">
        <w:t>–</w:t>
      </w:r>
      <w:r>
        <w:t xml:space="preserve"> </w:t>
      </w:r>
      <w:r w:rsidR="004B104B">
        <w:t>end of year</w:t>
      </w:r>
      <w:r>
        <w:t xml:space="preserve"> update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Transform the presentation, accessibility and utility of NICE guidance and advice, ensuring it is fully aligned to the needs of our users to support adoption"/>
      </w:tblPr>
      <w:tblGrid>
        <w:gridCol w:w="4467"/>
        <w:gridCol w:w="1048"/>
        <w:gridCol w:w="1060"/>
        <w:gridCol w:w="5740"/>
        <w:gridCol w:w="1633"/>
      </w:tblGrid>
      <w:tr w:rsidR="00C64997" w14:paraId="12C79075" w14:textId="3629DF72" w:rsidTr="007A2751">
        <w:trPr>
          <w:tblHeader/>
        </w:trPr>
        <w:tc>
          <w:tcPr>
            <w:tcW w:w="4531" w:type="dxa"/>
          </w:tcPr>
          <w:p w14:paraId="5526A2C3" w14:textId="05326E38" w:rsidR="00C64997" w:rsidRPr="007277C3" w:rsidRDefault="007A2751" w:rsidP="007A2751">
            <w:pPr>
              <w:pStyle w:val="Tableheadingboardreport"/>
            </w:pPr>
            <w:r>
              <w:t xml:space="preserve">1. </w:t>
            </w:r>
            <w:r w:rsidR="00C64997" w:rsidRPr="00944A52">
              <w:t>Transform the presentation, accessibility and utility of NICE guidance and advice, ensuring it is fully aligned to the needs of our users to support adoption</w:t>
            </w:r>
          </w:p>
        </w:tc>
        <w:tc>
          <w:tcPr>
            <w:tcW w:w="775" w:type="dxa"/>
          </w:tcPr>
          <w:p w14:paraId="3A23FABA" w14:textId="4D303EEB" w:rsidR="00C64997" w:rsidRDefault="00C64997" w:rsidP="007C4108">
            <w:pPr>
              <w:pStyle w:val="Tableheadingboardreport"/>
            </w:pPr>
            <w:r>
              <w:t>Original delivery date</w:t>
            </w:r>
          </w:p>
        </w:tc>
        <w:tc>
          <w:tcPr>
            <w:tcW w:w="0" w:type="auto"/>
          </w:tcPr>
          <w:p w14:paraId="463EFDD6" w14:textId="4B684B5E" w:rsidR="00C64997" w:rsidRPr="007277C3" w:rsidRDefault="00C64997" w:rsidP="007C4108">
            <w:pPr>
              <w:pStyle w:val="Tableheadingboardreport"/>
            </w:pPr>
            <w:r>
              <w:t>Revised delivery date</w:t>
            </w:r>
          </w:p>
        </w:tc>
        <w:tc>
          <w:tcPr>
            <w:tcW w:w="5820" w:type="dxa"/>
          </w:tcPr>
          <w:p w14:paraId="799CE344" w14:textId="77777777" w:rsidR="00C64997" w:rsidRPr="00F23A61" w:rsidRDefault="00C64997" w:rsidP="007C4108">
            <w:pPr>
              <w:pStyle w:val="Tableheadingboardreport"/>
              <w:rPr>
                <w:szCs w:val="22"/>
              </w:rPr>
            </w:pPr>
            <w:r w:rsidRPr="00DD2591">
              <w:rPr>
                <w:szCs w:val="22"/>
              </w:rPr>
              <w:t>Progress update</w:t>
            </w:r>
          </w:p>
        </w:tc>
        <w:tc>
          <w:tcPr>
            <w:tcW w:w="1633" w:type="dxa"/>
          </w:tcPr>
          <w:p w14:paraId="7F6DDCAC" w14:textId="6B14F223" w:rsidR="00C64997" w:rsidRPr="00DD2591" w:rsidRDefault="00C64997" w:rsidP="007C4108">
            <w:pPr>
              <w:pStyle w:val="Tableheadingboardreport"/>
              <w:rPr>
                <w:szCs w:val="22"/>
              </w:rPr>
            </w:pPr>
            <w:r>
              <w:rPr>
                <w:szCs w:val="22"/>
              </w:rPr>
              <w:t>End of year status</w:t>
            </w:r>
          </w:p>
        </w:tc>
      </w:tr>
      <w:tr w:rsidR="00C64997" w14:paraId="04B7A350" w14:textId="34B79E88" w:rsidTr="007A2751">
        <w:tc>
          <w:tcPr>
            <w:tcW w:w="4531" w:type="dxa"/>
          </w:tcPr>
          <w:p w14:paraId="4FE399AE" w14:textId="0A226C02" w:rsidR="00C64997" w:rsidRPr="002901A2" w:rsidRDefault="008C4776" w:rsidP="009562CF">
            <w:pPr>
              <w:pStyle w:val="Tabletext"/>
              <w:rPr>
                <w:color w:val="FF0000"/>
              </w:rPr>
            </w:pPr>
            <w:r>
              <w:t xml:space="preserve">1.1 </w:t>
            </w:r>
            <w:r w:rsidR="00C64997" w:rsidRPr="00944A52">
              <w:t>Delivery of internal efficiency improvements as part of NICE Connect</w:t>
            </w:r>
          </w:p>
        </w:tc>
        <w:tc>
          <w:tcPr>
            <w:tcW w:w="775" w:type="dxa"/>
          </w:tcPr>
          <w:p w14:paraId="3D1007C6" w14:textId="23F23C6F" w:rsidR="00C64997" w:rsidRPr="00944A52" w:rsidRDefault="00C64997" w:rsidP="009562CF">
            <w:pPr>
              <w:pStyle w:val="Tabletext"/>
            </w:pPr>
            <w:r>
              <w:t>Ongoing</w:t>
            </w:r>
          </w:p>
        </w:tc>
        <w:tc>
          <w:tcPr>
            <w:tcW w:w="0" w:type="auto"/>
          </w:tcPr>
          <w:p w14:paraId="698B7E27" w14:textId="11567696" w:rsidR="00C64997" w:rsidRPr="00944A52" w:rsidRDefault="00C64997" w:rsidP="009562CF">
            <w:pPr>
              <w:pStyle w:val="Tabletext"/>
            </w:pPr>
            <w:r w:rsidRPr="00944A52">
              <w:t>Ongoing</w:t>
            </w:r>
          </w:p>
        </w:tc>
        <w:tc>
          <w:tcPr>
            <w:tcW w:w="5820" w:type="dxa"/>
          </w:tcPr>
          <w:p w14:paraId="18022321" w14:textId="77777777" w:rsidR="00C64997" w:rsidRPr="00972755" w:rsidRDefault="00C64997" w:rsidP="009562CF">
            <w:pPr>
              <w:pStyle w:val="Tablebullet"/>
            </w:pPr>
            <w:r w:rsidRPr="00972755">
              <w:t xml:space="preserve">Work has continued with both the consultations and surveillance initiatives to drive efficiency: </w:t>
            </w:r>
          </w:p>
          <w:p w14:paraId="250A617C" w14:textId="2EDDA98A" w:rsidR="00C64997" w:rsidRPr="00972755" w:rsidRDefault="00C64997" w:rsidP="009562CF">
            <w:pPr>
              <w:pStyle w:val="Tablebullet"/>
              <w:numPr>
                <w:ilvl w:val="0"/>
                <w:numId w:val="0"/>
              </w:numPr>
              <w:ind w:left="750" w:hanging="390"/>
            </w:pPr>
            <w:r w:rsidRPr="00972755">
              <w:t>o</w:t>
            </w:r>
            <w:r w:rsidRPr="00972755">
              <w:tab/>
              <w:t>Consultations project team ha</w:t>
            </w:r>
            <w:r w:rsidR="00717B9F">
              <w:t>s</w:t>
            </w:r>
            <w:r w:rsidRPr="00972755">
              <w:t xml:space="preserve"> concluded phase 2 activity, identifying key areas of the process and approach for improvement. Phase 3 of the project has now been approved, which will adopt an agile approach to mapping new ways of working over a 6-month duration.</w:t>
            </w:r>
          </w:p>
          <w:p w14:paraId="15C6BFC5" w14:textId="6DCA7BD1" w:rsidR="00C64997" w:rsidRPr="00333DC0" w:rsidRDefault="00C64997" w:rsidP="007A2751">
            <w:pPr>
              <w:pStyle w:val="Tablebullet"/>
              <w:numPr>
                <w:ilvl w:val="0"/>
                <w:numId w:val="0"/>
              </w:numPr>
              <w:ind w:left="750" w:hanging="390"/>
            </w:pPr>
            <w:r w:rsidRPr="00972755">
              <w:t>o</w:t>
            </w:r>
            <w:r w:rsidRPr="00972755">
              <w:tab/>
            </w:r>
            <w:r>
              <w:t>O</w:t>
            </w:r>
            <w:r w:rsidRPr="00972755">
              <w:t xml:space="preserve">ptions appraisal approved for the Redesign of Surveillance in the long term. For the immediate term, support teams will progress with aligning approaches to key processes and surveillance triggered by priority. </w:t>
            </w:r>
          </w:p>
        </w:tc>
        <w:tc>
          <w:tcPr>
            <w:tcW w:w="1633" w:type="dxa"/>
          </w:tcPr>
          <w:p w14:paraId="03499E8D" w14:textId="02061DA5" w:rsidR="00C64997" w:rsidRPr="00972755" w:rsidRDefault="00DE6081" w:rsidP="006130E6">
            <w:pPr>
              <w:pStyle w:val="Tablebullet"/>
              <w:numPr>
                <w:ilvl w:val="0"/>
                <w:numId w:val="0"/>
              </w:numPr>
            </w:pPr>
            <w:r>
              <w:t xml:space="preserve">Partially delivered. </w:t>
            </w:r>
            <w:r w:rsidR="00C64997">
              <w:t>Work will continue in 2021/22</w:t>
            </w:r>
            <w:r w:rsidR="00197EE6">
              <w:t xml:space="preserve"> as part of the broader transformation programme</w:t>
            </w:r>
          </w:p>
        </w:tc>
      </w:tr>
      <w:tr w:rsidR="00C64997" w14:paraId="6BD4BB78" w14:textId="3A544437" w:rsidTr="007A2751">
        <w:tc>
          <w:tcPr>
            <w:tcW w:w="4531" w:type="dxa"/>
          </w:tcPr>
          <w:p w14:paraId="1400F720" w14:textId="43C25810" w:rsidR="00C64997" w:rsidRPr="00944A52" w:rsidRDefault="008C4776" w:rsidP="009562CF">
            <w:pPr>
              <w:pStyle w:val="Tabletext"/>
            </w:pPr>
            <w:r>
              <w:t xml:space="preserve">1.2 </w:t>
            </w:r>
            <w:r w:rsidR="00C64997" w:rsidRPr="00944A52">
              <w:t>Undertake a discovery for a commissioner/life sciences portal incorporating process and technical considerations and user research as part of NICE Connect</w:t>
            </w:r>
            <w:r w:rsidR="00C64997">
              <w:t xml:space="preserve"> </w:t>
            </w:r>
          </w:p>
        </w:tc>
        <w:tc>
          <w:tcPr>
            <w:tcW w:w="775" w:type="dxa"/>
          </w:tcPr>
          <w:p w14:paraId="46E4E0B7" w14:textId="741F534C" w:rsidR="00C64997" w:rsidRDefault="00335C3C" w:rsidP="009562CF">
            <w:pPr>
              <w:pStyle w:val="Tabletext"/>
            </w:pPr>
            <w:r>
              <w:t>Ongoing</w:t>
            </w:r>
          </w:p>
        </w:tc>
        <w:tc>
          <w:tcPr>
            <w:tcW w:w="0" w:type="auto"/>
          </w:tcPr>
          <w:p w14:paraId="04154FE9" w14:textId="2B070202" w:rsidR="00C64997" w:rsidRPr="00944A52" w:rsidRDefault="00C64997" w:rsidP="009562CF">
            <w:pPr>
              <w:pStyle w:val="Tabletext"/>
            </w:pPr>
            <w:r>
              <w:t>Q4 20/21</w:t>
            </w:r>
          </w:p>
        </w:tc>
        <w:tc>
          <w:tcPr>
            <w:tcW w:w="5820" w:type="dxa"/>
          </w:tcPr>
          <w:p w14:paraId="40A7437C" w14:textId="08BDD6F2" w:rsidR="00C64997" w:rsidRPr="00333DC0" w:rsidRDefault="00C64997" w:rsidP="009562CF">
            <w:pPr>
              <w:pStyle w:val="Tablebullet"/>
            </w:pPr>
            <w:r>
              <w:t>A light discovery phase was completed</w:t>
            </w:r>
            <w:r w:rsidRPr="00333DC0">
              <w:t>.</w:t>
            </w:r>
            <w:r>
              <w:t xml:space="preserve"> This provides priority objectives to guide the development of the ‘life science hub’ resource during 2021/22.  </w:t>
            </w:r>
          </w:p>
        </w:tc>
        <w:tc>
          <w:tcPr>
            <w:tcW w:w="1633" w:type="dxa"/>
          </w:tcPr>
          <w:p w14:paraId="4DC9C647" w14:textId="01CAB8D3" w:rsidR="00C64997" w:rsidRDefault="00C64997" w:rsidP="006130E6">
            <w:pPr>
              <w:pStyle w:val="Tablebullet"/>
              <w:numPr>
                <w:ilvl w:val="0"/>
                <w:numId w:val="0"/>
              </w:numPr>
            </w:pPr>
            <w:r>
              <w:t>Delivered</w:t>
            </w:r>
          </w:p>
        </w:tc>
      </w:tr>
      <w:tr w:rsidR="00C64997" w14:paraId="0F79ABA0" w14:textId="50C86989" w:rsidTr="007A2751">
        <w:tc>
          <w:tcPr>
            <w:tcW w:w="4531" w:type="dxa"/>
          </w:tcPr>
          <w:p w14:paraId="5B28D91D" w14:textId="162B39AE" w:rsidR="00C64997" w:rsidRPr="007277C3" w:rsidRDefault="008C4776" w:rsidP="009562CF">
            <w:pPr>
              <w:pStyle w:val="Tabletext"/>
            </w:pPr>
            <w:r>
              <w:t xml:space="preserve">1.3 </w:t>
            </w:r>
            <w:r w:rsidR="00C64997" w:rsidRPr="00944A52">
              <w:t>Undertake a Citeable Publications feasibility study and roll out in conjunction with NIHR as part of NICE Connect</w:t>
            </w:r>
          </w:p>
        </w:tc>
        <w:tc>
          <w:tcPr>
            <w:tcW w:w="775" w:type="dxa"/>
          </w:tcPr>
          <w:p w14:paraId="370FBF81" w14:textId="5665FAA1" w:rsidR="00C64997" w:rsidRPr="00944A52" w:rsidRDefault="00335C3C" w:rsidP="009562CF">
            <w:pPr>
              <w:pStyle w:val="Tabletext"/>
            </w:pPr>
            <w:r>
              <w:t>Q3 20/21</w:t>
            </w:r>
          </w:p>
        </w:tc>
        <w:tc>
          <w:tcPr>
            <w:tcW w:w="0" w:type="auto"/>
          </w:tcPr>
          <w:p w14:paraId="491E0460" w14:textId="558DAC17" w:rsidR="00C64997" w:rsidRPr="007277C3" w:rsidRDefault="00C64997" w:rsidP="009562CF">
            <w:pPr>
              <w:pStyle w:val="Tabletext"/>
            </w:pPr>
            <w:r w:rsidRPr="00944A52">
              <w:t>Q3 20/21</w:t>
            </w:r>
          </w:p>
        </w:tc>
        <w:tc>
          <w:tcPr>
            <w:tcW w:w="5820" w:type="dxa"/>
          </w:tcPr>
          <w:p w14:paraId="1F9AC4B9" w14:textId="5C985B65" w:rsidR="00C64997" w:rsidRPr="002E3B6E" w:rsidRDefault="00C64997" w:rsidP="009562CF">
            <w:pPr>
              <w:pStyle w:val="Tablebullet"/>
              <w:rPr>
                <w:rFonts w:eastAsia="Calibri"/>
              </w:rPr>
            </w:pPr>
            <w:r w:rsidRPr="009120B1">
              <w:rPr>
                <w:rFonts w:eastAsia="Calibri"/>
              </w:rPr>
              <w:t xml:space="preserve">The feasibility assessment and options appraisal of working with NIHR as a solution for surfacing citeable publications produced during NICE guidance development was delivered 18 March 2021. The NIHR solution was considered unfeasible, and instead we </w:t>
            </w:r>
            <w:r>
              <w:rPr>
                <w:rFonts w:eastAsia="Calibri"/>
              </w:rPr>
              <w:t>will</w:t>
            </w:r>
            <w:r w:rsidRPr="009120B1">
              <w:rPr>
                <w:rFonts w:eastAsia="Calibri"/>
              </w:rPr>
              <w:t xml:space="preserve"> </w:t>
            </w:r>
            <w:r>
              <w:rPr>
                <w:rFonts w:eastAsia="Calibri"/>
              </w:rPr>
              <w:t>p</w:t>
            </w:r>
            <w:r w:rsidRPr="009120B1">
              <w:rPr>
                <w:rFonts w:eastAsia="Calibri"/>
              </w:rPr>
              <w:t xml:space="preserve">rogress our relationship with National Center for Biotechnology Information </w:t>
            </w:r>
            <w:r>
              <w:rPr>
                <w:rFonts w:eastAsia="Calibri"/>
              </w:rPr>
              <w:lastRenderedPageBreak/>
              <w:t>(</w:t>
            </w:r>
            <w:r w:rsidRPr="009120B1">
              <w:rPr>
                <w:rFonts w:eastAsia="Calibri"/>
              </w:rPr>
              <w:t>NCBI</w:t>
            </w:r>
            <w:r>
              <w:rPr>
                <w:rFonts w:eastAsia="Calibri"/>
              </w:rPr>
              <w:t>) as a pragmatic solution, e</w:t>
            </w:r>
            <w:r w:rsidRPr="009120B1">
              <w:rPr>
                <w:rFonts w:eastAsia="Calibri"/>
              </w:rPr>
              <w:t>nsur</w:t>
            </w:r>
            <w:r>
              <w:rPr>
                <w:rFonts w:eastAsia="Calibri"/>
              </w:rPr>
              <w:t xml:space="preserve">ing there are </w:t>
            </w:r>
            <w:r w:rsidRPr="009120B1">
              <w:rPr>
                <w:rFonts w:eastAsia="Calibri"/>
              </w:rPr>
              <w:t xml:space="preserve">links </w:t>
            </w:r>
            <w:r>
              <w:rPr>
                <w:rFonts w:eastAsia="Calibri"/>
              </w:rPr>
              <w:t>with the</w:t>
            </w:r>
            <w:r w:rsidRPr="009120B1">
              <w:rPr>
                <w:rFonts w:eastAsia="Calibri"/>
              </w:rPr>
              <w:t xml:space="preserve"> content strategy and integrated guidance project</w:t>
            </w:r>
            <w:r>
              <w:rPr>
                <w:rFonts w:eastAsia="Calibri"/>
              </w:rPr>
              <w:t>.</w:t>
            </w:r>
            <w:r w:rsidRPr="009120B1">
              <w:rPr>
                <w:rFonts w:ascii="Roboto" w:hAnsi="Roboto"/>
                <w:color w:val="666666"/>
                <w:sz w:val="20"/>
                <w:szCs w:val="20"/>
                <w:shd w:val="clear" w:color="auto" w:fill="FFFFFF"/>
              </w:rPr>
              <w:t xml:space="preserve"> </w:t>
            </w:r>
            <w:r w:rsidRPr="009120B1">
              <w:rPr>
                <w:rFonts w:eastAsia="Calibri"/>
              </w:rPr>
              <w:t xml:space="preserve">The NCBI is part of the United States National Library of Medicine, a branch of the National Institutes of Health. The NCBI Bookshelf is a collection of freely accessible, downloadable, on-line versions of selected biomedical </w:t>
            </w:r>
            <w:r>
              <w:rPr>
                <w:rFonts w:eastAsia="Calibri"/>
              </w:rPr>
              <w:t>content.</w:t>
            </w:r>
          </w:p>
        </w:tc>
        <w:tc>
          <w:tcPr>
            <w:tcW w:w="1633" w:type="dxa"/>
          </w:tcPr>
          <w:p w14:paraId="33857B25" w14:textId="6556F27C" w:rsidR="00C64997" w:rsidRPr="009120B1" w:rsidRDefault="00C64997" w:rsidP="006130E6">
            <w:pPr>
              <w:pStyle w:val="Tablebullet"/>
              <w:numPr>
                <w:ilvl w:val="0"/>
                <w:numId w:val="0"/>
              </w:numPr>
              <w:rPr>
                <w:rFonts w:eastAsia="Calibri"/>
              </w:rPr>
            </w:pPr>
            <w:r>
              <w:rPr>
                <w:rFonts w:eastAsia="Calibri"/>
              </w:rPr>
              <w:lastRenderedPageBreak/>
              <w:t>Delivered</w:t>
            </w:r>
          </w:p>
        </w:tc>
      </w:tr>
      <w:tr w:rsidR="00C64997" w14:paraId="4F61BA97" w14:textId="22D21422" w:rsidTr="007A2751">
        <w:tc>
          <w:tcPr>
            <w:tcW w:w="4531" w:type="dxa"/>
          </w:tcPr>
          <w:p w14:paraId="49B9D85D" w14:textId="6794F71B" w:rsidR="00C64997" w:rsidRPr="007277C3" w:rsidRDefault="008C4776" w:rsidP="00C2444D">
            <w:pPr>
              <w:pStyle w:val="Tabletext"/>
            </w:pPr>
            <w:r>
              <w:t xml:space="preserve">1.4 </w:t>
            </w:r>
            <w:r w:rsidR="00C64997" w:rsidRPr="00944A52">
              <w:t>Introduce one external registration point for stakeholder information on the website following an internal process review</w:t>
            </w:r>
          </w:p>
        </w:tc>
        <w:tc>
          <w:tcPr>
            <w:tcW w:w="775" w:type="dxa"/>
          </w:tcPr>
          <w:p w14:paraId="176BAAD1" w14:textId="48689DA8" w:rsidR="00C64997" w:rsidRPr="00944A52" w:rsidRDefault="00335C3C" w:rsidP="00C2444D">
            <w:pPr>
              <w:pStyle w:val="Tabletext"/>
            </w:pPr>
            <w:r>
              <w:t>Ongoing</w:t>
            </w:r>
          </w:p>
        </w:tc>
        <w:tc>
          <w:tcPr>
            <w:tcW w:w="0" w:type="auto"/>
          </w:tcPr>
          <w:p w14:paraId="79AE4D4F" w14:textId="723286D6" w:rsidR="00C64997" w:rsidRPr="007277C3" w:rsidRDefault="00C64997" w:rsidP="00C2444D">
            <w:pPr>
              <w:pStyle w:val="Tabletext"/>
            </w:pPr>
            <w:r w:rsidRPr="00944A52">
              <w:t>Ongoing</w:t>
            </w:r>
          </w:p>
        </w:tc>
        <w:tc>
          <w:tcPr>
            <w:tcW w:w="5820" w:type="dxa"/>
          </w:tcPr>
          <w:p w14:paraId="2ED8D4A0" w14:textId="5EF34994" w:rsidR="00C64997" w:rsidRPr="002E3B6E" w:rsidRDefault="00C64997" w:rsidP="00C2444D">
            <w:pPr>
              <w:pStyle w:val="Tablebullet"/>
              <w:rPr>
                <w:rFonts w:eastAsia="Calibri"/>
              </w:rPr>
            </w:pPr>
            <w:r w:rsidRPr="002E3B6E">
              <w:rPr>
                <w:rFonts w:eastAsia="Calibri"/>
              </w:rPr>
              <w:t>NICE’s stakeholder registration processes have been successfully migrated into one page on the NICE website. The data gathered on traffic to this new page will inform a broader effort to develop a single process for stakeholder registration.</w:t>
            </w:r>
          </w:p>
        </w:tc>
        <w:tc>
          <w:tcPr>
            <w:tcW w:w="1633" w:type="dxa"/>
          </w:tcPr>
          <w:p w14:paraId="705B2016" w14:textId="271BD8EB" w:rsidR="00C64997" w:rsidRPr="002E3B6E" w:rsidRDefault="00C64997" w:rsidP="006130E6">
            <w:pPr>
              <w:pStyle w:val="Tablebullet"/>
              <w:numPr>
                <w:ilvl w:val="0"/>
                <w:numId w:val="0"/>
              </w:numPr>
              <w:rPr>
                <w:rFonts w:eastAsia="Calibri"/>
              </w:rPr>
            </w:pPr>
            <w:r>
              <w:rPr>
                <w:rFonts w:eastAsia="Calibri"/>
              </w:rPr>
              <w:t>Delivered</w:t>
            </w:r>
          </w:p>
        </w:tc>
      </w:tr>
      <w:tr w:rsidR="00C64997" w14:paraId="6CF94CE9" w14:textId="72EACD9F" w:rsidTr="007A2751">
        <w:tc>
          <w:tcPr>
            <w:tcW w:w="4531" w:type="dxa"/>
          </w:tcPr>
          <w:p w14:paraId="73402318" w14:textId="42871A3C" w:rsidR="00C64997" w:rsidRPr="007277C3" w:rsidRDefault="008C4776" w:rsidP="00C2444D">
            <w:pPr>
              <w:pStyle w:val="Tabletext"/>
            </w:pPr>
            <w:r>
              <w:t xml:space="preserve">1.5 </w:t>
            </w:r>
            <w:r w:rsidR="00C64997" w:rsidRPr="00944A52">
              <w:t>Deliver a range of tools and support for the uptake of NICE products, including resource impact support, budget impact tests, endorsement statements, and shared learning examples</w:t>
            </w:r>
          </w:p>
        </w:tc>
        <w:tc>
          <w:tcPr>
            <w:tcW w:w="775" w:type="dxa"/>
          </w:tcPr>
          <w:p w14:paraId="3C242696" w14:textId="7FB881F8" w:rsidR="00C64997" w:rsidRPr="00944A52" w:rsidRDefault="00335C3C" w:rsidP="00C2444D">
            <w:pPr>
              <w:pStyle w:val="Tabletext"/>
            </w:pPr>
            <w:r>
              <w:t>Ongoing</w:t>
            </w:r>
          </w:p>
        </w:tc>
        <w:tc>
          <w:tcPr>
            <w:tcW w:w="0" w:type="auto"/>
          </w:tcPr>
          <w:p w14:paraId="7E8F53AA" w14:textId="1884DD22" w:rsidR="00C64997" w:rsidRPr="007277C3" w:rsidRDefault="00C64997" w:rsidP="00C2444D">
            <w:pPr>
              <w:pStyle w:val="Tabletext"/>
            </w:pPr>
            <w:r w:rsidRPr="00944A52">
              <w:t>Ongoing</w:t>
            </w:r>
          </w:p>
        </w:tc>
        <w:tc>
          <w:tcPr>
            <w:tcW w:w="5820" w:type="dxa"/>
          </w:tcPr>
          <w:p w14:paraId="79369CA9" w14:textId="2209D08F" w:rsidR="00C64997" w:rsidRPr="002E3B6E" w:rsidRDefault="00C64997" w:rsidP="00C2444D">
            <w:pPr>
              <w:pStyle w:val="Tablebullet"/>
              <w:rPr>
                <w:rFonts w:eastAsia="Calibri"/>
              </w:rPr>
            </w:pPr>
            <w:r w:rsidRPr="002E3B6E">
              <w:rPr>
                <w:rFonts w:eastAsia="Calibri"/>
              </w:rPr>
              <w:t>We have successfully delivered a range of initiatives to support uptake, including:</w:t>
            </w:r>
          </w:p>
          <w:p w14:paraId="5B899C03" w14:textId="54BA1DEF" w:rsidR="00C64997" w:rsidRPr="002E3B6E" w:rsidRDefault="00C64997" w:rsidP="004961BC">
            <w:pPr>
              <w:pStyle w:val="Tablebullet"/>
              <w:numPr>
                <w:ilvl w:val="1"/>
                <w:numId w:val="21"/>
              </w:numPr>
              <w:rPr>
                <w:rFonts w:eastAsia="Calibri"/>
              </w:rPr>
            </w:pPr>
            <w:r w:rsidRPr="002E3B6E">
              <w:rPr>
                <w:rFonts w:eastAsia="Calibri"/>
              </w:rPr>
              <w:t>Streamlining our endorsement process to support COVID-19 rapid guidance.</w:t>
            </w:r>
          </w:p>
          <w:p w14:paraId="493317A6" w14:textId="0622FB4E" w:rsidR="00C64997" w:rsidRPr="002E3B6E" w:rsidRDefault="00C64997" w:rsidP="004961BC">
            <w:pPr>
              <w:pStyle w:val="Tablebullet"/>
              <w:numPr>
                <w:ilvl w:val="1"/>
                <w:numId w:val="21"/>
              </w:numPr>
              <w:rPr>
                <w:rFonts w:eastAsia="Calibri"/>
              </w:rPr>
            </w:pPr>
            <w:r w:rsidRPr="002E3B6E">
              <w:rPr>
                <w:rFonts w:eastAsia="Calibri"/>
              </w:rPr>
              <w:t xml:space="preserve">Celebrating excellent examples of NICE guidance being used by the system at the shared learning awards in November 2020. </w:t>
            </w:r>
          </w:p>
          <w:p w14:paraId="481F1F1C" w14:textId="7DD8CC34" w:rsidR="00C64997" w:rsidRPr="002E3B6E" w:rsidRDefault="00C64997" w:rsidP="004961BC">
            <w:pPr>
              <w:pStyle w:val="Tablebullet"/>
              <w:numPr>
                <w:ilvl w:val="1"/>
                <w:numId w:val="21"/>
              </w:numPr>
              <w:rPr>
                <w:rFonts w:eastAsia="Calibri"/>
              </w:rPr>
            </w:pPr>
            <w:r w:rsidRPr="002E3B6E">
              <w:rPr>
                <w:rFonts w:eastAsia="Calibri"/>
              </w:rPr>
              <w:t>Publishing resource impact tools for published technology appraisals.</w:t>
            </w:r>
          </w:p>
        </w:tc>
        <w:tc>
          <w:tcPr>
            <w:tcW w:w="1633" w:type="dxa"/>
          </w:tcPr>
          <w:p w14:paraId="34DF40AD" w14:textId="7CC16285" w:rsidR="00C64997" w:rsidRPr="002E3B6E" w:rsidRDefault="00C64997" w:rsidP="006130E6">
            <w:pPr>
              <w:pStyle w:val="Tablebullet"/>
              <w:numPr>
                <w:ilvl w:val="0"/>
                <w:numId w:val="0"/>
              </w:numPr>
              <w:ind w:left="360" w:hanging="360"/>
              <w:rPr>
                <w:rFonts w:eastAsia="Calibri"/>
              </w:rPr>
            </w:pPr>
            <w:r>
              <w:rPr>
                <w:rFonts w:eastAsia="Calibri"/>
              </w:rPr>
              <w:t>Delivered</w:t>
            </w:r>
          </w:p>
        </w:tc>
      </w:tr>
      <w:tr w:rsidR="00C64997" w14:paraId="337D4A99" w14:textId="73C106AF" w:rsidTr="007A2751">
        <w:tc>
          <w:tcPr>
            <w:tcW w:w="4531" w:type="dxa"/>
          </w:tcPr>
          <w:p w14:paraId="33087B62" w14:textId="25632292" w:rsidR="00C64997" w:rsidRPr="007277C3" w:rsidRDefault="008C4776" w:rsidP="00C2444D">
            <w:pPr>
              <w:pStyle w:val="Tabletext"/>
            </w:pPr>
            <w:r>
              <w:t xml:space="preserve">1.6 </w:t>
            </w:r>
            <w:r w:rsidR="00C64997" w:rsidRPr="00944A52">
              <w:t>Manage and maintain NICE’s live digital services utilising user insight and strategic service goals to prioritise use of the available resources</w:t>
            </w:r>
          </w:p>
        </w:tc>
        <w:tc>
          <w:tcPr>
            <w:tcW w:w="775" w:type="dxa"/>
          </w:tcPr>
          <w:p w14:paraId="76E57369" w14:textId="6D1421BA" w:rsidR="00C64997" w:rsidRPr="00944A52" w:rsidRDefault="00335C3C" w:rsidP="00C2444D">
            <w:pPr>
              <w:pStyle w:val="Tabletext"/>
            </w:pPr>
            <w:r>
              <w:t>Ongoing</w:t>
            </w:r>
          </w:p>
        </w:tc>
        <w:tc>
          <w:tcPr>
            <w:tcW w:w="0" w:type="auto"/>
          </w:tcPr>
          <w:p w14:paraId="67723870" w14:textId="51E91C09" w:rsidR="00C64997" w:rsidRPr="007277C3" w:rsidRDefault="00C64997" w:rsidP="00C2444D">
            <w:pPr>
              <w:pStyle w:val="Tabletext"/>
            </w:pPr>
            <w:r w:rsidRPr="00944A52">
              <w:t>Ongoing</w:t>
            </w:r>
          </w:p>
        </w:tc>
        <w:tc>
          <w:tcPr>
            <w:tcW w:w="5820" w:type="dxa"/>
          </w:tcPr>
          <w:p w14:paraId="23EC18BA" w14:textId="2AEA4ABC" w:rsidR="00C64997" w:rsidRPr="00333DC0" w:rsidRDefault="00C64997" w:rsidP="00C2444D">
            <w:pPr>
              <w:pStyle w:val="Tablebullet"/>
            </w:pPr>
            <w:r w:rsidRPr="00333DC0">
              <w:t xml:space="preserve">Live service maintenance and user insight continue as part of business-as-usual activity. </w:t>
            </w:r>
          </w:p>
        </w:tc>
        <w:tc>
          <w:tcPr>
            <w:tcW w:w="1633" w:type="dxa"/>
          </w:tcPr>
          <w:p w14:paraId="4F2A5F9C" w14:textId="78077DEA" w:rsidR="00C64997" w:rsidRPr="00333DC0" w:rsidRDefault="00197EE6" w:rsidP="006130E6">
            <w:pPr>
              <w:pStyle w:val="Tablebullet"/>
              <w:numPr>
                <w:ilvl w:val="0"/>
                <w:numId w:val="0"/>
              </w:numPr>
            </w:pPr>
            <w:r>
              <w:t>Delivered</w:t>
            </w:r>
          </w:p>
        </w:tc>
      </w:tr>
      <w:tr w:rsidR="00C64997" w14:paraId="6739ADAC" w14:textId="27A2BD37" w:rsidTr="007A2751">
        <w:tc>
          <w:tcPr>
            <w:tcW w:w="4531" w:type="dxa"/>
          </w:tcPr>
          <w:p w14:paraId="68A39DCE" w14:textId="5FE817A5" w:rsidR="00C64997" w:rsidRPr="007277C3" w:rsidRDefault="008C4776" w:rsidP="00C2444D">
            <w:pPr>
              <w:pStyle w:val="Tabletext"/>
            </w:pPr>
            <w:r>
              <w:t xml:space="preserve">1.7 </w:t>
            </w:r>
            <w:r w:rsidR="00C64997" w:rsidRPr="00944A52">
              <w:t xml:space="preserve">Commission biennial NICE reputation research to assess key stakeholders’ views of NICE, deliver a research project to </w:t>
            </w:r>
            <w:r w:rsidR="00C64997" w:rsidRPr="00944A52">
              <w:lastRenderedPageBreak/>
              <w:t>understand audience requirements for implementation support, and develop and deliver an audience insights strategy to support NICE Connect</w:t>
            </w:r>
          </w:p>
        </w:tc>
        <w:tc>
          <w:tcPr>
            <w:tcW w:w="775" w:type="dxa"/>
          </w:tcPr>
          <w:p w14:paraId="4591FE4E" w14:textId="6590FDAE" w:rsidR="00C64997" w:rsidRDefault="00335C3C" w:rsidP="00C2444D">
            <w:pPr>
              <w:pStyle w:val="Tabletext"/>
            </w:pPr>
            <w:r>
              <w:lastRenderedPageBreak/>
              <w:t xml:space="preserve">Q2 and Q4 </w:t>
            </w:r>
          </w:p>
        </w:tc>
        <w:tc>
          <w:tcPr>
            <w:tcW w:w="0" w:type="auto"/>
          </w:tcPr>
          <w:p w14:paraId="67E9D9F3" w14:textId="5B8983CC" w:rsidR="00C64997" w:rsidRPr="007277C3" w:rsidRDefault="00C64997" w:rsidP="00C2444D">
            <w:pPr>
              <w:pStyle w:val="Tabletext"/>
            </w:pPr>
            <w:r>
              <w:t>Q1 2021/22</w:t>
            </w:r>
          </w:p>
        </w:tc>
        <w:tc>
          <w:tcPr>
            <w:tcW w:w="5820" w:type="dxa"/>
          </w:tcPr>
          <w:p w14:paraId="51ABD31A" w14:textId="72B3CC1A" w:rsidR="00C64997" w:rsidRPr="00F83BB9" w:rsidRDefault="00C64997" w:rsidP="00B16544">
            <w:pPr>
              <w:pStyle w:val="Tablebullet"/>
              <w:rPr>
                <w:szCs w:val="22"/>
              </w:rPr>
            </w:pPr>
            <w:r w:rsidRPr="00F83BB9">
              <w:t xml:space="preserve">We have re-appointed Yonder who conducted the 2019 research project, to conduct the reputation research, with field work anticipated to begin in June. </w:t>
            </w:r>
          </w:p>
          <w:p w14:paraId="728B5B47" w14:textId="47CE5F3E" w:rsidR="00C64997" w:rsidRPr="00333DC0" w:rsidRDefault="00C64997" w:rsidP="00B16544">
            <w:pPr>
              <w:pStyle w:val="Tablebullet"/>
            </w:pPr>
            <w:r w:rsidRPr="00F83BB9">
              <w:lastRenderedPageBreak/>
              <w:t>User insight is informing decisions across transformation (Connect) projects, particularly for the integrated guidance project where we have been running a rolling programme of research to inform user-led content development.</w:t>
            </w:r>
          </w:p>
        </w:tc>
        <w:tc>
          <w:tcPr>
            <w:tcW w:w="1633" w:type="dxa"/>
          </w:tcPr>
          <w:p w14:paraId="29419CC8" w14:textId="2FA382A3" w:rsidR="00C64997" w:rsidRPr="00F83BB9" w:rsidRDefault="008D4A0D" w:rsidP="006130E6">
            <w:pPr>
              <w:pStyle w:val="Tablebullet"/>
              <w:numPr>
                <w:ilvl w:val="0"/>
                <w:numId w:val="0"/>
              </w:numPr>
            </w:pPr>
            <w:r>
              <w:lastRenderedPageBreak/>
              <w:t xml:space="preserve">Not yet delivered – on track to be </w:t>
            </w:r>
            <w:r w:rsidR="00ED2A70">
              <w:lastRenderedPageBreak/>
              <w:t>d</w:t>
            </w:r>
            <w:r>
              <w:t>elivered in</w:t>
            </w:r>
            <w:r w:rsidR="00C64997">
              <w:t xml:space="preserve"> </w:t>
            </w:r>
            <w:r>
              <w:t xml:space="preserve">Q1 </w:t>
            </w:r>
            <w:r w:rsidR="00C64997">
              <w:t>2021/22</w:t>
            </w:r>
          </w:p>
        </w:tc>
      </w:tr>
      <w:tr w:rsidR="00C64997" w14:paraId="21324099" w14:textId="5528682A" w:rsidTr="007A2751">
        <w:tc>
          <w:tcPr>
            <w:tcW w:w="4531" w:type="dxa"/>
          </w:tcPr>
          <w:p w14:paraId="2AC89B7E" w14:textId="3A08811A" w:rsidR="00C64997" w:rsidRPr="007277C3" w:rsidRDefault="008C4776" w:rsidP="00B16544">
            <w:pPr>
              <w:pStyle w:val="Tabletext"/>
            </w:pPr>
            <w:r>
              <w:lastRenderedPageBreak/>
              <w:t xml:space="preserve">1.8 </w:t>
            </w:r>
            <w:r w:rsidR="00C64997" w:rsidRPr="00944A52">
              <w:t>Deliver multi-channel marketing activities for major initiatives through the newly established brand and marketing team</w:t>
            </w:r>
          </w:p>
        </w:tc>
        <w:tc>
          <w:tcPr>
            <w:tcW w:w="775" w:type="dxa"/>
          </w:tcPr>
          <w:p w14:paraId="7EE59F71" w14:textId="7AEF81FD" w:rsidR="00C64997" w:rsidRPr="004961BC" w:rsidRDefault="00335C3C" w:rsidP="00B16544">
            <w:pPr>
              <w:pStyle w:val="Tabletext"/>
            </w:pPr>
            <w:r>
              <w:t>Ongoing</w:t>
            </w:r>
          </w:p>
        </w:tc>
        <w:tc>
          <w:tcPr>
            <w:tcW w:w="0" w:type="auto"/>
          </w:tcPr>
          <w:p w14:paraId="6D01FBD9" w14:textId="0CD5BDF9" w:rsidR="00C64997" w:rsidRPr="00C2444D" w:rsidRDefault="00C64997" w:rsidP="00B16544">
            <w:pPr>
              <w:pStyle w:val="Tabletext"/>
            </w:pPr>
            <w:r w:rsidRPr="004961BC">
              <w:t>Q4 and ongoing</w:t>
            </w:r>
          </w:p>
        </w:tc>
        <w:tc>
          <w:tcPr>
            <w:tcW w:w="5820" w:type="dxa"/>
          </w:tcPr>
          <w:p w14:paraId="5299DAB8" w14:textId="427AF2AD" w:rsidR="00C64997" w:rsidRDefault="00C64997" w:rsidP="00B16544">
            <w:pPr>
              <w:pStyle w:val="Tablebullet"/>
              <w:rPr>
                <w:sz w:val="24"/>
                <w:lang w:eastAsia="en-GB"/>
              </w:rPr>
            </w:pPr>
            <w:r w:rsidRPr="00F83BB9">
              <w:t>Strategy launch marketing campaign:</w:t>
            </w:r>
            <w:r>
              <w:t xml:space="preserve"> In the weeks before the strategy launch event we launched a paid digital marketing campaign, consisting of advertising on social media channels, Google search, re-marketing (web banners served to those who visited specific pages on the NICE website) and display banners on publication sites. The post-launch awareness-raising phase ran until Sunday 10 May.</w:t>
            </w:r>
          </w:p>
          <w:p w14:paraId="7368AD5E" w14:textId="01BCA766" w:rsidR="00C64997" w:rsidRDefault="00C64997" w:rsidP="00B16544">
            <w:pPr>
              <w:pStyle w:val="Tablebullet"/>
              <w:rPr>
                <w:szCs w:val="22"/>
              </w:rPr>
            </w:pPr>
            <w:r w:rsidRPr="00F83BB9">
              <w:t>Support for NICE International (NI):</w:t>
            </w:r>
            <w:r>
              <w:t xml:space="preserve"> Based on user insights research we launched a refreshed section of the website for NICE International in April. In the first 3 weeks live, page views were up over 450% compared to April 2020. </w:t>
            </w:r>
          </w:p>
          <w:p w14:paraId="0E384EC3" w14:textId="3D6EB1A5" w:rsidR="00C64997" w:rsidRPr="00333DC0" w:rsidRDefault="00C64997" w:rsidP="00B16544">
            <w:pPr>
              <w:pStyle w:val="Tablebullet"/>
            </w:pPr>
            <w:r w:rsidRPr="00F83BB9">
              <w:t>Newsletters</w:t>
            </w:r>
            <w:r>
              <w:rPr>
                <w:b/>
                <w:bCs/>
              </w:rPr>
              <w:t>:</w:t>
            </w:r>
            <w:r>
              <w:t xml:space="preserve"> During the reporting period we made further progress with improving the content and data management of our corporate newsletters. We aim to apply a consistent data taxonomy and capture data that will enable delivery of data-driven marketing communications in future.</w:t>
            </w:r>
          </w:p>
        </w:tc>
        <w:tc>
          <w:tcPr>
            <w:tcW w:w="1633" w:type="dxa"/>
          </w:tcPr>
          <w:p w14:paraId="0A31065A" w14:textId="7D6E4D86" w:rsidR="00C64997" w:rsidRPr="00F83BB9" w:rsidRDefault="00C64997" w:rsidP="006130E6">
            <w:pPr>
              <w:pStyle w:val="Tablebullet"/>
              <w:numPr>
                <w:ilvl w:val="0"/>
                <w:numId w:val="0"/>
              </w:numPr>
            </w:pPr>
            <w:r>
              <w:t>Delivered</w:t>
            </w:r>
            <w:r w:rsidR="00682D9F">
              <w:t xml:space="preserve"> for this year</w:t>
            </w:r>
          </w:p>
        </w:tc>
      </w:tr>
      <w:tr w:rsidR="00C64997" w14:paraId="59325DB1" w14:textId="15CD5E2D" w:rsidTr="007A2751">
        <w:tc>
          <w:tcPr>
            <w:tcW w:w="4531" w:type="dxa"/>
          </w:tcPr>
          <w:p w14:paraId="1FE4E071" w14:textId="462B9627" w:rsidR="00C64997" w:rsidRPr="00944A52" w:rsidRDefault="008C4776" w:rsidP="00C2444D">
            <w:pPr>
              <w:pStyle w:val="Tabletext"/>
            </w:pPr>
            <w:r>
              <w:t xml:space="preserve">1.9 </w:t>
            </w:r>
            <w:r w:rsidR="00C64997" w:rsidRPr="00944A52">
              <w:t>Develop and implement a new social media strategy to ensure use of the most effective channels to reach and engage with our key audiences</w:t>
            </w:r>
          </w:p>
        </w:tc>
        <w:tc>
          <w:tcPr>
            <w:tcW w:w="775" w:type="dxa"/>
          </w:tcPr>
          <w:p w14:paraId="30A4535C" w14:textId="1AF284F7" w:rsidR="00C64997" w:rsidRDefault="00335C3C" w:rsidP="00C2444D">
            <w:pPr>
              <w:pStyle w:val="Tabletext"/>
            </w:pPr>
            <w:r>
              <w:t>Q2 and ongoing</w:t>
            </w:r>
          </w:p>
        </w:tc>
        <w:tc>
          <w:tcPr>
            <w:tcW w:w="0" w:type="auto"/>
          </w:tcPr>
          <w:p w14:paraId="2A831735" w14:textId="4A22B5C6" w:rsidR="00C64997" w:rsidRPr="00C2444D" w:rsidRDefault="00C64997" w:rsidP="00C2444D">
            <w:pPr>
              <w:pStyle w:val="Tabletext"/>
            </w:pPr>
            <w:r>
              <w:t>Q2 2021/22</w:t>
            </w:r>
          </w:p>
        </w:tc>
        <w:tc>
          <w:tcPr>
            <w:tcW w:w="5820" w:type="dxa"/>
          </w:tcPr>
          <w:p w14:paraId="021E2306" w14:textId="3D5211AF" w:rsidR="00C64997" w:rsidRPr="00333DC0" w:rsidRDefault="00C64997" w:rsidP="00C2444D">
            <w:pPr>
              <w:pStyle w:val="Tablebullet"/>
            </w:pPr>
            <w:r>
              <w:t xml:space="preserve">The social media strategy will </w:t>
            </w:r>
            <w:r w:rsidR="004A5ED3">
              <w:t>be</w:t>
            </w:r>
            <w:r>
              <w:t xml:space="preserve"> part of a communications channel review </w:t>
            </w:r>
            <w:r w:rsidR="004A5ED3">
              <w:t xml:space="preserve">to inform </w:t>
            </w:r>
            <w:r>
              <w:t xml:space="preserve">a new </w:t>
            </w:r>
            <w:r w:rsidRPr="00333DC0">
              <w:t>communications and marketing strategy to support the implementation of the new NICE strategic plan.</w:t>
            </w:r>
          </w:p>
        </w:tc>
        <w:tc>
          <w:tcPr>
            <w:tcW w:w="1633" w:type="dxa"/>
          </w:tcPr>
          <w:p w14:paraId="02A28FA9" w14:textId="04731488" w:rsidR="00C64997" w:rsidRDefault="00682D9F" w:rsidP="006130E6">
            <w:pPr>
              <w:pStyle w:val="Tablebullet"/>
              <w:numPr>
                <w:ilvl w:val="0"/>
                <w:numId w:val="0"/>
              </w:numPr>
            </w:pPr>
            <w:r>
              <w:t>Not yet delivered – now due Q2</w:t>
            </w:r>
            <w:r w:rsidR="00C64997">
              <w:t xml:space="preserve"> 2021/22</w:t>
            </w:r>
          </w:p>
        </w:tc>
      </w:tr>
      <w:tr w:rsidR="00C64997" w14:paraId="64F15C3B" w14:textId="316DF96C" w:rsidTr="007A2751">
        <w:tc>
          <w:tcPr>
            <w:tcW w:w="4531" w:type="dxa"/>
          </w:tcPr>
          <w:p w14:paraId="7C413833" w14:textId="7CD4197B" w:rsidR="00C64997" w:rsidRPr="00944A52" w:rsidRDefault="008C4776" w:rsidP="00C2444D">
            <w:pPr>
              <w:pStyle w:val="Tabletext"/>
            </w:pPr>
            <w:r>
              <w:lastRenderedPageBreak/>
              <w:t xml:space="preserve">1.10 </w:t>
            </w:r>
            <w:r w:rsidR="00C64997" w:rsidRPr="00944A52">
              <w:t>Review the function and monitor performance of NICE Evidence Services (CKS, HDAS, BNF microsites, Evidence Search, Medicines Awareness Service)</w:t>
            </w:r>
          </w:p>
        </w:tc>
        <w:tc>
          <w:tcPr>
            <w:tcW w:w="775" w:type="dxa"/>
          </w:tcPr>
          <w:p w14:paraId="53400C2E" w14:textId="3DAB8151" w:rsidR="00C64997" w:rsidRPr="00944A52" w:rsidRDefault="00335C3C" w:rsidP="00C2444D">
            <w:pPr>
              <w:pStyle w:val="Tabletext"/>
            </w:pPr>
            <w:r>
              <w:t>Ongoing</w:t>
            </w:r>
          </w:p>
        </w:tc>
        <w:tc>
          <w:tcPr>
            <w:tcW w:w="0" w:type="auto"/>
          </w:tcPr>
          <w:p w14:paraId="6D15F8C2" w14:textId="2B1EAF83" w:rsidR="00C64997" w:rsidRPr="00944A52" w:rsidRDefault="00C64997" w:rsidP="00C2444D">
            <w:pPr>
              <w:pStyle w:val="Tabletext"/>
            </w:pPr>
            <w:r w:rsidRPr="00944A52">
              <w:t>Ongoing</w:t>
            </w:r>
          </w:p>
        </w:tc>
        <w:tc>
          <w:tcPr>
            <w:tcW w:w="5820" w:type="dxa"/>
          </w:tcPr>
          <w:p w14:paraId="19A4DE50" w14:textId="77777777" w:rsidR="00C64997" w:rsidRPr="00333DC0" w:rsidRDefault="00C64997" w:rsidP="00C2444D">
            <w:pPr>
              <w:pStyle w:val="Tablebullet"/>
            </w:pPr>
            <w:r w:rsidRPr="00333DC0">
              <w:t xml:space="preserve">All the NICE Evidence Services microsites have been audited for accessibility; new accessible versions of the CKS and Evidence search sites have been released which address the findings from the accessibility audits and all sites now have relevant accessibility statements in line with the EU directive.  </w:t>
            </w:r>
          </w:p>
        </w:tc>
        <w:tc>
          <w:tcPr>
            <w:tcW w:w="1633" w:type="dxa"/>
          </w:tcPr>
          <w:p w14:paraId="63067276" w14:textId="4EF64D4B" w:rsidR="00C64997" w:rsidRPr="00333DC0" w:rsidRDefault="00682D9F" w:rsidP="00197EE6">
            <w:pPr>
              <w:pStyle w:val="Tablebullet"/>
              <w:numPr>
                <w:ilvl w:val="0"/>
                <w:numId w:val="0"/>
              </w:numPr>
            </w:pPr>
            <w:r>
              <w:t>Delivered for this year</w:t>
            </w:r>
          </w:p>
        </w:tc>
      </w:tr>
    </w:tbl>
    <w:p w14:paraId="1A6C33FA" w14:textId="77777777" w:rsidR="00A13E24" w:rsidRDefault="00A13E24" w:rsidP="00A13E24">
      <w:pPr>
        <w:pStyle w:val="NICE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Transform the development of NICE guidance and advice in line with the learning from the COVID-19 response so the process is efficient, integrated, and takes advantage of new technologies including artificial intelligence"/>
      </w:tblPr>
      <w:tblGrid>
        <w:gridCol w:w="4463"/>
        <w:gridCol w:w="1207"/>
        <w:gridCol w:w="1207"/>
        <w:gridCol w:w="5451"/>
        <w:gridCol w:w="1620"/>
      </w:tblGrid>
      <w:tr w:rsidR="005D0F0B" w14:paraId="76F93773" w14:textId="02203E58" w:rsidTr="00975B7E">
        <w:trPr>
          <w:tblHeader/>
        </w:trPr>
        <w:tc>
          <w:tcPr>
            <w:tcW w:w="0" w:type="auto"/>
          </w:tcPr>
          <w:p w14:paraId="506CEF17" w14:textId="5AC657C1" w:rsidR="005D0F0B" w:rsidRPr="00944A52" w:rsidRDefault="007A2751" w:rsidP="007A2751">
            <w:pPr>
              <w:pStyle w:val="Tableheadingboardreport"/>
            </w:pPr>
            <w:r>
              <w:t xml:space="preserve">2. </w:t>
            </w:r>
            <w:r w:rsidR="005D0F0B" w:rsidRPr="00944A52">
              <w:t>Transform the development of NICE guidance and advice in line with the learning from the COVID-19 response so the process is efficient, integrated, and takes advantage of new technologies including artificial intelligence</w:t>
            </w:r>
          </w:p>
        </w:tc>
        <w:tc>
          <w:tcPr>
            <w:tcW w:w="567" w:type="dxa"/>
          </w:tcPr>
          <w:p w14:paraId="28359E39" w14:textId="7128E7E4" w:rsidR="005D0F0B" w:rsidRDefault="005D0F0B" w:rsidP="007C4108">
            <w:pPr>
              <w:pStyle w:val="Tableheadingboardreport"/>
            </w:pPr>
            <w:r>
              <w:t>Original delivery date</w:t>
            </w:r>
          </w:p>
        </w:tc>
        <w:tc>
          <w:tcPr>
            <w:tcW w:w="567" w:type="dxa"/>
          </w:tcPr>
          <w:p w14:paraId="7E1D37B1" w14:textId="1BC32380" w:rsidR="005D0F0B" w:rsidRPr="00944A52" w:rsidRDefault="005D0F0B" w:rsidP="007C4108">
            <w:pPr>
              <w:pStyle w:val="Tableheadingboardreport"/>
            </w:pPr>
            <w:r>
              <w:t>Delivery date</w:t>
            </w:r>
          </w:p>
        </w:tc>
        <w:tc>
          <w:tcPr>
            <w:tcW w:w="5451" w:type="dxa"/>
          </w:tcPr>
          <w:p w14:paraId="41EE888C" w14:textId="77777777" w:rsidR="005D0F0B" w:rsidRPr="00F23A61" w:rsidRDefault="005D0F0B" w:rsidP="007C4108">
            <w:pPr>
              <w:pStyle w:val="Tableheadingboardreport"/>
              <w:rPr>
                <w:szCs w:val="22"/>
              </w:rPr>
            </w:pPr>
            <w:r w:rsidRPr="00DD2591">
              <w:rPr>
                <w:szCs w:val="22"/>
              </w:rPr>
              <w:t>Progress update</w:t>
            </w:r>
          </w:p>
        </w:tc>
        <w:tc>
          <w:tcPr>
            <w:tcW w:w="1620" w:type="dxa"/>
          </w:tcPr>
          <w:p w14:paraId="2A045B36" w14:textId="3D9215E4" w:rsidR="005D0F0B" w:rsidRPr="00DD2591" w:rsidRDefault="005D0F0B" w:rsidP="007C4108">
            <w:pPr>
              <w:pStyle w:val="Tableheadingboardreport"/>
              <w:rPr>
                <w:szCs w:val="22"/>
              </w:rPr>
            </w:pPr>
            <w:r>
              <w:rPr>
                <w:szCs w:val="22"/>
              </w:rPr>
              <w:t>End of year status</w:t>
            </w:r>
          </w:p>
        </w:tc>
      </w:tr>
      <w:tr w:rsidR="005D0F0B" w14:paraId="42063A31" w14:textId="042BE4AA" w:rsidTr="00975B7E">
        <w:tc>
          <w:tcPr>
            <w:tcW w:w="0" w:type="auto"/>
          </w:tcPr>
          <w:p w14:paraId="158FA777" w14:textId="66817274" w:rsidR="005D0F0B" w:rsidRPr="00944A52" w:rsidRDefault="008C4776" w:rsidP="007C4108">
            <w:pPr>
              <w:pStyle w:val="Tabletext"/>
            </w:pPr>
            <w:r>
              <w:t xml:space="preserve">2.1 </w:t>
            </w:r>
            <w:r w:rsidR="005D0F0B" w:rsidRPr="00944A52">
              <w:t>Deliver guidance, standards, indicators and evidence products and services, in accordance with the planned volumes and requirements of the COVID-19 pandemic</w:t>
            </w:r>
          </w:p>
        </w:tc>
        <w:tc>
          <w:tcPr>
            <w:tcW w:w="567" w:type="dxa"/>
          </w:tcPr>
          <w:p w14:paraId="25A12F83" w14:textId="0F8F5F11" w:rsidR="005D0F0B" w:rsidRPr="00944A52" w:rsidRDefault="005D0F0B" w:rsidP="007C4108">
            <w:pPr>
              <w:pStyle w:val="Tabletext"/>
            </w:pPr>
            <w:r>
              <w:t>Ongoing</w:t>
            </w:r>
          </w:p>
        </w:tc>
        <w:tc>
          <w:tcPr>
            <w:tcW w:w="567" w:type="dxa"/>
          </w:tcPr>
          <w:p w14:paraId="431832E2" w14:textId="2C03B771" w:rsidR="005D0F0B" w:rsidRPr="00944A52" w:rsidRDefault="005D0F0B" w:rsidP="007C4108">
            <w:pPr>
              <w:pStyle w:val="Tabletext"/>
            </w:pPr>
            <w:r w:rsidRPr="00944A52">
              <w:t>Ongoing</w:t>
            </w:r>
          </w:p>
        </w:tc>
        <w:tc>
          <w:tcPr>
            <w:tcW w:w="5451" w:type="dxa"/>
          </w:tcPr>
          <w:p w14:paraId="1264D9DA" w14:textId="77777777" w:rsidR="005D0F0B" w:rsidRPr="00333DC0" w:rsidRDefault="005D0F0B" w:rsidP="00301D86">
            <w:pPr>
              <w:pStyle w:val="Tablebullet"/>
            </w:pPr>
            <w:r w:rsidRPr="00333DC0">
              <w:t>Details of the main programmes’ performance against plan, including explanations for any variances are set out elsewhere in this report.</w:t>
            </w:r>
          </w:p>
        </w:tc>
        <w:tc>
          <w:tcPr>
            <w:tcW w:w="1620" w:type="dxa"/>
          </w:tcPr>
          <w:p w14:paraId="22F00129" w14:textId="2DEF82C2" w:rsidR="005D0F0B" w:rsidRPr="00333DC0" w:rsidRDefault="005D0F0B" w:rsidP="005D0F0B">
            <w:pPr>
              <w:pStyle w:val="Tablebullet"/>
              <w:numPr>
                <w:ilvl w:val="0"/>
                <w:numId w:val="0"/>
              </w:numPr>
            </w:pPr>
            <w:r>
              <w:t>Delivered for this year</w:t>
            </w:r>
          </w:p>
        </w:tc>
      </w:tr>
      <w:tr w:rsidR="005D0F0B" w14:paraId="3257E339" w14:textId="6C694C98" w:rsidTr="00975B7E">
        <w:tc>
          <w:tcPr>
            <w:tcW w:w="0" w:type="auto"/>
          </w:tcPr>
          <w:p w14:paraId="03F333E9" w14:textId="2A5D3053" w:rsidR="005D0F0B" w:rsidRPr="00944A52" w:rsidRDefault="008C4776" w:rsidP="007C4108">
            <w:pPr>
              <w:pStyle w:val="Tabletext"/>
            </w:pPr>
            <w:r>
              <w:t xml:space="preserve">2.2 </w:t>
            </w:r>
            <w:r w:rsidR="005D0F0B" w:rsidRPr="00944A52">
              <w:t>Review the current and planned guidelines portfolio, in conjunction with NHS England and NHS Improvement (NHSE&amp;I) and the Department of Health and Social Care, with a view to consolidating on key areas and topics, in the context of NICE Connect and the COVID-19 pandemic</w:t>
            </w:r>
          </w:p>
        </w:tc>
        <w:tc>
          <w:tcPr>
            <w:tcW w:w="567" w:type="dxa"/>
          </w:tcPr>
          <w:p w14:paraId="60DDACA1" w14:textId="22E6E78D" w:rsidR="005D0F0B" w:rsidRPr="00944A52" w:rsidRDefault="005D0F0B" w:rsidP="007C4108">
            <w:pPr>
              <w:pStyle w:val="Tabletext"/>
            </w:pPr>
            <w:r>
              <w:t>Q4</w:t>
            </w:r>
          </w:p>
        </w:tc>
        <w:tc>
          <w:tcPr>
            <w:tcW w:w="567" w:type="dxa"/>
          </w:tcPr>
          <w:p w14:paraId="241B1769" w14:textId="33A876AD" w:rsidR="005D0F0B" w:rsidRPr="00944A52" w:rsidRDefault="005D0F0B" w:rsidP="007C4108">
            <w:pPr>
              <w:pStyle w:val="Tabletext"/>
            </w:pPr>
            <w:r w:rsidRPr="00944A52">
              <w:t>Q4</w:t>
            </w:r>
          </w:p>
        </w:tc>
        <w:tc>
          <w:tcPr>
            <w:tcW w:w="5451" w:type="dxa"/>
          </w:tcPr>
          <w:p w14:paraId="3E5DDF9A" w14:textId="035EC2E9" w:rsidR="005D0F0B" w:rsidRPr="00333DC0" w:rsidRDefault="005D0F0B" w:rsidP="00301D86">
            <w:pPr>
              <w:pStyle w:val="Tablebullet"/>
              <w:rPr>
                <w:rFonts w:eastAsia="Arial"/>
              </w:rPr>
            </w:pPr>
            <w:r>
              <w:t>A first stage list of prioritised guidelines has been prepared for discussion with the cross-agency Topic Prioritisation group on 6 May</w:t>
            </w:r>
            <w:r w:rsidRPr="005033C8">
              <w:rPr>
                <w:rFonts w:eastAsia="Arial"/>
              </w:rPr>
              <w:t>. We will then categorise into topic suites. Stage 3 will be to map the existing content of suites at the recommendation level</w:t>
            </w:r>
            <w:r w:rsidR="00025657">
              <w:rPr>
                <w:rFonts w:eastAsia="Arial"/>
              </w:rPr>
              <w:t xml:space="preserve"> to</w:t>
            </w:r>
            <w:r w:rsidRPr="005033C8">
              <w:rPr>
                <w:rFonts w:eastAsia="Arial"/>
              </w:rPr>
              <w:t xml:space="preserve"> identify inconsistency, duplication and gaps</w:t>
            </w:r>
            <w:r>
              <w:rPr>
                <w:rFonts w:eastAsia="Arial"/>
              </w:rPr>
              <w:t xml:space="preserve">. </w:t>
            </w:r>
            <w:r w:rsidRPr="005033C8">
              <w:rPr>
                <w:rFonts w:eastAsia="Arial"/>
              </w:rPr>
              <w:t xml:space="preserve">We will </w:t>
            </w:r>
            <w:r w:rsidR="00025657">
              <w:rPr>
                <w:rFonts w:eastAsia="Arial"/>
              </w:rPr>
              <w:t>then</w:t>
            </w:r>
            <w:r w:rsidRPr="005033C8">
              <w:rPr>
                <w:rFonts w:eastAsia="Arial"/>
              </w:rPr>
              <w:t xml:space="preserve"> prioritise topic areas </w:t>
            </w:r>
            <w:r w:rsidR="00025657">
              <w:rPr>
                <w:rFonts w:eastAsia="Arial"/>
              </w:rPr>
              <w:t>to</w:t>
            </w:r>
            <w:r w:rsidRPr="005033C8">
              <w:rPr>
                <w:rFonts w:eastAsia="Arial"/>
              </w:rPr>
              <w:t xml:space="preserve"> focus surveillance and updating.</w:t>
            </w:r>
          </w:p>
        </w:tc>
        <w:tc>
          <w:tcPr>
            <w:tcW w:w="1620" w:type="dxa"/>
          </w:tcPr>
          <w:p w14:paraId="1EAC6718" w14:textId="3D74506F" w:rsidR="005D0F0B" w:rsidRDefault="005D0F0B" w:rsidP="005D0F0B">
            <w:pPr>
              <w:pStyle w:val="Tablebullet"/>
              <w:numPr>
                <w:ilvl w:val="0"/>
                <w:numId w:val="0"/>
              </w:numPr>
            </w:pPr>
            <w:r>
              <w:t>Delivered</w:t>
            </w:r>
          </w:p>
        </w:tc>
      </w:tr>
      <w:tr w:rsidR="005D0F0B" w14:paraId="48CDFFEB" w14:textId="56FBD191" w:rsidTr="00975B7E">
        <w:tc>
          <w:tcPr>
            <w:tcW w:w="0" w:type="auto"/>
          </w:tcPr>
          <w:p w14:paraId="70B4D819" w14:textId="3756D093" w:rsidR="005D0F0B" w:rsidRPr="00944A52" w:rsidRDefault="008C4776" w:rsidP="007C4108">
            <w:pPr>
              <w:pStyle w:val="Tabletext"/>
            </w:pPr>
            <w:r>
              <w:lastRenderedPageBreak/>
              <w:t xml:space="preserve">2.3 </w:t>
            </w:r>
            <w:r w:rsidR="005D0F0B" w:rsidRPr="00944A52">
              <w:t>Complete a r</w:t>
            </w:r>
            <w:r w:rsidR="005D0F0B" w:rsidRPr="00FC2B19">
              <w:t xml:space="preserve">eview </w:t>
            </w:r>
            <w:r w:rsidR="005D0F0B" w:rsidRPr="00944A52">
              <w:t xml:space="preserve">of </w:t>
            </w:r>
            <w:r w:rsidR="005D0F0B" w:rsidRPr="00FC2B19">
              <w:t>the quality standards programme to establish its future direction based on stakeholder need</w:t>
            </w:r>
            <w:r w:rsidR="005D0F0B" w:rsidRPr="00944A52">
              <w:t xml:space="preserve"> </w:t>
            </w:r>
            <w:r w:rsidR="005D0F0B" w:rsidRPr="00FC2B19">
              <w:t>and their positioning and presentation</w:t>
            </w:r>
            <w:r w:rsidR="005D0F0B">
              <w:t xml:space="preserve">, </w:t>
            </w:r>
            <w:r w:rsidR="005D0F0B" w:rsidRPr="00FC2B19">
              <w:t>in the context of NICE Connect</w:t>
            </w:r>
          </w:p>
        </w:tc>
        <w:tc>
          <w:tcPr>
            <w:tcW w:w="567" w:type="dxa"/>
          </w:tcPr>
          <w:p w14:paraId="7EE8A378" w14:textId="383B1F9C" w:rsidR="005D0F0B" w:rsidRDefault="005D0F0B" w:rsidP="007C4108">
            <w:pPr>
              <w:pStyle w:val="Tabletext"/>
            </w:pPr>
            <w:r>
              <w:t>Q4</w:t>
            </w:r>
          </w:p>
        </w:tc>
        <w:tc>
          <w:tcPr>
            <w:tcW w:w="567" w:type="dxa"/>
          </w:tcPr>
          <w:p w14:paraId="64D3217A" w14:textId="333477E7" w:rsidR="005D0F0B" w:rsidRPr="00944A52" w:rsidRDefault="005D0F0B" w:rsidP="007C4108">
            <w:pPr>
              <w:pStyle w:val="Tabletext"/>
            </w:pPr>
            <w:r>
              <w:t>Q4</w:t>
            </w:r>
          </w:p>
        </w:tc>
        <w:tc>
          <w:tcPr>
            <w:tcW w:w="5451" w:type="dxa"/>
          </w:tcPr>
          <w:p w14:paraId="12B842D4" w14:textId="0B43AA6B" w:rsidR="005D0F0B" w:rsidRPr="00333DC0" w:rsidRDefault="005D0F0B" w:rsidP="00301D86">
            <w:pPr>
              <w:pStyle w:val="Tablebullet"/>
            </w:pPr>
            <w:r>
              <w:t>A r</w:t>
            </w:r>
            <w:r w:rsidRPr="00333DC0">
              <w:t xml:space="preserve">eview </w:t>
            </w:r>
            <w:r>
              <w:t xml:space="preserve">was </w:t>
            </w:r>
            <w:r w:rsidRPr="00333DC0">
              <w:t xml:space="preserve">undertaken to ensure existing quality standards </w:t>
            </w:r>
            <w:r w:rsidR="001E6D09">
              <w:t xml:space="preserve">(QS) </w:t>
            </w:r>
            <w:r w:rsidRPr="00333DC0">
              <w:t>remain suitable and accurate during the COVID-19 pandemic.</w:t>
            </w:r>
          </w:p>
          <w:p w14:paraId="41E87C02" w14:textId="32D97435" w:rsidR="005D0F0B" w:rsidRPr="00333DC0" w:rsidRDefault="005D0F0B" w:rsidP="00301D86">
            <w:pPr>
              <w:pStyle w:val="Tablebullet"/>
            </w:pPr>
            <w:r>
              <w:t>A r</w:t>
            </w:r>
            <w:r w:rsidRPr="00333DC0">
              <w:t xml:space="preserve">eview of methods and processes for developing and updating </w:t>
            </w:r>
            <w:r w:rsidR="001E6D09">
              <w:t>QS</w:t>
            </w:r>
            <w:r w:rsidRPr="00333DC0">
              <w:t xml:space="preserve"> is </w:t>
            </w:r>
            <w:r>
              <w:t>complete</w:t>
            </w:r>
            <w:r w:rsidRPr="00333DC0">
              <w:t>.</w:t>
            </w:r>
          </w:p>
          <w:p w14:paraId="0EEA2D06" w14:textId="42F18C2C" w:rsidR="005D0F0B" w:rsidRPr="00333DC0" w:rsidRDefault="001E6D09" w:rsidP="00301D86">
            <w:pPr>
              <w:pStyle w:val="Tablebullet"/>
            </w:pPr>
            <w:r>
              <w:t>W</w:t>
            </w:r>
            <w:r w:rsidR="005D0F0B">
              <w:t>e are exploring ongoing requirements for the quality standards programme</w:t>
            </w:r>
            <w:r w:rsidR="00130516">
              <w:t>.</w:t>
            </w:r>
          </w:p>
        </w:tc>
        <w:tc>
          <w:tcPr>
            <w:tcW w:w="1620" w:type="dxa"/>
          </w:tcPr>
          <w:p w14:paraId="15A39D51" w14:textId="2CD9CF24" w:rsidR="005D0F0B" w:rsidRDefault="005D0F0B" w:rsidP="005D0F0B">
            <w:pPr>
              <w:pStyle w:val="Tablebullet"/>
              <w:numPr>
                <w:ilvl w:val="0"/>
                <w:numId w:val="0"/>
              </w:numPr>
            </w:pPr>
            <w:r>
              <w:t>Delivered</w:t>
            </w:r>
          </w:p>
        </w:tc>
      </w:tr>
      <w:tr w:rsidR="005D0F0B" w14:paraId="77376C2F" w14:textId="40D6E6A5" w:rsidTr="00975B7E">
        <w:tc>
          <w:tcPr>
            <w:tcW w:w="0" w:type="auto"/>
          </w:tcPr>
          <w:p w14:paraId="21DFB1D1" w14:textId="0A6ACF1B" w:rsidR="005D0F0B" w:rsidRDefault="008C4776" w:rsidP="007C4108">
            <w:pPr>
              <w:pStyle w:val="Tabletext"/>
            </w:pPr>
            <w:bookmarkStart w:id="0" w:name="_Hlk38996581"/>
            <w:r>
              <w:t xml:space="preserve">2.4 </w:t>
            </w:r>
            <w:r w:rsidR="005D0F0B" w:rsidRPr="00FC2B19">
              <w:t xml:space="preserve">Complete a review of </w:t>
            </w:r>
            <w:r w:rsidR="005D0F0B" w:rsidRPr="00944A52">
              <w:t>technology evaluation</w:t>
            </w:r>
            <w:r w:rsidR="005D0F0B" w:rsidRPr="00FC2B19">
              <w:t xml:space="preserve"> processes and methods</w:t>
            </w:r>
            <w:r w:rsidR="005D0F0B" w:rsidRPr="00944A52">
              <w:t xml:space="preserve">, consult on changes and </w:t>
            </w:r>
            <w:r w:rsidR="005D0F0B" w:rsidRPr="00FC2B19">
              <w:t>publish</w:t>
            </w:r>
            <w:r w:rsidR="005D0F0B" w:rsidRPr="00944A52">
              <w:t xml:space="preserve"> updated</w:t>
            </w:r>
            <w:r w:rsidR="005D0F0B" w:rsidRPr="00FC2B19">
              <w:t xml:space="preserve"> manual</w:t>
            </w:r>
            <w:r w:rsidR="005D0F0B">
              <w:t>s</w:t>
            </w:r>
            <w:r w:rsidR="005D0F0B" w:rsidRPr="00944A52">
              <w:t xml:space="preserve"> </w:t>
            </w:r>
            <w:r w:rsidR="005D0F0B">
              <w:t>and implement changes early, on an interim basis, where they allow for faster recovery from COVID-19</w:t>
            </w:r>
            <w:bookmarkEnd w:id="0"/>
          </w:p>
        </w:tc>
        <w:tc>
          <w:tcPr>
            <w:tcW w:w="567" w:type="dxa"/>
          </w:tcPr>
          <w:p w14:paraId="1D4BE09C" w14:textId="77777777" w:rsidR="005D0F0B" w:rsidRPr="00944A52" w:rsidRDefault="005D0F0B" w:rsidP="00335C3C">
            <w:pPr>
              <w:pStyle w:val="Tabletext"/>
            </w:pPr>
            <w:r w:rsidRPr="00944A52">
              <w:t>Q3/4</w:t>
            </w:r>
          </w:p>
          <w:p w14:paraId="0F23BFA7" w14:textId="02F48A41" w:rsidR="005D0F0B" w:rsidRPr="00944A52" w:rsidRDefault="005D0F0B" w:rsidP="00335C3C">
            <w:pPr>
              <w:pStyle w:val="Tabletext"/>
            </w:pPr>
            <w:r w:rsidRPr="00944A52">
              <w:t>Q</w:t>
            </w:r>
            <w:r>
              <w:t>2</w:t>
            </w:r>
            <w:r w:rsidRPr="00944A52">
              <w:t xml:space="preserve"> 2021/22 (for publishing updated manual)</w:t>
            </w:r>
          </w:p>
        </w:tc>
        <w:tc>
          <w:tcPr>
            <w:tcW w:w="567" w:type="dxa"/>
          </w:tcPr>
          <w:p w14:paraId="1DB5516E" w14:textId="3DD42888" w:rsidR="005D0F0B" w:rsidRPr="00944A52" w:rsidRDefault="005D0F0B" w:rsidP="007C4108">
            <w:pPr>
              <w:pStyle w:val="Tabletext"/>
            </w:pPr>
            <w:r w:rsidRPr="00944A52">
              <w:t>Q3/4</w:t>
            </w:r>
          </w:p>
          <w:p w14:paraId="5001ACC5" w14:textId="281AE664" w:rsidR="005D0F0B" w:rsidRDefault="005D0F0B" w:rsidP="007C4108">
            <w:pPr>
              <w:pStyle w:val="Tabletext"/>
            </w:pPr>
            <w:r w:rsidRPr="00944A52">
              <w:t>Q</w:t>
            </w:r>
            <w:r>
              <w:t xml:space="preserve">3 </w:t>
            </w:r>
            <w:r w:rsidRPr="00944A52">
              <w:t>2021/22 (for publishing updated manual)</w:t>
            </w:r>
          </w:p>
        </w:tc>
        <w:tc>
          <w:tcPr>
            <w:tcW w:w="5451" w:type="dxa"/>
          </w:tcPr>
          <w:p w14:paraId="6B4DEA2A" w14:textId="77777777" w:rsidR="005D0F0B" w:rsidRPr="00333DC0" w:rsidRDefault="005D0F0B" w:rsidP="00301D86">
            <w:pPr>
              <w:pStyle w:val="Tablebullet"/>
            </w:pPr>
            <w:r w:rsidRPr="00333DC0">
              <w:t xml:space="preserve">Review is in progress. </w:t>
            </w:r>
          </w:p>
          <w:p w14:paraId="6C81583E" w14:textId="77777777" w:rsidR="005D0F0B" w:rsidRPr="00087BBF" w:rsidRDefault="005D0F0B" w:rsidP="00C9047E">
            <w:pPr>
              <w:pStyle w:val="Tablebullet"/>
            </w:pPr>
            <w:r w:rsidRPr="00087BBF">
              <w:t>Public consultation for Topic selection processes (principles for change) for health technologies was completed in Q3.</w:t>
            </w:r>
          </w:p>
          <w:p w14:paraId="524A581C" w14:textId="320184EE" w:rsidR="005D0F0B" w:rsidRDefault="005D0F0B" w:rsidP="009562CF">
            <w:pPr>
              <w:pStyle w:val="Tablebullet"/>
            </w:pPr>
            <w:r w:rsidRPr="00087BBF">
              <w:t xml:space="preserve">Public consultation </w:t>
            </w:r>
            <w:r w:rsidR="007A2751">
              <w:t>on</w:t>
            </w:r>
            <w:r w:rsidRPr="00087BBF">
              <w:t xml:space="preserve"> Process </w:t>
            </w:r>
            <w:r>
              <w:t>ended on 15 April.</w:t>
            </w:r>
          </w:p>
          <w:p w14:paraId="09231579" w14:textId="77777777" w:rsidR="005D0F0B" w:rsidRDefault="005D0F0B" w:rsidP="009562CF">
            <w:pPr>
              <w:pStyle w:val="Tablebullet"/>
            </w:pPr>
            <w:r>
              <w:t>Consolidation and consideration of consultation comments is now underway.</w:t>
            </w:r>
          </w:p>
          <w:p w14:paraId="02905C73" w14:textId="3A7C393C" w:rsidR="005D0F0B" w:rsidRPr="00333DC0" w:rsidRDefault="005D0F0B" w:rsidP="00301D86">
            <w:pPr>
              <w:pStyle w:val="Tablebullet"/>
            </w:pPr>
            <w:r>
              <w:t>The Board will be asked to approve the next consultation on the draft unified methods and process manual in July 2021.</w:t>
            </w:r>
          </w:p>
        </w:tc>
        <w:tc>
          <w:tcPr>
            <w:tcW w:w="1620" w:type="dxa"/>
          </w:tcPr>
          <w:p w14:paraId="0F5B26F4" w14:textId="0B467F80" w:rsidR="005D0F0B" w:rsidRPr="00333DC0" w:rsidRDefault="00D27CF6" w:rsidP="005D0F0B">
            <w:pPr>
              <w:pStyle w:val="Tablebullet"/>
              <w:numPr>
                <w:ilvl w:val="0"/>
                <w:numId w:val="0"/>
              </w:numPr>
            </w:pPr>
            <w:r>
              <w:t>Delivered for this year</w:t>
            </w:r>
            <w:r w:rsidR="00224EA4">
              <w:t xml:space="preserve"> - o</w:t>
            </w:r>
            <w:r w:rsidR="005D0F0B">
              <w:t>n track to be published in Q3 2021/22</w:t>
            </w:r>
          </w:p>
        </w:tc>
      </w:tr>
      <w:tr w:rsidR="005D0F0B" w14:paraId="4BE4D27E" w14:textId="36F21E68" w:rsidTr="00975B7E">
        <w:tc>
          <w:tcPr>
            <w:tcW w:w="0" w:type="auto"/>
          </w:tcPr>
          <w:p w14:paraId="243E4110" w14:textId="4A425DCA" w:rsidR="005D0F0B" w:rsidRDefault="008C4776" w:rsidP="007C4108">
            <w:pPr>
              <w:pStyle w:val="Tabletext"/>
            </w:pPr>
            <w:r>
              <w:t xml:space="preserve">2.5 </w:t>
            </w:r>
            <w:r w:rsidR="005D0F0B" w:rsidRPr="00237A02">
              <w:t>Implement the comment collection tool and roll out the EPPI-Reviewer tool to the guideline Collaborating Centres</w:t>
            </w:r>
          </w:p>
        </w:tc>
        <w:tc>
          <w:tcPr>
            <w:tcW w:w="567" w:type="dxa"/>
          </w:tcPr>
          <w:p w14:paraId="59DB8196" w14:textId="2968D07E" w:rsidR="005D0F0B" w:rsidRPr="00944A52" w:rsidRDefault="005D0F0B" w:rsidP="007C4108">
            <w:pPr>
              <w:pStyle w:val="Tabletext"/>
            </w:pPr>
            <w:r>
              <w:t>Ongoing</w:t>
            </w:r>
          </w:p>
        </w:tc>
        <w:tc>
          <w:tcPr>
            <w:tcW w:w="567" w:type="dxa"/>
          </w:tcPr>
          <w:p w14:paraId="0352C248" w14:textId="697C1FC4" w:rsidR="005D0F0B" w:rsidRDefault="005D0F0B" w:rsidP="007C4108">
            <w:pPr>
              <w:pStyle w:val="Tabletext"/>
            </w:pPr>
            <w:r w:rsidRPr="00944A52">
              <w:t>Ongoing</w:t>
            </w:r>
          </w:p>
        </w:tc>
        <w:tc>
          <w:tcPr>
            <w:tcW w:w="5451" w:type="dxa"/>
          </w:tcPr>
          <w:p w14:paraId="61927D7B" w14:textId="1CB1C501" w:rsidR="005D0F0B" w:rsidRPr="00333DC0" w:rsidRDefault="00421127" w:rsidP="009562CF">
            <w:pPr>
              <w:pStyle w:val="Tablebullet"/>
            </w:pPr>
            <w:r>
              <w:t>Further d</w:t>
            </w:r>
            <w:r w:rsidR="005D0F0B">
              <w:t>evelopment of the c</w:t>
            </w:r>
            <w:r w:rsidR="005D0F0B" w:rsidRPr="00DD4C88">
              <w:t xml:space="preserve">omment </w:t>
            </w:r>
            <w:r w:rsidR="005D0F0B">
              <w:t>c</w:t>
            </w:r>
            <w:r w:rsidR="005D0F0B" w:rsidRPr="00DD4C88">
              <w:t>onsultation tool</w:t>
            </w:r>
            <w:r w:rsidR="005D0F0B">
              <w:t xml:space="preserve"> continued but has now been paused in line with revised priorities.</w:t>
            </w:r>
          </w:p>
        </w:tc>
        <w:tc>
          <w:tcPr>
            <w:tcW w:w="1620" w:type="dxa"/>
          </w:tcPr>
          <w:p w14:paraId="0185455D" w14:textId="1B341F9B" w:rsidR="005D0F0B" w:rsidRDefault="00421127" w:rsidP="005D0F0B">
            <w:pPr>
              <w:pStyle w:val="Tablebullet"/>
              <w:numPr>
                <w:ilvl w:val="0"/>
                <w:numId w:val="0"/>
              </w:numPr>
            </w:pPr>
            <w:r>
              <w:t>Delivered</w:t>
            </w:r>
          </w:p>
        </w:tc>
      </w:tr>
      <w:tr w:rsidR="005D0F0B" w14:paraId="01A85175" w14:textId="70C2C27F" w:rsidTr="00975B7E">
        <w:tc>
          <w:tcPr>
            <w:tcW w:w="0" w:type="auto"/>
          </w:tcPr>
          <w:p w14:paraId="246BFA73" w14:textId="497A09CD" w:rsidR="005D0F0B" w:rsidRDefault="008C4776" w:rsidP="007C4108">
            <w:pPr>
              <w:pStyle w:val="Tabletext"/>
            </w:pPr>
            <w:r>
              <w:t xml:space="preserve">2.6 </w:t>
            </w:r>
            <w:r w:rsidR="005D0F0B" w:rsidRPr="004026A6">
              <w:t>Establish a new science, evidence and analytics directorate to lead on the opportunities offered by new scientific developments, and wide ranging sources of data and advanced analytics, in guidance development</w:t>
            </w:r>
          </w:p>
        </w:tc>
        <w:tc>
          <w:tcPr>
            <w:tcW w:w="567" w:type="dxa"/>
          </w:tcPr>
          <w:p w14:paraId="114CAC6C" w14:textId="3BD3768D" w:rsidR="005D0F0B" w:rsidRPr="00944A52" w:rsidRDefault="005D0F0B" w:rsidP="007C4108">
            <w:pPr>
              <w:pStyle w:val="Tabletext"/>
            </w:pPr>
            <w:r>
              <w:t>Q2</w:t>
            </w:r>
          </w:p>
        </w:tc>
        <w:tc>
          <w:tcPr>
            <w:tcW w:w="567" w:type="dxa"/>
          </w:tcPr>
          <w:p w14:paraId="5D73DCFA" w14:textId="55073A19" w:rsidR="005D0F0B" w:rsidRDefault="005D0F0B" w:rsidP="007C4108">
            <w:pPr>
              <w:pStyle w:val="Tabletext"/>
            </w:pPr>
            <w:r w:rsidRPr="00944A52">
              <w:t>Q2</w:t>
            </w:r>
          </w:p>
        </w:tc>
        <w:tc>
          <w:tcPr>
            <w:tcW w:w="5451" w:type="dxa"/>
          </w:tcPr>
          <w:p w14:paraId="40F13C6F" w14:textId="2861717D" w:rsidR="005D0F0B" w:rsidRPr="00333DC0" w:rsidRDefault="005D0F0B" w:rsidP="00301D86">
            <w:pPr>
              <w:pStyle w:val="Tablebullet"/>
            </w:pPr>
            <w:r w:rsidRPr="00333DC0">
              <w:t>New directorate established and Science, Evidence and Analytics Director started on 1 September</w:t>
            </w:r>
            <w:r>
              <w:t xml:space="preserve"> 2020</w:t>
            </w:r>
            <w:r w:rsidRPr="00333DC0">
              <w:t xml:space="preserve">. </w:t>
            </w:r>
          </w:p>
        </w:tc>
        <w:tc>
          <w:tcPr>
            <w:tcW w:w="1620" w:type="dxa"/>
          </w:tcPr>
          <w:p w14:paraId="7AAC6770" w14:textId="62FF4AF8" w:rsidR="005D0F0B" w:rsidRPr="00333DC0" w:rsidRDefault="005D0F0B" w:rsidP="005D0F0B">
            <w:pPr>
              <w:pStyle w:val="Tablebullet"/>
              <w:numPr>
                <w:ilvl w:val="0"/>
                <w:numId w:val="0"/>
              </w:numPr>
            </w:pPr>
            <w:r>
              <w:t>Delivered</w:t>
            </w:r>
          </w:p>
        </w:tc>
      </w:tr>
      <w:tr w:rsidR="005D0F0B" w14:paraId="152893B9" w14:textId="43092F3F" w:rsidTr="00975B7E">
        <w:tc>
          <w:tcPr>
            <w:tcW w:w="0" w:type="auto"/>
          </w:tcPr>
          <w:p w14:paraId="3149B4E5" w14:textId="52DEB5EA" w:rsidR="005D0F0B" w:rsidRDefault="008C4776" w:rsidP="007C4108">
            <w:pPr>
              <w:pStyle w:val="Tabletext"/>
            </w:pPr>
            <w:r>
              <w:lastRenderedPageBreak/>
              <w:t xml:space="preserve">2.7 </w:t>
            </w:r>
            <w:r w:rsidR="005D0F0B">
              <w:t>P</w:t>
            </w:r>
            <w:r w:rsidR="005D0F0B" w:rsidRPr="00FC2B19">
              <w:t>ublish a detailed methodological framework for consideration and use of data analytics across NICE’s programmes, following internal engagement and public consultation</w:t>
            </w:r>
            <w:r w:rsidR="005D0F0B">
              <w:t xml:space="preserve">, ensuring </w:t>
            </w:r>
            <w:r w:rsidR="005D0F0B" w:rsidRPr="00D94409">
              <w:t>a compliant data management infrastructure to host and process this data</w:t>
            </w:r>
          </w:p>
        </w:tc>
        <w:tc>
          <w:tcPr>
            <w:tcW w:w="567" w:type="dxa"/>
          </w:tcPr>
          <w:p w14:paraId="44CB41FC" w14:textId="22E77B5A" w:rsidR="005D0F0B" w:rsidRPr="00944A52" w:rsidRDefault="005D0F0B" w:rsidP="007C4108">
            <w:pPr>
              <w:pStyle w:val="Tabletext"/>
            </w:pPr>
            <w:r>
              <w:t>Q4</w:t>
            </w:r>
          </w:p>
        </w:tc>
        <w:tc>
          <w:tcPr>
            <w:tcW w:w="567" w:type="dxa"/>
          </w:tcPr>
          <w:p w14:paraId="73AD824A" w14:textId="124A89B7" w:rsidR="005D0F0B" w:rsidRDefault="003458FC" w:rsidP="007C4108">
            <w:pPr>
              <w:pStyle w:val="Tabletext"/>
            </w:pPr>
            <w:r>
              <w:t>Q4 2021/22</w:t>
            </w:r>
          </w:p>
        </w:tc>
        <w:tc>
          <w:tcPr>
            <w:tcW w:w="5451" w:type="dxa"/>
          </w:tcPr>
          <w:p w14:paraId="185D801C" w14:textId="5CE46B94" w:rsidR="006F0001" w:rsidRDefault="006F0001" w:rsidP="00DF7080">
            <w:pPr>
              <w:pStyle w:val="Tablebullet"/>
            </w:pPr>
            <w:r>
              <w:t>We agreed a two-year framework for delivering this work at the Jan 2021 Board meeting, including development of an interim approach in 2021/22. We are on track on this framework.</w:t>
            </w:r>
          </w:p>
          <w:p w14:paraId="662DEA7E" w14:textId="0A89CC4D" w:rsidR="006F0001" w:rsidRDefault="006F0001" w:rsidP="00DF7080">
            <w:pPr>
              <w:pStyle w:val="Tablebullet"/>
            </w:pPr>
            <w:r w:rsidRPr="00333DC0">
              <w:t xml:space="preserve">The data and analytics team </w:t>
            </w:r>
            <w:r>
              <w:t>is</w:t>
            </w:r>
            <w:r w:rsidRPr="00333DC0">
              <w:t xml:space="preserve"> recruiting staff to take forward the comprehensive standards and methods programme to utilise broader sources of data and evidence.</w:t>
            </w:r>
          </w:p>
          <w:p w14:paraId="6273F270" w14:textId="30D421E5" w:rsidR="005D0F0B" w:rsidRPr="00333DC0" w:rsidRDefault="005D0F0B" w:rsidP="006F0001">
            <w:pPr>
              <w:pStyle w:val="Tablebullet"/>
            </w:pPr>
            <w:r>
              <w:t xml:space="preserve">The Executive Team has approved an approach to incorporate open calls </w:t>
            </w:r>
            <w:r w:rsidR="006F0001">
              <w:t>including working with industry as</w:t>
            </w:r>
            <w:r>
              <w:t xml:space="preserve"> a mechanism to deliver selected strands of work on the methods and standards programme. </w:t>
            </w:r>
          </w:p>
        </w:tc>
        <w:tc>
          <w:tcPr>
            <w:tcW w:w="1620" w:type="dxa"/>
          </w:tcPr>
          <w:p w14:paraId="52664B98" w14:textId="4A1DDDB3" w:rsidR="005D0F0B" w:rsidRDefault="006F0001" w:rsidP="005D0F0B">
            <w:pPr>
              <w:pStyle w:val="Tablebullet"/>
              <w:numPr>
                <w:ilvl w:val="0"/>
                <w:numId w:val="0"/>
              </w:numPr>
            </w:pPr>
            <w:r>
              <w:t>Objective changed in year.</w:t>
            </w:r>
            <w:r w:rsidR="003604DF">
              <w:t xml:space="preserve"> </w:t>
            </w:r>
            <w:r w:rsidR="003F3395">
              <w:t xml:space="preserve">Work </w:t>
            </w:r>
            <w:r w:rsidR="00F43AAD">
              <w:t>will</w:t>
            </w:r>
            <w:r w:rsidR="003F3395">
              <w:t xml:space="preserve"> continue </w:t>
            </w:r>
            <w:r>
              <w:t xml:space="preserve">in line with new approach </w:t>
            </w:r>
            <w:r w:rsidR="003F3395">
              <w:t>in 2021/22</w:t>
            </w:r>
          </w:p>
        </w:tc>
      </w:tr>
      <w:tr w:rsidR="005D0F0B" w14:paraId="2FAA1D56" w14:textId="396ED98A" w:rsidTr="00975B7E">
        <w:tc>
          <w:tcPr>
            <w:tcW w:w="0" w:type="auto"/>
          </w:tcPr>
          <w:p w14:paraId="50B7DC4D" w14:textId="09594830" w:rsidR="005D0F0B" w:rsidRDefault="008C4776" w:rsidP="007C4108">
            <w:pPr>
              <w:pStyle w:val="Tabletext"/>
            </w:pPr>
            <w:r>
              <w:t xml:space="preserve">2.8 </w:t>
            </w:r>
            <w:r w:rsidR="005D0F0B">
              <w:t xml:space="preserve">Complete the pilot </w:t>
            </w:r>
            <w:r w:rsidR="005D0F0B" w:rsidRPr="00744E7E">
              <w:t xml:space="preserve">for </w:t>
            </w:r>
            <w:r w:rsidR="005D0F0B">
              <w:t xml:space="preserve">the development of </w:t>
            </w:r>
            <w:r w:rsidR="005D0F0B" w:rsidRPr="00744E7E">
              <w:t xml:space="preserve">a digital health technology evaluation workstream, </w:t>
            </w:r>
            <w:r w:rsidR="005D0F0B">
              <w:t xml:space="preserve">publish process and methods for routine consideration of selected digital health technologies, and further develop </w:t>
            </w:r>
            <w:r w:rsidR="005D0F0B" w:rsidRPr="00744E7E">
              <w:t>the Evidence for Effectiveness standards</w:t>
            </w:r>
          </w:p>
        </w:tc>
        <w:tc>
          <w:tcPr>
            <w:tcW w:w="567" w:type="dxa"/>
          </w:tcPr>
          <w:p w14:paraId="10C1A0C1" w14:textId="692E6DB0" w:rsidR="005D0F0B" w:rsidRPr="00944A52" w:rsidRDefault="005D0F0B" w:rsidP="007C4108">
            <w:pPr>
              <w:pStyle w:val="Tabletext"/>
            </w:pPr>
            <w:r>
              <w:t>Q2</w:t>
            </w:r>
          </w:p>
        </w:tc>
        <w:tc>
          <w:tcPr>
            <w:tcW w:w="567" w:type="dxa"/>
          </w:tcPr>
          <w:p w14:paraId="388B4360" w14:textId="44AF3644" w:rsidR="005D0F0B" w:rsidRDefault="005D0F0B" w:rsidP="007C4108">
            <w:pPr>
              <w:pStyle w:val="Tabletext"/>
            </w:pPr>
            <w:r w:rsidRPr="00944A52">
              <w:t>Q</w:t>
            </w:r>
            <w:r>
              <w:t>3</w:t>
            </w:r>
          </w:p>
        </w:tc>
        <w:tc>
          <w:tcPr>
            <w:tcW w:w="5451" w:type="dxa"/>
          </w:tcPr>
          <w:p w14:paraId="4A79B653" w14:textId="77777777" w:rsidR="005D0F0B" w:rsidRPr="00270996" w:rsidRDefault="005D0F0B" w:rsidP="00301D86">
            <w:pPr>
              <w:pStyle w:val="Tablebullet"/>
            </w:pPr>
            <w:r w:rsidRPr="00270996">
              <w:t xml:space="preserve">The pilot of digital technologies was completed and the Board received a report on the pilot in November 2020. </w:t>
            </w:r>
          </w:p>
          <w:p w14:paraId="2C6B5C66" w14:textId="77777777" w:rsidR="005D0F0B" w:rsidRPr="004961BC" w:rsidRDefault="005D0F0B" w:rsidP="00270996">
            <w:pPr>
              <w:pStyle w:val="Tablebullet"/>
            </w:pPr>
            <w:r w:rsidRPr="004961BC">
              <w:t xml:space="preserve">MTG guidance for Zio XT for detecting cardiac arrhythmias, one of the digital pilot topics, was published in December 2020. </w:t>
            </w:r>
          </w:p>
          <w:p w14:paraId="5879B16C" w14:textId="77777777" w:rsidR="005D0F0B" w:rsidRPr="004961BC" w:rsidRDefault="005D0F0B" w:rsidP="009562CF">
            <w:pPr>
              <w:pStyle w:val="Tablebullet"/>
            </w:pPr>
            <w:r w:rsidRPr="004961BC">
              <w:t>An update to the Evidence for Effectiveness Standards</w:t>
            </w:r>
            <w:r>
              <w:t xml:space="preserve"> (called the “Evidence Standards Framework for Digital Health Technologies”)</w:t>
            </w:r>
            <w:r w:rsidRPr="004961BC">
              <w:t xml:space="preserve"> </w:t>
            </w:r>
            <w:r>
              <w:t>was published on the NICE website on 23</w:t>
            </w:r>
            <w:r w:rsidRPr="004961BC">
              <w:t xml:space="preserve"> April 2021.</w:t>
            </w:r>
          </w:p>
          <w:p w14:paraId="4F986B81" w14:textId="52AD5AE5" w:rsidR="005D0F0B" w:rsidRPr="004961BC" w:rsidRDefault="00130516" w:rsidP="009562CF">
            <w:pPr>
              <w:pStyle w:val="Tablebullet"/>
            </w:pPr>
            <w:r>
              <w:t>The</w:t>
            </w:r>
            <w:r w:rsidR="005D0F0B" w:rsidRPr="004961BC">
              <w:t xml:space="preserve"> Office for Digital Health</w:t>
            </w:r>
            <w:r>
              <w:t xml:space="preserve"> will lead </w:t>
            </w:r>
            <w:r w:rsidR="005D0F0B" w:rsidRPr="004961BC">
              <w:t>develop</w:t>
            </w:r>
            <w:r>
              <w:t>ment of</w:t>
            </w:r>
            <w:r w:rsidR="005D0F0B" w:rsidRPr="004961BC">
              <w:t xml:space="preserve"> an update to the Evidence </w:t>
            </w:r>
            <w:r w:rsidR="005D0F0B">
              <w:t>S</w:t>
            </w:r>
            <w:r w:rsidR="005D0F0B" w:rsidRPr="004961BC">
              <w:t xml:space="preserve">tandards </w:t>
            </w:r>
            <w:r w:rsidR="005D0F0B">
              <w:t>F</w:t>
            </w:r>
            <w:r w:rsidR="005D0F0B" w:rsidRPr="004961BC">
              <w:t xml:space="preserve">ramework specifically for AI health technologies. </w:t>
            </w:r>
            <w:r>
              <w:lastRenderedPageBreak/>
              <w:t>Project r</w:t>
            </w:r>
            <w:r w:rsidR="005D0F0B" w:rsidRPr="004961BC">
              <w:t>ecruitment has started</w:t>
            </w:r>
            <w:r w:rsidR="005D0F0B">
              <w:t xml:space="preserve"> and a tender for an academic partner will be launched shortly</w:t>
            </w:r>
            <w:r w:rsidR="005D0F0B" w:rsidRPr="004961BC">
              <w:t xml:space="preserve">. </w:t>
            </w:r>
          </w:p>
          <w:p w14:paraId="51A485B4" w14:textId="49E509E3" w:rsidR="005D0F0B" w:rsidRPr="00270996" w:rsidRDefault="005D0F0B" w:rsidP="00301D86">
            <w:pPr>
              <w:pStyle w:val="Tablebullet"/>
            </w:pPr>
            <w:r w:rsidRPr="00270996">
              <w:t xml:space="preserve">As a formal review of CHTE methods and processes is running in parallel, we plan to synchronise efforts and include processes and methods for evaluation of digital health technologies within one CHTE manual, instead of publishing separate </w:t>
            </w:r>
            <w:r>
              <w:t xml:space="preserve">digital health technology </w:t>
            </w:r>
            <w:r w:rsidRPr="00270996">
              <w:t>specific processes and methods.</w:t>
            </w:r>
          </w:p>
        </w:tc>
        <w:tc>
          <w:tcPr>
            <w:tcW w:w="1620" w:type="dxa"/>
          </w:tcPr>
          <w:p w14:paraId="6C9C5C5F" w14:textId="6ED36608" w:rsidR="005D0F0B" w:rsidRPr="00270996" w:rsidRDefault="003604DF" w:rsidP="003604DF">
            <w:pPr>
              <w:pStyle w:val="Tablebullet"/>
              <w:numPr>
                <w:ilvl w:val="0"/>
                <w:numId w:val="0"/>
              </w:numPr>
            </w:pPr>
            <w:r>
              <w:lastRenderedPageBreak/>
              <w:t>Delivered</w:t>
            </w:r>
          </w:p>
        </w:tc>
      </w:tr>
      <w:tr w:rsidR="005D0F0B" w14:paraId="06D4C83D" w14:textId="45908F2A" w:rsidTr="00975B7E">
        <w:tc>
          <w:tcPr>
            <w:tcW w:w="0" w:type="auto"/>
          </w:tcPr>
          <w:p w14:paraId="2C344901" w14:textId="2646AC99" w:rsidR="005D0F0B" w:rsidRDefault="008C4776" w:rsidP="007C4108">
            <w:pPr>
              <w:pStyle w:val="Tabletext"/>
            </w:pPr>
            <w:r>
              <w:t xml:space="preserve">2.9 </w:t>
            </w:r>
            <w:r w:rsidR="005D0F0B" w:rsidRPr="00FC2B19">
              <w:t>Develop and emb</w:t>
            </w:r>
            <w:r w:rsidR="005D0F0B" w:rsidRPr="00944A52">
              <w:t>ed new data and information management capability including establishing an integrated digital, information and technology directorate</w:t>
            </w:r>
          </w:p>
        </w:tc>
        <w:tc>
          <w:tcPr>
            <w:tcW w:w="567" w:type="dxa"/>
          </w:tcPr>
          <w:p w14:paraId="216A7C62" w14:textId="7EAC75D5" w:rsidR="005D0F0B" w:rsidRPr="00944A52" w:rsidRDefault="005D0F0B" w:rsidP="007C4108">
            <w:pPr>
              <w:pStyle w:val="Tabletext"/>
            </w:pPr>
            <w:r>
              <w:t>Q2</w:t>
            </w:r>
          </w:p>
        </w:tc>
        <w:tc>
          <w:tcPr>
            <w:tcW w:w="567" w:type="dxa"/>
          </w:tcPr>
          <w:p w14:paraId="6CE18041" w14:textId="6F40BB9E" w:rsidR="005D0F0B" w:rsidRDefault="005D0F0B" w:rsidP="007C4108">
            <w:pPr>
              <w:pStyle w:val="Tabletext"/>
            </w:pPr>
            <w:r w:rsidRPr="00944A52">
              <w:t>Q2</w:t>
            </w:r>
          </w:p>
        </w:tc>
        <w:tc>
          <w:tcPr>
            <w:tcW w:w="5451" w:type="dxa"/>
          </w:tcPr>
          <w:p w14:paraId="2202361A" w14:textId="2D138066" w:rsidR="005D0F0B" w:rsidRPr="00333DC0" w:rsidRDefault="005D0F0B" w:rsidP="00301D86">
            <w:pPr>
              <w:pStyle w:val="Tablebullet"/>
            </w:pPr>
            <w:r w:rsidRPr="00333DC0">
              <w:t xml:space="preserve">The Digital, Information and Technology (DIT) directorate was launched on 1 September. </w:t>
            </w:r>
          </w:p>
          <w:p w14:paraId="49E239EB" w14:textId="3577D748" w:rsidR="005D0F0B" w:rsidRPr="00333DC0" w:rsidRDefault="005D0F0B" w:rsidP="00301D86">
            <w:pPr>
              <w:pStyle w:val="Tablebullet"/>
            </w:pPr>
            <w:r w:rsidRPr="00333DC0">
              <w:t xml:space="preserve">Work to recruit new specialist roles to support NICE Connect and NICE strategic priorities </w:t>
            </w:r>
            <w:r>
              <w:t>continues (17 posts appointed since September)</w:t>
            </w:r>
            <w:r w:rsidRPr="00333DC0">
              <w:t xml:space="preserve">. </w:t>
            </w:r>
          </w:p>
        </w:tc>
        <w:tc>
          <w:tcPr>
            <w:tcW w:w="1620" w:type="dxa"/>
          </w:tcPr>
          <w:p w14:paraId="55D11267" w14:textId="383F1313" w:rsidR="005D0F0B" w:rsidRPr="00333DC0" w:rsidRDefault="00CA3AA6" w:rsidP="00CA3AA6">
            <w:pPr>
              <w:pStyle w:val="Tablebullet"/>
              <w:numPr>
                <w:ilvl w:val="0"/>
                <w:numId w:val="0"/>
              </w:numPr>
            </w:pPr>
            <w:r>
              <w:t>Delivered</w:t>
            </w:r>
          </w:p>
        </w:tc>
      </w:tr>
      <w:tr w:rsidR="005D0F0B" w14:paraId="748091BE" w14:textId="50BBD295" w:rsidTr="00975B7E">
        <w:tc>
          <w:tcPr>
            <w:tcW w:w="0" w:type="auto"/>
          </w:tcPr>
          <w:p w14:paraId="2C1273CC" w14:textId="0CF1F063" w:rsidR="005D0F0B" w:rsidRDefault="008C4776" w:rsidP="007C4108">
            <w:pPr>
              <w:pStyle w:val="Tabletext"/>
            </w:pPr>
            <w:r>
              <w:t xml:space="preserve">2.10 </w:t>
            </w:r>
            <w:r w:rsidR="005D0F0B" w:rsidRPr="00944A52">
              <w:t>Identify priority areas for digital investment and deliver these in partnership with the business through the NICE Connect taskforces</w:t>
            </w:r>
            <w:r w:rsidR="005D0F0B" w:rsidRPr="00944A52" w:rsidDel="00671DBA">
              <w:t xml:space="preserve"> </w:t>
            </w:r>
            <w:r w:rsidR="005D0F0B" w:rsidRPr="00944A52">
              <w:t>and the wider Connect programme</w:t>
            </w:r>
          </w:p>
        </w:tc>
        <w:tc>
          <w:tcPr>
            <w:tcW w:w="567" w:type="dxa"/>
          </w:tcPr>
          <w:p w14:paraId="66CA36AC" w14:textId="3AEC12D1" w:rsidR="005D0F0B" w:rsidRPr="00944A52" w:rsidRDefault="005D0F0B" w:rsidP="007C4108">
            <w:pPr>
              <w:pStyle w:val="Tabletext"/>
            </w:pPr>
            <w:r>
              <w:t>Ongoing</w:t>
            </w:r>
          </w:p>
        </w:tc>
        <w:tc>
          <w:tcPr>
            <w:tcW w:w="567" w:type="dxa"/>
          </w:tcPr>
          <w:p w14:paraId="5AF13652" w14:textId="0D32894E" w:rsidR="005D0F0B" w:rsidRDefault="005D0F0B" w:rsidP="007C4108">
            <w:pPr>
              <w:pStyle w:val="Tabletext"/>
            </w:pPr>
            <w:r w:rsidRPr="00944A52">
              <w:t>Ongoing</w:t>
            </w:r>
          </w:p>
        </w:tc>
        <w:tc>
          <w:tcPr>
            <w:tcW w:w="5451" w:type="dxa"/>
          </w:tcPr>
          <w:p w14:paraId="1AE0CC0A" w14:textId="11FB8645" w:rsidR="005D0F0B" w:rsidRDefault="005D0F0B" w:rsidP="00301D86">
            <w:pPr>
              <w:pStyle w:val="Tablebullet"/>
            </w:pPr>
            <w:r w:rsidRPr="00333DC0">
              <w:t xml:space="preserve">DIT </w:t>
            </w:r>
            <w:r>
              <w:t>has identified a range of digital investment</w:t>
            </w:r>
            <w:r w:rsidRPr="00333DC0">
              <w:t xml:space="preserve"> priorities for NICE Connect, the wider NICE Strategy and </w:t>
            </w:r>
            <w:r>
              <w:t>to support</w:t>
            </w:r>
            <w:r w:rsidRPr="00333DC0">
              <w:t xml:space="preserve"> our live service provision. </w:t>
            </w:r>
          </w:p>
          <w:p w14:paraId="72BDC020" w14:textId="473C44CA" w:rsidR="005D0F0B" w:rsidRPr="00333DC0" w:rsidRDefault="005D0F0B" w:rsidP="00377C1F">
            <w:pPr>
              <w:pStyle w:val="Tablebullet"/>
            </w:pPr>
            <w:r w:rsidRPr="00333DC0">
              <w:t xml:space="preserve">A new Technology Governance Board </w:t>
            </w:r>
            <w:r w:rsidR="00A80507">
              <w:t>was</w:t>
            </w:r>
            <w:r w:rsidRPr="00333DC0">
              <w:t xml:space="preserve"> established</w:t>
            </w:r>
            <w:r>
              <w:t xml:space="preserve"> in Q1 2021/22</w:t>
            </w:r>
            <w:r w:rsidRPr="00333DC0">
              <w:t xml:space="preserve">. </w:t>
            </w:r>
          </w:p>
        </w:tc>
        <w:tc>
          <w:tcPr>
            <w:tcW w:w="1620" w:type="dxa"/>
          </w:tcPr>
          <w:p w14:paraId="508A7DD0" w14:textId="77635C12" w:rsidR="005D0F0B" w:rsidRPr="00333DC0" w:rsidRDefault="00CA3AA6" w:rsidP="00CA3AA6">
            <w:pPr>
              <w:pStyle w:val="Tablebullet"/>
              <w:numPr>
                <w:ilvl w:val="0"/>
                <w:numId w:val="0"/>
              </w:numPr>
            </w:pPr>
            <w:r>
              <w:t>Delivered for this year</w:t>
            </w:r>
          </w:p>
        </w:tc>
      </w:tr>
    </w:tbl>
    <w:p w14:paraId="03642BA0" w14:textId="77777777" w:rsidR="00A13E24" w:rsidRDefault="00A13E24" w:rsidP="007A2751">
      <w:pPr>
        <w:pStyle w:val="NICEnormal"/>
        <w:spacing w:after="0"/>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Play an active, influential role in the national stewardship of the health and care system"/>
      </w:tblPr>
      <w:tblGrid>
        <w:gridCol w:w="4531"/>
        <w:gridCol w:w="1134"/>
        <w:gridCol w:w="1137"/>
        <w:gridCol w:w="5526"/>
        <w:gridCol w:w="1620"/>
      </w:tblGrid>
      <w:tr w:rsidR="00DA3058" w14:paraId="08051308" w14:textId="550EB6C5" w:rsidTr="007A2751">
        <w:trPr>
          <w:tblHeader/>
        </w:trPr>
        <w:tc>
          <w:tcPr>
            <w:tcW w:w="4531" w:type="dxa"/>
          </w:tcPr>
          <w:p w14:paraId="04541C8D" w14:textId="101A8FFC" w:rsidR="00DA3058" w:rsidRPr="00944A52" w:rsidRDefault="00D34CAA" w:rsidP="007C4108">
            <w:pPr>
              <w:pStyle w:val="Tableheadingboardreport"/>
            </w:pPr>
            <w:bookmarkStart w:id="1" w:name="_Hlk71181137"/>
            <w:r>
              <w:t xml:space="preserve">3. </w:t>
            </w:r>
            <w:r w:rsidR="00DA3058" w:rsidRPr="00802086">
              <w:t>Play an active, influential role in the national stewardship of the health and care system</w:t>
            </w:r>
            <w:bookmarkEnd w:id="1"/>
          </w:p>
        </w:tc>
        <w:tc>
          <w:tcPr>
            <w:tcW w:w="1134" w:type="dxa"/>
          </w:tcPr>
          <w:p w14:paraId="1DCA811D" w14:textId="510751AD" w:rsidR="00DA3058" w:rsidRDefault="00DA3058" w:rsidP="007C4108">
            <w:pPr>
              <w:pStyle w:val="Tableheadingboardreport"/>
            </w:pPr>
            <w:r>
              <w:t>Original delivery date</w:t>
            </w:r>
          </w:p>
        </w:tc>
        <w:tc>
          <w:tcPr>
            <w:tcW w:w="1137" w:type="dxa"/>
          </w:tcPr>
          <w:p w14:paraId="29D80306" w14:textId="5E7085D1" w:rsidR="00DA3058" w:rsidRPr="00944A52" w:rsidRDefault="00DA3058" w:rsidP="007C4108">
            <w:pPr>
              <w:pStyle w:val="Tableheadingboardreport"/>
            </w:pPr>
            <w:r>
              <w:t>Delivery date</w:t>
            </w:r>
          </w:p>
        </w:tc>
        <w:tc>
          <w:tcPr>
            <w:tcW w:w="5526" w:type="dxa"/>
          </w:tcPr>
          <w:p w14:paraId="5EF8C0B0" w14:textId="77777777" w:rsidR="00DA3058" w:rsidRPr="00F23A61" w:rsidRDefault="00DA3058" w:rsidP="007C4108">
            <w:pPr>
              <w:pStyle w:val="Tableheadingboardreport"/>
              <w:rPr>
                <w:szCs w:val="22"/>
              </w:rPr>
            </w:pPr>
            <w:r w:rsidRPr="00DD2591">
              <w:rPr>
                <w:szCs w:val="22"/>
              </w:rPr>
              <w:t xml:space="preserve">Progress update </w:t>
            </w:r>
          </w:p>
        </w:tc>
        <w:tc>
          <w:tcPr>
            <w:tcW w:w="1620" w:type="dxa"/>
          </w:tcPr>
          <w:p w14:paraId="30868340" w14:textId="1C310EA3" w:rsidR="00DA3058" w:rsidRPr="00DD2591" w:rsidRDefault="00DA3058" w:rsidP="007C4108">
            <w:pPr>
              <w:pStyle w:val="Tableheadingboardreport"/>
              <w:rPr>
                <w:szCs w:val="22"/>
              </w:rPr>
            </w:pPr>
            <w:r>
              <w:rPr>
                <w:szCs w:val="22"/>
              </w:rPr>
              <w:t>End of year status</w:t>
            </w:r>
          </w:p>
        </w:tc>
      </w:tr>
      <w:tr w:rsidR="00DA3058" w14:paraId="6C2E9C1D" w14:textId="3366065E" w:rsidTr="007A2751">
        <w:tc>
          <w:tcPr>
            <w:tcW w:w="4531" w:type="dxa"/>
          </w:tcPr>
          <w:p w14:paraId="25F59956" w14:textId="6B6B3F5D" w:rsidR="00DA3058" w:rsidRPr="00802086" w:rsidRDefault="00725288" w:rsidP="007C4108">
            <w:pPr>
              <w:pStyle w:val="Tabletext"/>
            </w:pPr>
            <w:r>
              <w:t xml:space="preserve">3.1 </w:t>
            </w:r>
            <w:r w:rsidR="00DA3058" w:rsidRPr="00802086">
              <w:t xml:space="preserve">Support the wider health and care system by producing and maintaining guidelines and other products relevant to </w:t>
            </w:r>
            <w:r w:rsidR="00DA3058" w:rsidRPr="00802086">
              <w:lastRenderedPageBreak/>
              <w:t>the management of COVID-19, and to actively participate in the multi-agency initiative with the MHRA, NHSE&amp;I and NIHR to support the transition from research to access for promising treatments</w:t>
            </w:r>
          </w:p>
        </w:tc>
        <w:tc>
          <w:tcPr>
            <w:tcW w:w="1134" w:type="dxa"/>
          </w:tcPr>
          <w:p w14:paraId="1E1D346D" w14:textId="2FF4392B" w:rsidR="00DA3058" w:rsidRPr="00802086" w:rsidRDefault="00DA3058" w:rsidP="007C4108">
            <w:pPr>
              <w:pStyle w:val="Tabletext"/>
            </w:pPr>
            <w:r>
              <w:lastRenderedPageBreak/>
              <w:t>Ongoing</w:t>
            </w:r>
          </w:p>
        </w:tc>
        <w:tc>
          <w:tcPr>
            <w:tcW w:w="1137" w:type="dxa"/>
          </w:tcPr>
          <w:p w14:paraId="5A0831F0" w14:textId="7CC7F55F" w:rsidR="00DA3058" w:rsidRPr="00802086" w:rsidRDefault="00DA3058" w:rsidP="007C4108">
            <w:pPr>
              <w:pStyle w:val="Tabletext"/>
            </w:pPr>
            <w:r w:rsidRPr="00802086">
              <w:t>Ongoing</w:t>
            </w:r>
          </w:p>
        </w:tc>
        <w:tc>
          <w:tcPr>
            <w:tcW w:w="5526" w:type="dxa"/>
          </w:tcPr>
          <w:p w14:paraId="280F5CA8" w14:textId="423AFB6C" w:rsidR="00DA3058" w:rsidRDefault="00DA3058" w:rsidP="009562CF">
            <w:pPr>
              <w:pStyle w:val="Tablebullet"/>
            </w:pPr>
            <w:r>
              <w:t xml:space="preserve">The </w:t>
            </w:r>
            <w:r w:rsidRPr="00505C1D">
              <w:t>Managing acute COVID-19 guideline</w:t>
            </w:r>
            <w:r>
              <w:t xml:space="preserve"> was published in MAGICapp on 23 March. It is a living </w:t>
            </w:r>
            <w:r>
              <w:lastRenderedPageBreak/>
              <w:t xml:space="preserve">guideline, continually updated as new evidence emerges. </w:t>
            </w:r>
          </w:p>
          <w:p w14:paraId="58771A08" w14:textId="6C32CF8A" w:rsidR="00DA3058" w:rsidRPr="00333DC0" w:rsidRDefault="00DA3058" w:rsidP="009562CF">
            <w:pPr>
              <w:pStyle w:val="Tablebullet"/>
            </w:pPr>
            <w:r w:rsidRPr="00333DC0">
              <w:t xml:space="preserve">The Research to Access Pathway for Investigational Drugs for COVID-19 (RAPID-C19) </w:t>
            </w:r>
            <w:r>
              <w:t xml:space="preserve">continues to be </w:t>
            </w:r>
            <w:r w:rsidRPr="00333DC0">
              <w:t xml:space="preserve">a critical part of the DHSC Therapeutics Taskforce's ongoing response to COVID-19 and </w:t>
            </w:r>
            <w:r>
              <w:t>NICE sits on</w:t>
            </w:r>
            <w:r w:rsidRPr="00333DC0">
              <w:t xml:space="preserve"> the Therapeutics Taskforce programme board. The RAPID-C19 oversight group continues to meet weekly. To date, access to </w:t>
            </w:r>
            <w:r>
              <w:t>5</w:t>
            </w:r>
            <w:r w:rsidRPr="00333DC0">
              <w:t xml:space="preserve"> drugs has been facilitated, </w:t>
            </w:r>
            <w:r>
              <w:t>56</w:t>
            </w:r>
            <w:r w:rsidRPr="00333DC0">
              <w:t xml:space="preserve"> technologies are in active monitoring and further technologies are being investigated.</w:t>
            </w:r>
          </w:p>
        </w:tc>
        <w:tc>
          <w:tcPr>
            <w:tcW w:w="1620" w:type="dxa"/>
          </w:tcPr>
          <w:p w14:paraId="6C0F0F00" w14:textId="5AB9C291" w:rsidR="00DA3058" w:rsidRDefault="00DA3058" w:rsidP="00DA3058">
            <w:pPr>
              <w:pStyle w:val="Tablebullet"/>
              <w:numPr>
                <w:ilvl w:val="0"/>
                <w:numId w:val="0"/>
              </w:numPr>
            </w:pPr>
            <w:r>
              <w:lastRenderedPageBreak/>
              <w:t>Delivered for this year</w:t>
            </w:r>
          </w:p>
        </w:tc>
      </w:tr>
      <w:tr w:rsidR="00DA3058" w14:paraId="0A2AD3BF" w14:textId="18BF5E73" w:rsidTr="007A2751">
        <w:tc>
          <w:tcPr>
            <w:tcW w:w="4531" w:type="dxa"/>
          </w:tcPr>
          <w:p w14:paraId="5328045D" w14:textId="72938D37" w:rsidR="00DA3058" w:rsidRPr="00802086" w:rsidRDefault="00725288" w:rsidP="007C4108">
            <w:pPr>
              <w:pStyle w:val="Tabletext"/>
            </w:pPr>
            <w:r>
              <w:t xml:space="preserve">3.2 </w:t>
            </w:r>
            <w:r w:rsidR="00DA3058" w:rsidRPr="00802086">
              <w:t>Work with NHSE&amp;I and other health and care system partners to support the implementation of the NHS long term plan as part of a strategic engagement plan</w:t>
            </w:r>
          </w:p>
        </w:tc>
        <w:tc>
          <w:tcPr>
            <w:tcW w:w="1134" w:type="dxa"/>
          </w:tcPr>
          <w:p w14:paraId="45CAB1FC" w14:textId="0B022A7E" w:rsidR="00DA3058" w:rsidRPr="00802086" w:rsidRDefault="00DA3058" w:rsidP="007C4108">
            <w:pPr>
              <w:pStyle w:val="Tabletext"/>
            </w:pPr>
            <w:r>
              <w:t>Ongoing</w:t>
            </w:r>
          </w:p>
        </w:tc>
        <w:tc>
          <w:tcPr>
            <w:tcW w:w="1137" w:type="dxa"/>
          </w:tcPr>
          <w:p w14:paraId="413C3921" w14:textId="6170F743" w:rsidR="00DA3058" w:rsidRPr="00802086" w:rsidRDefault="00DA3058" w:rsidP="007C4108">
            <w:pPr>
              <w:pStyle w:val="Tabletext"/>
            </w:pPr>
            <w:r w:rsidRPr="00802086">
              <w:t>Ongoing</w:t>
            </w:r>
          </w:p>
        </w:tc>
        <w:tc>
          <w:tcPr>
            <w:tcW w:w="5526" w:type="dxa"/>
          </w:tcPr>
          <w:p w14:paraId="74CE00DD" w14:textId="16C32643" w:rsidR="00DA3058" w:rsidRDefault="00DA3058" w:rsidP="00123E7F">
            <w:pPr>
              <w:pStyle w:val="Tablebullet"/>
            </w:pPr>
            <w:r>
              <w:t>We have engaged with a wide range of system partners to support shifting priorities.</w:t>
            </w:r>
            <w:r w:rsidRPr="00123E7F">
              <w:t xml:space="preserve"> This included engagement</w:t>
            </w:r>
            <w:r>
              <w:t xml:space="preserve"> with the </w:t>
            </w:r>
            <w:r w:rsidRPr="00123E7F">
              <w:t>CQC</w:t>
            </w:r>
            <w:r>
              <w:t xml:space="preserve"> on a comprehensive plan of joint work as well as with the 4 themes of their strategy and some very positive engagement with the medical colleges.</w:t>
            </w:r>
          </w:p>
          <w:p w14:paraId="497F3E0F" w14:textId="48CB04C9" w:rsidR="00DA3058" w:rsidRPr="00333DC0" w:rsidRDefault="00DA3058" w:rsidP="00123E7F">
            <w:pPr>
              <w:pStyle w:val="Tablebullet"/>
            </w:pPr>
            <w:r w:rsidRPr="006F57FF">
              <w:t xml:space="preserve">Work </w:t>
            </w:r>
            <w:r>
              <w:t xml:space="preserve">was </w:t>
            </w:r>
            <w:r w:rsidRPr="006F57FF">
              <w:t>undertaken to review who we believe our key strategic partners are and ensure future plans remain relevant to the current context.</w:t>
            </w:r>
          </w:p>
          <w:p w14:paraId="159B8430" w14:textId="751266F9" w:rsidR="00DA3058" w:rsidRPr="00333DC0" w:rsidRDefault="00DA3058" w:rsidP="00123E7F">
            <w:pPr>
              <w:pStyle w:val="Tablebullet"/>
            </w:pPr>
            <w:r>
              <w:t>Six-</w:t>
            </w:r>
            <w:r w:rsidRPr="00333DC0">
              <w:t xml:space="preserve">weekly </w:t>
            </w:r>
            <w:r>
              <w:t>meetings have been established</w:t>
            </w:r>
            <w:r w:rsidRPr="00333DC0">
              <w:t xml:space="preserve"> with </w:t>
            </w:r>
            <w:r>
              <w:t xml:space="preserve">the </w:t>
            </w:r>
            <w:r w:rsidRPr="00333DC0">
              <w:t xml:space="preserve">new DHSC Adult social care team to align priorities and support </w:t>
            </w:r>
            <w:r>
              <w:t xml:space="preserve">the </w:t>
            </w:r>
            <w:r w:rsidRPr="00333DC0">
              <w:t>system.</w:t>
            </w:r>
            <w:r>
              <w:t xml:space="preserve"> Regular engagement has been established and maintained with key organisations in social care (e.g. CQC, SCIE, ADASS, LGA, Skills for Care, TLAP, CPA).</w:t>
            </w:r>
          </w:p>
        </w:tc>
        <w:tc>
          <w:tcPr>
            <w:tcW w:w="1620" w:type="dxa"/>
          </w:tcPr>
          <w:p w14:paraId="0097278A" w14:textId="3A3BAFD4" w:rsidR="00DA3058" w:rsidRDefault="00DA3058" w:rsidP="00DA3058">
            <w:pPr>
              <w:pStyle w:val="Tablebullet"/>
              <w:numPr>
                <w:ilvl w:val="0"/>
                <w:numId w:val="0"/>
              </w:numPr>
            </w:pPr>
            <w:r>
              <w:t>Delivered for this year</w:t>
            </w:r>
          </w:p>
        </w:tc>
      </w:tr>
      <w:tr w:rsidR="00DA3058" w14:paraId="773A8C70" w14:textId="41D490BB" w:rsidTr="007A2751">
        <w:tc>
          <w:tcPr>
            <w:tcW w:w="4531" w:type="dxa"/>
          </w:tcPr>
          <w:p w14:paraId="280A039B" w14:textId="5876D4C1" w:rsidR="00DA3058" w:rsidRPr="00944A52" w:rsidRDefault="00725288" w:rsidP="007C4108">
            <w:pPr>
              <w:pStyle w:val="Tabletext"/>
            </w:pPr>
            <w:r>
              <w:t xml:space="preserve">3.3 </w:t>
            </w:r>
            <w:r w:rsidR="00DA3058" w:rsidRPr="00802086">
              <w:t xml:space="preserve">Further develop the relationship with NHSE&amp;I Specialised Commissioning in the areas of commercial and managed access, </w:t>
            </w:r>
            <w:r w:rsidR="00DA3058" w:rsidRPr="00802086">
              <w:lastRenderedPageBreak/>
              <w:t>genomics and guidance and advice development</w:t>
            </w:r>
          </w:p>
        </w:tc>
        <w:tc>
          <w:tcPr>
            <w:tcW w:w="1134" w:type="dxa"/>
          </w:tcPr>
          <w:p w14:paraId="01CC508D" w14:textId="2FD6E81A" w:rsidR="00DA3058" w:rsidRPr="00802086" w:rsidRDefault="00DA3058" w:rsidP="007C4108">
            <w:pPr>
              <w:pStyle w:val="Tabletext"/>
            </w:pPr>
            <w:r>
              <w:lastRenderedPageBreak/>
              <w:t>Ongoing</w:t>
            </w:r>
          </w:p>
        </w:tc>
        <w:tc>
          <w:tcPr>
            <w:tcW w:w="1137" w:type="dxa"/>
          </w:tcPr>
          <w:p w14:paraId="23391426" w14:textId="0C1AF8ED" w:rsidR="00DA3058" w:rsidRPr="00944A52" w:rsidRDefault="00DA3058" w:rsidP="007C4108">
            <w:pPr>
              <w:pStyle w:val="Tabletext"/>
            </w:pPr>
            <w:r w:rsidRPr="00802086">
              <w:t>Ongoing</w:t>
            </w:r>
          </w:p>
        </w:tc>
        <w:tc>
          <w:tcPr>
            <w:tcW w:w="5526" w:type="dxa"/>
          </w:tcPr>
          <w:p w14:paraId="4791009D" w14:textId="72B9233A" w:rsidR="00DA3058" w:rsidRPr="00087BBF" w:rsidRDefault="00DA3058" w:rsidP="00C9047E">
            <w:pPr>
              <w:pStyle w:val="Tablebullet"/>
            </w:pPr>
            <w:r w:rsidRPr="00087BBF">
              <w:t xml:space="preserve">Work with colleagues in NHSE&amp;I continues </w:t>
            </w:r>
            <w:r>
              <w:t>on</w:t>
            </w:r>
            <w:r w:rsidRPr="00087BBF">
              <w:t>:</w:t>
            </w:r>
          </w:p>
          <w:p w14:paraId="20D166DF" w14:textId="59D55F07" w:rsidR="00DA3058" w:rsidRPr="00D37A00" w:rsidRDefault="00DA3058" w:rsidP="00D37A00">
            <w:pPr>
              <w:pStyle w:val="Tablebullet"/>
              <w:numPr>
                <w:ilvl w:val="1"/>
                <w:numId w:val="21"/>
              </w:numPr>
            </w:pPr>
            <w:r w:rsidRPr="00D37A00">
              <w:t xml:space="preserve">the implementation of the recently published commercial medicines </w:t>
            </w:r>
            <w:r w:rsidRPr="00D37A00">
              <w:lastRenderedPageBreak/>
              <w:t>framework and the NICE interim statement on commercial and managed access</w:t>
            </w:r>
          </w:p>
          <w:p w14:paraId="1C6438B4" w14:textId="77777777" w:rsidR="00DA3058" w:rsidRPr="00D37A00" w:rsidRDefault="00DA3058" w:rsidP="00D37A00">
            <w:pPr>
              <w:pStyle w:val="Tablebullet"/>
              <w:numPr>
                <w:ilvl w:val="1"/>
                <w:numId w:val="21"/>
              </w:numPr>
            </w:pPr>
            <w:r w:rsidRPr="00D37A00">
              <w:t>Manged Access Policy Principles</w:t>
            </w:r>
          </w:p>
          <w:p w14:paraId="4BE01400" w14:textId="77777777" w:rsidR="00DA3058" w:rsidRPr="00D37A00" w:rsidRDefault="00DA3058" w:rsidP="00D37A00">
            <w:pPr>
              <w:pStyle w:val="Tablebullet"/>
              <w:numPr>
                <w:ilvl w:val="1"/>
                <w:numId w:val="21"/>
              </w:numPr>
            </w:pPr>
            <w:r w:rsidRPr="00D37A00">
              <w:t xml:space="preserve">The Innovative Medicines Fund </w:t>
            </w:r>
          </w:p>
          <w:p w14:paraId="6E6C3032" w14:textId="77777777" w:rsidR="00DA3058" w:rsidRPr="00D37A00" w:rsidRDefault="00DA3058" w:rsidP="00D37A00">
            <w:pPr>
              <w:pStyle w:val="Tablebullet"/>
              <w:numPr>
                <w:ilvl w:val="1"/>
                <w:numId w:val="21"/>
              </w:numPr>
            </w:pPr>
            <w:r w:rsidRPr="00D37A00">
              <w:t>The Budget Impact Test</w:t>
            </w:r>
          </w:p>
          <w:p w14:paraId="4781D318" w14:textId="7A5760A8" w:rsidR="00DA3058" w:rsidRPr="00D37A00" w:rsidRDefault="00DA3058" w:rsidP="00D37A00">
            <w:pPr>
              <w:pStyle w:val="Tablebullet"/>
              <w:numPr>
                <w:ilvl w:val="1"/>
                <w:numId w:val="21"/>
              </w:numPr>
            </w:pPr>
            <w:r w:rsidRPr="00D37A00">
              <w:t>The role of the commercial liaison team in the review of Commercial Access Arrangement (CAA) Proposals</w:t>
            </w:r>
          </w:p>
          <w:p w14:paraId="13CE9519" w14:textId="5EF2CC16" w:rsidR="00DA3058" w:rsidRPr="00333DC0" w:rsidRDefault="00DA3058" w:rsidP="00123E7F">
            <w:pPr>
              <w:pStyle w:val="Tablebullet"/>
            </w:pPr>
            <w:r w:rsidRPr="00087BBF">
              <w:t xml:space="preserve">We </w:t>
            </w:r>
            <w:r>
              <w:t xml:space="preserve">are working to establish </w:t>
            </w:r>
            <w:r w:rsidRPr="00087BBF">
              <w:t>NICE’s role in the consideration of ‘genomics’ with colleagues in NHSE&amp;I and Genomics England.</w:t>
            </w:r>
          </w:p>
        </w:tc>
        <w:tc>
          <w:tcPr>
            <w:tcW w:w="1620" w:type="dxa"/>
          </w:tcPr>
          <w:p w14:paraId="12C1273C" w14:textId="52835071" w:rsidR="00DA3058" w:rsidRPr="00087BBF" w:rsidRDefault="006C62A3" w:rsidP="006C62A3">
            <w:pPr>
              <w:pStyle w:val="Tablebullet"/>
              <w:numPr>
                <w:ilvl w:val="0"/>
                <w:numId w:val="0"/>
              </w:numPr>
            </w:pPr>
            <w:r>
              <w:lastRenderedPageBreak/>
              <w:t>Delivered for this year</w:t>
            </w:r>
          </w:p>
        </w:tc>
      </w:tr>
      <w:tr w:rsidR="00DA3058" w14:paraId="227BCD48" w14:textId="170AEAD0" w:rsidTr="007A2751">
        <w:tc>
          <w:tcPr>
            <w:tcW w:w="4531" w:type="dxa"/>
          </w:tcPr>
          <w:p w14:paraId="1C2A92E9" w14:textId="6C1F9175" w:rsidR="00DA3058" w:rsidRPr="00944A52" w:rsidRDefault="00725288" w:rsidP="007C4108">
            <w:pPr>
              <w:pStyle w:val="Tabletext"/>
            </w:pPr>
            <w:r>
              <w:t xml:space="preserve">3.4 </w:t>
            </w:r>
            <w:r w:rsidR="00DA3058" w:rsidRPr="00802086">
              <w:t>Design and put in place changes to our current technology appraisal processes in order to continue to ensure consistency with UK regulatory arrangements, incorporating learning from the joint response to COVID-19</w:t>
            </w:r>
          </w:p>
        </w:tc>
        <w:tc>
          <w:tcPr>
            <w:tcW w:w="1134" w:type="dxa"/>
          </w:tcPr>
          <w:p w14:paraId="6D3EEEDF" w14:textId="592985C3" w:rsidR="00DA3058" w:rsidRPr="00802086" w:rsidRDefault="00DA3058" w:rsidP="007C4108">
            <w:pPr>
              <w:pStyle w:val="Tabletext"/>
            </w:pPr>
            <w:r>
              <w:t>End of Q3</w:t>
            </w:r>
          </w:p>
        </w:tc>
        <w:tc>
          <w:tcPr>
            <w:tcW w:w="1137" w:type="dxa"/>
          </w:tcPr>
          <w:p w14:paraId="2852AF9D" w14:textId="163AEA65" w:rsidR="00DA3058" w:rsidRPr="00944A52" w:rsidRDefault="00DA3058" w:rsidP="007C4108">
            <w:pPr>
              <w:pStyle w:val="Tabletext"/>
            </w:pPr>
            <w:r w:rsidRPr="00802086">
              <w:t>End of Q3</w:t>
            </w:r>
          </w:p>
        </w:tc>
        <w:tc>
          <w:tcPr>
            <w:tcW w:w="5526" w:type="dxa"/>
          </w:tcPr>
          <w:p w14:paraId="19BE54A9" w14:textId="238C4EB9" w:rsidR="00DA3058" w:rsidRPr="00270996" w:rsidRDefault="00DA3058" w:rsidP="00270996">
            <w:pPr>
              <w:pStyle w:val="Tablebullet"/>
            </w:pPr>
            <w:r w:rsidRPr="00087BBF">
              <w:t xml:space="preserve">NICE </w:t>
            </w:r>
            <w:r>
              <w:t>is</w:t>
            </w:r>
            <w:r w:rsidRPr="00087BBF">
              <w:t xml:space="preserve"> a formal partner in the MHRA Innovative Licensing and Access Pathway</w:t>
            </w:r>
            <w:r>
              <w:t xml:space="preserve"> </w:t>
            </w:r>
            <w:r w:rsidRPr="00270996">
              <w:t>and participated in the decision to award the first Innovation Passport for belzutifan, a treatment developed by MSD (UK) for adults with von Hippel Lindau disease.</w:t>
            </w:r>
          </w:p>
          <w:p w14:paraId="6FE671BD" w14:textId="77777777" w:rsidR="00DA3058" w:rsidRDefault="00DA3058" w:rsidP="00C9047E">
            <w:pPr>
              <w:pStyle w:val="Tablebullet"/>
            </w:pPr>
            <w:r w:rsidRPr="00087BBF">
              <w:t>Sharing of operational information regarding regulatory processes and timings for individual products are currently evolving.</w:t>
            </w:r>
          </w:p>
          <w:p w14:paraId="0727F201" w14:textId="5A921503" w:rsidR="00DA3058" w:rsidRPr="00123E7F" w:rsidRDefault="00DA3058" w:rsidP="00C9047E">
            <w:pPr>
              <w:pStyle w:val="Tablebullet"/>
            </w:pPr>
            <w:r>
              <w:t>We have worked collaboratively with NHSE&amp;I to develop a process to enable interim access for exceptional drugs that gained regulatory approval via the ‘Orbis’ regulatory process.</w:t>
            </w:r>
          </w:p>
        </w:tc>
        <w:tc>
          <w:tcPr>
            <w:tcW w:w="1620" w:type="dxa"/>
          </w:tcPr>
          <w:p w14:paraId="18DEE204" w14:textId="0115AA20" w:rsidR="00DA3058" w:rsidRPr="00087BBF" w:rsidRDefault="006C62A3" w:rsidP="006C62A3">
            <w:pPr>
              <w:pStyle w:val="Tablebullet"/>
              <w:numPr>
                <w:ilvl w:val="0"/>
                <w:numId w:val="0"/>
              </w:numPr>
            </w:pPr>
            <w:r>
              <w:t>Delivered for this year</w:t>
            </w:r>
          </w:p>
        </w:tc>
      </w:tr>
      <w:tr w:rsidR="00DA3058" w14:paraId="7E626822" w14:textId="39916CA0" w:rsidTr="007A2751">
        <w:tc>
          <w:tcPr>
            <w:tcW w:w="4531" w:type="dxa"/>
          </w:tcPr>
          <w:p w14:paraId="027F107D" w14:textId="45D45108" w:rsidR="00DA3058" w:rsidRPr="00944A52" w:rsidRDefault="00725288" w:rsidP="007C4108">
            <w:pPr>
              <w:pStyle w:val="Tabletext"/>
            </w:pPr>
            <w:r>
              <w:t xml:space="preserve">3.5 </w:t>
            </w:r>
            <w:r w:rsidR="00DA3058" w:rsidRPr="00802086">
              <w:t xml:space="preserve">Work with system partners on relevant areas of policy interest including NHSE&amp;I and Public Health England on antimicrobial stewardship, the review of adult screening programmes in England, quality of life measurements, emerging technology areas </w:t>
            </w:r>
            <w:r w:rsidR="00DA3058" w:rsidRPr="00802086">
              <w:lastRenderedPageBreak/>
              <w:t>such as genomics, and relevant aspects of the Independent Medicines and Medical Devices Safety (IMMDS) Review</w:t>
            </w:r>
          </w:p>
        </w:tc>
        <w:tc>
          <w:tcPr>
            <w:tcW w:w="1134" w:type="dxa"/>
          </w:tcPr>
          <w:p w14:paraId="29A2D2CE" w14:textId="6B63A8DE" w:rsidR="00DA3058" w:rsidRPr="00802086" w:rsidRDefault="00DA3058" w:rsidP="007C4108">
            <w:pPr>
              <w:pStyle w:val="Tabletext"/>
            </w:pPr>
            <w:r>
              <w:lastRenderedPageBreak/>
              <w:t>Ongoing</w:t>
            </w:r>
          </w:p>
        </w:tc>
        <w:tc>
          <w:tcPr>
            <w:tcW w:w="1137" w:type="dxa"/>
          </w:tcPr>
          <w:p w14:paraId="5FA829E8" w14:textId="225ECB1D" w:rsidR="00DA3058" w:rsidRPr="00944A52" w:rsidRDefault="00DA3058" w:rsidP="007C4108">
            <w:pPr>
              <w:pStyle w:val="Tabletext"/>
            </w:pPr>
            <w:r w:rsidRPr="00802086">
              <w:t>Ongoing</w:t>
            </w:r>
          </w:p>
        </w:tc>
        <w:tc>
          <w:tcPr>
            <w:tcW w:w="5526" w:type="dxa"/>
          </w:tcPr>
          <w:p w14:paraId="027721CD" w14:textId="196835AD" w:rsidR="00DA3058" w:rsidRDefault="00DA3058" w:rsidP="00C9047E">
            <w:pPr>
              <w:pStyle w:val="Tablebullet"/>
            </w:pPr>
            <w:r>
              <w:t xml:space="preserve">Cross-directorate Patient Safety Oversight Group established. The group provides oversight of NICE’s response to the Independent Medicines and Medical Devices Safety (IMMDS) Review, facilitating and co-ordinating across directorates the actions agreed by the Board in September </w:t>
            </w:r>
            <w:r>
              <w:lastRenderedPageBreak/>
              <w:t>2020. The group is also conducting a review of patient safety activity at NICE, which will generate recommendations for a sustainable model for managing patient safety issues in a structured and systematic way across the organisation, as well as the potential resources required to support such changes.</w:t>
            </w:r>
          </w:p>
          <w:p w14:paraId="06AB8D8F" w14:textId="5ACD1DC1" w:rsidR="00DA3058" w:rsidRPr="00333DC0" w:rsidRDefault="00DA3058" w:rsidP="00123E7F">
            <w:pPr>
              <w:pStyle w:val="Tablebullet"/>
            </w:pPr>
            <w:r>
              <w:t>The NICE and NHSE&amp;I project to develop and test models for the evaluation and purchase of antimicrobials is now in the product evaluation stage. Final scopes and study protocols for the two selected products have been published.</w:t>
            </w:r>
          </w:p>
        </w:tc>
        <w:tc>
          <w:tcPr>
            <w:tcW w:w="1620" w:type="dxa"/>
          </w:tcPr>
          <w:p w14:paraId="1B01004E" w14:textId="31D36E1B" w:rsidR="00DA3058" w:rsidRDefault="006C62A3" w:rsidP="006C62A3">
            <w:pPr>
              <w:pStyle w:val="Tablebullet"/>
              <w:numPr>
                <w:ilvl w:val="0"/>
                <w:numId w:val="0"/>
              </w:numPr>
            </w:pPr>
            <w:r>
              <w:lastRenderedPageBreak/>
              <w:t>Delivered for this year</w:t>
            </w:r>
          </w:p>
        </w:tc>
      </w:tr>
      <w:tr w:rsidR="00DA3058" w14:paraId="45FDA086" w14:textId="1075836F" w:rsidTr="007A2751">
        <w:tc>
          <w:tcPr>
            <w:tcW w:w="4531" w:type="dxa"/>
          </w:tcPr>
          <w:p w14:paraId="2041E19B" w14:textId="4F5FE3F6" w:rsidR="00DA3058" w:rsidRPr="00944A52" w:rsidRDefault="00725288" w:rsidP="007C4108">
            <w:pPr>
              <w:pStyle w:val="Tabletext"/>
            </w:pPr>
            <w:r>
              <w:t xml:space="preserve">3.6 </w:t>
            </w:r>
            <w:r w:rsidR="00DA3058" w:rsidRPr="00802086">
              <w:t>Renew the national framework for content procurement for the NHS (Q3) and put in place a new contract for access to the Cochrane Library in England (Q1)</w:t>
            </w:r>
          </w:p>
        </w:tc>
        <w:tc>
          <w:tcPr>
            <w:tcW w:w="1134" w:type="dxa"/>
          </w:tcPr>
          <w:p w14:paraId="095F2DDD" w14:textId="21C906A4" w:rsidR="00DA3058" w:rsidRPr="00802086" w:rsidRDefault="00DA3058" w:rsidP="007C4108">
            <w:pPr>
              <w:pStyle w:val="Tabletext"/>
            </w:pPr>
            <w:r w:rsidRPr="00802086">
              <w:t>Q3 and Q1</w:t>
            </w:r>
          </w:p>
        </w:tc>
        <w:tc>
          <w:tcPr>
            <w:tcW w:w="1137" w:type="dxa"/>
          </w:tcPr>
          <w:p w14:paraId="1A78B786" w14:textId="667DF64F" w:rsidR="00DA3058" w:rsidRPr="00944A52" w:rsidRDefault="00DA3058" w:rsidP="007C4108">
            <w:pPr>
              <w:pStyle w:val="Tabletext"/>
            </w:pPr>
            <w:r w:rsidRPr="00802086">
              <w:t>Q3 and Q1</w:t>
            </w:r>
          </w:p>
        </w:tc>
        <w:tc>
          <w:tcPr>
            <w:tcW w:w="5526" w:type="dxa"/>
          </w:tcPr>
          <w:p w14:paraId="24255CB5" w14:textId="1738232B" w:rsidR="00DA3058" w:rsidRPr="00123E7F" w:rsidRDefault="00DA3058" w:rsidP="00123E7F">
            <w:pPr>
              <w:pStyle w:val="Tablebullet"/>
            </w:pPr>
            <w:r>
              <w:t>A</w:t>
            </w:r>
            <w:r w:rsidRPr="00123E7F">
              <w:t xml:space="preserve"> new three-year deal for national access to the Cochrane Library for England commencing from May 2020</w:t>
            </w:r>
            <w:r>
              <w:t xml:space="preserve"> has been successfully negotiated</w:t>
            </w:r>
            <w:r w:rsidRPr="00123E7F">
              <w:t>.</w:t>
            </w:r>
          </w:p>
          <w:p w14:paraId="48625B1A" w14:textId="6F75EB61" w:rsidR="00DA3058" w:rsidRPr="00333DC0" w:rsidRDefault="00DA3058" w:rsidP="00123E7F">
            <w:pPr>
              <w:pStyle w:val="Tablebullet"/>
            </w:pPr>
            <w:r>
              <w:t>We are s</w:t>
            </w:r>
            <w:r w:rsidRPr="00123E7F">
              <w:t>upport</w:t>
            </w:r>
            <w:r>
              <w:t xml:space="preserve">ing </w:t>
            </w:r>
            <w:r w:rsidRPr="00123E7F">
              <w:t xml:space="preserve">Health Education England (HEE) in their tender process evaluating </w:t>
            </w:r>
            <w:r w:rsidRPr="006F57FF">
              <w:t>responses for a national resource discovery servi</w:t>
            </w:r>
            <w:r w:rsidRPr="00333DC0">
              <w:t>ce which aims to meet the evidence search needs for the majority of health professionals in England.</w:t>
            </w:r>
          </w:p>
          <w:p w14:paraId="004DDC00" w14:textId="330F5E81" w:rsidR="00DA3058" w:rsidRPr="00333DC0" w:rsidRDefault="00DA3058" w:rsidP="00123E7F">
            <w:pPr>
              <w:pStyle w:val="Tablebullet"/>
            </w:pPr>
            <w:r>
              <w:t>We have c</w:t>
            </w:r>
            <w:r w:rsidRPr="00333DC0">
              <w:t>ontinued to develop the specification and tender documentation in preparation to renew the national framework for content procurement, working with stakeholders from Health Education England and NHS Library Leads from Wales, Scotland and Northern Ireland.</w:t>
            </w:r>
          </w:p>
        </w:tc>
        <w:tc>
          <w:tcPr>
            <w:tcW w:w="1620" w:type="dxa"/>
          </w:tcPr>
          <w:p w14:paraId="073FFDAA" w14:textId="42D73DAF" w:rsidR="00DA3058" w:rsidRDefault="006C62A3" w:rsidP="006C62A3">
            <w:pPr>
              <w:pStyle w:val="Tablebullet"/>
              <w:numPr>
                <w:ilvl w:val="0"/>
                <w:numId w:val="0"/>
              </w:numPr>
            </w:pPr>
            <w:r>
              <w:t>Delivered</w:t>
            </w:r>
          </w:p>
        </w:tc>
      </w:tr>
    </w:tbl>
    <w:p w14:paraId="03145721" w14:textId="77777777" w:rsidR="00BC1731" w:rsidRDefault="00BC1731"/>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Play an active, influential role in the national stewardship of the health and care system"/>
      </w:tblPr>
      <w:tblGrid>
        <w:gridCol w:w="4390"/>
        <w:gridCol w:w="1110"/>
        <w:gridCol w:w="1299"/>
        <w:gridCol w:w="5591"/>
        <w:gridCol w:w="1497"/>
      </w:tblGrid>
      <w:tr w:rsidR="006C62A3" w14:paraId="46B9316B" w14:textId="1BAB4A7D" w:rsidTr="0021651A">
        <w:trPr>
          <w:tblHeader/>
        </w:trPr>
        <w:tc>
          <w:tcPr>
            <w:tcW w:w="4390" w:type="dxa"/>
          </w:tcPr>
          <w:p w14:paraId="6D2A8E08" w14:textId="59BBDA2C" w:rsidR="006C62A3" w:rsidRPr="00944A52" w:rsidRDefault="00725288" w:rsidP="007C4108">
            <w:pPr>
              <w:pStyle w:val="Tableheadingboardreport"/>
            </w:pPr>
            <w:r>
              <w:lastRenderedPageBreak/>
              <w:t xml:space="preserve">4. </w:t>
            </w:r>
            <w:r w:rsidR="006C62A3" w:rsidRPr="00153D0F">
              <w:t>Support the UK’s ambition to enhance its position as a global life sciences destination</w:t>
            </w:r>
          </w:p>
        </w:tc>
        <w:tc>
          <w:tcPr>
            <w:tcW w:w="1110" w:type="dxa"/>
          </w:tcPr>
          <w:p w14:paraId="36E2FDC3" w14:textId="1E82F357" w:rsidR="006C62A3" w:rsidRDefault="006C62A3" w:rsidP="007C4108">
            <w:pPr>
              <w:pStyle w:val="Tableheadingboardreport"/>
            </w:pPr>
            <w:r>
              <w:t>Original delivery date</w:t>
            </w:r>
          </w:p>
        </w:tc>
        <w:tc>
          <w:tcPr>
            <w:tcW w:w="1299" w:type="dxa"/>
          </w:tcPr>
          <w:p w14:paraId="1497A885" w14:textId="7874E0DA" w:rsidR="006C62A3" w:rsidRPr="00944A52" w:rsidRDefault="006C62A3" w:rsidP="007C4108">
            <w:pPr>
              <w:pStyle w:val="Tableheadingboardreport"/>
            </w:pPr>
            <w:r>
              <w:t>Delivery date</w:t>
            </w:r>
          </w:p>
        </w:tc>
        <w:tc>
          <w:tcPr>
            <w:tcW w:w="5591" w:type="dxa"/>
          </w:tcPr>
          <w:p w14:paraId="1928A11A" w14:textId="77777777" w:rsidR="006C62A3" w:rsidRPr="00F23A61" w:rsidRDefault="006C62A3" w:rsidP="007C4108">
            <w:pPr>
              <w:pStyle w:val="Tableheadingboardreport"/>
              <w:rPr>
                <w:szCs w:val="22"/>
              </w:rPr>
            </w:pPr>
            <w:r w:rsidRPr="00DD2591">
              <w:rPr>
                <w:szCs w:val="22"/>
              </w:rPr>
              <w:t>Progress update</w:t>
            </w:r>
          </w:p>
        </w:tc>
        <w:tc>
          <w:tcPr>
            <w:tcW w:w="1497" w:type="dxa"/>
          </w:tcPr>
          <w:p w14:paraId="15555EAD" w14:textId="08D35D99" w:rsidR="006C62A3" w:rsidRPr="00DD2591" w:rsidRDefault="006C62A3" w:rsidP="007C4108">
            <w:pPr>
              <w:pStyle w:val="Tableheadingboardreport"/>
              <w:rPr>
                <w:szCs w:val="22"/>
              </w:rPr>
            </w:pPr>
            <w:r>
              <w:rPr>
                <w:szCs w:val="22"/>
              </w:rPr>
              <w:t>End of year status update</w:t>
            </w:r>
          </w:p>
        </w:tc>
      </w:tr>
      <w:tr w:rsidR="006C62A3" w14:paraId="6A8FA95B" w14:textId="071DCE58" w:rsidTr="0021651A">
        <w:tc>
          <w:tcPr>
            <w:tcW w:w="4390" w:type="dxa"/>
          </w:tcPr>
          <w:p w14:paraId="35DD981A" w14:textId="216128BC" w:rsidR="006C62A3" w:rsidRPr="00153D0F" w:rsidRDefault="00725288" w:rsidP="007C4108">
            <w:pPr>
              <w:pStyle w:val="Tabletext"/>
            </w:pPr>
            <w:r>
              <w:t xml:space="preserve">4.1 </w:t>
            </w:r>
            <w:r w:rsidR="006C62A3" w:rsidRPr="00153D0F">
              <w:t>Develop technology appraisal guidance in line with the commitments in the 2019 Voluntary Scheme</w:t>
            </w:r>
          </w:p>
        </w:tc>
        <w:tc>
          <w:tcPr>
            <w:tcW w:w="1110" w:type="dxa"/>
          </w:tcPr>
          <w:p w14:paraId="269065BB" w14:textId="2D05B37E" w:rsidR="006C62A3" w:rsidRPr="00153D0F" w:rsidRDefault="006C62A3" w:rsidP="007C4108">
            <w:pPr>
              <w:pStyle w:val="Tabletext"/>
            </w:pPr>
            <w:r>
              <w:t>Q4</w:t>
            </w:r>
          </w:p>
        </w:tc>
        <w:tc>
          <w:tcPr>
            <w:tcW w:w="1299" w:type="dxa"/>
          </w:tcPr>
          <w:p w14:paraId="1120EB86" w14:textId="3D2DF157" w:rsidR="006C62A3" w:rsidRPr="00153D0F" w:rsidRDefault="006C62A3" w:rsidP="007C4108">
            <w:pPr>
              <w:pStyle w:val="Tabletext"/>
            </w:pPr>
            <w:r w:rsidRPr="00153D0F">
              <w:t>Q4</w:t>
            </w:r>
          </w:p>
        </w:tc>
        <w:tc>
          <w:tcPr>
            <w:tcW w:w="5591" w:type="dxa"/>
          </w:tcPr>
          <w:p w14:paraId="147712CE" w14:textId="53433856" w:rsidR="006C62A3" w:rsidRDefault="006C62A3" w:rsidP="00123E7F">
            <w:pPr>
              <w:pStyle w:val="Tablebullet"/>
            </w:pPr>
            <w:r>
              <w:t>The significant majority of</w:t>
            </w:r>
            <w:r w:rsidRPr="00907061">
              <w:t xml:space="preserve"> Technology Appraisals topics </w:t>
            </w:r>
            <w:r>
              <w:t xml:space="preserve">that were </w:t>
            </w:r>
            <w:r w:rsidRPr="00907061">
              <w:t xml:space="preserve">paused due to COVID-19 </w:t>
            </w:r>
            <w:r>
              <w:t>have been</w:t>
            </w:r>
            <w:r w:rsidRPr="00907061">
              <w:t xml:space="preserve"> restarted</w:t>
            </w:r>
            <w:r>
              <w:t>. A small</w:t>
            </w:r>
            <w:r w:rsidRPr="00907061">
              <w:t xml:space="preserve"> percentage remain paused or delayed at </w:t>
            </w:r>
            <w:r>
              <w:t xml:space="preserve">the </w:t>
            </w:r>
            <w:r w:rsidRPr="00907061">
              <w:t>company</w:t>
            </w:r>
            <w:r>
              <w:t>’s</w:t>
            </w:r>
            <w:r w:rsidRPr="00907061">
              <w:t xml:space="preserve"> request. </w:t>
            </w:r>
          </w:p>
          <w:p w14:paraId="36F8317F" w14:textId="7142384F" w:rsidR="006C62A3" w:rsidRPr="00333DC0" w:rsidRDefault="006C62A3" w:rsidP="00123E7F">
            <w:pPr>
              <w:pStyle w:val="Tablebullet"/>
            </w:pPr>
            <w:r w:rsidRPr="00907061">
              <w:t>All new active substances and significant licence extensions of existing medicines are being routed to the technology appraisal or highly specialised technologies programmes (unless there is clear rationale not to do so).</w:t>
            </w:r>
          </w:p>
        </w:tc>
        <w:tc>
          <w:tcPr>
            <w:tcW w:w="1497" w:type="dxa"/>
          </w:tcPr>
          <w:p w14:paraId="1D81C1FD" w14:textId="26ABB0EE" w:rsidR="006C62A3" w:rsidRDefault="00796CF1" w:rsidP="00796CF1">
            <w:pPr>
              <w:pStyle w:val="Tablebullet"/>
              <w:numPr>
                <w:ilvl w:val="0"/>
                <w:numId w:val="0"/>
              </w:numPr>
            </w:pPr>
            <w:r>
              <w:t>Delivered</w:t>
            </w:r>
          </w:p>
        </w:tc>
      </w:tr>
      <w:tr w:rsidR="006C62A3" w14:paraId="3AD6F078" w14:textId="15FBCD58" w:rsidTr="0021651A">
        <w:tc>
          <w:tcPr>
            <w:tcW w:w="4390" w:type="dxa"/>
          </w:tcPr>
          <w:p w14:paraId="2460E832" w14:textId="2240FB54" w:rsidR="006C62A3" w:rsidRPr="00153D0F" w:rsidRDefault="00E44E85" w:rsidP="007C4108">
            <w:pPr>
              <w:pStyle w:val="Tabletext"/>
            </w:pPr>
            <w:r>
              <w:t xml:space="preserve">4.2 </w:t>
            </w:r>
            <w:r w:rsidR="006C62A3" w:rsidRPr="00153D0F">
              <w:t>Deliver the actions set out for NICE in the Government’s life sciences sector deals, including enhancing NICE’s role as an active partner in the Accelerated Access Collaborative (AAC)</w:t>
            </w:r>
          </w:p>
        </w:tc>
        <w:tc>
          <w:tcPr>
            <w:tcW w:w="1110" w:type="dxa"/>
          </w:tcPr>
          <w:p w14:paraId="45F9DA04" w14:textId="4827D412" w:rsidR="006C62A3" w:rsidRPr="00153D0F" w:rsidRDefault="006C62A3" w:rsidP="007C4108">
            <w:pPr>
              <w:pStyle w:val="Tabletext"/>
            </w:pPr>
            <w:r>
              <w:t>Ongoing</w:t>
            </w:r>
          </w:p>
        </w:tc>
        <w:tc>
          <w:tcPr>
            <w:tcW w:w="1299" w:type="dxa"/>
          </w:tcPr>
          <w:p w14:paraId="34B87B5D" w14:textId="0C9B8995" w:rsidR="006C62A3" w:rsidRPr="00153D0F" w:rsidRDefault="006C62A3" w:rsidP="007C4108">
            <w:pPr>
              <w:pStyle w:val="Tabletext"/>
            </w:pPr>
            <w:r w:rsidRPr="00153D0F">
              <w:t xml:space="preserve">Ongoing </w:t>
            </w:r>
          </w:p>
        </w:tc>
        <w:tc>
          <w:tcPr>
            <w:tcW w:w="5591" w:type="dxa"/>
          </w:tcPr>
          <w:p w14:paraId="542A1817" w14:textId="36C11944" w:rsidR="006C62A3" w:rsidRPr="004961BC" w:rsidRDefault="006C62A3" w:rsidP="00270996">
            <w:pPr>
              <w:pStyle w:val="Tablebullet"/>
            </w:pPr>
            <w:r w:rsidRPr="004961BC">
              <w:t>We continue to deliver RAPID-C19 as part of our technical support commitment for the AAC</w:t>
            </w:r>
            <w:r>
              <w:t xml:space="preserve"> and h</w:t>
            </w:r>
            <w:r w:rsidRPr="004961BC">
              <w:t xml:space="preserve">ave also agreed that NICE AAC technical support will work on the selection process for identification of the next round of Rapid </w:t>
            </w:r>
            <w:r>
              <w:t>U</w:t>
            </w:r>
            <w:r w:rsidRPr="004961BC">
              <w:t xml:space="preserve">ptake </w:t>
            </w:r>
            <w:r>
              <w:t>P</w:t>
            </w:r>
            <w:r w:rsidRPr="004961BC">
              <w:t xml:space="preserve">roducts </w:t>
            </w:r>
            <w:r>
              <w:t xml:space="preserve">(RUPs) </w:t>
            </w:r>
            <w:r w:rsidRPr="004961BC">
              <w:t>in 2021/22.</w:t>
            </w:r>
          </w:p>
          <w:p w14:paraId="4A29A620" w14:textId="4A75B75B" w:rsidR="006C62A3" w:rsidRPr="00333DC0" w:rsidRDefault="006C62A3" w:rsidP="00123E7F">
            <w:pPr>
              <w:pStyle w:val="Tablebullet"/>
            </w:pPr>
            <w:r w:rsidRPr="00123E7F">
              <w:t xml:space="preserve">NICE teams are continuing to contribute to ongoing work in key AAC focus areas including integrated system horizon scanning, ATMP </w:t>
            </w:r>
            <w:r w:rsidRPr="006F57FF">
              <w:t>and Histology Independent system access activities (system mapping, RWE and dat</w:t>
            </w:r>
            <w:r w:rsidRPr="00333DC0">
              <w:t>a infrastructure), Strategic Metrics development, AAC Innovation Service, AI Award and RUPs uptake.</w:t>
            </w:r>
            <w:r>
              <w:t xml:space="preserve"> </w:t>
            </w:r>
            <w:r w:rsidRPr="004961BC">
              <w:t>Also considering how NICE activities can support the new AAC Strategy for 2021 onwards.</w:t>
            </w:r>
          </w:p>
        </w:tc>
        <w:tc>
          <w:tcPr>
            <w:tcW w:w="1497" w:type="dxa"/>
          </w:tcPr>
          <w:p w14:paraId="780178EA" w14:textId="232EBD71" w:rsidR="006C62A3" w:rsidRPr="004961BC" w:rsidRDefault="00796CF1" w:rsidP="00796CF1">
            <w:pPr>
              <w:pStyle w:val="Tablebullet"/>
              <w:numPr>
                <w:ilvl w:val="0"/>
                <w:numId w:val="0"/>
              </w:numPr>
            </w:pPr>
            <w:r>
              <w:t>Delivered for this year</w:t>
            </w:r>
          </w:p>
        </w:tc>
      </w:tr>
      <w:tr w:rsidR="006C62A3" w14:paraId="043F8B2D" w14:textId="6B88A1F1" w:rsidTr="0021651A">
        <w:tc>
          <w:tcPr>
            <w:tcW w:w="4390" w:type="dxa"/>
          </w:tcPr>
          <w:p w14:paraId="62D3F313" w14:textId="306722EA" w:rsidR="006C62A3" w:rsidRPr="00944A52" w:rsidRDefault="00E44E85" w:rsidP="007C4108">
            <w:pPr>
              <w:pStyle w:val="Tabletext"/>
            </w:pPr>
            <w:r>
              <w:t>4.3</w:t>
            </w:r>
            <w:r w:rsidR="00725288">
              <w:t xml:space="preserve"> </w:t>
            </w:r>
            <w:r w:rsidR="006C62A3" w:rsidRPr="00153D0F">
              <w:t>Maintain and develop a fully integrated offer to the life sciences industry, including topic selection, guidance development, commercial and managed access activities, and NICE Scientific Advice</w:t>
            </w:r>
          </w:p>
        </w:tc>
        <w:tc>
          <w:tcPr>
            <w:tcW w:w="1110" w:type="dxa"/>
          </w:tcPr>
          <w:p w14:paraId="7CE5AC00" w14:textId="66A4620C" w:rsidR="006C62A3" w:rsidRPr="00153D0F" w:rsidRDefault="006C62A3" w:rsidP="007C4108">
            <w:pPr>
              <w:pStyle w:val="Tabletext"/>
            </w:pPr>
            <w:r>
              <w:t>Ongoing</w:t>
            </w:r>
          </w:p>
        </w:tc>
        <w:tc>
          <w:tcPr>
            <w:tcW w:w="1299" w:type="dxa"/>
          </w:tcPr>
          <w:p w14:paraId="782104AE" w14:textId="1D2DB0D5" w:rsidR="006C62A3" w:rsidRPr="00944A52" w:rsidRDefault="006C62A3" w:rsidP="007C4108">
            <w:pPr>
              <w:pStyle w:val="Tabletext"/>
            </w:pPr>
            <w:r w:rsidRPr="00153D0F">
              <w:t>Ongoing</w:t>
            </w:r>
          </w:p>
        </w:tc>
        <w:tc>
          <w:tcPr>
            <w:tcW w:w="5591" w:type="dxa"/>
          </w:tcPr>
          <w:p w14:paraId="7B05D546" w14:textId="228D3C14" w:rsidR="006C62A3" w:rsidRDefault="006C62A3" w:rsidP="00123E7F">
            <w:pPr>
              <w:pStyle w:val="Tablebullet"/>
            </w:pPr>
            <w:r>
              <w:t>We are</w:t>
            </w:r>
            <w:r w:rsidRPr="00333DC0">
              <w:t xml:space="preserve"> leading the development of a multi-agency advice service for AI health technologies (funded by NHS</w:t>
            </w:r>
            <w:r>
              <w:t>X</w:t>
            </w:r>
            <w:r w:rsidRPr="00333DC0">
              <w:t>), along with MHRA, HRA and CQC.</w:t>
            </w:r>
          </w:p>
          <w:p w14:paraId="5A480038" w14:textId="6802B5CA" w:rsidR="006C62A3" w:rsidRDefault="006C62A3" w:rsidP="00123E7F">
            <w:pPr>
              <w:pStyle w:val="Tablebullet"/>
            </w:pPr>
            <w:r>
              <w:t xml:space="preserve">We </w:t>
            </w:r>
            <w:r w:rsidR="00FA75E5">
              <w:t>are exploring</w:t>
            </w:r>
            <w:r w:rsidRPr="004961BC">
              <w:t xml:space="preserve"> with the MHRA a new innovative licensing and access pathway for medtech</w:t>
            </w:r>
            <w:r>
              <w:t>.</w:t>
            </w:r>
          </w:p>
          <w:p w14:paraId="0B1C10A6" w14:textId="0C9720E5" w:rsidR="00E25BD3" w:rsidRPr="00333DC0" w:rsidRDefault="00E25BD3" w:rsidP="00E25BD3">
            <w:pPr>
              <w:pStyle w:val="Tablebullet"/>
            </w:pPr>
            <w:r>
              <w:lastRenderedPageBreak/>
              <w:t>We have engaged in</w:t>
            </w:r>
            <w:r w:rsidRPr="00333DC0">
              <w:t xml:space="preserve"> development of the AAC Innovation Service, </w:t>
            </w:r>
            <w:r>
              <w:t>to</w:t>
            </w:r>
            <w:r w:rsidRPr="00333DC0">
              <w:t xml:space="preserve"> signpost innovators to relevant NICE services.</w:t>
            </w:r>
          </w:p>
          <w:p w14:paraId="5A285908" w14:textId="77777777" w:rsidR="00E25BD3" w:rsidRPr="004961BC" w:rsidRDefault="00E25BD3" w:rsidP="00E25BD3">
            <w:pPr>
              <w:pStyle w:val="Tablebullet"/>
            </w:pPr>
            <w:r w:rsidRPr="004961BC">
              <w:t xml:space="preserve">An interim statement on NICE Commercial and Managed Access activities is </w:t>
            </w:r>
            <w:r>
              <w:t>in development</w:t>
            </w:r>
            <w:r w:rsidRPr="004961BC">
              <w:t>.</w:t>
            </w:r>
          </w:p>
          <w:p w14:paraId="54374693" w14:textId="77777777" w:rsidR="00E25BD3" w:rsidRDefault="00E25BD3" w:rsidP="00E25BD3">
            <w:pPr>
              <w:pStyle w:val="Tablebullet"/>
            </w:pPr>
            <w:r>
              <w:t>We are</w:t>
            </w:r>
            <w:r w:rsidRPr="00333DC0">
              <w:t xml:space="preserve"> supporting the AAC AI in Health and Care Award through an integrated offer involving scientific advice, data and analytics, topic selection and guidance production teams.</w:t>
            </w:r>
          </w:p>
          <w:p w14:paraId="680E3621" w14:textId="295359D9" w:rsidR="00E25BD3" w:rsidRPr="00333DC0" w:rsidRDefault="00E25BD3" w:rsidP="00E25BD3">
            <w:pPr>
              <w:pStyle w:val="Tablebullet"/>
            </w:pPr>
            <w:r>
              <w:t>Work is planned with the marketing team to refresh how we present our integrated offer to the life science industry.</w:t>
            </w:r>
          </w:p>
        </w:tc>
        <w:tc>
          <w:tcPr>
            <w:tcW w:w="1497" w:type="dxa"/>
          </w:tcPr>
          <w:p w14:paraId="73B97AFB" w14:textId="1387217B" w:rsidR="006C62A3" w:rsidRPr="00123E7F" w:rsidRDefault="00796CF1" w:rsidP="00796CF1">
            <w:pPr>
              <w:pStyle w:val="Tablebullet"/>
              <w:numPr>
                <w:ilvl w:val="0"/>
                <w:numId w:val="0"/>
              </w:numPr>
            </w:pPr>
            <w:r>
              <w:lastRenderedPageBreak/>
              <w:t>Delivered for this year</w:t>
            </w:r>
          </w:p>
        </w:tc>
      </w:tr>
      <w:tr w:rsidR="006C62A3" w14:paraId="25C45FFB" w14:textId="2DAFE6B2" w:rsidTr="0021651A">
        <w:tc>
          <w:tcPr>
            <w:tcW w:w="4390" w:type="dxa"/>
          </w:tcPr>
          <w:p w14:paraId="14CAE224" w14:textId="57FE3A0C" w:rsidR="006C62A3" w:rsidRPr="00944A52" w:rsidRDefault="00E44E85" w:rsidP="007C4108">
            <w:pPr>
              <w:pStyle w:val="Tabletext"/>
            </w:pPr>
            <w:r>
              <w:t>4.4</w:t>
            </w:r>
            <w:r w:rsidR="00725288">
              <w:t xml:space="preserve"> </w:t>
            </w:r>
            <w:r w:rsidR="006C62A3" w:rsidRPr="00153D0F">
              <w:t>Work with NHSE&amp;I and DHSC on plans for the creation of an innovative medicines fund that extends opportunities for managed access beyond cancer, secure additional funding to support NICE’s contribution, recruit staff and implement changes to business as usual processes</w:t>
            </w:r>
          </w:p>
        </w:tc>
        <w:tc>
          <w:tcPr>
            <w:tcW w:w="1110" w:type="dxa"/>
          </w:tcPr>
          <w:p w14:paraId="4DED4D5E" w14:textId="2F306249" w:rsidR="006C62A3" w:rsidRPr="00153D0F" w:rsidRDefault="006C62A3" w:rsidP="007C4108">
            <w:pPr>
              <w:pStyle w:val="Tabletext"/>
            </w:pPr>
            <w:r>
              <w:t>Q4</w:t>
            </w:r>
          </w:p>
        </w:tc>
        <w:tc>
          <w:tcPr>
            <w:tcW w:w="1299" w:type="dxa"/>
          </w:tcPr>
          <w:p w14:paraId="465239AC" w14:textId="120466ED" w:rsidR="006C62A3" w:rsidRPr="00944A52" w:rsidRDefault="006C62A3" w:rsidP="007C4108">
            <w:pPr>
              <w:pStyle w:val="Tabletext"/>
            </w:pPr>
            <w:r w:rsidRPr="00153D0F">
              <w:t>Q4</w:t>
            </w:r>
          </w:p>
        </w:tc>
        <w:tc>
          <w:tcPr>
            <w:tcW w:w="5591" w:type="dxa"/>
          </w:tcPr>
          <w:p w14:paraId="48CF026D" w14:textId="612EEA46" w:rsidR="006C62A3" w:rsidRPr="00087BBF" w:rsidRDefault="006C62A3" w:rsidP="00C9047E">
            <w:pPr>
              <w:pStyle w:val="Tablebullet"/>
            </w:pPr>
            <w:r w:rsidRPr="00087BBF">
              <w:t>Work is progressing well with NHSE&amp;I on the development of Managed Access policy principles, which will underpin the Innovative Medicines Fund</w:t>
            </w:r>
            <w:r>
              <w:t>.</w:t>
            </w:r>
            <w:r w:rsidRPr="00087BBF">
              <w:t xml:space="preserve"> </w:t>
            </w:r>
          </w:p>
          <w:p w14:paraId="114D5766" w14:textId="755F094E" w:rsidR="006C62A3" w:rsidRPr="004961BC" w:rsidRDefault="006C62A3" w:rsidP="00C420A2">
            <w:pPr>
              <w:pStyle w:val="Tablebullet"/>
            </w:pPr>
            <w:r w:rsidRPr="004961BC">
              <w:t>Work on Innovative Medicines Fund is progressing towards public engagement in Spring 2021</w:t>
            </w:r>
            <w:r>
              <w:t>.</w:t>
            </w:r>
          </w:p>
          <w:p w14:paraId="5B7B56F8" w14:textId="5BE53E6A" w:rsidR="006C62A3" w:rsidRPr="00087BBF" w:rsidRDefault="006C62A3" w:rsidP="00C420A2">
            <w:pPr>
              <w:pStyle w:val="Tablebullet"/>
            </w:pPr>
            <w:r w:rsidRPr="004961BC">
              <w:t xml:space="preserve">NHSE&amp;I funding for NICE’s expanded managed access function </w:t>
            </w:r>
            <w:r w:rsidR="0005546E">
              <w:t>is</w:t>
            </w:r>
            <w:r w:rsidRPr="004961BC">
              <w:t xml:space="preserve"> confirmed for 2021/22 through to 2023/24.</w:t>
            </w:r>
          </w:p>
        </w:tc>
        <w:tc>
          <w:tcPr>
            <w:tcW w:w="1497" w:type="dxa"/>
          </w:tcPr>
          <w:p w14:paraId="503209B6" w14:textId="3FEBB6C5" w:rsidR="006C62A3" w:rsidRPr="00087BBF" w:rsidRDefault="00796CF1" w:rsidP="00796CF1">
            <w:pPr>
              <w:pStyle w:val="Tablebullet"/>
              <w:numPr>
                <w:ilvl w:val="0"/>
                <w:numId w:val="0"/>
              </w:numPr>
            </w:pPr>
            <w:r>
              <w:t>Delivered</w:t>
            </w:r>
          </w:p>
        </w:tc>
      </w:tr>
      <w:tr w:rsidR="006C62A3" w14:paraId="6603F3DB" w14:textId="2AAB7D29" w:rsidTr="0021651A">
        <w:tc>
          <w:tcPr>
            <w:tcW w:w="4390" w:type="dxa"/>
          </w:tcPr>
          <w:p w14:paraId="79A2EBA2" w14:textId="282D35FA" w:rsidR="006C62A3" w:rsidRPr="00944A52" w:rsidRDefault="00E44E85" w:rsidP="007C4108">
            <w:pPr>
              <w:pStyle w:val="Tabletext"/>
            </w:pPr>
            <w:r>
              <w:t>4.5</w:t>
            </w:r>
            <w:r w:rsidR="00725288">
              <w:t xml:space="preserve"> </w:t>
            </w:r>
            <w:r w:rsidR="006C62A3" w:rsidRPr="00153D0F">
              <w:t>Enhance collaboration with system partners, including NHS</w:t>
            </w:r>
            <w:r w:rsidR="006C62A3">
              <w:t>x</w:t>
            </w:r>
            <w:r w:rsidR="006C62A3" w:rsidRPr="00153D0F">
              <w:t xml:space="preserve"> and the MHRA on activities supporting future regulatory and health technology assessment offers for medicines, medical technologies, diagnostics and digital/AI health technologies, including the use of real-world evidence pre- and post-licence and the provision of early scientific advice, </w:t>
            </w:r>
            <w:r w:rsidR="006C62A3" w:rsidRPr="00153D0F">
              <w:lastRenderedPageBreak/>
              <w:t>incorporating learning from the joint response to COVID-19</w:t>
            </w:r>
          </w:p>
        </w:tc>
        <w:tc>
          <w:tcPr>
            <w:tcW w:w="1110" w:type="dxa"/>
          </w:tcPr>
          <w:p w14:paraId="45C5B8EC" w14:textId="66CF181A" w:rsidR="006C62A3" w:rsidRPr="00153D0F" w:rsidRDefault="006C62A3" w:rsidP="007C4108">
            <w:pPr>
              <w:pStyle w:val="Tabletext"/>
            </w:pPr>
            <w:r>
              <w:lastRenderedPageBreak/>
              <w:t>Ongoing</w:t>
            </w:r>
          </w:p>
        </w:tc>
        <w:tc>
          <w:tcPr>
            <w:tcW w:w="1299" w:type="dxa"/>
          </w:tcPr>
          <w:p w14:paraId="7A36A2AE" w14:textId="23BDDCA0" w:rsidR="006C62A3" w:rsidRPr="00944A52" w:rsidRDefault="006C62A3" w:rsidP="007C4108">
            <w:pPr>
              <w:pStyle w:val="Tabletext"/>
            </w:pPr>
            <w:r w:rsidRPr="00153D0F">
              <w:t xml:space="preserve">Ongoing </w:t>
            </w:r>
          </w:p>
        </w:tc>
        <w:tc>
          <w:tcPr>
            <w:tcW w:w="5591" w:type="dxa"/>
          </w:tcPr>
          <w:p w14:paraId="1D0BDEBB" w14:textId="77777777" w:rsidR="006C62A3" w:rsidRPr="00123E7F" w:rsidRDefault="006C62A3" w:rsidP="00123E7F">
            <w:pPr>
              <w:pStyle w:val="Tablebullet"/>
            </w:pPr>
            <w:r w:rsidRPr="00123E7F">
              <w:t xml:space="preserve">RAPID-C19 process implemented in collaboration with MHRA, NICE and NHSE&amp;I to fast-track access to COVID-19 medicines. </w:t>
            </w:r>
          </w:p>
          <w:p w14:paraId="037949F5" w14:textId="6D612FAB" w:rsidR="006C62A3" w:rsidRPr="00333DC0" w:rsidRDefault="006C62A3" w:rsidP="00A73082">
            <w:pPr>
              <w:pStyle w:val="Tablebullet"/>
            </w:pPr>
            <w:r>
              <w:t xml:space="preserve">The partnership agreement between NICE and the MHRA has been renewed and an associated workplan agreed. </w:t>
            </w:r>
          </w:p>
          <w:p w14:paraId="05C0DDDE" w14:textId="2A9405FB" w:rsidR="006C62A3" w:rsidRPr="004961BC" w:rsidRDefault="00A73082" w:rsidP="00C420A2">
            <w:pPr>
              <w:pStyle w:val="Tablebullet"/>
            </w:pPr>
            <w:bookmarkStart w:id="2" w:name="_Hlk44681899"/>
            <w:r>
              <w:t xml:space="preserve">The discovery stage has been completed of </w:t>
            </w:r>
            <w:r w:rsidR="006C62A3" w:rsidRPr="004961BC">
              <w:t xml:space="preserve">a £3m 3-year project in collaboration with the MHRA, CQC and HRA to design a multi-agency advice </w:t>
            </w:r>
            <w:r w:rsidR="006C62A3" w:rsidRPr="004961BC">
              <w:lastRenderedPageBreak/>
              <w:t xml:space="preserve">service to support developers and users of AI-driven digital health technologies. </w:t>
            </w:r>
            <w:r>
              <w:t>We</w:t>
            </w:r>
            <w:r w:rsidR="006C62A3">
              <w:t xml:space="preserve"> have GDS approval to move to alpha stage</w:t>
            </w:r>
            <w:r>
              <w:t>. We</w:t>
            </w:r>
            <w:r w:rsidR="006C62A3">
              <w:t xml:space="preserve"> procured an independent evaluation partner and are in the process of procuring a digital agency to help take the project through alpha and then on to beta.</w:t>
            </w:r>
            <w:r w:rsidR="006C62A3" w:rsidRPr="004961BC">
              <w:t xml:space="preserve"> </w:t>
            </w:r>
          </w:p>
          <w:p w14:paraId="471AB0F8" w14:textId="717C1A49" w:rsidR="006C62A3" w:rsidRPr="00333DC0" w:rsidRDefault="00AE0BC0" w:rsidP="00123E7F">
            <w:pPr>
              <w:pStyle w:val="Tablebullet"/>
            </w:pPr>
            <w:r>
              <w:rPr>
                <w:rFonts w:eastAsia="Calibri"/>
              </w:rPr>
              <w:t>A j</w:t>
            </w:r>
            <w:r w:rsidR="006C62A3" w:rsidRPr="004961BC">
              <w:rPr>
                <w:rFonts w:eastAsia="Calibri"/>
              </w:rPr>
              <w:t xml:space="preserve">oint working programme on regulatory and access approaches for digital health technologies </w:t>
            </w:r>
            <w:r>
              <w:rPr>
                <w:rFonts w:eastAsia="Calibri"/>
              </w:rPr>
              <w:t xml:space="preserve">was </w:t>
            </w:r>
            <w:r w:rsidR="006C62A3" w:rsidRPr="004961BC">
              <w:rPr>
                <w:rFonts w:eastAsia="Calibri"/>
              </w:rPr>
              <w:t xml:space="preserve">established with NHSX and MHRA, including exploration of </w:t>
            </w:r>
            <w:r w:rsidR="006C62A3">
              <w:rPr>
                <w:rFonts w:eastAsia="Calibri"/>
              </w:rPr>
              <w:t>an innovative access pathway</w:t>
            </w:r>
            <w:r w:rsidR="006C62A3" w:rsidRPr="004961BC">
              <w:rPr>
                <w:rFonts w:eastAsia="Calibri"/>
              </w:rPr>
              <w:t xml:space="preserve"> for medtech</w:t>
            </w:r>
            <w:r w:rsidR="006C62A3">
              <w:rPr>
                <w:rFonts w:eastAsia="Calibri"/>
              </w:rPr>
              <w:t xml:space="preserve"> </w:t>
            </w:r>
            <w:r>
              <w:rPr>
                <w:rFonts w:eastAsia="Calibri"/>
              </w:rPr>
              <w:t>to focus</w:t>
            </w:r>
            <w:r w:rsidR="006C62A3">
              <w:rPr>
                <w:rFonts w:eastAsia="Calibri"/>
              </w:rPr>
              <w:t xml:space="preserve"> </w:t>
            </w:r>
            <w:r>
              <w:rPr>
                <w:rFonts w:eastAsia="Calibri"/>
              </w:rPr>
              <w:t>on</w:t>
            </w:r>
            <w:r w:rsidR="006C62A3">
              <w:rPr>
                <w:rFonts w:eastAsia="Calibri"/>
              </w:rPr>
              <w:t xml:space="preserve"> critical </w:t>
            </w:r>
            <w:r>
              <w:rPr>
                <w:rFonts w:eastAsia="Calibri"/>
              </w:rPr>
              <w:t xml:space="preserve">NHS </w:t>
            </w:r>
            <w:r w:rsidR="006C62A3">
              <w:rPr>
                <w:rFonts w:eastAsia="Calibri"/>
              </w:rPr>
              <w:t>needs</w:t>
            </w:r>
            <w:r w:rsidR="006C62A3" w:rsidRPr="004961BC">
              <w:rPr>
                <w:rFonts w:eastAsia="Calibri"/>
              </w:rPr>
              <w:t>.</w:t>
            </w:r>
            <w:bookmarkEnd w:id="2"/>
          </w:p>
        </w:tc>
        <w:tc>
          <w:tcPr>
            <w:tcW w:w="1497" w:type="dxa"/>
          </w:tcPr>
          <w:p w14:paraId="0FED52E8" w14:textId="088E8DA0" w:rsidR="006C62A3" w:rsidRPr="00123E7F" w:rsidRDefault="00796CF1" w:rsidP="00796CF1">
            <w:pPr>
              <w:pStyle w:val="Tablebullet"/>
              <w:numPr>
                <w:ilvl w:val="0"/>
                <w:numId w:val="0"/>
              </w:numPr>
            </w:pPr>
            <w:r>
              <w:lastRenderedPageBreak/>
              <w:t>Delivered for this year</w:t>
            </w:r>
          </w:p>
        </w:tc>
      </w:tr>
      <w:tr w:rsidR="006C62A3" w14:paraId="63FA4416" w14:textId="1E924CEC" w:rsidTr="0021651A">
        <w:tc>
          <w:tcPr>
            <w:tcW w:w="4390" w:type="dxa"/>
          </w:tcPr>
          <w:p w14:paraId="40AF09A0" w14:textId="277F313A" w:rsidR="006C62A3" w:rsidRPr="00944A52" w:rsidRDefault="00E44E85" w:rsidP="007C4108">
            <w:pPr>
              <w:pStyle w:val="Tabletext"/>
            </w:pPr>
            <w:r>
              <w:t>4.6</w:t>
            </w:r>
            <w:r w:rsidR="00725288">
              <w:t xml:space="preserve"> </w:t>
            </w:r>
            <w:r w:rsidR="006C62A3" w:rsidRPr="00153D0F">
              <w:t>Maintain and further develop NICE’s global leadership role in use of health technology assessment and guideline development processes and methods to inform decision making in health and social care systems across the world</w:t>
            </w:r>
          </w:p>
        </w:tc>
        <w:tc>
          <w:tcPr>
            <w:tcW w:w="1110" w:type="dxa"/>
          </w:tcPr>
          <w:p w14:paraId="2B3FBF16" w14:textId="72F44957" w:rsidR="006C62A3" w:rsidRPr="00153D0F" w:rsidRDefault="006C62A3" w:rsidP="007C4108">
            <w:pPr>
              <w:pStyle w:val="Tabletext"/>
            </w:pPr>
            <w:r>
              <w:t>Ongoing</w:t>
            </w:r>
          </w:p>
        </w:tc>
        <w:tc>
          <w:tcPr>
            <w:tcW w:w="1299" w:type="dxa"/>
          </w:tcPr>
          <w:p w14:paraId="16111CA3" w14:textId="4D54048F" w:rsidR="006C62A3" w:rsidRPr="00944A52" w:rsidRDefault="006C62A3" w:rsidP="007C4108">
            <w:pPr>
              <w:pStyle w:val="Tabletext"/>
            </w:pPr>
            <w:r w:rsidRPr="00153D0F">
              <w:t>Ongoing</w:t>
            </w:r>
          </w:p>
        </w:tc>
        <w:tc>
          <w:tcPr>
            <w:tcW w:w="5591" w:type="dxa"/>
          </w:tcPr>
          <w:p w14:paraId="3DCCE51D" w14:textId="1A212812" w:rsidR="006C62A3" w:rsidRDefault="006C62A3" w:rsidP="00682099">
            <w:pPr>
              <w:pStyle w:val="Tablebullet"/>
              <w:rPr>
                <w:rFonts w:eastAsia="Arial"/>
              </w:rPr>
            </w:pPr>
            <w:r>
              <w:rPr>
                <w:rFonts w:eastAsia="Arial"/>
              </w:rPr>
              <w:t>We continue</w:t>
            </w:r>
            <w:r w:rsidR="00DC72AD">
              <w:rPr>
                <w:rFonts w:eastAsia="Arial"/>
              </w:rPr>
              <w:t>d</w:t>
            </w:r>
            <w:r>
              <w:rPr>
                <w:rFonts w:eastAsia="Arial"/>
              </w:rPr>
              <w:t xml:space="preserve"> to collaborate with </w:t>
            </w:r>
            <w:r w:rsidRPr="00422264">
              <w:rPr>
                <w:rFonts w:eastAsia="Arial"/>
              </w:rPr>
              <w:t>the Australian National COVID-19 Clinical Evidence taskforce and the World Health Organisation</w:t>
            </w:r>
            <w:r>
              <w:rPr>
                <w:rFonts w:eastAsia="Arial"/>
              </w:rPr>
              <w:t xml:space="preserve"> on our guidance for acute COVID management and managing the long term effects of COVID, in line with the living guideline approach. </w:t>
            </w:r>
          </w:p>
          <w:p w14:paraId="787E6C70" w14:textId="6A294032" w:rsidR="006C62A3" w:rsidRDefault="006C62A3" w:rsidP="00682099">
            <w:pPr>
              <w:pStyle w:val="Tablebullet"/>
              <w:rPr>
                <w:rFonts w:eastAsia="Arial"/>
              </w:rPr>
            </w:pPr>
            <w:r>
              <w:rPr>
                <w:rFonts w:eastAsia="Arial"/>
              </w:rPr>
              <w:t xml:space="preserve">Learning exchanges </w:t>
            </w:r>
            <w:r w:rsidR="00DC72AD">
              <w:rPr>
                <w:rFonts w:eastAsia="Arial"/>
              </w:rPr>
              <w:t>took</w:t>
            </w:r>
            <w:r>
              <w:rPr>
                <w:rFonts w:eastAsia="Arial"/>
              </w:rPr>
              <w:t xml:space="preserve"> place between the COVID-19 team and the Department of Health in the Philippines, facilitated by NICE International.</w:t>
            </w:r>
          </w:p>
          <w:p w14:paraId="2512FBE6" w14:textId="77777777" w:rsidR="006C62A3" w:rsidRDefault="006C62A3" w:rsidP="00682099">
            <w:pPr>
              <w:pStyle w:val="Tablebullet"/>
              <w:rPr>
                <w:rFonts w:eastAsia="Arial"/>
              </w:rPr>
            </w:pPr>
            <w:r>
              <w:rPr>
                <w:rFonts w:eastAsia="Arial"/>
              </w:rPr>
              <w:t xml:space="preserve">We presented a keynote talk at the Spanish Health Economics conference on the HTA of AI technologies, which will help them prepare their proposal for a Spanish version of NICE. </w:t>
            </w:r>
          </w:p>
          <w:p w14:paraId="64568018" w14:textId="65B48588" w:rsidR="006C62A3" w:rsidRPr="00087BBF" w:rsidRDefault="006C62A3" w:rsidP="00682099">
            <w:pPr>
              <w:pStyle w:val="Tablebullet"/>
              <w:rPr>
                <w:rFonts w:eastAsia="Arial"/>
              </w:rPr>
            </w:pPr>
            <w:r w:rsidRPr="00087BBF">
              <w:rPr>
                <w:rFonts w:eastAsia="Arial"/>
              </w:rPr>
              <w:t xml:space="preserve">NICE International </w:t>
            </w:r>
            <w:r w:rsidR="00DC72AD">
              <w:rPr>
                <w:rFonts w:eastAsia="Arial"/>
              </w:rPr>
              <w:t>has worked</w:t>
            </w:r>
            <w:r>
              <w:rPr>
                <w:rFonts w:eastAsia="Arial"/>
              </w:rPr>
              <w:t xml:space="preserve"> on its 5-year strategic plan, to sit alongside and contribute to NICE 2021-2026 strategy</w:t>
            </w:r>
            <w:r w:rsidR="00DC72AD">
              <w:rPr>
                <w:rFonts w:eastAsia="Arial"/>
              </w:rPr>
              <w:t xml:space="preserve">. </w:t>
            </w:r>
            <w:r>
              <w:rPr>
                <w:rFonts w:eastAsia="Arial"/>
              </w:rPr>
              <w:t>This will be presented to the Board in July 2021.</w:t>
            </w:r>
          </w:p>
          <w:p w14:paraId="0C7E4A6F" w14:textId="04E068AC" w:rsidR="006C62A3" w:rsidRPr="00333DC0" w:rsidRDefault="006C62A3" w:rsidP="00123E7F">
            <w:pPr>
              <w:pStyle w:val="Tablebullet"/>
            </w:pPr>
            <w:r w:rsidRPr="00333DC0">
              <w:t xml:space="preserve">Preparations for the </w:t>
            </w:r>
            <w:r>
              <w:t xml:space="preserve">virtual </w:t>
            </w:r>
            <w:r w:rsidRPr="00333DC0">
              <w:t>HTAi 2021 conference</w:t>
            </w:r>
            <w:r>
              <w:t xml:space="preserve"> </w:t>
            </w:r>
            <w:r w:rsidRPr="00333DC0">
              <w:t>continue.</w:t>
            </w:r>
          </w:p>
        </w:tc>
        <w:tc>
          <w:tcPr>
            <w:tcW w:w="1497" w:type="dxa"/>
          </w:tcPr>
          <w:p w14:paraId="6D9DCDE0" w14:textId="14EEFF1E" w:rsidR="006C62A3" w:rsidRDefault="00796CF1" w:rsidP="00796CF1">
            <w:pPr>
              <w:pStyle w:val="Tablebullet"/>
              <w:numPr>
                <w:ilvl w:val="0"/>
                <w:numId w:val="0"/>
              </w:numPr>
              <w:rPr>
                <w:rFonts w:eastAsia="Arial"/>
              </w:rPr>
            </w:pPr>
            <w:r>
              <w:rPr>
                <w:rFonts w:eastAsia="Arial"/>
              </w:rPr>
              <w:t>Delivered for this year</w:t>
            </w:r>
          </w:p>
        </w:tc>
      </w:tr>
    </w:tbl>
    <w:p w14:paraId="1312EFF0" w14:textId="77777777" w:rsidR="00A13E24" w:rsidRDefault="00A13E24" w:rsidP="00A13E24">
      <w:pPr>
        <w:pStyle w:val="NICEnormal"/>
      </w:pP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Generate and manage effectively the resources needed to maintain and transform our offer to the health and care system"/>
      </w:tblPr>
      <w:tblGrid>
        <w:gridCol w:w="4316"/>
        <w:gridCol w:w="1208"/>
        <w:gridCol w:w="1222"/>
        <w:gridCol w:w="5582"/>
        <w:gridCol w:w="1620"/>
      </w:tblGrid>
      <w:tr w:rsidR="00796CF1" w14:paraId="0D4321D4" w14:textId="04D163E0" w:rsidTr="00FA75E5">
        <w:trPr>
          <w:tblHeader/>
        </w:trPr>
        <w:tc>
          <w:tcPr>
            <w:tcW w:w="4316" w:type="dxa"/>
          </w:tcPr>
          <w:p w14:paraId="4D224169" w14:textId="474FDA39" w:rsidR="00796CF1" w:rsidRPr="00944A52" w:rsidRDefault="00E44E85" w:rsidP="007C4108">
            <w:pPr>
              <w:pStyle w:val="Tableheadingboardreport"/>
            </w:pPr>
            <w:r>
              <w:t xml:space="preserve">5. </w:t>
            </w:r>
            <w:r w:rsidR="00796CF1" w:rsidRPr="00153D0F">
              <w:t>Generate and manage effectively the resources needed to maintain and transform our offer to the health and care system</w:t>
            </w:r>
          </w:p>
        </w:tc>
        <w:tc>
          <w:tcPr>
            <w:tcW w:w="1208" w:type="dxa"/>
          </w:tcPr>
          <w:p w14:paraId="418FCCD1" w14:textId="010C377B" w:rsidR="00796CF1" w:rsidRDefault="00796CF1" w:rsidP="007C4108">
            <w:pPr>
              <w:pStyle w:val="Tableheadingboardreport"/>
            </w:pPr>
            <w:r>
              <w:t>Original delivery date</w:t>
            </w:r>
          </w:p>
        </w:tc>
        <w:tc>
          <w:tcPr>
            <w:tcW w:w="1222" w:type="dxa"/>
          </w:tcPr>
          <w:p w14:paraId="3634498A" w14:textId="153F89A2" w:rsidR="00796CF1" w:rsidRPr="00944A52" w:rsidRDefault="00796CF1" w:rsidP="007C4108">
            <w:pPr>
              <w:pStyle w:val="Tableheadingboardreport"/>
            </w:pPr>
            <w:r>
              <w:t>Delivery date</w:t>
            </w:r>
          </w:p>
        </w:tc>
        <w:tc>
          <w:tcPr>
            <w:tcW w:w="5582" w:type="dxa"/>
          </w:tcPr>
          <w:p w14:paraId="0EF5F84C" w14:textId="77777777" w:rsidR="00796CF1" w:rsidRPr="00F23A61" w:rsidRDefault="00796CF1" w:rsidP="007C4108">
            <w:pPr>
              <w:pStyle w:val="Tableheadingboardreport"/>
              <w:rPr>
                <w:szCs w:val="22"/>
              </w:rPr>
            </w:pPr>
            <w:r w:rsidRPr="00DD2591">
              <w:rPr>
                <w:szCs w:val="22"/>
              </w:rPr>
              <w:t>Progress update</w:t>
            </w:r>
          </w:p>
        </w:tc>
        <w:tc>
          <w:tcPr>
            <w:tcW w:w="1620" w:type="dxa"/>
          </w:tcPr>
          <w:p w14:paraId="6FF1442A" w14:textId="7CFA5E16" w:rsidR="00796CF1" w:rsidRPr="00DD2591" w:rsidRDefault="00796CF1" w:rsidP="007C4108">
            <w:pPr>
              <w:pStyle w:val="Tableheadingboardreport"/>
              <w:rPr>
                <w:szCs w:val="22"/>
              </w:rPr>
            </w:pPr>
            <w:r>
              <w:rPr>
                <w:szCs w:val="22"/>
              </w:rPr>
              <w:t>End of year status</w:t>
            </w:r>
          </w:p>
        </w:tc>
      </w:tr>
      <w:tr w:rsidR="00796CF1" w14:paraId="618576B9" w14:textId="15D0FD84" w:rsidTr="00FA75E5">
        <w:tc>
          <w:tcPr>
            <w:tcW w:w="4316" w:type="dxa"/>
          </w:tcPr>
          <w:p w14:paraId="6F680477" w14:textId="0C67FA92" w:rsidR="00796CF1" w:rsidRPr="00153D0F" w:rsidRDefault="00E44E85" w:rsidP="007C4108">
            <w:pPr>
              <w:pStyle w:val="Tabletext"/>
            </w:pPr>
            <w:r>
              <w:t xml:space="preserve">5.1 </w:t>
            </w:r>
            <w:r w:rsidR="00796CF1" w:rsidRPr="00153D0F">
              <w:t>Review our business processes and roll-out new tools to improve our operational productivity to enable us to do more with our resources as part of the NICE Connect transformation</w:t>
            </w:r>
          </w:p>
        </w:tc>
        <w:tc>
          <w:tcPr>
            <w:tcW w:w="1208" w:type="dxa"/>
          </w:tcPr>
          <w:p w14:paraId="5D213E25" w14:textId="36692479" w:rsidR="00796CF1" w:rsidRPr="00153D0F" w:rsidRDefault="00796CF1" w:rsidP="007C4108">
            <w:pPr>
              <w:pStyle w:val="Tabletext"/>
            </w:pPr>
            <w:r>
              <w:t>Ongoing</w:t>
            </w:r>
          </w:p>
        </w:tc>
        <w:tc>
          <w:tcPr>
            <w:tcW w:w="1222" w:type="dxa"/>
          </w:tcPr>
          <w:p w14:paraId="04803581" w14:textId="44B133E9" w:rsidR="00796CF1" w:rsidRPr="00153D0F" w:rsidRDefault="00796CF1" w:rsidP="007C4108">
            <w:pPr>
              <w:pStyle w:val="Tabletext"/>
            </w:pPr>
            <w:r w:rsidRPr="00153D0F">
              <w:t>Ongoing</w:t>
            </w:r>
          </w:p>
        </w:tc>
        <w:tc>
          <w:tcPr>
            <w:tcW w:w="5582" w:type="dxa"/>
          </w:tcPr>
          <w:p w14:paraId="5D443586" w14:textId="3390FA1E" w:rsidR="00796CF1" w:rsidRPr="00972755" w:rsidRDefault="00796CF1" w:rsidP="001E14BD">
            <w:pPr>
              <w:pStyle w:val="Tablebullet"/>
            </w:pPr>
            <w:r w:rsidRPr="00972755">
              <w:t xml:space="preserve">48 colleagues have received </w:t>
            </w:r>
            <w:r w:rsidR="00BD0A9D" w:rsidRPr="00972755">
              <w:t>Lean and Six Sigma Green Belt Essentials training</w:t>
            </w:r>
            <w:r w:rsidRPr="00972755">
              <w:t xml:space="preserve"> since No</w:t>
            </w:r>
            <w:r w:rsidR="00BD0A9D">
              <w:t>v</w:t>
            </w:r>
            <w:r w:rsidRPr="00972755">
              <w:t xml:space="preserve"> 2020. </w:t>
            </w:r>
            <w:r w:rsidR="001E14BD">
              <w:t>The</w:t>
            </w:r>
            <w:r w:rsidRPr="00972755">
              <w:t xml:space="preserve"> 48 colleagues </w:t>
            </w:r>
            <w:r w:rsidR="001E14BD">
              <w:t xml:space="preserve">are being supported to </w:t>
            </w:r>
            <w:r w:rsidRPr="00972755">
              <w:t xml:space="preserve">identify </w:t>
            </w:r>
            <w:r w:rsidR="00161B98">
              <w:t xml:space="preserve">and implement </w:t>
            </w:r>
            <w:r w:rsidRPr="00972755">
              <w:t>continuous improvement projects within their work areas</w:t>
            </w:r>
            <w:r w:rsidR="001E14BD">
              <w:t>, via l</w:t>
            </w:r>
            <w:r w:rsidRPr="00972755">
              <w:t>ean learning circles</w:t>
            </w:r>
            <w:r w:rsidR="00161B98">
              <w:t xml:space="preserve"> and </w:t>
            </w:r>
            <w:r w:rsidRPr="00972755">
              <w:t>informal mentoring from more experienced practitioners</w:t>
            </w:r>
            <w:r w:rsidR="00161B98">
              <w:t xml:space="preserve">, plus </w:t>
            </w:r>
            <w:r w:rsidRPr="00972755">
              <w:t>a central Lean and Six Sigma toolkit with templates, guidance, and case studies</w:t>
            </w:r>
            <w:r w:rsidR="001E14BD">
              <w:t xml:space="preserve">. </w:t>
            </w:r>
          </w:p>
          <w:p w14:paraId="746F00FA" w14:textId="042BF12D" w:rsidR="00796CF1" w:rsidRPr="00333DC0" w:rsidRDefault="00161B98" w:rsidP="00BA106C">
            <w:pPr>
              <w:pStyle w:val="Tablebullet"/>
            </w:pPr>
            <w:r>
              <w:t>A</w:t>
            </w:r>
            <w:r w:rsidR="00796CF1" w:rsidRPr="00972755">
              <w:t xml:space="preserve"> “Case for Change” </w:t>
            </w:r>
            <w:r>
              <w:t xml:space="preserve">for a Digital Workplace was submitted </w:t>
            </w:r>
            <w:r w:rsidR="00796CF1" w:rsidRPr="00972755">
              <w:t xml:space="preserve">to the Board in April, with the </w:t>
            </w:r>
            <w:r>
              <w:t>f</w:t>
            </w:r>
            <w:r w:rsidR="00796CF1" w:rsidRPr="00972755">
              <w:t xml:space="preserve">ull </w:t>
            </w:r>
            <w:r>
              <w:t>business case</w:t>
            </w:r>
            <w:r w:rsidR="00796CF1" w:rsidRPr="00972755">
              <w:t xml:space="preserve"> submitted in May.</w:t>
            </w:r>
          </w:p>
        </w:tc>
        <w:tc>
          <w:tcPr>
            <w:tcW w:w="1620" w:type="dxa"/>
          </w:tcPr>
          <w:p w14:paraId="0D9A66FB" w14:textId="66E64F5C" w:rsidR="00796CF1" w:rsidRPr="00972755" w:rsidRDefault="00796CF1" w:rsidP="00796CF1">
            <w:pPr>
              <w:pStyle w:val="Tablebullet"/>
              <w:numPr>
                <w:ilvl w:val="0"/>
                <w:numId w:val="0"/>
              </w:numPr>
            </w:pPr>
            <w:r>
              <w:t>Delivered for this year</w:t>
            </w:r>
          </w:p>
        </w:tc>
      </w:tr>
      <w:tr w:rsidR="00796CF1" w14:paraId="1CC1CA1F" w14:textId="776D5D3C" w:rsidTr="00FA75E5">
        <w:tc>
          <w:tcPr>
            <w:tcW w:w="4316" w:type="dxa"/>
          </w:tcPr>
          <w:p w14:paraId="58287371" w14:textId="3BD6BD5C" w:rsidR="00796CF1" w:rsidRPr="00153D0F" w:rsidRDefault="00E44E85" w:rsidP="00502928">
            <w:pPr>
              <w:pStyle w:val="Tabletext"/>
            </w:pPr>
            <w:r>
              <w:t xml:space="preserve">5.2 </w:t>
            </w:r>
            <w:r w:rsidR="00796CF1" w:rsidRPr="00153D0F">
              <w:t>Deliver against plan for all budgets and achieve or exceed on non-Grant-in-Aid income targets</w:t>
            </w:r>
          </w:p>
        </w:tc>
        <w:tc>
          <w:tcPr>
            <w:tcW w:w="1208" w:type="dxa"/>
          </w:tcPr>
          <w:p w14:paraId="1A41BCB3" w14:textId="7854328C" w:rsidR="00796CF1" w:rsidRPr="00153D0F" w:rsidRDefault="00796CF1" w:rsidP="00502928">
            <w:pPr>
              <w:pStyle w:val="Tabletext"/>
            </w:pPr>
            <w:r w:rsidRPr="00153D0F">
              <w:t>End of March 2021</w:t>
            </w:r>
          </w:p>
        </w:tc>
        <w:tc>
          <w:tcPr>
            <w:tcW w:w="1222" w:type="dxa"/>
          </w:tcPr>
          <w:p w14:paraId="22E1A6E5" w14:textId="5F59FCBD" w:rsidR="00796CF1" w:rsidRPr="00153D0F" w:rsidRDefault="00796CF1" w:rsidP="00502928">
            <w:pPr>
              <w:pStyle w:val="Tabletext"/>
            </w:pPr>
            <w:r w:rsidRPr="00153D0F">
              <w:t>End of March 2021</w:t>
            </w:r>
          </w:p>
        </w:tc>
        <w:tc>
          <w:tcPr>
            <w:tcW w:w="5582" w:type="dxa"/>
          </w:tcPr>
          <w:p w14:paraId="174B5B43" w14:textId="77777777" w:rsidR="00796CF1" w:rsidRPr="00972755" w:rsidRDefault="00796CF1" w:rsidP="00502928">
            <w:pPr>
              <w:pStyle w:val="Tablebullet"/>
            </w:pPr>
            <w:r w:rsidRPr="00972755">
              <w:t>Total net spend in 2020</w:t>
            </w:r>
            <w:r>
              <w:t>/</w:t>
            </w:r>
            <w:r w:rsidRPr="00972755">
              <w:t>21 was £49.7m, an underspend of £4.0m.</w:t>
            </w:r>
          </w:p>
          <w:p w14:paraId="40F8DD13" w14:textId="77777777" w:rsidR="00796CF1" w:rsidRPr="00972755" w:rsidRDefault="00796CF1" w:rsidP="00502928">
            <w:pPr>
              <w:pStyle w:val="Tablebullet"/>
            </w:pPr>
            <w:r w:rsidRPr="00972755">
              <w:t xml:space="preserve">The underspend was mainly due to the deferral of the digital workplace programme, vacancies and savings on travel budgets across the year. </w:t>
            </w:r>
          </w:p>
          <w:p w14:paraId="26460389" w14:textId="77777777" w:rsidR="00796CF1" w:rsidRPr="00972755" w:rsidRDefault="00796CF1" w:rsidP="00502928">
            <w:pPr>
              <w:pStyle w:val="Tablebullet"/>
            </w:pPr>
            <w:r w:rsidRPr="00972755">
              <w:t>Income from technology appraisals and highly specialised technologies was impacted by the pandemic. Total income was £7.0m, in line with the reasonable worse-case scenario set out in our 2020</w:t>
            </w:r>
            <w:r>
              <w:t>/</w:t>
            </w:r>
            <w:r w:rsidRPr="00972755">
              <w:t xml:space="preserve">21 business plan </w:t>
            </w:r>
          </w:p>
          <w:p w14:paraId="7A6F594D" w14:textId="52BDCC4F" w:rsidR="00796CF1" w:rsidRPr="00333DC0" w:rsidRDefault="00796CF1" w:rsidP="00502928">
            <w:pPr>
              <w:pStyle w:val="Tablebullet"/>
            </w:pPr>
            <w:r w:rsidRPr="00972755">
              <w:t xml:space="preserve">Other non-GIA income targets were achieved, including a £0.4m surplus </w:t>
            </w:r>
            <w:r w:rsidR="005D6013">
              <w:t xml:space="preserve">for </w:t>
            </w:r>
            <w:r w:rsidRPr="00972755">
              <w:t>Scientific Advice.</w:t>
            </w:r>
          </w:p>
        </w:tc>
        <w:tc>
          <w:tcPr>
            <w:tcW w:w="1620" w:type="dxa"/>
          </w:tcPr>
          <w:p w14:paraId="399EAD86" w14:textId="532AEAD2" w:rsidR="00796CF1" w:rsidRPr="00972755" w:rsidRDefault="00796CF1" w:rsidP="00796CF1">
            <w:pPr>
              <w:pStyle w:val="Tablebullet"/>
              <w:numPr>
                <w:ilvl w:val="0"/>
                <w:numId w:val="0"/>
              </w:numPr>
            </w:pPr>
            <w:r>
              <w:t xml:space="preserve">Partially delivered </w:t>
            </w:r>
          </w:p>
        </w:tc>
      </w:tr>
      <w:tr w:rsidR="00796CF1" w14:paraId="0F92D728" w14:textId="1773C8B8" w:rsidTr="00FA75E5">
        <w:tc>
          <w:tcPr>
            <w:tcW w:w="4316" w:type="dxa"/>
          </w:tcPr>
          <w:p w14:paraId="5173D782" w14:textId="06A0A600" w:rsidR="00796CF1" w:rsidRPr="00944A52" w:rsidRDefault="00E44E85" w:rsidP="00502928">
            <w:pPr>
              <w:pStyle w:val="Tabletext"/>
            </w:pPr>
            <w:r>
              <w:t xml:space="preserve">5.3 </w:t>
            </w:r>
            <w:r w:rsidR="00796CF1" w:rsidRPr="00153D0F">
              <w:t xml:space="preserve">Collaborate with the research and policy communities nationally and internationally in topic areas agreed </w:t>
            </w:r>
            <w:r w:rsidR="00796CF1" w:rsidRPr="00153D0F">
              <w:lastRenderedPageBreak/>
              <w:t>strategically important to NICE, delivering existing grant funded research projects to plan and timetable, and securing a pipeline of new projects for 2021/22</w:t>
            </w:r>
          </w:p>
        </w:tc>
        <w:tc>
          <w:tcPr>
            <w:tcW w:w="1208" w:type="dxa"/>
          </w:tcPr>
          <w:p w14:paraId="3F8C1340" w14:textId="51241148" w:rsidR="00796CF1" w:rsidRPr="00153D0F" w:rsidRDefault="00796CF1" w:rsidP="00502928">
            <w:pPr>
              <w:pStyle w:val="Tabletext"/>
            </w:pPr>
            <w:r w:rsidRPr="00153D0F">
              <w:lastRenderedPageBreak/>
              <w:t>End of March 2021</w:t>
            </w:r>
          </w:p>
        </w:tc>
        <w:tc>
          <w:tcPr>
            <w:tcW w:w="1222" w:type="dxa"/>
          </w:tcPr>
          <w:p w14:paraId="641F84AB" w14:textId="66F0D0ED" w:rsidR="00796CF1" w:rsidRPr="00944A52" w:rsidRDefault="00796CF1" w:rsidP="00502928">
            <w:pPr>
              <w:pStyle w:val="Tabletext"/>
            </w:pPr>
            <w:r w:rsidRPr="00153D0F">
              <w:t>End of March 2021</w:t>
            </w:r>
          </w:p>
        </w:tc>
        <w:tc>
          <w:tcPr>
            <w:tcW w:w="5582" w:type="dxa"/>
          </w:tcPr>
          <w:p w14:paraId="4BB7A142" w14:textId="5B3AAC89" w:rsidR="00796CF1" w:rsidRDefault="008011C7" w:rsidP="00502928">
            <w:pPr>
              <w:pStyle w:val="Tablebullet"/>
            </w:pPr>
            <w:r>
              <w:t>The p</w:t>
            </w:r>
            <w:r w:rsidR="00796CF1" w:rsidRPr="00123E7F">
              <w:t xml:space="preserve">ortfolio of H2020 and IMI projects aligned with </w:t>
            </w:r>
            <w:r>
              <w:t>our</w:t>
            </w:r>
            <w:r w:rsidR="00796CF1" w:rsidRPr="00123E7F">
              <w:t xml:space="preserve"> research interests </w:t>
            </w:r>
            <w:r>
              <w:t xml:space="preserve">is </w:t>
            </w:r>
            <w:r w:rsidR="00796CF1" w:rsidRPr="00123E7F">
              <w:t>progressing to plan.</w:t>
            </w:r>
          </w:p>
          <w:p w14:paraId="1462525A" w14:textId="2E94EFDD" w:rsidR="008011C7" w:rsidRDefault="00796CF1" w:rsidP="00502928">
            <w:pPr>
              <w:pStyle w:val="Tablebullet"/>
            </w:pPr>
            <w:r>
              <w:lastRenderedPageBreak/>
              <w:t xml:space="preserve">A new COVID-19 theme </w:t>
            </w:r>
            <w:r w:rsidR="007660F0">
              <w:t>was</w:t>
            </w:r>
            <w:r w:rsidR="008011C7">
              <w:t xml:space="preserve"> </w:t>
            </w:r>
            <w:r>
              <w:t>developed as part of Horizon 2020 funded project ‘HTx</w:t>
            </w:r>
            <w:r w:rsidR="008011C7">
              <w:t xml:space="preserve">’, to </w:t>
            </w:r>
            <w:r>
              <w:t xml:space="preserve">produce </w:t>
            </w:r>
            <w:r w:rsidRPr="00F6434E">
              <w:t>a best practice framework</w:t>
            </w:r>
            <w:r w:rsidR="008011C7">
              <w:t xml:space="preserve"> and</w:t>
            </w:r>
            <w:r>
              <w:t xml:space="preserve"> </w:t>
            </w:r>
            <w:r w:rsidRPr="00F6434E">
              <w:t xml:space="preserve">conceptual model </w:t>
            </w:r>
            <w:r w:rsidR="008011C7">
              <w:t xml:space="preserve">to </w:t>
            </w:r>
            <w:r w:rsidR="007660F0">
              <w:t>aid</w:t>
            </w:r>
            <w:r w:rsidRPr="00F6434E">
              <w:t xml:space="preserve"> the assessment of diagnostics and treatments for COVID. </w:t>
            </w:r>
            <w:r w:rsidR="00822EBB">
              <w:t>This work, with</w:t>
            </w:r>
            <w:r>
              <w:t xml:space="preserve"> international agencies, such as</w:t>
            </w:r>
            <w:r w:rsidRPr="00F6434E">
              <w:t xml:space="preserve"> ICER, CADTH,</w:t>
            </w:r>
            <w:r>
              <w:t xml:space="preserve"> and</w:t>
            </w:r>
            <w:r w:rsidRPr="00F6434E">
              <w:t xml:space="preserve"> PBAC</w:t>
            </w:r>
            <w:r w:rsidR="00822EBB">
              <w:t xml:space="preserve">, </w:t>
            </w:r>
            <w:r w:rsidRPr="00F6434E">
              <w:t xml:space="preserve">will </w:t>
            </w:r>
            <w:r>
              <w:t>inform</w:t>
            </w:r>
            <w:r w:rsidRPr="00F6434E">
              <w:t xml:space="preserve"> NICE’s approach to future assessments of COVID treatments and diagnostics</w:t>
            </w:r>
            <w:r>
              <w:t xml:space="preserve">. </w:t>
            </w:r>
          </w:p>
          <w:p w14:paraId="28318A49" w14:textId="7F4BC525" w:rsidR="00796CF1" w:rsidRPr="00123E7F" w:rsidRDefault="008011C7" w:rsidP="00502928">
            <w:pPr>
              <w:pStyle w:val="Tablebullet"/>
            </w:pPr>
            <w:r>
              <w:t>We c</w:t>
            </w:r>
            <w:r w:rsidR="00796CF1">
              <w:t xml:space="preserve">ontinued </w:t>
            </w:r>
            <w:r w:rsidR="007660F0">
              <w:t>working</w:t>
            </w:r>
            <w:r w:rsidR="00796CF1">
              <w:t xml:space="preserve"> with researchers on topics related to measuring and valuing quality of life, including the development of a value set for the EQ-5D-5L instrument, measuring quality of life in children and a broader instrument that could inform quality of life in non-health interventions (the EQ health and wellbeing instrument).</w:t>
            </w:r>
          </w:p>
        </w:tc>
        <w:tc>
          <w:tcPr>
            <w:tcW w:w="1620" w:type="dxa"/>
          </w:tcPr>
          <w:p w14:paraId="4FE808EB" w14:textId="6F3D60AF" w:rsidR="00796CF1" w:rsidRPr="00123E7F" w:rsidRDefault="00F271E5" w:rsidP="00F271E5">
            <w:pPr>
              <w:pStyle w:val="Tablebullet"/>
              <w:numPr>
                <w:ilvl w:val="0"/>
                <w:numId w:val="0"/>
              </w:numPr>
            </w:pPr>
            <w:r>
              <w:lastRenderedPageBreak/>
              <w:t>Delivered</w:t>
            </w:r>
          </w:p>
        </w:tc>
      </w:tr>
      <w:tr w:rsidR="00796CF1" w14:paraId="1D127199" w14:textId="13AB038E" w:rsidTr="00FA75E5">
        <w:tc>
          <w:tcPr>
            <w:tcW w:w="4316" w:type="dxa"/>
          </w:tcPr>
          <w:p w14:paraId="0F54DBB2" w14:textId="0C2BBFBA" w:rsidR="00796CF1" w:rsidRPr="00944A52" w:rsidRDefault="00E44E85" w:rsidP="00502928">
            <w:pPr>
              <w:pStyle w:val="Tabletext"/>
            </w:pPr>
            <w:r>
              <w:t xml:space="preserve">5.4 </w:t>
            </w:r>
            <w:r w:rsidR="00796CF1" w:rsidRPr="00153D0F">
              <w:t>Deliver scientific advice, including the offers in the context of COVID-19, and NICE International activities to target</w:t>
            </w:r>
          </w:p>
        </w:tc>
        <w:tc>
          <w:tcPr>
            <w:tcW w:w="1208" w:type="dxa"/>
          </w:tcPr>
          <w:p w14:paraId="44668BDD" w14:textId="78E8232B" w:rsidR="00796CF1" w:rsidRPr="00153D0F" w:rsidRDefault="00796CF1" w:rsidP="00502928">
            <w:pPr>
              <w:pStyle w:val="Tabletext"/>
            </w:pPr>
            <w:r w:rsidRPr="00153D0F">
              <w:t>End of March 2021</w:t>
            </w:r>
          </w:p>
        </w:tc>
        <w:tc>
          <w:tcPr>
            <w:tcW w:w="1222" w:type="dxa"/>
          </w:tcPr>
          <w:p w14:paraId="457CFE0D" w14:textId="7BCB6174" w:rsidR="00796CF1" w:rsidRPr="00944A52" w:rsidRDefault="00796CF1" w:rsidP="00502928">
            <w:pPr>
              <w:pStyle w:val="Tabletext"/>
            </w:pPr>
            <w:r w:rsidRPr="00153D0F">
              <w:t>End of March 2021</w:t>
            </w:r>
          </w:p>
        </w:tc>
        <w:tc>
          <w:tcPr>
            <w:tcW w:w="5582" w:type="dxa"/>
          </w:tcPr>
          <w:p w14:paraId="3EC4EDC2" w14:textId="77777777" w:rsidR="00796CF1" w:rsidRPr="00123E7F" w:rsidRDefault="00796CF1" w:rsidP="00502928">
            <w:pPr>
              <w:pStyle w:val="Tablebullet"/>
            </w:pPr>
            <w:r w:rsidRPr="00123E7F">
              <w:t xml:space="preserve">NICE Scientific Advice (including NICE International) </w:t>
            </w:r>
            <w:r>
              <w:t>successfully</w:t>
            </w:r>
            <w:r w:rsidRPr="00123E7F">
              <w:t xml:space="preserve"> recover</w:t>
            </w:r>
            <w:r>
              <w:t>ed</w:t>
            </w:r>
            <w:r w:rsidRPr="00123E7F">
              <w:t xml:space="preserve"> all costs and ma</w:t>
            </w:r>
            <w:r>
              <w:t>de</w:t>
            </w:r>
            <w:r w:rsidRPr="00123E7F">
              <w:t xml:space="preserve"> a full contribution to the NICE overheads.</w:t>
            </w:r>
          </w:p>
          <w:p w14:paraId="27705FA8" w14:textId="14EF40AF" w:rsidR="00796CF1" w:rsidRPr="00333DC0" w:rsidRDefault="00796CF1" w:rsidP="00502928">
            <w:pPr>
              <w:pStyle w:val="Tablebullet"/>
            </w:pPr>
            <w:r w:rsidRPr="006F57FF">
              <w:t xml:space="preserve">The team initiated </w:t>
            </w:r>
            <w:r>
              <w:t>77</w:t>
            </w:r>
            <w:r w:rsidRPr="006F57FF">
              <w:t xml:space="preserve"> </w:t>
            </w:r>
            <w:r>
              <w:t xml:space="preserve">advice </w:t>
            </w:r>
            <w:r w:rsidRPr="006F57FF">
              <w:t>pro</w:t>
            </w:r>
            <w:r w:rsidRPr="00795BC5">
              <w:t xml:space="preserve">jects </w:t>
            </w:r>
            <w:r>
              <w:t>within</w:t>
            </w:r>
            <w:r w:rsidRPr="00795BC5">
              <w:t xml:space="preserve"> the f</w:t>
            </w:r>
            <w:r w:rsidRPr="00333DC0">
              <w:t xml:space="preserve">inancial year. </w:t>
            </w:r>
            <w:r>
              <w:t>Fourteen</w:t>
            </w:r>
            <w:r w:rsidRPr="00333DC0">
              <w:t xml:space="preserve"> of these projects involved giving free advice on COVID-19 products.</w:t>
            </w:r>
          </w:p>
        </w:tc>
        <w:tc>
          <w:tcPr>
            <w:tcW w:w="1620" w:type="dxa"/>
          </w:tcPr>
          <w:p w14:paraId="22B40C72" w14:textId="7D9738C1" w:rsidR="00796CF1" w:rsidRPr="00123E7F" w:rsidRDefault="00F271E5" w:rsidP="00F271E5">
            <w:pPr>
              <w:pStyle w:val="Tablebullet"/>
              <w:numPr>
                <w:ilvl w:val="0"/>
                <w:numId w:val="0"/>
              </w:numPr>
            </w:pPr>
            <w:r>
              <w:t>Delivered</w:t>
            </w:r>
          </w:p>
        </w:tc>
      </w:tr>
    </w:tbl>
    <w:p w14:paraId="2CB00743" w14:textId="77777777" w:rsidR="00151CBE" w:rsidRDefault="00151CBE"/>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1: Business objectives for 2020/21 - Generate and manage effectively the resources needed to maintain and transform our offer to the health and care system"/>
      </w:tblPr>
      <w:tblGrid>
        <w:gridCol w:w="4248"/>
        <w:gridCol w:w="1276"/>
        <w:gridCol w:w="1273"/>
        <w:gridCol w:w="5531"/>
        <w:gridCol w:w="1620"/>
      </w:tblGrid>
      <w:tr w:rsidR="00B71615" w:rsidRPr="00944A52" w14:paraId="15B95CAB" w14:textId="6C50D89D" w:rsidTr="00E0122A">
        <w:trPr>
          <w:tblHeader/>
        </w:trPr>
        <w:tc>
          <w:tcPr>
            <w:tcW w:w="4248" w:type="dxa"/>
          </w:tcPr>
          <w:p w14:paraId="572444D2" w14:textId="75FA2D3B" w:rsidR="00B71615" w:rsidRPr="00153D0F" w:rsidRDefault="00E44E85" w:rsidP="007C4108">
            <w:pPr>
              <w:pStyle w:val="Tableheadingboardreport"/>
            </w:pPr>
            <w:bookmarkStart w:id="3" w:name="_Hlk71181210"/>
            <w:r>
              <w:t xml:space="preserve">6. </w:t>
            </w:r>
            <w:r w:rsidR="00B71615" w:rsidRPr="00153D0F">
              <w:t>Maintain a motivated, well-led and adaptable workforce</w:t>
            </w:r>
            <w:bookmarkEnd w:id="3"/>
          </w:p>
        </w:tc>
        <w:tc>
          <w:tcPr>
            <w:tcW w:w="1276" w:type="dxa"/>
          </w:tcPr>
          <w:p w14:paraId="0D97FEA3" w14:textId="050E4CFA" w:rsidR="00B71615" w:rsidRDefault="00B71615" w:rsidP="007C4108">
            <w:pPr>
              <w:pStyle w:val="Tableheadingboardreport"/>
            </w:pPr>
            <w:r>
              <w:t>Original delivery date</w:t>
            </w:r>
          </w:p>
        </w:tc>
        <w:tc>
          <w:tcPr>
            <w:tcW w:w="1273" w:type="dxa"/>
          </w:tcPr>
          <w:p w14:paraId="25710F1F" w14:textId="5315FD01" w:rsidR="00B71615" w:rsidRPr="00153D0F" w:rsidRDefault="00B71615" w:rsidP="007C4108">
            <w:pPr>
              <w:pStyle w:val="Tableheadingboardreport"/>
            </w:pPr>
            <w:r>
              <w:t>Delivery date</w:t>
            </w:r>
          </w:p>
        </w:tc>
        <w:tc>
          <w:tcPr>
            <w:tcW w:w="5531" w:type="dxa"/>
          </w:tcPr>
          <w:p w14:paraId="7D5DE223" w14:textId="77777777" w:rsidR="00B71615" w:rsidRPr="00F23A61" w:rsidRDefault="00B71615" w:rsidP="007C4108">
            <w:pPr>
              <w:pStyle w:val="Tableheadingboardreport"/>
              <w:rPr>
                <w:szCs w:val="22"/>
              </w:rPr>
            </w:pPr>
            <w:r w:rsidRPr="00DD2591">
              <w:rPr>
                <w:szCs w:val="22"/>
              </w:rPr>
              <w:t>Progress update</w:t>
            </w:r>
          </w:p>
        </w:tc>
        <w:tc>
          <w:tcPr>
            <w:tcW w:w="1620" w:type="dxa"/>
          </w:tcPr>
          <w:p w14:paraId="7492ED8D" w14:textId="7AA62FA3" w:rsidR="00B71615" w:rsidRPr="00DD2591" w:rsidRDefault="00B71615" w:rsidP="007C4108">
            <w:pPr>
              <w:pStyle w:val="Tableheadingboardreport"/>
              <w:rPr>
                <w:szCs w:val="22"/>
              </w:rPr>
            </w:pPr>
            <w:r>
              <w:rPr>
                <w:szCs w:val="22"/>
              </w:rPr>
              <w:t>End of year status</w:t>
            </w:r>
          </w:p>
        </w:tc>
      </w:tr>
      <w:tr w:rsidR="00B71615" w:rsidRPr="00153D0F" w14:paraId="2F3FF86C" w14:textId="43B0376E" w:rsidTr="00E0122A">
        <w:tc>
          <w:tcPr>
            <w:tcW w:w="4248" w:type="dxa"/>
          </w:tcPr>
          <w:p w14:paraId="22F74932" w14:textId="354BD3BE" w:rsidR="00B71615" w:rsidRPr="00153D0F" w:rsidRDefault="00E44E85" w:rsidP="00682099">
            <w:pPr>
              <w:pStyle w:val="Tabletext"/>
            </w:pPr>
            <w:r>
              <w:t xml:space="preserve">6.1 </w:t>
            </w:r>
            <w:r w:rsidR="00B71615" w:rsidRPr="00153D0F">
              <w:t>Ensure that all staff have clear objectives supported by personal development plans</w:t>
            </w:r>
          </w:p>
        </w:tc>
        <w:tc>
          <w:tcPr>
            <w:tcW w:w="1276" w:type="dxa"/>
          </w:tcPr>
          <w:p w14:paraId="5DBC576E" w14:textId="10ABCEB1" w:rsidR="00B71615" w:rsidRPr="00153D0F" w:rsidRDefault="00B71615" w:rsidP="00682099">
            <w:pPr>
              <w:pStyle w:val="Tabletext"/>
            </w:pPr>
            <w:r w:rsidRPr="00153D0F">
              <w:t>End of March 2021</w:t>
            </w:r>
          </w:p>
        </w:tc>
        <w:tc>
          <w:tcPr>
            <w:tcW w:w="1273" w:type="dxa"/>
          </w:tcPr>
          <w:p w14:paraId="03BFD2E4" w14:textId="05614000" w:rsidR="00B71615" w:rsidRPr="00153D0F" w:rsidRDefault="00B71615" w:rsidP="00682099">
            <w:pPr>
              <w:pStyle w:val="Tabletext"/>
            </w:pPr>
            <w:r w:rsidRPr="00153D0F">
              <w:t>End of Q1</w:t>
            </w:r>
            <w:r>
              <w:t xml:space="preserve"> 2020/21</w:t>
            </w:r>
          </w:p>
        </w:tc>
        <w:tc>
          <w:tcPr>
            <w:tcW w:w="5531" w:type="dxa"/>
          </w:tcPr>
          <w:p w14:paraId="710A327E" w14:textId="2D83E035" w:rsidR="00B71615" w:rsidRPr="006F57FF" w:rsidRDefault="00B71615" w:rsidP="00682099">
            <w:pPr>
              <w:pStyle w:val="Tablebullet"/>
            </w:pPr>
            <w:r w:rsidRPr="00972755">
              <w:t xml:space="preserve">Our refreshed appraisal approach ‘My Contribution’ was launched in April 2020. </w:t>
            </w:r>
            <w:r w:rsidR="001B0F0B">
              <w:t>We</w:t>
            </w:r>
            <w:r w:rsidRPr="00972755">
              <w:t xml:space="preserve"> added</w:t>
            </w:r>
            <w:r w:rsidR="001B0F0B">
              <w:t xml:space="preserve"> </w:t>
            </w:r>
            <w:r w:rsidRPr="00972755">
              <w:t xml:space="preserve">an additional requirement </w:t>
            </w:r>
            <w:r w:rsidR="001B0F0B">
              <w:t>that all staff</w:t>
            </w:r>
            <w:r w:rsidRPr="00972755">
              <w:t xml:space="preserve"> </w:t>
            </w:r>
            <w:r>
              <w:t xml:space="preserve">(a) </w:t>
            </w:r>
            <w:r w:rsidRPr="00972755">
              <w:t xml:space="preserve">have a conversation about how they have </w:t>
            </w:r>
            <w:r w:rsidRPr="00972755">
              <w:lastRenderedPageBreak/>
              <w:t>demonstrated our values and behaviours</w:t>
            </w:r>
            <w:r>
              <w:t xml:space="preserve">, and (b) </w:t>
            </w:r>
            <w:r w:rsidRPr="00972755">
              <w:t>agree an equality objective. Virtual training continues to be provided for staff and managers, and features support with the new ‘asks’.</w:t>
            </w:r>
          </w:p>
        </w:tc>
        <w:tc>
          <w:tcPr>
            <w:tcW w:w="1620" w:type="dxa"/>
          </w:tcPr>
          <w:p w14:paraId="5A4B3E84" w14:textId="1C676546" w:rsidR="00B71615" w:rsidRPr="00972755" w:rsidRDefault="00473F7D" w:rsidP="00B71615">
            <w:pPr>
              <w:pStyle w:val="Tablebullet"/>
              <w:numPr>
                <w:ilvl w:val="0"/>
                <w:numId w:val="0"/>
              </w:numPr>
            </w:pPr>
            <w:r>
              <w:lastRenderedPageBreak/>
              <w:t>Delivered</w:t>
            </w:r>
          </w:p>
        </w:tc>
      </w:tr>
      <w:tr w:rsidR="00B71615" w:rsidRPr="00153D0F" w14:paraId="5855F128" w14:textId="13AA39B4" w:rsidTr="00E0122A">
        <w:tc>
          <w:tcPr>
            <w:tcW w:w="4248" w:type="dxa"/>
          </w:tcPr>
          <w:p w14:paraId="442A0965" w14:textId="442955EE" w:rsidR="00B71615" w:rsidRPr="00153D0F" w:rsidRDefault="00E44E85" w:rsidP="00682099">
            <w:pPr>
              <w:pStyle w:val="Tabletext"/>
            </w:pPr>
            <w:r>
              <w:t xml:space="preserve">6.2 </w:t>
            </w:r>
            <w:r w:rsidR="00B71615" w:rsidRPr="00153D0F">
              <w:t>Actively manage staff engagement and morale in the context of the COVID-19 pandemic and the NICE Connect transformation, with the objective of ensuring that staff feel supported and able to work remotely when required</w:t>
            </w:r>
          </w:p>
        </w:tc>
        <w:tc>
          <w:tcPr>
            <w:tcW w:w="1276" w:type="dxa"/>
          </w:tcPr>
          <w:p w14:paraId="605E39AF" w14:textId="63148D07" w:rsidR="00B71615" w:rsidRPr="00153D0F" w:rsidRDefault="00B71615" w:rsidP="00682099">
            <w:pPr>
              <w:pStyle w:val="Tabletext"/>
            </w:pPr>
            <w:r>
              <w:t>Ongoing</w:t>
            </w:r>
          </w:p>
        </w:tc>
        <w:tc>
          <w:tcPr>
            <w:tcW w:w="1273" w:type="dxa"/>
          </w:tcPr>
          <w:p w14:paraId="1BB75072" w14:textId="1D73039C" w:rsidR="00B71615" w:rsidRPr="00153D0F" w:rsidRDefault="00B71615" w:rsidP="00682099">
            <w:pPr>
              <w:pStyle w:val="Tabletext"/>
            </w:pPr>
            <w:r w:rsidRPr="00153D0F">
              <w:t>Ongoing</w:t>
            </w:r>
          </w:p>
        </w:tc>
        <w:tc>
          <w:tcPr>
            <w:tcW w:w="5531" w:type="dxa"/>
          </w:tcPr>
          <w:p w14:paraId="3EFF184D" w14:textId="2CD32DB7" w:rsidR="00374938" w:rsidRPr="00972755" w:rsidRDefault="00374938" w:rsidP="00374938">
            <w:pPr>
              <w:pStyle w:val="Tablebullet"/>
            </w:pPr>
            <w:r>
              <w:t>Four pulse surveys were undertaken during 2020-21. We have also planned to</w:t>
            </w:r>
            <w:r w:rsidRPr="00972755">
              <w:t xml:space="preserve"> launch </w:t>
            </w:r>
            <w:r>
              <w:t>our normal</w:t>
            </w:r>
            <w:r w:rsidRPr="00972755">
              <w:t xml:space="preserve"> annual staff survey in May </w:t>
            </w:r>
            <w:r>
              <w:t>2021</w:t>
            </w:r>
            <w:r w:rsidRPr="00972755">
              <w:t>.</w:t>
            </w:r>
          </w:p>
          <w:p w14:paraId="621BCBE6" w14:textId="6E0A628F" w:rsidR="00133103" w:rsidRDefault="00B71615" w:rsidP="00133103">
            <w:pPr>
              <w:pStyle w:val="Tablebullet"/>
            </w:pPr>
            <w:r w:rsidRPr="00972755">
              <w:t xml:space="preserve">The Health and Wellbeing group developed and </w:t>
            </w:r>
            <w:r w:rsidR="00AA5263">
              <w:t xml:space="preserve">delivered </w:t>
            </w:r>
            <w:r w:rsidRPr="00972755">
              <w:t>a health and wellbeing plan to provide a variety of support for staff in all areas of wellbeing</w:t>
            </w:r>
            <w:r w:rsidR="00133103">
              <w:t>. W</w:t>
            </w:r>
            <w:r w:rsidR="00133103" w:rsidRPr="00972755">
              <w:t xml:space="preserve">e ran </w:t>
            </w:r>
            <w:r w:rsidR="00133103">
              <w:t>a specific spring wellbeing</w:t>
            </w:r>
            <w:r w:rsidR="00133103" w:rsidRPr="00972755">
              <w:t xml:space="preserve"> </w:t>
            </w:r>
            <w:r w:rsidR="00133103">
              <w:t>campaign</w:t>
            </w:r>
            <w:r w:rsidR="00133103" w:rsidRPr="00972755">
              <w:t>.</w:t>
            </w:r>
          </w:p>
          <w:p w14:paraId="7F5E1B9A" w14:textId="029BF8D4" w:rsidR="00B71615" w:rsidRPr="00333DC0" w:rsidRDefault="00B71615" w:rsidP="009864D2">
            <w:pPr>
              <w:pStyle w:val="Tablebullet"/>
            </w:pPr>
            <w:r w:rsidRPr="00972755">
              <w:t>We introduced wellbeing check</w:t>
            </w:r>
            <w:r>
              <w:t>-</w:t>
            </w:r>
            <w:r w:rsidRPr="00972755">
              <w:t>ins for staff on a weekly basis via the mental health first aiders.</w:t>
            </w:r>
          </w:p>
        </w:tc>
        <w:tc>
          <w:tcPr>
            <w:tcW w:w="1620" w:type="dxa"/>
          </w:tcPr>
          <w:p w14:paraId="04746983" w14:textId="25FA4BAC" w:rsidR="00B71615" w:rsidRPr="00972755" w:rsidRDefault="00473F7D" w:rsidP="00473F7D">
            <w:pPr>
              <w:pStyle w:val="Tablebullet"/>
              <w:numPr>
                <w:ilvl w:val="0"/>
                <w:numId w:val="0"/>
              </w:numPr>
            </w:pPr>
            <w:r>
              <w:t>Delivered for this year</w:t>
            </w:r>
          </w:p>
        </w:tc>
      </w:tr>
      <w:tr w:rsidR="00B71615" w:rsidRPr="00153D0F" w14:paraId="777FDCF8" w14:textId="01008622" w:rsidTr="00E0122A">
        <w:tc>
          <w:tcPr>
            <w:tcW w:w="4248" w:type="dxa"/>
          </w:tcPr>
          <w:p w14:paraId="74118271" w14:textId="796C4BA6" w:rsidR="00B71615" w:rsidRPr="00153D0F" w:rsidRDefault="00E44E85" w:rsidP="00682099">
            <w:pPr>
              <w:pStyle w:val="Tabletext"/>
            </w:pPr>
            <w:r>
              <w:t xml:space="preserve">6.3 </w:t>
            </w:r>
            <w:r w:rsidR="00B71615" w:rsidRPr="00153D0F">
              <w:t>Review our people processes to enable different ways of working as part of the NICE Connect transformation</w:t>
            </w:r>
          </w:p>
        </w:tc>
        <w:tc>
          <w:tcPr>
            <w:tcW w:w="1276" w:type="dxa"/>
          </w:tcPr>
          <w:p w14:paraId="0655BA81" w14:textId="4904C177" w:rsidR="00B71615" w:rsidRPr="00153D0F" w:rsidRDefault="00B71615" w:rsidP="00682099">
            <w:pPr>
              <w:pStyle w:val="Tabletext"/>
            </w:pPr>
            <w:r>
              <w:t>Ongoing</w:t>
            </w:r>
          </w:p>
        </w:tc>
        <w:tc>
          <w:tcPr>
            <w:tcW w:w="1273" w:type="dxa"/>
          </w:tcPr>
          <w:p w14:paraId="5EC60D01" w14:textId="19D7C964" w:rsidR="00B71615" w:rsidRPr="00153D0F" w:rsidRDefault="00B71615" w:rsidP="00682099">
            <w:pPr>
              <w:pStyle w:val="Tabletext"/>
            </w:pPr>
            <w:r w:rsidRPr="00153D0F">
              <w:t>Ongoing</w:t>
            </w:r>
          </w:p>
        </w:tc>
        <w:tc>
          <w:tcPr>
            <w:tcW w:w="5531" w:type="dxa"/>
          </w:tcPr>
          <w:p w14:paraId="45162F0F" w14:textId="173932B6" w:rsidR="00B71615" w:rsidRPr="00972755" w:rsidRDefault="00E97A21" w:rsidP="00682099">
            <w:pPr>
              <w:pStyle w:val="Tablebullet"/>
              <w:rPr>
                <w:szCs w:val="22"/>
              </w:rPr>
            </w:pPr>
            <w:r>
              <w:t>An</w:t>
            </w:r>
            <w:r w:rsidR="00B71615" w:rsidRPr="00972755">
              <w:t xml:space="preserve"> interim organisational development action plan </w:t>
            </w:r>
            <w:r>
              <w:t xml:space="preserve">was developed </w:t>
            </w:r>
            <w:r w:rsidR="00B71615" w:rsidRPr="00972755">
              <w:t>to support NICE Connect</w:t>
            </w:r>
            <w:r>
              <w:t xml:space="preserve"> and has been partially</w:t>
            </w:r>
            <w:r w:rsidR="00B71615" w:rsidRPr="00972755">
              <w:t xml:space="preserve"> implemented. </w:t>
            </w:r>
            <w:r>
              <w:t>Some</w:t>
            </w:r>
            <w:r w:rsidR="00B71615" w:rsidRPr="00972755">
              <w:t xml:space="preserve"> elements were reprioritised to the new financial year due to capacity and to </w:t>
            </w:r>
            <w:r w:rsidR="00B76196">
              <w:t>align</w:t>
            </w:r>
            <w:r w:rsidR="00B71615" w:rsidRPr="00972755">
              <w:t xml:space="preserve"> with the new 5-year strategy. </w:t>
            </w:r>
          </w:p>
          <w:p w14:paraId="5AEF8101" w14:textId="71AAB60C" w:rsidR="00B71615" w:rsidRPr="00972755" w:rsidRDefault="00E97A21" w:rsidP="00682099">
            <w:pPr>
              <w:pStyle w:val="Tablebullet"/>
            </w:pPr>
            <w:r>
              <w:t>G</w:t>
            </w:r>
            <w:r w:rsidR="00B71615" w:rsidRPr="00972755">
              <w:t xml:space="preserve">uidance on matrix team / virtual working </w:t>
            </w:r>
            <w:r>
              <w:t>w</w:t>
            </w:r>
            <w:r w:rsidR="00B71615" w:rsidRPr="00972755">
              <w:t xml:space="preserve">as published </w:t>
            </w:r>
            <w:r>
              <w:t xml:space="preserve">and </w:t>
            </w:r>
            <w:r w:rsidR="00173CB1">
              <w:t xml:space="preserve">lessons from </w:t>
            </w:r>
            <w:r w:rsidR="00B71615" w:rsidRPr="00972755">
              <w:t xml:space="preserve">rapid guideline production </w:t>
            </w:r>
            <w:r w:rsidR="00173CB1">
              <w:t xml:space="preserve">during the pandemic </w:t>
            </w:r>
            <w:r w:rsidR="00B71615" w:rsidRPr="00972755">
              <w:t>were published on NICE Space and the You Tube Channel.</w:t>
            </w:r>
          </w:p>
          <w:p w14:paraId="5F1659CC" w14:textId="01F1503A" w:rsidR="00B71615" w:rsidRPr="00333DC0" w:rsidRDefault="00B71615" w:rsidP="00682099">
            <w:pPr>
              <w:pStyle w:val="Tablebullet"/>
            </w:pPr>
            <w:r w:rsidRPr="00972755">
              <w:t>We developed generic job descriptions for Change Lead roles and Business Change Manager roles.</w:t>
            </w:r>
          </w:p>
        </w:tc>
        <w:tc>
          <w:tcPr>
            <w:tcW w:w="1620" w:type="dxa"/>
          </w:tcPr>
          <w:p w14:paraId="0C267B08" w14:textId="26D8D92C" w:rsidR="00B71615" w:rsidRPr="00972755" w:rsidRDefault="00473F7D" w:rsidP="00473F7D">
            <w:pPr>
              <w:pStyle w:val="Tablebullet"/>
              <w:numPr>
                <w:ilvl w:val="0"/>
                <w:numId w:val="0"/>
              </w:numPr>
            </w:pPr>
            <w:r>
              <w:t>Delivered for this year</w:t>
            </w:r>
          </w:p>
        </w:tc>
      </w:tr>
      <w:tr w:rsidR="00B71615" w:rsidRPr="00153D0F" w14:paraId="5C2A32DE" w14:textId="3B4A899F" w:rsidTr="00E0122A">
        <w:tc>
          <w:tcPr>
            <w:tcW w:w="4248" w:type="dxa"/>
          </w:tcPr>
          <w:p w14:paraId="7F4D0B94" w14:textId="277FA91F" w:rsidR="00B71615" w:rsidRPr="00153D0F" w:rsidRDefault="00E44E85" w:rsidP="00682099">
            <w:pPr>
              <w:pStyle w:val="Tabletext"/>
            </w:pPr>
            <w:r>
              <w:t xml:space="preserve">6.4 </w:t>
            </w:r>
            <w:r w:rsidR="00B71615" w:rsidRPr="00153D0F">
              <w:t>Implement the actions set out in the workforce strategy for 2020/21</w:t>
            </w:r>
          </w:p>
        </w:tc>
        <w:tc>
          <w:tcPr>
            <w:tcW w:w="1276" w:type="dxa"/>
          </w:tcPr>
          <w:p w14:paraId="3E35084F" w14:textId="16184C49" w:rsidR="00B71615" w:rsidRPr="00153D0F" w:rsidRDefault="00B71615" w:rsidP="00682099">
            <w:pPr>
              <w:pStyle w:val="Tabletext"/>
            </w:pPr>
            <w:r w:rsidRPr="00153D0F">
              <w:t>End of Q4</w:t>
            </w:r>
          </w:p>
        </w:tc>
        <w:tc>
          <w:tcPr>
            <w:tcW w:w="1273" w:type="dxa"/>
          </w:tcPr>
          <w:p w14:paraId="49C225C6" w14:textId="2C10A861" w:rsidR="00B71615" w:rsidRPr="00153D0F" w:rsidRDefault="00B71615" w:rsidP="00682099">
            <w:pPr>
              <w:pStyle w:val="Tabletext"/>
            </w:pPr>
            <w:r w:rsidRPr="00153D0F">
              <w:t>End of Q4</w:t>
            </w:r>
          </w:p>
        </w:tc>
        <w:tc>
          <w:tcPr>
            <w:tcW w:w="5531" w:type="dxa"/>
          </w:tcPr>
          <w:p w14:paraId="7B0A083A" w14:textId="5EA18328" w:rsidR="00B71615" w:rsidRPr="00972755" w:rsidRDefault="00B71615" w:rsidP="00682099">
            <w:pPr>
              <w:pStyle w:val="Tablebullet"/>
              <w:rPr>
                <w:szCs w:val="22"/>
              </w:rPr>
            </w:pPr>
            <w:r w:rsidRPr="00972755">
              <w:t xml:space="preserve">We </w:t>
            </w:r>
            <w:r w:rsidR="00BB5E42">
              <w:t>progressed</w:t>
            </w:r>
            <w:r w:rsidRPr="00972755">
              <w:t xml:space="preserve"> work to embed our values in a range of workstreams including induction, appraisal and recruitment. All staff are required to </w:t>
            </w:r>
            <w:r w:rsidR="00781ABF">
              <w:t>discuss</w:t>
            </w:r>
            <w:r w:rsidRPr="00972755">
              <w:t xml:space="preserve"> Values and Behaviours during their appraisal and we have a Values Champions </w:t>
            </w:r>
            <w:r w:rsidRPr="00972755">
              <w:lastRenderedPageBreak/>
              <w:t xml:space="preserve">scheme. </w:t>
            </w:r>
            <w:r w:rsidR="00BB5E42">
              <w:t>We have prepared to launch</w:t>
            </w:r>
            <w:r w:rsidRPr="00972755">
              <w:t xml:space="preserve"> a NICE Values Staff Recognition scheme in May</w:t>
            </w:r>
            <w:r w:rsidR="00781ABF">
              <w:t xml:space="preserve"> 2021</w:t>
            </w:r>
            <w:r w:rsidRPr="00972755">
              <w:t xml:space="preserve">. </w:t>
            </w:r>
          </w:p>
          <w:p w14:paraId="24C89F95" w14:textId="3256D711" w:rsidR="00B71615" w:rsidRDefault="00B71615" w:rsidP="00682099">
            <w:pPr>
              <w:pStyle w:val="Tablebullet"/>
            </w:pPr>
            <w:r w:rsidRPr="00972755">
              <w:t xml:space="preserve">We </w:t>
            </w:r>
            <w:r w:rsidR="00BB5E42">
              <w:t>offered</w:t>
            </w:r>
            <w:r w:rsidRPr="00972755">
              <w:t xml:space="preserve"> virtual programmes to develop the confidence and capabilities of our staff and managers including </w:t>
            </w:r>
            <w:r w:rsidR="00781ABF">
              <w:t>a</w:t>
            </w:r>
            <w:r w:rsidRPr="00972755">
              <w:t xml:space="preserve"> leadership apprenticeship programme, </w:t>
            </w:r>
            <w:r w:rsidR="00781ABF">
              <w:t>a</w:t>
            </w:r>
            <w:r w:rsidRPr="00972755">
              <w:t xml:space="preserve"> line management programme and virtual mentor development days. </w:t>
            </w:r>
          </w:p>
          <w:p w14:paraId="25201DF6" w14:textId="26D51896" w:rsidR="00E97A21" w:rsidRPr="00333DC0" w:rsidRDefault="00E97A21" w:rsidP="00682099">
            <w:pPr>
              <w:pStyle w:val="Tablebullet"/>
            </w:pPr>
            <w:r>
              <w:t>Some</w:t>
            </w:r>
            <w:r w:rsidRPr="00972755">
              <w:t xml:space="preserve"> elements </w:t>
            </w:r>
            <w:r w:rsidR="00FC4D01">
              <w:t xml:space="preserve">of the workforce strategy </w:t>
            </w:r>
            <w:r w:rsidRPr="00972755">
              <w:t>were reprioritised to the new financial year.</w:t>
            </w:r>
          </w:p>
        </w:tc>
        <w:tc>
          <w:tcPr>
            <w:tcW w:w="1620" w:type="dxa"/>
          </w:tcPr>
          <w:p w14:paraId="358E6214" w14:textId="0AADE557" w:rsidR="00B71615" w:rsidRPr="00972755" w:rsidRDefault="00DC4C98" w:rsidP="00DC4C98">
            <w:pPr>
              <w:pStyle w:val="Tablebullet"/>
              <w:numPr>
                <w:ilvl w:val="0"/>
                <w:numId w:val="0"/>
              </w:numPr>
            </w:pPr>
            <w:r>
              <w:lastRenderedPageBreak/>
              <w:t xml:space="preserve">Partially delivered – work will continue in 2021/22 </w:t>
            </w:r>
          </w:p>
        </w:tc>
      </w:tr>
      <w:tr w:rsidR="00B71615" w:rsidRPr="00153D0F" w14:paraId="59D19084" w14:textId="32557C2C" w:rsidTr="00E0122A">
        <w:tc>
          <w:tcPr>
            <w:tcW w:w="4248" w:type="dxa"/>
          </w:tcPr>
          <w:p w14:paraId="59EE59F2" w14:textId="002CD45A" w:rsidR="00B71615" w:rsidRPr="00153D0F" w:rsidRDefault="00E44E85" w:rsidP="00682099">
            <w:pPr>
              <w:pStyle w:val="Tabletext"/>
            </w:pPr>
            <w:r>
              <w:t xml:space="preserve">6.5 </w:t>
            </w:r>
            <w:r w:rsidR="00B71615" w:rsidRPr="00153D0F">
              <w:t>Plan and deliver the move to the new London office, including transforming NICE’s IT arrangements to fit the multi-tenant site and adjusting working arrangements across the whole NICE workforce accordingly</w:t>
            </w:r>
          </w:p>
        </w:tc>
        <w:tc>
          <w:tcPr>
            <w:tcW w:w="1276" w:type="dxa"/>
          </w:tcPr>
          <w:p w14:paraId="108BBCED" w14:textId="3D334517" w:rsidR="00B71615" w:rsidRPr="00153D0F" w:rsidRDefault="00B71615" w:rsidP="00682099">
            <w:pPr>
              <w:pStyle w:val="Tabletext"/>
            </w:pPr>
            <w:r w:rsidRPr="00153D0F">
              <w:t>End of Q4</w:t>
            </w:r>
          </w:p>
        </w:tc>
        <w:tc>
          <w:tcPr>
            <w:tcW w:w="1273" w:type="dxa"/>
          </w:tcPr>
          <w:p w14:paraId="27FD76F3" w14:textId="138C8309" w:rsidR="00B71615" w:rsidRPr="00153D0F" w:rsidRDefault="00B71615" w:rsidP="00682099">
            <w:pPr>
              <w:pStyle w:val="Tabletext"/>
            </w:pPr>
            <w:r w:rsidRPr="00153D0F">
              <w:t>End of Q4</w:t>
            </w:r>
          </w:p>
        </w:tc>
        <w:tc>
          <w:tcPr>
            <w:tcW w:w="5531" w:type="dxa"/>
          </w:tcPr>
          <w:p w14:paraId="4D771197" w14:textId="77777777" w:rsidR="00B71615" w:rsidRPr="00333DC0" w:rsidRDefault="00B71615" w:rsidP="00682099">
            <w:pPr>
              <w:pStyle w:val="Tablebullet"/>
            </w:pPr>
            <w:r w:rsidRPr="00123E7F">
              <w:t>The</w:t>
            </w:r>
            <w:r>
              <w:t xml:space="preserve"> new London office opened on 18 </w:t>
            </w:r>
            <w:r w:rsidRPr="00123E7F">
              <w:t>January 2021</w:t>
            </w:r>
            <w:r>
              <w:t>, but usage has been strictly limited during the national lockdown</w:t>
            </w:r>
            <w:r w:rsidRPr="00123E7F">
              <w:t xml:space="preserve">. </w:t>
            </w:r>
          </w:p>
          <w:p w14:paraId="0339C1EF" w14:textId="2DE6D392" w:rsidR="00B71615" w:rsidRPr="00333DC0" w:rsidRDefault="00B71615" w:rsidP="00682099">
            <w:pPr>
              <w:pStyle w:val="Tablebullet"/>
            </w:pPr>
            <w:r w:rsidRPr="00333DC0">
              <w:t xml:space="preserve">The shared IT solutions </w:t>
            </w:r>
            <w:r>
              <w:t xml:space="preserve">were successfully tested. </w:t>
            </w:r>
            <w:r w:rsidRPr="00972755">
              <w:t>The AV solution has been installed in the smaller meeting rooms, and the solution for the larger conference suites has been agreed with DHSC.</w:t>
            </w:r>
          </w:p>
        </w:tc>
        <w:tc>
          <w:tcPr>
            <w:tcW w:w="1620" w:type="dxa"/>
          </w:tcPr>
          <w:p w14:paraId="148974D6" w14:textId="3A61E009" w:rsidR="00B71615" w:rsidRPr="00123E7F" w:rsidRDefault="00A34073" w:rsidP="00DC4C98">
            <w:pPr>
              <w:pStyle w:val="Tablebullet"/>
              <w:numPr>
                <w:ilvl w:val="0"/>
                <w:numId w:val="0"/>
              </w:numPr>
            </w:pPr>
            <w:r>
              <w:t>Delivered</w:t>
            </w:r>
          </w:p>
        </w:tc>
      </w:tr>
      <w:tr w:rsidR="00B71615" w:rsidRPr="00153D0F" w14:paraId="4633836A" w14:textId="7853E8D7" w:rsidTr="00E0122A">
        <w:tc>
          <w:tcPr>
            <w:tcW w:w="4248" w:type="dxa"/>
          </w:tcPr>
          <w:p w14:paraId="57A1F59D" w14:textId="7F14A32A" w:rsidR="00B71615" w:rsidRPr="00153D0F" w:rsidRDefault="00E44E85" w:rsidP="00682099">
            <w:pPr>
              <w:pStyle w:val="Tabletext"/>
            </w:pPr>
            <w:r>
              <w:t xml:space="preserve">6.6 </w:t>
            </w:r>
            <w:r w:rsidR="00B71615" w:rsidRPr="00153D0F">
              <w:t>Begin a programme of improvements to the Manchester office to ensure best use of the space availabl</w:t>
            </w:r>
            <w:r w:rsidR="00B71615">
              <w:t>e</w:t>
            </w:r>
          </w:p>
        </w:tc>
        <w:tc>
          <w:tcPr>
            <w:tcW w:w="1276" w:type="dxa"/>
          </w:tcPr>
          <w:p w14:paraId="0E481C1B" w14:textId="72EE6283" w:rsidR="00B71615" w:rsidRPr="00153D0F" w:rsidRDefault="00B71615" w:rsidP="00682099">
            <w:pPr>
              <w:pStyle w:val="Tabletext"/>
            </w:pPr>
            <w:r w:rsidRPr="00153D0F">
              <w:t>End of Q4</w:t>
            </w:r>
          </w:p>
        </w:tc>
        <w:tc>
          <w:tcPr>
            <w:tcW w:w="1273" w:type="dxa"/>
          </w:tcPr>
          <w:p w14:paraId="7B587AD2" w14:textId="5BDB7C9B" w:rsidR="00B71615" w:rsidRPr="00153D0F" w:rsidRDefault="00B71615" w:rsidP="00682099">
            <w:pPr>
              <w:pStyle w:val="Tabletext"/>
            </w:pPr>
            <w:r w:rsidRPr="00153D0F">
              <w:t>End of Q4</w:t>
            </w:r>
          </w:p>
        </w:tc>
        <w:tc>
          <w:tcPr>
            <w:tcW w:w="5531" w:type="dxa"/>
          </w:tcPr>
          <w:p w14:paraId="47020920" w14:textId="168B43BF" w:rsidR="00092126" w:rsidRDefault="00B71615" w:rsidP="00682099">
            <w:pPr>
              <w:pStyle w:val="Tablebullet"/>
            </w:pPr>
            <w:r w:rsidRPr="00972755">
              <w:t>The back reception refurbishment works</w:t>
            </w:r>
            <w:r w:rsidR="0013415E">
              <w:t>,</w:t>
            </w:r>
            <w:r w:rsidRPr="00972755">
              <w:t xml:space="preserve"> touch free automated security access door installation</w:t>
            </w:r>
            <w:r w:rsidR="0013415E">
              <w:t xml:space="preserve">, and </w:t>
            </w:r>
            <w:r w:rsidR="00F8345D">
              <w:t>wi-fi coverage</w:t>
            </w:r>
            <w:r w:rsidRPr="00972755">
              <w:t xml:space="preserve"> works are complete. </w:t>
            </w:r>
          </w:p>
          <w:p w14:paraId="60969429" w14:textId="4D32A588" w:rsidR="00B71615" w:rsidRPr="00972755" w:rsidRDefault="00092126" w:rsidP="00682099">
            <w:pPr>
              <w:pStyle w:val="Tablebullet"/>
            </w:pPr>
            <w:r>
              <w:t>A</w:t>
            </w:r>
            <w:r w:rsidR="00B71615" w:rsidRPr="00972755">
              <w:t xml:space="preserve"> </w:t>
            </w:r>
            <w:r w:rsidR="00B76196">
              <w:t>new</w:t>
            </w:r>
            <w:r w:rsidR="00B71615" w:rsidRPr="00972755">
              <w:t xml:space="preserve"> bicycle storage area </w:t>
            </w:r>
            <w:r w:rsidR="00B76196">
              <w:t xml:space="preserve">opens in </w:t>
            </w:r>
            <w:r w:rsidR="00B71615" w:rsidRPr="00972755">
              <w:t>May 2021.</w:t>
            </w:r>
          </w:p>
          <w:p w14:paraId="3371D33E" w14:textId="3EDD8F87" w:rsidR="00B71615" w:rsidRPr="00972755" w:rsidRDefault="00B71615" w:rsidP="00092126">
            <w:pPr>
              <w:pStyle w:val="Tablebullet"/>
            </w:pPr>
            <w:r w:rsidRPr="00972755">
              <w:t>Subject to Government</w:t>
            </w:r>
            <w:r w:rsidR="00092126">
              <w:t xml:space="preserve"> announcements</w:t>
            </w:r>
            <w:r w:rsidRPr="00972755">
              <w:t>, we will increase capacity in the Manchester office for staff who cannot work effectively from home</w:t>
            </w:r>
            <w:r w:rsidR="00092126">
              <w:t xml:space="preserve"> from 17 May</w:t>
            </w:r>
            <w:r w:rsidRPr="00972755">
              <w:t>.</w:t>
            </w:r>
            <w:r w:rsidR="00092126">
              <w:t xml:space="preserve"> </w:t>
            </w:r>
            <w:r w:rsidRPr="00972755">
              <w:t>Plans are to reopen the office fully with maximum occupancy from 1 July, subject to step 4 in the Government’s roadmap.</w:t>
            </w:r>
          </w:p>
          <w:p w14:paraId="0C6CD4FC" w14:textId="0B4F4D47" w:rsidR="00B71615" w:rsidRPr="006F57FF" w:rsidRDefault="00B71615" w:rsidP="00682099">
            <w:pPr>
              <w:pStyle w:val="Tablebullet"/>
            </w:pPr>
            <w:r w:rsidRPr="00972755">
              <w:t>Main office refurbishment project has been postponed for a year to learn lessons from the layout of Redman Place in London.</w:t>
            </w:r>
          </w:p>
        </w:tc>
        <w:tc>
          <w:tcPr>
            <w:tcW w:w="1620" w:type="dxa"/>
          </w:tcPr>
          <w:p w14:paraId="46187BAA" w14:textId="325BDF21" w:rsidR="00B71615" w:rsidRPr="00972755" w:rsidRDefault="00427901" w:rsidP="00A34073">
            <w:pPr>
              <w:pStyle w:val="Tablebullet"/>
              <w:numPr>
                <w:ilvl w:val="0"/>
                <w:numId w:val="0"/>
              </w:numPr>
            </w:pPr>
            <w:r>
              <w:t>Delivered</w:t>
            </w:r>
          </w:p>
        </w:tc>
      </w:tr>
    </w:tbl>
    <w:p w14:paraId="76E2EEC1" w14:textId="77777777" w:rsidR="004B104B" w:rsidRDefault="004B104B" w:rsidP="004B104B">
      <w:pPr>
        <w:pStyle w:val="Paragraph"/>
        <w:numPr>
          <w:ilvl w:val="0"/>
          <w:numId w:val="0"/>
        </w:numPr>
        <w:rPr>
          <w:rFonts w:cs="Arial"/>
          <w:b/>
          <w:bCs/>
          <w:color w:val="00506A"/>
          <w:kern w:val="32"/>
          <w:sz w:val="32"/>
          <w:szCs w:val="32"/>
          <w:lang w:eastAsia="en-US"/>
        </w:rPr>
        <w:sectPr w:rsidR="004B104B" w:rsidSect="003F112A">
          <w:footerReference w:type="default" r:id="rId10"/>
          <w:pgSz w:w="16838" w:h="11906" w:orient="landscape"/>
          <w:pgMar w:top="1440" w:right="1440" w:bottom="1440" w:left="1440" w:header="708" w:footer="708" w:gutter="0"/>
          <w:cols w:space="708"/>
          <w:docGrid w:linePitch="360"/>
        </w:sectPr>
      </w:pPr>
    </w:p>
    <w:p w14:paraId="5BF7E494" w14:textId="20ED745A" w:rsidR="004B104B" w:rsidRPr="00C44689" w:rsidRDefault="004B104B" w:rsidP="00D31B81">
      <w:pPr>
        <w:pStyle w:val="Heading1boardreport"/>
      </w:pPr>
      <w:r w:rsidRPr="00C44689">
        <w:lastRenderedPageBreak/>
        <w:t xml:space="preserve">Appendix </w:t>
      </w:r>
      <w:r>
        <w:t>2</w:t>
      </w:r>
      <w:r w:rsidRPr="00C44689">
        <w:t xml:space="preserve">: </w:t>
      </w:r>
      <w:r>
        <w:t>Actual versus planned</w:t>
      </w:r>
      <w:r w:rsidRPr="00C44689">
        <w:t xml:space="preserve"> programme outputs</w:t>
      </w:r>
      <w:r>
        <w:t xml:space="preserve"> from </w:t>
      </w:r>
      <w:r w:rsidRPr="00C44689">
        <w:t>April 2020 to</w:t>
      </w:r>
      <w:r>
        <w:t xml:space="preserve"> March 2021</w:t>
      </w:r>
    </w:p>
    <w:p w14:paraId="2C5A4C1C" w14:textId="77777777" w:rsidR="003E2E1F" w:rsidRDefault="004B104B" w:rsidP="004B104B">
      <w:pPr>
        <w:rPr>
          <w:rFonts w:ascii="Arial" w:hAnsi="Arial"/>
        </w:rPr>
      </w:pPr>
      <w:r w:rsidRPr="004B104B">
        <w:rPr>
          <w:rFonts w:ascii="Arial" w:hAnsi="Arial"/>
          <w:noProof/>
        </w:rPr>
        <w:drawing>
          <wp:inline distT="0" distB="0" distL="0" distR="0" wp14:anchorId="71B4D3B9" wp14:editId="2129A8D2">
            <wp:extent cx="5731510" cy="4509770"/>
            <wp:effectExtent l="0" t="0" r="2540" b="5080"/>
            <wp:docPr id="1" name="Chart 1" descr="Summary of the main programme outputs from April 2020 to March 2021. A majority of the programmes are on target or exceeded the target, with some delays due to the COVID-19 pandemic.">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81E0E2" w14:textId="77777777" w:rsidR="003E2E1F" w:rsidRDefault="003E2E1F" w:rsidP="004B104B">
      <w:pPr>
        <w:rPr>
          <w:rFonts w:ascii="Arial" w:hAnsi="Arial"/>
        </w:rPr>
      </w:pPr>
    </w:p>
    <w:p w14:paraId="1A9825D1" w14:textId="1F2689D1" w:rsidR="004B104B" w:rsidRPr="004B104B" w:rsidRDefault="004B104B" w:rsidP="004B104B">
      <w:pPr>
        <w:rPr>
          <w:rFonts w:ascii="Arial" w:hAnsi="Arial"/>
        </w:rPr>
      </w:pPr>
      <w:r w:rsidRPr="004B104B">
        <w:rPr>
          <w:rFonts w:ascii="Arial" w:hAnsi="Arial"/>
        </w:rPr>
        <w:t xml:space="preserve">Notes: </w:t>
      </w:r>
    </w:p>
    <w:p w14:paraId="59EF7BDF" w14:textId="77777777" w:rsidR="004B104B" w:rsidRPr="006D0286" w:rsidRDefault="004B104B" w:rsidP="004B104B">
      <w:pPr>
        <w:pStyle w:val="Bulletindent2last"/>
        <w:numPr>
          <w:ilvl w:val="0"/>
          <w:numId w:val="3"/>
        </w:numPr>
      </w:pPr>
      <w:r w:rsidRPr="005429BB">
        <w:t xml:space="preserve">HST refers to the highly specialised technologies programme (drugs for </w:t>
      </w:r>
      <w:r w:rsidRPr="006D0286">
        <w:t>very rare conditions)</w:t>
      </w:r>
    </w:p>
    <w:p w14:paraId="536FF5A6" w14:textId="77777777" w:rsidR="004B104B" w:rsidRPr="006D0286" w:rsidRDefault="004B104B" w:rsidP="004B104B">
      <w:pPr>
        <w:pStyle w:val="Bulletindent2last"/>
        <w:numPr>
          <w:ilvl w:val="0"/>
          <w:numId w:val="3"/>
        </w:numPr>
      </w:pPr>
      <w:r w:rsidRPr="005429BB">
        <w:lastRenderedPageBreak/>
        <w:t>MIBs (medtech innovation briefings) are reviews of new medical devices</w:t>
      </w:r>
    </w:p>
    <w:p w14:paraId="00D2B53B" w14:textId="77777777" w:rsidR="004B104B" w:rsidRDefault="004B104B" w:rsidP="004B104B">
      <w:pPr>
        <w:pStyle w:val="Bulletindent2last"/>
        <w:numPr>
          <w:ilvl w:val="0"/>
          <w:numId w:val="3"/>
        </w:numPr>
      </w:pPr>
      <w:r w:rsidRPr="005429BB">
        <w:t>Guid</w:t>
      </w:r>
      <w:r>
        <w:t>eline</w:t>
      </w:r>
      <w:r w:rsidRPr="005429BB">
        <w:t xml:space="preserve"> surveillance reviews provide the basis for decisions about whether to update current NICE guidance</w:t>
      </w:r>
    </w:p>
    <w:p w14:paraId="7168C91A" w14:textId="5EADE6C2" w:rsidR="004B104B" w:rsidRDefault="004B104B" w:rsidP="004B104B">
      <w:pPr>
        <w:pStyle w:val="Bulletindent2last"/>
        <w:numPr>
          <w:ilvl w:val="0"/>
          <w:numId w:val="3"/>
        </w:numPr>
      </w:pPr>
      <w:r w:rsidRPr="004B104B">
        <w:t>The variance is the difference between the target output for the reporting period, as set out in the business plan and the actual performance</w:t>
      </w:r>
      <w:r>
        <w:br w:type="page"/>
      </w:r>
    </w:p>
    <w:p w14:paraId="2220BEB3" w14:textId="32E40A38" w:rsidR="003F112A" w:rsidRPr="008B4B1E" w:rsidRDefault="003F112A" w:rsidP="00DA3913">
      <w:pPr>
        <w:pStyle w:val="Heading1boardreport"/>
      </w:pPr>
      <w:r w:rsidRPr="008B4B1E">
        <w:lastRenderedPageBreak/>
        <w:t xml:space="preserve">Appendix </w:t>
      </w:r>
      <w:r w:rsidR="00677A6E">
        <w:t>3</w:t>
      </w:r>
      <w:r w:rsidRPr="008B4B1E">
        <w:t>: Guidance development</w:t>
      </w:r>
      <w:r>
        <w:t xml:space="preserve"> - </w:t>
      </w:r>
      <w:r w:rsidRPr="008B4B1E">
        <w:t xml:space="preserve">variation against plan </w:t>
      </w:r>
      <w:r w:rsidR="00C374A7">
        <w:t xml:space="preserve">April 2020 to </w:t>
      </w:r>
      <w:r w:rsidR="0053219F">
        <w:t>March</w:t>
      </w:r>
      <w:r w:rsidR="00432064">
        <w:t xml:space="preserve"> 2021</w:t>
      </w:r>
      <w:r>
        <w:t xml:space="preserve"> </w:t>
      </w:r>
    </w:p>
    <w:p w14:paraId="3777E9BD" w14:textId="2E2CAFBE" w:rsidR="008F78FA" w:rsidRDefault="008F78FA" w:rsidP="00DA0736">
      <w:pPr>
        <w:pStyle w:val="NICEnormal"/>
      </w:pPr>
      <w:bookmarkStart w:id="4" w:name="_Hlk60912068"/>
      <w:r w:rsidRPr="00E74585">
        <w:t>The variation against the business plan is explained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dd the table title (caption) here"/>
        <w:tblDescription w:val="Add a brief description summarising the contents of the table"/>
      </w:tblPr>
      <w:tblGrid>
        <w:gridCol w:w="4770"/>
        <w:gridCol w:w="9178"/>
      </w:tblGrid>
      <w:tr w:rsidR="00375764" w14:paraId="45B82F03" w14:textId="77777777" w:rsidTr="004B104B">
        <w:tc>
          <w:tcPr>
            <w:tcW w:w="1710" w:type="pct"/>
          </w:tcPr>
          <w:p w14:paraId="0A8B8532" w14:textId="7BD5D937" w:rsidR="00375764" w:rsidRPr="00375764" w:rsidRDefault="00375764" w:rsidP="00375764">
            <w:pPr>
              <w:pStyle w:val="Tableheadingboardreport"/>
            </w:pPr>
            <w:bookmarkStart w:id="5" w:name="_Hlk61338068"/>
            <w:r>
              <w:t>COVID-19 rapid guidelines</w:t>
            </w:r>
          </w:p>
        </w:tc>
        <w:tc>
          <w:tcPr>
            <w:tcW w:w="3290" w:type="pct"/>
          </w:tcPr>
          <w:p w14:paraId="105B7A1E" w14:textId="41514E84" w:rsidR="00375764" w:rsidRDefault="0053219F" w:rsidP="00350EF5">
            <w:pPr>
              <w:pStyle w:val="Tabletext"/>
            </w:pPr>
            <w:r>
              <w:t>3 additional topics published</w:t>
            </w:r>
            <w:r w:rsidR="00EA0616">
              <w:t xml:space="preserve"> in 2020/21, which were not planned </w:t>
            </w:r>
            <w:r w:rsidR="00942CC7">
              <w:t>for this financial year</w:t>
            </w:r>
            <w:r>
              <w:t>:</w:t>
            </w:r>
          </w:p>
          <w:p w14:paraId="7022DA4C" w14:textId="1F6A1080" w:rsidR="0053219F" w:rsidRDefault="005A2899" w:rsidP="0053219F">
            <w:pPr>
              <w:pStyle w:val="Tablebullet"/>
            </w:pPr>
            <w:r>
              <w:t>R</w:t>
            </w:r>
            <w:r w:rsidRPr="005A2899">
              <w:t>educing the risk of venous thromboembolism in over 16s with COVID-19</w:t>
            </w:r>
            <w:r w:rsidR="00EA0616">
              <w:t>. Published in November 2020 (Q3 2020/21).</w:t>
            </w:r>
          </w:p>
          <w:p w14:paraId="055CCBC6" w14:textId="1670DD35" w:rsidR="005A2899" w:rsidRDefault="005A2899" w:rsidP="0053219F">
            <w:pPr>
              <w:pStyle w:val="Tablebullet"/>
            </w:pPr>
            <w:r>
              <w:t>M</w:t>
            </w:r>
            <w:r w:rsidRPr="005A2899">
              <w:t>anaging the long-term effects of COVID-19</w:t>
            </w:r>
            <w:r w:rsidR="00EA0616">
              <w:t>. Published in December 2020 (Q3 2020/21).</w:t>
            </w:r>
          </w:p>
          <w:p w14:paraId="7352ACB2" w14:textId="245C2E6C" w:rsidR="005A2899" w:rsidRPr="00375764" w:rsidRDefault="005A2899" w:rsidP="0053219F">
            <w:pPr>
              <w:pStyle w:val="Tablebullet"/>
            </w:pPr>
            <w:r w:rsidRPr="005A2899">
              <w:t>Managing COVID-19</w:t>
            </w:r>
            <w:r w:rsidR="00EA0616">
              <w:t>. Published in March 2021 (Q4 2020/21).</w:t>
            </w:r>
          </w:p>
        </w:tc>
      </w:tr>
      <w:tr w:rsidR="00375764" w14:paraId="21B04A67" w14:textId="77777777" w:rsidTr="004B104B">
        <w:tc>
          <w:tcPr>
            <w:tcW w:w="1710" w:type="pct"/>
          </w:tcPr>
          <w:p w14:paraId="45F053CA" w14:textId="1DB5F640" w:rsidR="00375764" w:rsidRPr="00375764" w:rsidRDefault="00375764" w:rsidP="00375764">
            <w:pPr>
              <w:pStyle w:val="Tableheadingboardreport"/>
            </w:pPr>
            <w:r w:rsidRPr="00375764">
              <w:t>Clinical guidelines</w:t>
            </w:r>
          </w:p>
        </w:tc>
        <w:tc>
          <w:tcPr>
            <w:tcW w:w="3290" w:type="pct"/>
          </w:tcPr>
          <w:p w14:paraId="1752DC2C" w14:textId="4C193DCB" w:rsidR="00375764" w:rsidRDefault="0053219F" w:rsidP="00350EF5">
            <w:pPr>
              <w:pStyle w:val="Tabletext"/>
            </w:pPr>
            <w:r>
              <w:t>5 additional topics published</w:t>
            </w:r>
            <w:r w:rsidR="00EA0616">
              <w:t xml:space="preserve"> in 2020/21, </w:t>
            </w:r>
            <w:r w:rsidR="00942CC7">
              <w:t>which were not planned for this financial</w:t>
            </w:r>
            <w:r w:rsidR="00177EBC">
              <w:t xml:space="preserve"> year</w:t>
            </w:r>
            <w:r>
              <w:t>:</w:t>
            </w:r>
          </w:p>
          <w:p w14:paraId="195883F8" w14:textId="0D7CA4FC" w:rsidR="0053219F" w:rsidRDefault="00EA0616" w:rsidP="0053219F">
            <w:pPr>
              <w:pStyle w:val="Tablebullet"/>
            </w:pPr>
            <w:r w:rsidRPr="00EA0616">
              <w:t>Acute coronary syndromes</w:t>
            </w:r>
            <w:r>
              <w:t>. Published in November 2020 (Q3 2020/21).</w:t>
            </w:r>
          </w:p>
          <w:p w14:paraId="57B77D2B" w14:textId="77777777" w:rsidR="00EA0616" w:rsidRDefault="00EA0616" w:rsidP="0053219F">
            <w:pPr>
              <w:pStyle w:val="Tablebullet"/>
            </w:pPr>
            <w:r w:rsidRPr="00EA0616">
              <w:t>Diabetes in children and young people</w:t>
            </w:r>
            <w:r>
              <w:t>. Published in December 2020 (Q3 2020/21).</w:t>
            </w:r>
          </w:p>
          <w:p w14:paraId="7C1A902A" w14:textId="77777777" w:rsidR="00EA0616" w:rsidRDefault="00EA0616" w:rsidP="0053219F">
            <w:pPr>
              <w:pStyle w:val="Tablebullet"/>
            </w:pPr>
            <w:r w:rsidRPr="00EA0616">
              <w:t>Diabetes in Pregnancy</w:t>
            </w:r>
            <w:r>
              <w:t>. Published in December 2020 (Q3 2020/21).</w:t>
            </w:r>
          </w:p>
          <w:p w14:paraId="25A7E2D7" w14:textId="77777777" w:rsidR="00EA0616" w:rsidRDefault="00EA0616" w:rsidP="00EA0616">
            <w:pPr>
              <w:pStyle w:val="Tablebullet"/>
            </w:pPr>
            <w:r w:rsidRPr="00EA0616">
              <w:t>Low back pain and sciatica in over 16s: assessment and management</w:t>
            </w:r>
            <w:r>
              <w:t>. Published in December 2020 (Q3 2020/21).</w:t>
            </w:r>
          </w:p>
          <w:p w14:paraId="26659275" w14:textId="20B43EDB" w:rsidR="00EA0616" w:rsidRPr="00375764" w:rsidRDefault="00EA0616" w:rsidP="00EA0616">
            <w:pPr>
              <w:pStyle w:val="Tablebullet"/>
            </w:pPr>
            <w:r w:rsidRPr="00EA0616">
              <w:t>Caesarean birth</w:t>
            </w:r>
            <w:r>
              <w:t>. Published in March 2021 (Q4 2020/21).</w:t>
            </w:r>
          </w:p>
        </w:tc>
      </w:tr>
      <w:tr w:rsidR="00931AE9" w14:paraId="59572763" w14:textId="77777777" w:rsidTr="004B104B">
        <w:tc>
          <w:tcPr>
            <w:tcW w:w="1710" w:type="pct"/>
          </w:tcPr>
          <w:p w14:paraId="0323183B" w14:textId="1BF8FDE6" w:rsidR="00931AE9" w:rsidRPr="00375764" w:rsidRDefault="00931AE9" w:rsidP="00931AE9">
            <w:pPr>
              <w:pStyle w:val="Tableheadingboardreport"/>
            </w:pPr>
            <w:r w:rsidRPr="00375764">
              <w:t>Interventional procedures</w:t>
            </w:r>
          </w:p>
        </w:tc>
        <w:tc>
          <w:tcPr>
            <w:tcW w:w="3290" w:type="pct"/>
          </w:tcPr>
          <w:p w14:paraId="101F423B" w14:textId="1685A853" w:rsidR="00931AE9" w:rsidRDefault="0053219F" w:rsidP="00931AE9">
            <w:pPr>
              <w:pStyle w:val="Tabletext"/>
            </w:pPr>
            <w:r>
              <w:t>3</w:t>
            </w:r>
            <w:r w:rsidR="00931AE9" w:rsidRPr="00375764">
              <w:t xml:space="preserve"> topic</w:t>
            </w:r>
            <w:r w:rsidR="00931AE9">
              <w:t>s</w:t>
            </w:r>
            <w:r w:rsidR="00931AE9" w:rsidRPr="00375764">
              <w:t xml:space="preserve"> delayed</w:t>
            </w:r>
            <w:r w:rsidR="00910545">
              <w:t>:</w:t>
            </w:r>
            <w:r w:rsidR="00931AE9" w:rsidRPr="00375764">
              <w:t xml:space="preserve"> </w:t>
            </w:r>
          </w:p>
          <w:p w14:paraId="265974A5" w14:textId="236946B8" w:rsidR="00931AE9" w:rsidRDefault="00992CDB" w:rsidP="00931AE9">
            <w:pPr>
              <w:pStyle w:val="Tablebullet"/>
            </w:pPr>
            <w:r w:rsidRPr="00992CDB">
              <w:t>Melphalan chemosaturation with percutaneous hepatic artery perfusion and hepatic vein isolation for primary or metastatic liver cancer</w:t>
            </w:r>
            <w:r w:rsidR="00931AE9">
              <w:t xml:space="preserve">: </w:t>
            </w:r>
            <w:r w:rsidR="00931AE9" w:rsidRPr="008205CF">
              <w:t>Delay due to second consultation taking place.</w:t>
            </w:r>
            <w:r w:rsidR="00931AE9">
              <w:t xml:space="preserve"> Anticipated gu</w:t>
            </w:r>
            <w:r w:rsidR="00931AE9" w:rsidRPr="00375764">
              <w:t xml:space="preserve">idance publication </w:t>
            </w:r>
            <w:r w:rsidR="00931AE9">
              <w:t>is April 2021 (Q1 2021/22)</w:t>
            </w:r>
            <w:r w:rsidR="00931AE9" w:rsidRPr="00375764">
              <w:t>.</w:t>
            </w:r>
          </w:p>
          <w:p w14:paraId="542D4BB8" w14:textId="49D52373" w:rsidR="00D3410D" w:rsidRDefault="00D3410D" w:rsidP="00931AE9">
            <w:pPr>
              <w:pStyle w:val="Tablebullet"/>
            </w:pPr>
            <w:r w:rsidRPr="00D3410D">
              <w:t>High tibial osteotomy with adjustable magnetic nail insertion for symptomatic medial knee osteoarthritis</w:t>
            </w:r>
            <w:r>
              <w:t xml:space="preserve">: </w:t>
            </w:r>
            <w:r w:rsidRPr="00D3410D">
              <w:t xml:space="preserve">Guidance most likely to be suspended following </w:t>
            </w:r>
            <w:r w:rsidR="00087911">
              <w:t xml:space="preserve">advice from </w:t>
            </w:r>
            <w:r w:rsidRPr="00D3410D">
              <w:t>MHRA.</w:t>
            </w:r>
            <w:r w:rsidR="00087911">
              <w:t xml:space="preserve"> Guidance publication date to be confirmed.</w:t>
            </w:r>
          </w:p>
          <w:p w14:paraId="3FDFDDC8" w14:textId="20973F7C" w:rsidR="00D3410D" w:rsidRDefault="00D3410D" w:rsidP="00992CDB">
            <w:pPr>
              <w:pStyle w:val="Tablebullet"/>
            </w:pPr>
            <w:r w:rsidRPr="00D3410D">
              <w:t>Repetitive short pulse transscleral cyclophotocoagulation for glaucoma</w:t>
            </w:r>
            <w:r>
              <w:t xml:space="preserve">: </w:t>
            </w:r>
            <w:r w:rsidR="001336A3">
              <w:t>Delay due to receipt of r</w:t>
            </w:r>
            <w:r>
              <w:t xml:space="preserve">esolution request. </w:t>
            </w:r>
            <w:r w:rsidR="00087911">
              <w:t>Guidance publication date to be confirmed.</w:t>
            </w:r>
          </w:p>
          <w:p w14:paraId="69C22D77" w14:textId="6DA746F2" w:rsidR="00910545" w:rsidRPr="00375764" w:rsidRDefault="00910545" w:rsidP="00440529">
            <w:pPr>
              <w:pStyle w:val="Tablebullet"/>
            </w:pPr>
            <w:r>
              <w:t>3</w:t>
            </w:r>
            <w:r w:rsidRPr="00E410E8">
              <w:t xml:space="preserve"> topics were not planned into the work programme because of </w:t>
            </w:r>
            <w:r>
              <w:t xml:space="preserve">committee </w:t>
            </w:r>
            <w:r w:rsidRPr="00E410E8">
              <w:t xml:space="preserve">capacity issues </w:t>
            </w:r>
            <w:r>
              <w:t xml:space="preserve">arising from the </w:t>
            </w:r>
            <w:r w:rsidRPr="00E410E8">
              <w:t>backlog of topics created when consult</w:t>
            </w:r>
            <w:r>
              <w:t xml:space="preserve">ation and publication was paused </w:t>
            </w:r>
            <w:r w:rsidRPr="00E410E8">
              <w:t xml:space="preserve">during the </w:t>
            </w:r>
            <w:r>
              <w:t>financial year.</w:t>
            </w:r>
          </w:p>
        </w:tc>
      </w:tr>
      <w:tr w:rsidR="00375764" w14:paraId="6A91B229" w14:textId="77777777" w:rsidTr="004B104B">
        <w:tc>
          <w:tcPr>
            <w:tcW w:w="1710" w:type="pct"/>
          </w:tcPr>
          <w:p w14:paraId="3803D195" w14:textId="3BC19D6E" w:rsidR="00375764" w:rsidRPr="00375764" w:rsidRDefault="00375764" w:rsidP="00375764">
            <w:pPr>
              <w:pStyle w:val="Tableheadingboardreport"/>
            </w:pPr>
            <w:r w:rsidRPr="00375764">
              <w:lastRenderedPageBreak/>
              <w:t>Medical technologies</w:t>
            </w:r>
          </w:p>
        </w:tc>
        <w:tc>
          <w:tcPr>
            <w:tcW w:w="3290" w:type="pct"/>
          </w:tcPr>
          <w:p w14:paraId="058C186D" w14:textId="60327074" w:rsidR="005F2E3B" w:rsidRPr="00375764" w:rsidRDefault="0053219F" w:rsidP="0053219F">
            <w:pPr>
              <w:pStyle w:val="Tabletext"/>
            </w:pPr>
            <w:r>
              <w:t>No variation against plan 2020/21.</w:t>
            </w:r>
          </w:p>
        </w:tc>
      </w:tr>
      <w:tr w:rsidR="004422A5" w14:paraId="59CFD0A9" w14:textId="77777777" w:rsidTr="004B104B">
        <w:tc>
          <w:tcPr>
            <w:tcW w:w="1710" w:type="pct"/>
          </w:tcPr>
          <w:p w14:paraId="0AB73C89" w14:textId="1F0C4735" w:rsidR="004422A5" w:rsidRPr="00375764" w:rsidRDefault="004422A5" w:rsidP="004422A5">
            <w:pPr>
              <w:pStyle w:val="Tableheadingboardreport"/>
            </w:pPr>
            <w:r w:rsidRPr="004422A5">
              <w:t>Public health</w:t>
            </w:r>
          </w:p>
        </w:tc>
        <w:tc>
          <w:tcPr>
            <w:tcW w:w="3290" w:type="pct"/>
          </w:tcPr>
          <w:p w14:paraId="329A0573" w14:textId="41788F27" w:rsidR="004422A5" w:rsidRPr="004422A5" w:rsidRDefault="004422A5" w:rsidP="004422A5">
            <w:pPr>
              <w:pStyle w:val="Tabletext"/>
            </w:pPr>
            <w:r>
              <w:t>No variation against plan 2020/21.</w:t>
            </w:r>
          </w:p>
        </w:tc>
      </w:tr>
      <w:tr w:rsidR="004422A5" w14:paraId="3089E9B1" w14:textId="77777777" w:rsidTr="004B104B">
        <w:tc>
          <w:tcPr>
            <w:tcW w:w="1710" w:type="pct"/>
          </w:tcPr>
          <w:p w14:paraId="394A6147" w14:textId="76D7277D" w:rsidR="004422A5" w:rsidRPr="00375764" w:rsidRDefault="004422A5" w:rsidP="004422A5">
            <w:pPr>
              <w:pStyle w:val="Tableheadingboardreport"/>
            </w:pPr>
            <w:r w:rsidRPr="004422A5">
              <w:t>Quality standards</w:t>
            </w:r>
          </w:p>
        </w:tc>
        <w:tc>
          <w:tcPr>
            <w:tcW w:w="3290" w:type="pct"/>
          </w:tcPr>
          <w:p w14:paraId="7582A892" w14:textId="3C69DE3F" w:rsidR="0035505D" w:rsidRPr="004422A5" w:rsidRDefault="0029355A" w:rsidP="0029355A">
            <w:pPr>
              <w:pStyle w:val="Tabletext"/>
            </w:pPr>
            <w:r>
              <w:t>No variation against plan 2020/21.</w:t>
            </w:r>
          </w:p>
        </w:tc>
      </w:tr>
      <w:tr w:rsidR="007A10D5" w14:paraId="0F8F1B92" w14:textId="77777777" w:rsidTr="004B104B">
        <w:tc>
          <w:tcPr>
            <w:tcW w:w="1710" w:type="pct"/>
          </w:tcPr>
          <w:p w14:paraId="2531BBD5" w14:textId="41507D42" w:rsidR="007A10D5" w:rsidRPr="004422A5" w:rsidRDefault="007A10D5" w:rsidP="007A10D5">
            <w:pPr>
              <w:pStyle w:val="Tableheadingboardreport"/>
            </w:pPr>
            <w:r>
              <w:t>Diagnostics</w:t>
            </w:r>
          </w:p>
        </w:tc>
        <w:tc>
          <w:tcPr>
            <w:tcW w:w="3290" w:type="pct"/>
          </w:tcPr>
          <w:p w14:paraId="7FFFB351" w14:textId="3342EAAB" w:rsidR="007A10D5" w:rsidRDefault="007A10D5" w:rsidP="007A10D5">
            <w:pPr>
              <w:pStyle w:val="Tablebullet"/>
              <w:numPr>
                <w:ilvl w:val="0"/>
                <w:numId w:val="0"/>
              </w:numPr>
              <w:ind w:left="360" w:hanging="360"/>
            </w:pPr>
            <w:r>
              <w:t>No variation against plan 2020/21.</w:t>
            </w:r>
          </w:p>
        </w:tc>
      </w:tr>
      <w:tr w:rsidR="007A10D5" w14:paraId="79C1B5C4" w14:textId="77777777" w:rsidTr="004B104B">
        <w:tc>
          <w:tcPr>
            <w:tcW w:w="1710" w:type="pct"/>
          </w:tcPr>
          <w:p w14:paraId="719BB3C5" w14:textId="51331B79" w:rsidR="007A10D5" w:rsidRPr="004422A5" w:rsidRDefault="007A10D5" w:rsidP="007A10D5">
            <w:pPr>
              <w:pStyle w:val="Tableheadingboardreport"/>
            </w:pPr>
            <w:r>
              <w:t>Technology appraisals and highly specialised technologies</w:t>
            </w:r>
          </w:p>
        </w:tc>
        <w:tc>
          <w:tcPr>
            <w:tcW w:w="3290" w:type="pct"/>
          </w:tcPr>
          <w:p w14:paraId="7D4C78C2" w14:textId="7EE8E379" w:rsidR="00440529" w:rsidRDefault="00440529" w:rsidP="0068422B">
            <w:pPr>
              <w:pStyle w:val="Tabletext"/>
            </w:pPr>
            <w:r>
              <w:t xml:space="preserve">5 </w:t>
            </w:r>
            <w:r w:rsidRPr="00440529">
              <w:t>topics that were scheduled to publish in 2020</w:t>
            </w:r>
            <w:r w:rsidR="0068422B">
              <w:t>/</w:t>
            </w:r>
            <w:r w:rsidRPr="00440529">
              <w:t>21 were unable to progress on their expected timelines</w:t>
            </w:r>
            <w:r>
              <w:t xml:space="preserve"> because of ongoing commercial discussions.</w:t>
            </w:r>
          </w:p>
        </w:tc>
      </w:tr>
      <w:tr w:rsidR="007A10D5" w14:paraId="644E95D0" w14:textId="77777777" w:rsidTr="004B104B">
        <w:tc>
          <w:tcPr>
            <w:tcW w:w="1710" w:type="pct"/>
          </w:tcPr>
          <w:p w14:paraId="301F28C5" w14:textId="4E4F7A4D" w:rsidR="007A10D5" w:rsidRPr="004422A5" w:rsidRDefault="007A10D5" w:rsidP="007A10D5">
            <w:pPr>
              <w:pStyle w:val="Tableheadingboardreport"/>
            </w:pPr>
            <w:r>
              <w:t>Social Care</w:t>
            </w:r>
          </w:p>
        </w:tc>
        <w:tc>
          <w:tcPr>
            <w:tcW w:w="3290" w:type="pct"/>
          </w:tcPr>
          <w:p w14:paraId="640988CD" w14:textId="38030709" w:rsidR="007A10D5" w:rsidRDefault="007A10D5" w:rsidP="007A10D5">
            <w:pPr>
              <w:pStyle w:val="Tabletext"/>
            </w:pPr>
            <w:r>
              <w:t>1 additional topic published</w:t>
            </w:r>
            <w:r w:rsidR="00992CDB">
              <w:t xml:space="preserve"> in 2020/21, </w:t>
            </w:r>
            <w:r w:rsidR="00942CC7">
              <w:t>which w</w:t>
            </w:r>
            <w:r w:rsidR="0055504A">
              <w:t>as</w:t>
            </w:r>
            <w:r w:rsidR="00942CC7">
              <w:t xml:space="preserve"> not planned for this financial year as the planned output was revised due to COVID-19</w:t>
            </w:r>
            <w:r>
              <w:t>:</w:t>
            </w:r>
          </w:p>
          <w:p w14:paraId="366BE575" w14:textId="7C13D6A1" w:rsidR="007A10D5" w:rsidRDefault="00992CDB" w:rsidP="007A10D5">
            <w:pPr>
              <w:pStyle w:val="Tablebullet"/>
            </w:pPr>
            <w:r w:rsidRPr="00992CDB">
              <w:t>Safeguarding adults in care homes</w:t>
            </w:r>
            <w:r>
              <w:t xml:space="preserve">. </w:t>
            </w:r>
            <w:r w:rsidRPr="00992CDB">
              <w:t>Committee recruitment paused in response to the COVID-19 pandemic.</w:t>
            </w:r>
            <w:r>
              <w:t xml:space="preserve"> Published in March 2021 (Q4 2020/21).</w:t>
            </w:r>
          </w:p>
        </w:tc>
      </w:tr>
      <w:tr w:rsidR="007A10D5" w14:paraId="7E22AC47" w14:textId="77777777" w:rsidTr="004B104B">
        <w:tc>
          <w:tcPr>
            <w:tcW w:w="1710" w:type="pct"/>
          </w:tcPr>
          <w:p w14:paraId="3A0CBD34" w14:textId="3BF07C75" w:rsidR="007A10D5" w:rsidRDefault="007A10D5" w:rsidP="007A10D5">
            <w:pPr>
              <w:pStyle w:val="Tableheadingboardreport"/>
            </w:pPr>
            <w:r w:rsidRPr="004422A5">
              <w:t>Managing common infections</w:t>
            </w:r>
          </w:p>
        </w:tc>
        <w:tc>
          <w:tcPr>
            <w:tcW w:w="3290" w:type="pct"/>
          </w:tcPr>
          <w:p w14:paraId="39B5EC8D" w14:textId="0026ED76" w:rsidR="007A10D5" w:rsidRDefault="007A10D5" w:rsidP="007A10D5">
            <w:pPr>
              <w:pStyle w:val="Tabletext"/>
            </w:pPr>
            <w:r>
              <w:t>3 additional topics published</w:t>
            </w:r>
            <w:r w:rsidR="00992CDB">
              <w:t xml:space="preserve"> in 2020/21, </w:t>
            </w:r>
            <w:r w:rsidR="00942CC7">
              <w:t>which were not planned for this financial year as the planned output was revised due to COVID-19</w:t>
            </w:r>
            <w:r>
              <w:t>:</w:t>
            </w:r>
          </w:p>
          <w:p w14:paraId="09DF918A" w14:textId="77777777" w:rsidR="007A10D5" w:rsidRDefault="00992CDB" w:rsidP="007A10D5">
            <w:pPr>
              <w:pStyle w:val="Tablebullet"/>
            </w:pPr>
            <w:r w:rsidRPr="00992CDB">
              <w:t>Animal and human bites: antimicrobial prescribing</w:t>
            </w:r>
            <w:r>
              <w:t>. Published in November 2020 (Q3 2020/21).</w:t>
            </w:r>
          </w:p>
          <w:p w14:paraId="44DC2535" w14:textId="77777777" w:rsidR="00992CDB" w:rsidRDefault="00992CDB" w:rsidP="007A10D5">
            <w:pPr>
              <w:pStyle w:val="Tablebullet"/>
            </w:pPr>
            <w:r w:rsidRPr="00992CDB">
              <w:t>Insect bites: antimicrobial prescribing</w:t>
            </w:r>
            <w:r>
              <w:t>. Published in September 2020 (Q2 2020/21).</w:t>
            </w:r>
          </w:p>
          <w:p w14:paraId="15C33DB3" w14:textId="57571DA9" w:rsidR="00992CDB" w:rsidRDefault="00992CDB" w:rsidP="007A10D5">
            <w:pPr>
              <w:pStyle w:val="Tablebullet"/>
            </w:pPr>
            <w:r w:rsidRPr="00992CDB">
              <w:t>Secondary bacterial infection of eczema and other common skin conditions: antimicrobial prescribing</w:t>
            </w:r>
            <w:r>
              <w:t>. Published in March 2021 (Q4 2020/21).</w:t>
            </w:r>
          </w:p>
        </w:tc>
      </w:tr>
      <w:bookmarkEnd w:id="4"/>
      <w:bookmarkEnd w:id="5"/>
    </w:tbl>
    <w:p w14:paraId="05530C67" w14:textId="77777777" w:rsidR="00185F3B" w:rsidRDefault="00185F3B" w:rsidP="00D31B81">
      <w:pPr>
        <w:pStyle w:val="Heading1boardreport"/>
        <w:outlineLvl w:val="9"/>
      </w:pPr>
    </w:p>
    <w:p w14:paraId="12813481" w14:textId="77777777" w:rsidR="00185F3B" w:rsidRDefault="00185F3B">
      <w:pPr>
        <w:rPr>
          <w:rFonts w:ascii="Arial" w:hAnsi="Arial" w:cs="Arial"/>
          <w:b/>
          <w:bCs/>
          <w:color w:val="00506A"/>
          <w:kern w:val="32"/>
          <w:sz w:val="32"/>
          <w:szCs w:val="32"/>
        </w:rPr>
      </w:pPr>
      <w:r>
        <w:br w:type="page"/>
      </w:r>
    </w:p>
    <w:p w14:paraId="07B06902" w14:textId="2191E40B" w:rsidR="003F112A" w:rsidRPr="008B4B1E" w:rsidRDefault="003F112A" w:rsidP="003F112A">
      <w:pPr>
        <w:pStyle w:val="Heading1boardreport"/>
      </w:pPr>
      <w:r w:rsidRPr="008B4B1E">
        <w:lastRenderedPageBreak/>
        <w:t xml:space="preserve">Appendix </w:t>
      </w:r>
      <w:r w:rsidR="00677A6E">
        <w:t>4</w:t>
      </w:r>
      <w:r w:rsidRPr="008B4B1E">
        <w:t xml:space="preserve">: Guidance </w:t>
      </w:r>
      <w:r>
        <w:t xml:space="preserve">and advice </w:t>
      </w:r>
      <w:r w:rsidRPr="008B4B1E">
        <w:t xml:space="preserve">published since the Board meeting in </w:t>
      </w:r>
      <w:r w:rsidR="005A2899">
        <w:t>March</w:t>
      </w:r>
      <w:r w:rsidR="00432064">
        <w:t xml:space="preserve"> 2021</w:t>
      </w:r>
      <w:r w:rsidR="00C374A7">
        <w:t xml:space="preserve"> </w:t>
      </w:r>
    </w:p>
    <w:p w14:paraId="0FD73024" w14:textId="78E0711F" w:rsidR="008F78FA" w:rsidRDefault="008F78FA" w:rsidP="00350EF5">
      <w:pPr>
        <w:pStyle w:val="NICEnormal"/>
      </w:pPr>
      <w:bookmarkStart w:id="6" w:name="_Hlk60905145"/>
      <w:r w:rsidRPr="00066135">
        <w:t xml:space="preserve">Since the </w:t>
      </w:r>
      <w:r>
        <w:t xml:space="preserve">report to the </w:t>
      </w:r>
      <w:r w:rsidRPr="00066135">
        <w:t xml:space="preserve">Board meeting in </w:t>
      </w:r>
      <w:r w:rsidR="005A2899">
        <w:t>March</w:t>
      </w:r>
      <w:r w:rsidR="00432064">
        <w:t xml:space="preserve"> 2021</w:t>
      </w:r>
      <w:r w:rsidRPr="00066135">
        <w:t xml:space="preserve"> the Institute has published the following guidance</w:t>
      </w:r>
      <w:r w:rsidR="00921C91">
        <w:t xml:space="preserve"> and advice products.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6094"/>
        <w:gridCol w:w="5825"/>
      </w:tblGrid>
      <w:tr w:rsidR="00E41D8C" w14:paraId="0C52AADF" w14:textId="77777777" w:rsidTr="00BF6908">
        <w:trPr>
          <w:tblHeader/>
        </w:trPr>
        <w:tc>
          <w:tcPr>
            <w:tcW w:w="0" w:type="auto"/>
          </w:tcPr>
          <w:p w14:paraId="356E2974" w14:textId="646D2A81" w:rsidR="00E41D8C" w:rsidRPr="00E41D8C" w:rsidRDefault="00921C91" w:rsidP="00E41D8C">
            <w:pPr>
              <w:pStyle w:val="Tableheadingboardreport"/>
            </w:pPr>
            <w:r>
              <w:t>Product</w:t>
            </w:r>
          </w:p>
        </w:tc>
        <w:tc>
          <w:tcPr>
            <w:tcW w:w="0" w:type="auto"/>
          </w:tcPr>
          <w:p w14:paraId="5E3918D0" w14:textId="3056DF8C" w:rsidR="00E41D8C" w:rsidRPr="00E41D8C" w:rsidRDefault="00E41D8C" w:rsidP="00E41D8C">
            <w:pPr>
              <w:pStyle w:val="Tableheadingboardreport"/>
            </w:pPr>
            <w:r>
              <w:t>Topic</w:t>
            </w:r>
          </w:p>
        </w:tc>
        <w:tc>
          <w:tcPr>
            <w:tcW w:w="0" w:type="auto"/>
          </w:tcPr>
          <w:p w14:paraId="4F79BCF4" w14:textId="76FE0308" w:rsidR="00E41D8C" w:rsidRPr="00E41D8C" w:rsidRDefault="00E41D8C" w:rsidP="00E41D8C">
            <w:pPr>
              <w:pStyle w:val="Tableheadingboardreport"/>
            </w:pPr>
            <w:r>
              <w:t>Recommendation</w:t>
            </w:r>
          </w:p>
        </w:tc>
      </w:tr>
      <w:tr w:rsidR="005A2899" w14:paraId="08C45FED" w14:textId="77777777" w:rsidTr="00BF6908">
        <w:tc>
          <w:tcPr>
            <w:tcW w:w="0" w:type="auto"/>
          </w:tcPr>
          <w:p w14:paraId="5A71D266" w14:textId="4BC15DDA" w:rsidR="005A2899" w:rsidRPr="00E41D8C" w:rsidRDefault="005A2899" w:rsidP="005A2899">
            <w:pPr>
              <w:pStyle w:val="Tabletext"/>
            </w:pPr>
            <w:r>
              <w:t>COVID-19 rapid guidelines</w:t>
            </w:r>
          </w:p>
        </w:tc>
        <w:tc>
          <w:tcPr>
            <w:tcW w:w="0" w:type="auto"/>
          </w:tcPr>
          <w:p w14:paraId="5BA18565" w14:textId="5F145271" w:rsidR="005A2899" w:rsidRPr="00E41D8C" w:rsidRDefault="005A2899" w:rsidP="005A2899">
            <w:pPr>
              <w:pStyle w:val="Tabletext"/>
            </w:pPr>
            <w:r w:rsidRPr="005A2899">
              <w:t>Managing COVID-19</w:t>
            </w:r>
          </w:p>
        </w:tc>
        <w:tc>
          <w:tcPr>
            <w:tcW w:w="0" w:type="auto"/>
          </w:tcPr>
          <w:p w14:paraId="5E875492" w14:textId="26004903" w:rsidR="005A2899" w:rsidRPr="00E41D8C" w:rsidRDefault="005A2899" w:rsidP="005A2899">
            <w:pPr>
              <w:pStyle w:val="Tabletext"/>
            </w:pPr>
            <w:r>
              <w:t>General guidance</w:t>
            </w:r>
          </w:p>
        </w:tc>
      </w:tr>
      <w:tr w:rsidR="00E41D8C" w14:paraId="6BB6BCD1" w14:textId="77777777" w:rsidTr="00BF6908">
        <w:tc>
          <w:tcPr>
            <w:tcW w:w="0" w:type="auto"/>
          </w:tcPr>
          <w:p w14:paraId="67C25B8A" w14:textId="26BC0530" w:rsidR="00E41D8C" w:rsidRPr="00E170CC" w:rsidRDefault="00E41D8C" w:rsidP="00E41D8C">
            <w:pPr>
              <w:pStyle w:val="Tabletext"/>
            </w:pPr>
            <w:r w:rsidRPr="00E41D8C">
              <w:t>Clinical guidelines</w:t>
            </w:r>
          </w:p>
        </w:tc>
        <w:tc>
          <w:tcPr>
            <w:tcW w:w="0" w:type="auto"/>
          </w:tcPr>
          <w:p w14:paraId="263E9B78" w14:textId="5178D3F3" w:rsidR="00E41D8C" w:rsidRPr="00E41D8C" w:rsidRDefault="005A2899" w:rsidP="00E41D8C">
            <w:pPr>
              <w:pStyle w:val="Tabletext"/>
            </w:pPr>
            <w:r w:rsidRPr="005A2899">
              <w:t>Caesarean birth</w:t>
            </w:r>
          </w:p>
        </w:tc>
        <w:tc>
          <w:tcPr>
            <w:tcW w:w="0" w:type="auto"/>
          </w:tcPr>
          <w:p w14:paraId="4ADF185E" w14:textId="4E2389E8" w:rsidR="00E41D8C" w:rsidRPr="00D6228B" w:rsidRDefault="005A2899" w:rsidP="00E41D8C">
            <w:pPr>
              <w:pStyle w:val="Tabletext"/>
            </w:pPr>
            <w:r w:rsidRPr="005A2899">
              <w:t>General guidance</w:t>
            </w:r>
          </w:p>
        </w:tc>
      </w:tr>
      <w:tr w:rsidR="006C6ACC" w14:paraId="45471E6A" w14:textId="77777777" w:rsidTr="00BF6908">
        <w:tc>
          <w:tcPr>
            <w:tcW w:w="0" w:type="auto"/>
          </w:tcPr>
          <w:p w14:paraId="7F5835A2" w14:textId="76CBB854" w:rsidR="006C6ACC" w:rsidRDefault="006C6ACC" w:rsidP="006C6ACC">
            <w:pPr>
              <w:pStyle w:val="Tabletext"/>
            </w:pPr>
            <w:r>
              <w:t>Managing common infections</w:t>
            </w:r>
          </w:p>
        </w:tc>
        <w:tc>
          <w:tcPr>
            <w:tcW w:w="0" w:type="auto"/>
          </w:tcPr>
          <w:p w14:paraId="760E862D" w14:textId="04813B4D" w:rsidR="006C6ACC" w:rsidRPr="00E41D8C" w:rsidRDefault="005A2899" w:rsidP="006C6ACC">
            <w:pPr>
              <w:pStyle w:val="Tabletext"/>
            </w:pPr>
            <w:r w:rsidRPr="005A2899">
              <w:t>Secondary bacterial infection of eczema and other common skin conditions: antimicrobial prescribing</w:t>
            </w:r>
          </w:p>
        </w:tc>
        <w:tc>
          <w:tcPr>
            <w:tcW w:w="0" w:type="auto"/>
          </w:tcPr>
          <w:p w14:paraId="263E7625" w14:textId="6C20C316" w:rsidR="006C6ACC" w:rsidRDefault="005A2899" w:rsidP="006C6ACC">
            <w:pPr>
              <w:pStyle w:val="Tabletext"/>
            </w:pPr>
            <w:r w:rsidRPr="005A2899">
              <w:t>General guidance</w:t>
            </w:r>
          </w:p>
        </w:tc>
      </w:tr>
      <w:tr w:rsidR="00CB76CB" w14:paraId="3F37E1B7" w14:textId="77777777" w:rsidTr="00BF6908">
        <w:tc>
          <w:tcPr>
            <w:tcW w:w="0" w:type="auto"/>
          </w:tcPr>
          <w:p w14:paraId="185AA9A1" w14:textId="7236C19D" w:rsidR="00CB76CB" w:rsidRDefault="00CB76CB" w:rsidP="00CB76CB">
            <w:pPr>
              <w:pStyle w:val="Tabletext"/>
            </w:pPr>
            <w:r>
              <w:t>Interventional procedures</w:t>
            </w:r>
          </w:p>
        </w:tc>
        <w:tc>
          <w:tcPr>
            <w:tcW w:w="0" w:type="auto"/>
          </w:tcPr>
          <w:p w14:paraId="692A55CF" w14:textId="603BC26E" w:rsidR="00CB76CB" w:rsidRDefault="005A2899" w:rsidP="00CB76CB">
            <w:pPr>
              <w:pStyle w:val="Tabletext"/>
            </w:pPr>
            <w:r w:rsidRPr="005A2899">
              <w:t>Cytoreduction surgery with hyperthermic intraoperative peritoneal chemotherapy for peritoneal carcinomatosis</w:t>
            </w:r>
          </w:p>
        </w:tc>
        <w:tc>
          <w:tcPr>
            <w:tcW w:w="0" w:type="auto"/>
            <w:tcBorders>
              <w:bottom w:val="single" w:sz="4" w:space="0" w:color="auto"/>
            </w:tcBorders>
          </w:tcPr>
          <w:p w14:paraId="182ADB9D" w14:textId="73820D82" w:rsidR="00CB76CB" w:rsidRDefault="00AB698E" w:rsidP="00CB76CB">
            <w:pPr>
              <w:pStyle w:val="Tabletext"/>
            </w:pPr>
            <w:r>
              <w:t>Special</w:t>
            </w:r>
          </w:p>
        </w:tc>
      </w:tr>
      <w:tr w:rsidR="00CB76CB" w14:paraId="50749C1D" w14:textId="77777777" w:rsidTr="00BF6908">
        <w:tc>
          <w:tcPr>
            <w:tcW w:w="0" w:type="auto"/>
          </w:tcPr>
          <w:p w14:paraId="14C48079" w14:textId="4133F5B8" w:rsidR="00CB76CB" w:rsidRDefault="00CB76CB" w:rsidP="00CB76CB">
            <w:pPr>
              <w:pStyle w:val="Tabletext"/>
            </w:pPr>
            <w:r>
              <w:t>Interventional procedures</w:t>
            </w:r>
          </w:p>
        </w:tc>
        <w:tc>
          <w:tcPr>
            <w:tcW w:w="0" w:type="auto"/>
          </w:tcPr>
          <w:p w14:paraId="51816731" w14:textId="2145BFC9" w:rsidR="00CB76CB" w:rsidRDefault="00AB698E" w:rsidP="00CB76CB">
            <w:pPr>
              <w:pStyle w:val="Tabletext"/>
            </w:pPr>
            <w:r w:rsidRPr="00AB698E">
              <w:t>Free-functioning gracilis transfer to restore upper limb function in brachial plexus injury</w:t>
            </w:r>
          </w:p>
        </w:tc>
        <w:tc>
          <w:tcPr>
            <w:tcW w:w="0" w:type="auto"/>
          </w:tcPr>
          <w:p w14:paraId="6C609658" w14:textId="7959AD29" w:rsidR="00CB76CB" w:rsidRDefault="00AB698E" w:rsidP="00CB76CB">
            <w:pPr>
              <w:pStyle w:val="Tabletext"/>
            </w:pPr>
            <w:r>
              <w:t>Standard</w:t>
            </w:r>
          </w:p>
        </w:tc>
      </w:tr>
      <w:tr w:rsidR="00AB698E" w14:paraId="3DD81AC8" w14:textId="77777777" w:rsidTr="00BF6908">
        <w:tc>
          <w:tcPr>
            <w:tcW w:w="0" w:type="auto"/>
          </w:tcPr>
          <w:p w14:paraId="25B4111E" w14:textId="48829CCA" w:rsidR="00AB698E" w:rsidRDefault="00AB698E" w:rsidP="00AB698E">
            <w:pPr>
              <w:pStyle w:val="Tabletext"/>
            </w:pPr>
            <w:r>
              <w:t>Interventional procedures</w:t>
            </w:r>
          </w:p>
        </w:tc>
        <w:tc>
          <w:tcPr>
            <w:tcW w:w="0" w:type="auto"/>
          </w:tcPr>
          <w:p w14:paraId="08017F39" w14:textId="230C9C65" w:rsidR="00AB698E" w:rsidRPr="006C6ACC" w:rsidRDefault="00AB698E" w:rsidP="00AB698E">
            <w:pPr>
              <w:pStyle w:val="Tabletext"/>
            </w:pPr>
            <w:r w:rsidRPr="00AB698E">
              <w:t>Extracorporeal whole liver perfusion for acute liver failure</w:t>
            </w:r>
          </w:p>
        </w:tc>
        <w:tc>
          <w:tcPr>
            <w:tcW w:w="0" w:type="auto"/>
          </w:tcPr>
          <w:p w14:paraId="3C7A6095" w14:textId="680C6EC1" w:rsidR="00AB698E" w:rsidRDefault="00AB698E" w:rsidP="00AB698E">
            <w:pPr>
              <w:pStyle w:val="Tabletext"/>
            </w:pPr>
            <w:r>
              <w:t>Research</w:t>
            </w:r>
          </w:p>
        </w:tc>
      </w:tr>
      <w:tr w:rsidR="00AB698E" w14:paraId="70743C78" w14:textId="77777777" w:rsidTr="00BF6908">
        <w:tc>
          <w:tcPr>
            <w:tcW w:w="0" w:type="auto"/>
          </w:tcPr>
          <w:p w14:paraId="73C65A43" w14:textId="55C5C91F" w:rsidR="00AB698E" w:rsidRDefault="00AB698E" w:rsidP="00AB698E">
            <w:pPr>
              <w:pStyle w:val="Tabletext"/>
            </w:pPr>
            <w:r>
              <w:t>Interventional procedures</w:t>
            </w:r>
          </w:p>
        </w:tc>
        <w:tc>
          <w:tcPr>
            <w:tcW w:w="0" w:type="auto"/>
          </w:tcPr>
          <w:p w14:paraId="1B81B49A" w14:textId="41717FF3" w:rsidR="00AB698E" w:rsidRPr="006C6ACC" w:rsidRDefault="00AB698E" w:rsidP="00AB698E">
            <w:pPr>
              <w:pStyle w:val="Tabletext"/>
            </w:pPr>
            <w:r w:rsidRPr="00AB698E">
              <w:t>Transcervical ultrasound-guided radiofrequency ablation for symptomatic uterine fibroids</w:t>
            </w:r>
          </w:p>
        </w:tc>
        <w:tc>
          <w:tcPr>
            <w:tcW w:w="0" w:type="auto"/>
          </w:tcPr>
          <w:p w14:paraId="59FA3FF3" w14:textId="2FFB3902" w:rsidR="00AB698E" w:rsidRDefault="00AB698E" w:rsidP="00AB698E">
            <w:pPr>
              <w:pStyle w:val="Tabletext"/>
            </w:pPr>
            <w:r>
              <w:t>Special</w:t>
            </w:r>
          </w:p>
        </w:tc>
      </w:tr>
      <w:tr w:rsidR="00BD1B19" w14:paraId="31267A7F" w14:textId="77777777" w:rsidTr="00BF6908">
        <w:tc>
          <w:tcPr>
            <w:tcW w:w="0" w:type="auto"/>
          </w:tcPr>
          <w:p w14:paraId="1E571A51" w14:textId="1C824001" w:rsidR="00BD1B19" w:rsidRDefault="00BD1B19" w:rsidP="00BD1B19">
            <w:pPr>
              <w:pStyle w:val="Tabletext"/>
            </w:pPr>
            <w:bookmarkStart w:id="7" w:name="_Hlk65236053"/>
            <w:r w:rsidRPr="00AA0081">
              <w:t>Medical technologies</w:t>
            </w:r>
          </w:p>
        </w:tc>
        <w:tc>
          <w:tcPr>
            <w:tcW w:w="0" w:type="auto"/>
          </w:tcPr>
          <w:p w14:paraId="0E99454F" w14:textId="7789EEE7" w:rsidR="00BD1B19" w:rsidRPr="006C6ACC" w:rsidRDefault="00AB698E" w:rsidP="00BD1B19">
            <w:pPr>
              <w:pStyle w:val="Tabletext"/>
            </w:pPr>
            <w:r w:rsidRPr="00AB698E">
              <w:t>Alpha-Stim AID for anxiety disorders</w:t>
            </w:r>
          </w:p>
        </w:tc>
        <w:tc>
          <w:tcPr>
            <w:tcW w:w="0" w:type="auto"/>
            <w:tcBorders>
              <w:top w:val="single" w:sz="4" w:space="0" w:color="auto"/>
              <w:left w:val="nil"/>
              <w:bottom w:val="single" w:sz="4" w:space="0" w:color="auto"/>
              <w:right w:val="single" w:sz="4" w:space="0" w:color="auto"/>
            </w:tcBorders>
          </w:tcPr>
          <w:p w14:paraId="29049DCD" w14:textId="1BDD1D15" w:rsidR="00BD1B19" w:rsidRDefault="00BD1B19" w:rsidP="00BD1B19">
            <w:pPr>
              <w:pStyle w:val="Tabletext"/>
            </w:pPr>
            <w:r>
              <w:t>Research recommendation</w:t>
            </w:r>
          </w:p>
        </w:tc>
      </w:tr>
      <w:tr w:rsidR="00BD1B19" w14:paraId="5736BEA6" w14:textId="77777777" w:rsidTr="00BF6908">
        <w:tc>
          <w:tcPr>
            <w:tcW w:w="0" w:type="auto"/>
          </w:tcPr>
          <w:p w14:paraId="0425CF65" w14:textId="4BDE26BA" w:rsidR="00BD1B19" w:rsidRDefault="00BD1B19" w:rsidP="00BD1B19">
            <w:pPr>
              <w:pStyle w:val="Tabletext"/>
            </w:pPr>
            <w:r w:rsidRPr="00AA0081">
              <w:t>Medical technologies</w:t>
            </w:r>
          </w:p>
        </w:tc>
        <w:tc>
          <w:tcPr>
            <w:tcW w:w="0" w:type="auto"/>
          </w:tcPr>
          <w:p w14:paraId="3992050C" w14:textId="5B0473BC" w:rsidR="00BD1B19" w:rsidRPr="006C6ACC" w:rsidRDefault="00AB698E" w:rsidP="00BD1B19">
            <w:pPr>
              <w:pStyle w:val="Tabletext"/>
            </w:pPr>
            <w:r w:rsidRPr="00AB698E">
              <w:t>Danis stent for acute oesophageal variceal bleeding</w:t>
            </w:r>
          </w:p>
        </w:tc>
        <w:tc>
          <w:tcPr>
            <w:tcW w:w="0" w:type="auto"/>
            <w:tcBorders>
              <w:top w:val="single" w:sz="4" w:space="0" w:color="auto"/>
              <w:left w:val="nil"/>
              <w:bottom w:val="single" w:sz="4" w:space="0" w:color="auto"/>
              <w:right w:val="single" w:sz="4" w:space="0" w:color="auto"/>
            </w:tcBorders>
          </w:tcPr>
          <w:p w14:paraId="31D86F68" w14:textId="0B99971F" w:rsidR="00BD1B19" w:rsidRDefault="00AB698E" w:rsidP="00BD1B19">
            <w:pPr>
              <w:pStyle w:val="Tabletext"/>
            </w:pPr>
            <w:r w:rsidRPr="00AB698E">
              <w:t>Case for adoption is fully supported</w:t>
            </w:r>
          </w:p>
        </w:tc>
      </w:tr>
      <w:bookmarkEnd w:id="7"/>
      <w:tr w:rsidR="00BD1B19" w14:paraId="3AA235FA" w14:textId="77777777" w:rsidTr="00BF6908">
        <w:tc>
          <w:tcPr>
            <w:tcW w:w="0" w:type="auto"/>
          </w:tcPr>
          <w:p w14:paraId="2C406B18" w14:textId="6247789E" w:rsidR="00BD1B19" w:rsidRDefault="00BD1B19" w:rsidP="00BD1B19">
            <w:pPr>
              <w:pStyle w:val="Tabletext"/>
            </w:pPr>
            <w:r>
              <w:t>Diagnostics</w:t>
            </w:r>
          </w:p>
        </w:tc>
        <w:tc>
          <w:tcPr>
            <w:tcW w:w="0" w:type="auto"/>
          </w:tcPr>
          <w:p w14:paraId="3E594A24" w14:textId="74211071" w:rsidR="00BD1B19" w:rsidRPr="00CB76CB" w:rsidRDefault="00AB698E" w:rsidP="00BD1B19">
            <w:pPr>
              <w:pStyle w:val="Tabletext"/>
            </w:pPr>
            <w:r w:rsidRPr="00AB698E">
              <w:t>QAngio XA 3D QFR and CAAS vFFR imaging software for assessing coronary stenosis during invasive coronary angiography</w:t>
            </w:r>
          </w:p>
        </w:tc>
        <w:tc>
          <w:tcPr>
            <w:tcW w:w="0" w:type="auto"/>
          </w:tcPr>
          <w:p w14:paraId="027E196E" w14:textId="4B081B0E" w:rsidR="00BD1B19" w:rsidRPr="00CB76CB" w:rsidRDefault="00AB698E" w:rsidP="00BD1B19">
            <w:pPr>
              <w:pStyle w:val="Tabletext"/>
            </w:pPr>
            <w:r w:rsidRPr="00AB698E">
              <w:t>The guidance does not recommend either of the technologies included in the assessment for adoption. The guidance recommends further research.</w:t>
            </w:r>
          </w:p>
        </w:tc>
      </w:tr>
      <w:tr w:rsidR="00BD1B19" w14:paraId="3BAC8894" w14:textId="77777777" w:rsidTr="00BF6908">
        <w:tc>
          <w:tcPr>
            <w:tcW w:w="0" w:type="auto"/>
          </w:tcPr>
          <w:p w14:paraId="21AE155E" w14:textId="0F16AB29" w:rsidR="00BD1B19" w:rsidRDefault="00BD1B19" w:rsidP="00BD1B19">
            <w:pPr>
              <w:pStyle w:val="Tabletext"/>
            </w:pPr>
            <w:r>
              <w:t>Quality standards</w:t>
            </w:r>
          </w:p>
        </w:tc>
        <w:tc>
          <w:tcPr>
            <w:tcW w:w="0" w:type="auto"/>
          </w:tcPr>
          <w:p w14:paraId="2E766934" w14:textId="0A2D09A4" w:rsidR="00BD1B19" w:rsidRPr="00CB76CB" w:rsidRDefault="00AB698E" w:rsidP="00BD1B19">
            <w:pPr>
              <w:pStyle w:val="Tabletext"/>
            </w:pPr>
            <w:r w:rsidRPr="00AB698E">
              <w:t>Supporting adult carers</w:t>
            </w:r>
          </w:p>
        </w:tc>
        <w:tc>
          <w:tcPr>
            <w:tcW w:w="0" w:type="auto"/>
          </w:tcPr>
          <w:p w14:paraId="0FAEB042" w14:textId="72A9FD57" w:rsidR="00BD1B19" w:rsidRPr="00CB76CB" w:rsidRDefault="00BD1B19" w:rsidP="00BD1B19">
            <w:pPr>
              <w:pStyle w:val="Tabletext"/>
            </w:pPr>
            <w:r w:rsidRPr="00CB76CB">
              <w:t>Quality improvement</w:t>
            </w:r>
          </w:p>
        </w:tc>
      </w:tr>
      <w:tr w:rsidR="00BD1B19" w14:paraId="12D197A4" w14:textId="77777777" w:rsidTr="00BF6908">
        <w:tc>
          <w:tcPr>
            <w:tcW w:w="0" w:type="auto"/>
          </w:tcPr>
          <w:p w14:paraId="35F3DF26" w14:textId="37671D31" w:rsidR="00BD1B19" w:rsidRDefault="00BD1B19" w:rsidP="00BD1B19">
            <w:pPr>
              <w:pStyle w:val="Tabletext"/>
            </w:pPr>
            <w:r>
              <w:t>Technology appraisals</w:t>
            </w:r>
          </w:p>
        </w:tc>
        <w:tc>
          <w:tcPr>
            <w:tcW w:w="0" w:type="auto"/>
          </w:tcPr>
          <w:p w14:paraId="67C484E7" w14:textId="402B85FB" w:rsidR="00BD1B19" w:rsidRPr="00CB76CB" w:rsidRDefault="000B5AF5" w:rsidP="00BD1B19">
            <w:pPr>
              <w:pStyle w:val="Tabletext"/>
            </w:pPr>
            <w:r w:rsidRPr="000B5AF5">
              <w:t>Baricitinib for treating moderate to severe atopic dermatitis</w:t>
            </w:r>
          </w:p>
        </w:tc>
        <w:tc>
          <w:tcPr>
            <w:tcW w:w="0" w:type="auto"/>
          </w:tcPr>
          <w:p w14:paraId="792B726C" w14:textId="225A7AC4" w:rsidR="00BD1B19" w:rsidRPr="00CB76CB" w:rsidRDefault="000B5AF5" w:rsidP="00BD1B19">
            <w:pPr>
              <w:pStyle w:val="Tabletext"/>
            </w:pPr>
            <w:r>
              <w:t>Optimised</w:t>
            </w:r>
          </w:p>
        </w:tc>
      </w:tr>
      <w:tr w:rsidR="00BD1B19" w14:paraId="5FBC8D71" w14:textId="77777777" w:rsidTr="00BF6908">
        <w:tc>
          <w:tcPr>
            <w:tcW w:w="0" w:type="auto"/>
          </w:tcPr>
          <w:p w14:paraId="2C89FBE9" w14:textId="0A32CBBE" w:rsidR="00BD1B19" w:rsidRPr="00CB76CB" w:rsidRDefault="00BD1B19" w:rsidP="00BD1B19">
            <w:pPr>
              <w:pStyle w:val="Tabletext"/>
            </w:pPr>
            <w:r w:rsidRPr="00CB76CB">
              <w:lastRenderedPageBreak/>
              <w:t>Technology appraisals</w:t>
            </w:r>
          </w:p>
        </w:tc>
        <w:tc>
          <w:tcPr>
            <w:tcW w:w="0" w:type="auto"/>
          </w:tcPr>
          <w:p w14:paraId="4491E027" w14:textId="1066EDF9" w:rsidR="00BD1B19" w:rsidRPr="00CB76CB" w:rsidRDefault="000B5AF5" w:rsidP="00BD1B19">
            <w:pPr>
              <w:pStyle w:val="Tabletext"/>
            </w:pPr>
            <w:r w:rsidRPr="000B5AF5">
              <w:t>Lenalidomide maintenance treatment after an autologous stem cell transplant for newly diagnosed multiple myeloma</w:t>
            </w:r>
          </w:p>
        </w:tc>
        <w:tc>
          <w:tcPr>
            <w:tcW w:w="0" w:type="auto"/>
          </w:tcPr>
          <w:p w14:paraId="2B510F16" w14:textId="58793A0C" w:rsidR="00BD1B19" w:rsidRPr="00CB76CB" w:rsidRDefault="000B5AF5" w:rsidP="00BD1B19">
            <w:pPr>
              <w:pStyle w:val="Tabletext"/>
            </w:pPr>
            <w:r>
              <w:t>Optimised</w:t>
            </w:r>
          </w:p>
        </w:tc>
      </w:tr>
      <w:tr w:rsidR="00BD1B19" w14:paraId="5DC3C5A4" w14:textId="77777777" w:rsidTr="00BF6908">
        <w:tc>
          <w:tcPr>
            <w:tcW w:w="0" w:type="auto"/>
          </w:tcPr>
          <w:p w14:paraId="386AE781" w14:textId="59BEE0A2" w:rsidR="00BD1B19" w:rsidRPr="00CB76CB" w:rsidRDefault="00BD1B19" w:rsidP="00BD1B19">
            <w:pPr>
              <w:pStyle w:val="Tabletext"/>
            </w:pPr>
            <w:r w:rsidRPr="00CB76CB">
              <w:t>Technology appraisals</w:t>
            </w:r>
          </w:p>
        </w:tc>
        <w:tc>
          <w:tcPr>
            <w:tcW w:w="0" w:type="auto"/>
          </w:tcPr>
          <w:p w14:paraId="7840246A" w14:textId="1C34AD93" w:rsidR="00BD1B19" w:rsidRPr="00CB76CB" w:rsidRDefault="000B5AF5" w:rsidP="00BD1B19">
            <w:pPr>
              <w:pStyle w:val="Tabletext"/>
            </w:pPr>
            <w:r w:rsidRPr="000B5AF5">
              <w:t>Pembrolizumab with pemetrexed and platinum chemotherapy for untreated, metastatic, non-squamous non-small-cell lung cancer</w:t>
            </w:r>
          </w:p>
        </w:tc>
        <w:tc>
          <w:tcPr>
            <w:tcW w:w="0" w:type="auto"/>
          </w:tcPr>
          <w:p w14:paraId="4FC1ED91" w14:textId="756EA741" w:rsidR="00BD1B19" w:rsidRPr="00CB76CB" w:rsidRDefault="000B5AF5" w:rsidP="00BD1B19">
            <w:pPr>
              <w:pStyle w:val="Tabletext"/>
            </w:pPr>
            <w:r>
              <w:t>Optimised</w:t>
            </w:r>
          </w:p>
        </w:tc>
      </w:tr>
      <w:tr w:rsidR="00BD1B19" w14:paraId="3D40A679" w14:textId="77777777" w:rsidTr="00BF6908">
        <w:tc>
          <w:tcPr>
            <w:tcW w:w="0" w:type="auto"/>
          </w:tcPr>
          <w:p w14:paraId="10B3F849" w14:textId="0ABC91ED" w:rsidR="00BD1B19" w:rsidRPr="00CB76CB" w:rsidRDefault="00BD1B19" w:rsidP="00BD1B19">
            <w:pPr>
              <w:pStyle w:val="Tabletext"/>
            </w:pPr>
            <w:r w:rsidRPr="00CB76CB">
              <w:t>Technology appraisals</w:t>
            </w:r>
          </w:p>
        </w:tc>
        <w:tc>
          <w:tcPr>
            <w:tcW w:w="0" w:type="auto"/>
          </w:tcPr>
          <w:p w14:paraId="6348B014" w14:textId="094E0056" w:rsidR="00BD1B19" w:rsidRPr="00CB76CB" w:rsidRDefault="000B5AF5" w:rsidP="00BD1B19">
            <w:pPr>
              <w:pStyle w:val="Tabletext"/>
            </w:pPr>
            <w:r w:rsidRPr="000B5AF5">
              <w:t>Erenumab for preventing migraine</w:t>
            </w:r>
          </w:p>
        </w:tc>
        <w:tc>
          <w:tcPr>
            <w:tcW w:w="0" w:type="auto"/>
          </w:tcPr>
          <w:p w14:paraId="7697EBDE" w14:textId="00E5CE09" w:rsidR="00BD1B19" w:rsidRPr="00CB76CB" w:rsidRDefault="000B5AF5" w:rsidP="00BD1B19">
            <w:pPr>
              <w:pStyle w:val="Tabletext"/>
            </w:pPr>
            <w:r>
              <w:t>Optimised</w:t>
            </w:r>
          </w:p>
        </w:tc>
      </w:tr>
      <w:tr w:rsidR="00BD1B19" w14:paraId="70609783" w14:textId="77777777" w:rsidTr="00BF6908">
        <w:tc>
          <w:tcPr>
            <w:tcW w:w="0" w:type="auto"/>
          </w:tcPr>
          <w:p w14:paraId="6AE29BBC" w14:textId="7F36FA39" w:rsidR="00BD1B19" w:rsidRPr="00CB76CB" w:rsidRDefault="00BD1B19" w:rsidP="00BD1B19">
            <w:pPr>
              <w:pStyle w:val="Tabletext"/>
            </w:pPr>
            <w:r w:rsidRPr="00CB76CB">
              <w:t>Technology appraisals</w:t>
            </w:r>
          </w:p>
        </w:tc>
        <w:tc>
          <w:tcPr>
            <w:tcW w:w="0" w:type="auto"/>
          </w:tcPr>
          <w:p w14:paraId="127D6613" w14:textId="347DF5BF" w:rsidR="00BD1B19" w:rsidRPr="00CB76CB" w:rsidRDefault="000B5AF5" w:rsidP="00BD1B19">
            <w:pPr>
              <w:pStyle w:val="Tabletext"/>
            </w:pPr>
            <w:r w:rsidRPr="000B5AF5">
              <w:t>Nivolumab for adjuvant treatment of completely resected melanoma with lymph node involvement or metastatic disease</w:t>
            </w:r>
          </w:p>
        </w:tc>
        <w:tc>
          <w:tcPr>
            <w:tcW w:w="0" w:type="auto"/>
          </w:tcPr>
          <w:p w14:paraId="6FC1943B" w14:textId="77764534" w:rsidR="00BD1B19" w:rsidRPr="00CB76CB" w:rsidRDefault="000B5AF5" w:rsidP="00BD1B19">
            <w:pPr>
              <w:pStyle w:val="Tabletext"/>
            </w:pPr>
            <w:r>
              <w:t>Recommended</w:t>
            </w:r>
          </w:p>
        </w:tc>
      </w:tr>
      <w:tr w:rsidR="00BD1B19" w14:paraId="5E81A42F" w14:textId="77777777" w:rsidTr="00BF6908">
        <w:tc>
          <w:tcPr>
            <w:tcW w:w="0" w:type="auto"/>
          </w:tcPr>
          <w:p w14:paraId="4D6A185E" w14:textId="7B2A67B2" w:rsidR="00BD1B19" w:rsidRPr="00CB76CB" w:rsidRDefault="00BD1B19" w:rsidP="00BD1B19">
            <w:pPr>
              <w:pStyle w:val="Tabletext"/>
            </w:pPr>
            <w:r w:rsidRPr="00CB76CB">
              <w:t>Technology appraisals</w:t>
            </w:r>
          </w:p>
        </w:tc>
        <w:tc>
          <w:tcPr>
            <w:tcW w:w="0" w:type="auto"/>
          </w:tcPr>
          <w:p w14:paraId="7A35BAB7" w14:textId="0B8537F1" w:rsidR="00BD1B19" w:rsidRPr="00CB76CB" w:rsidRDefault="000B5AF5" w:rsidP="00BD1B19">
            <w:pPr>
              <w:pStyle w:val="Tabletext"/>
            </w:pPr>
            <w:r w:rsidRPr="000B5AF5">
              <w:t>Selective internal radiation therapies for treating hepatocellular carcinoma</w:t>
            </w:r>
          </w:p>
        </w:tc>
        <w:tc>
          <w:tcPr>
            <w:tcW w:w="0" w:type="auto"/>
          </w:tcPr>
          <w:p w14:paraId="7A49063F" w14:textId="1C6937D1" w:rsidR="00BD1B19" w:rsidRPr="00CB76CB" w:rsidRDefault="001A718D" w:rsidP="00BD1B19">
            <w:pPr>
              <w:pStyle w:val="Tabletext"/>
            </w:pPr>
            <w:r>
              <w:t>Optimised</w:t>
            </w:r>
          </w:p>
        </w:tc>
      </w:tr>
      <w:tr w:rsidR="00BD1B19" w14:paraId="40690238" w14:textId="77777777" w:rsidTr="00BF6908">
        <w:tc>
          <w:tcPr>
            <w:tcW w:w="0" w:type="auto"/>
          </w:tcPr>
          <w:p w14:paraId="4B8EF6C5" w14:textId="24D915C5" w:rsidR="00BD1B19" w:rsidRPr="00CB76CB" w:rsidRDefault="00BD1B19" w:rsidP="00BD1B19">
            <w:pPr>
              <w:pStyle w:val="Tabletext"/>
            </w:pPr>
            <w:r w:rsidRPr="00CB76CB">
              <w:t>Technology appraisals</w:t>
            </w:r>
          </w:p>
        </w:tc>
        <w:tc>
          <w:tcPr>
            <w:tcW w:w="0" w:type="auto"/>
          </w:tcPr>
          <w:p w14:paraId="469DBE4E" w14:textId="63CEFF71" w:rsidR="00BD1B19" w:rsidRPr="00CB76CB" w:rsidRDefault="000B5AF5" w:rsidP="00BD1B19">
            <w:pPr>
              <w:pStyle w:val="Tabletext"/>
            </w:pPr>
            <w:r w:rsidRPr="000B5AF5">
              <w:t>Ribociclib with fulvestrant for treating hormone receptor-positive, HER2-negative advanced breast cancer after endocrine therapy</w:t>
            </w:r>
          </w:p>
        </w:tc>
        <w:tc>
          <w:tcPr>
            <w:tcW w:w="0" w:type="auto"/>
          </w:tcPr>
          <w:p w14:paraId="2C9A8EE7" w14:textId="4DB476C7" w:rsidR="00BD1B19" w:rsidRPr="00CB76CB" w:rsidRDefault="001A718D" w:rsidP="00BD1B19">
            <w:pPr>
              <w:pStyle w:val="Tabletext"/>
            </w:pPr>
            <w:r>
              <w:t>Optimised</w:t>
            </w:r>
          </w:p>
        </w:tc>
      </w:tr>
      <w:tr w:rsidR="00BD1B19" w14:paraId="595F2629" w14:textId="77777777" w:rsidTr="00BF6908">
        <w:tc>
          <w:tcPr>
            <w:tcW w:w="0" w:type="auto"/>
          </w:tcPr>
          <w:p w14:paraId="47200941" w14:textId="3724F504" w:rsidR="00BD1B19" w:rsidRPr="00CB76CB" w:rsidRDefault="00BD1B19" w:rsidP="00BD1B19">
            <w:pPr>
              <w:pStyle w:val="Tabletext"/>
            </w:pPr>
            <w:r w:rsidRPr="00CB76CB">
              <w:t>Technology appraisals</w:t>
            </w:r>
          </w:p>
        </w:tc>
        <w:tc>
          <w:tcPr>
            <w:tcW w:w="0" w:type="auto"/>
          </w:tcPr>
          <w:p w14:paraId="330FEA04" w14:textId="0EEFEB4E" w:rsidR="00BD1B19" w:rsidRPr="00CB76CB" w:rsidRDefault="000B5AF5" w:rsidP="00BD1B19">
            <w:pPr>
              <w:pStyle w:val="Tabletext"/>
            </w:pPr>
            <w:r w:rsidRPr="000B5AF5">
              <w:t xml:space="preserve">Blinatumomab for previously treated Philadelphia-chromosome-positive acute lymphoblastic leukaemia </w:t>
            </w:r>
          </w:p>
        </w:tc>
        <w:tc>
          <w:tcPr>
            <w:tcW w:w="0" w:type="auto"/>
          </w:tcPr>
          <w:p w14:paraId="04916869" w14:textId="113A9196" w:rsidR="00BD1B19" w:rsidRPr="00CB76CB" w:rsidRDefault="001A718D" w:rsidP="00BD1B19">
            <w:pPr>
              <w:pStyle w:val="Tabletext"/>
            </w:pPr>
            <w:r>
              <w:t>Terminated appraisal</w:t>
            </w:r>
          </w:p>
        </w:tc>
      </w:tr>
      <w:tr w:rsidR="00BD1B19" w14:paraId="06256B5F" w14:textId="77777777" w:rsidTr="00BF6908">
        <w:tc>
          <w:tcPr>
            <w:tcW w:w="0" w:type="auto"/>
          </w:tcPr>
          <w:p w14:paraId="096DAB89" w14:textId="1FD87B1D" w:rsidR="00BD1B19" w:rsidRPr="00CB76CB" w:rsidRDefault="00BD1B19" w:rsidP="00BD1B19">
            <w:pPr>
              <w:pStyle w:val="Tabletext"/>
            </w:pPr>
            <w:r w:rsidRPr="00CB76CB">
              <w:t>Technology appraisals</w:t>
            </w:r>
          </w:p>
        </w:tc>
        <w:tc>
          <w:tcPr>
            <w:tcW w:w="0" w:type="auto"/>
          </w:tcPr>
          <w:p w14:paraId="4F5A5201" w14:textId="18DC6985" w:rsidR="00BD1B19" w:rsidRPr="00CB76CB" w:rsidRDefault="000B5AF5" w:rsidP="00BD1B19">
            <w:pPr>
              <w:pStyle w:val="Tabletext"/>
            </w:pPr>
            <w:r w:rsidRPr="000B5AF5">
              <w:t>Anakinra for treating Still’s disease</w:t>
            </w:r>
          </w:p>
        </w:tc>
        <w:tc>
          <w:tcPr>
            <w:tcW w:w="0" w:type="auto"/>
          </w:tcPr>
          <w:p w14:paraId="5708C2C9" w14:textId="32858C2B" w:rsidR="00BD1B19" w:rsidRPr="00CB76CB" w:rsidRDefault="00BD1B19" w:rsidP="00BD1B19">
            <w:pPr>
              <w:pStyle w:val="Tabletext"/>
            </w:pPr>
            <w:r>
              <w:t>Optimised</w:t>
            </w:r>
          </w:p>
        </w:tc>
      </w:tr>
      <w:tr w:rsidR="00BD1B19" w14:paraId="001A736C" w14:textId="77777777" w:rsidTr="00BF6908">
        <w:tc>
          <w:tcPr>
            <w:tcW w:w="0" w:type="auto"/>
          </w:tcPr>
          <w:p w14:paraId="36DEC053" w14:textId="7F1204EA" w:rsidR="00BD1B19" w:rsidRDefault="00BD1B19" w:rsidP="00BD1B19">
            <w:pPr>
              <w:pStyle w:val="Tabletext"/>
            </w:pPr>
            <w:r w:rsidRPr="00CB76CB">
              <w:t>Medtech innovation briefings</w:t>
            </w:r>
          </w:p>
        </w:tc>
        <w:tc>
          <w:tcPr>
            <w:tcW w:w="0" w:type="auto"/>
          </w:tcPr>
          <w:p w14:paraId="1A851383" w14:textId="4262E96B" w:rsidR="00BD1B19" w:rsidRPr="00CB76CB" w:rsidRDefault="001A718D" w:rsidP="00BD1B19">
            <w:pPr>
              <w:pStyle w:val="Tabletext"/>
            </w:pPr>
            <w:r w:rsidRPr="001A718D">
              <w:t>Butterfly iQ+ for diagnostic ultrasound imaging</w:t>
            </w:r>
          </w:p>
        </w:tc>
        <w:tc>
          <w:tcPr>
            <w:tcW w:w="0" w:type="auto"/>
          </w:tcPr>
          <w:p w14:paraId="7E4A3684" w14:textId="3B180C15" w:rsidR="00BD1B19" w:rsidRPr="00CB76CB" w:rsidRDefault="00BD1B19" w:rsidP="00BD1B19">
            <w:pPr>
              <w:pStyle w:val="Tabletext"/>
            </w:pPr>
            <w:r w:rsidRPr="00CB76CB">
              <w:t>Summary of best available evidence</w:t>
            </w:r>
          </w:p>
        </w:tc>
      </w:tr>
      <w:tr w:rsidR="00BD1B19" w14:paraId="3B43DB22" w14:textId="77777777" w:rsidTr="00BF6908">
        <w:tc>
          <w:tcPr>
            <w:tcW w:w="0" w:type="auto"/>
          </w:tcPr>
          <w:p w14:paraId="0557E4E4" w14:textId="44CE18AA" w:rsidR="00BD1B19" w:rsidRDefault="00BD1B19" w:rsidP="00BD1B19">
            <w:pPr>
              <w:pStyle w:val="Tabletext"/>
            </w:pPr>
            <w:r w:rsidRPr="00CB76CB">
              <w:t>Medtech innovation briefings</w:t>
            </w:r>
          </w:p>
        </w:tc>
        <w:tc>
          <w:tcPr>
            <w:tcW w:w="0" w:type="auto"/>
          </w:tcPr>
          <w:p w14:paraId="17F4B2FB" w14:textId="11CBF45C" w:rsidR="00BD1B19" w:rsidRPr="00CB76CB" w:rsidRDefault="001A718D" w:rsidP="00BD1B19">
            <w:pPr>
              <w:pStyle w:val="Tabletext"/>
            </w:pPr>
            <w:r w:rsidRPr="001A718D">
              <w:t>Sonata system for diagnostic imaging and treatment of symptomatic uterine fibroids</w:t>
            </w:r>
          </w:p>
        </w:tc>
        <w:tc>
          <w:tcPr>
            <w:tcW w:w="0" w:type="auto"/>
          </w:tcPr>
          <w:p w14:paraId="21830AD9" w14:textId="6B5D7290" w:rsidR="00BD1B19" w:rsidRPr="00CB76CB" w:rsidRDefault="00BD1B19" w:rsidP="00BD1B19">
            <w:pPr>
              <w:pStyle w:val="Tabletext"/>
            </w:pPr>
            <w:r w:rsidRPr="00CB76CB">
              <w:t>Summary of best available evidence</w:t>
            </w:r>
          </w:p>
        </w:tc>
      </w:tr>
      <w:tr w:rsidR="00BD1B19" w14:paraId="676F20EB" w14:textId="77777777" w:rsidTr="00BF6908">
        <w:tc>
          <w:tcPr>
            <w:tcW w:w="0" w:type="auto"/>
          </w:tcPr>
          <w:p w14:paraId="6A507EB2" w14:textId="1B60EAB1" w:rsidR="00BD1B19" w:rsidRPr="00400212" w:rsidRDefault="00BD1B19" w:rsidP="00BD1B19">
            <w:pPr>
              <w:pStyle w:val="Tabletext"/>
            </w:pPr>
            <w:r w:rsidRPr="00400212">
              <w:t>Guid</w:t>
            </w:r>
            <w:r w:rsidR="009D4318">
              <w:t>eline</w:t>
            </w:r>
            <w:r w:rsidRPr="00400212">
              <w:t xml:space="preserve"> surveillance reviews</w:t>
            </w:r>
          </w:p>
        </w:tc>
        <w:tc>
          <w:tcPr>
            <w:tcW w:w="0" w:type="auto"/>
          </w:tcPr>
          <w:p w14:paraId="2D195E7D" w14:textId="58B2FD8D" w:rsidR="00BD1B19" w:rsidRPr="00F15F45" w:rsidRDefault="001A718D" w:rsidP="00BD1B19">
            <w:pPr>
              <w:pStyle w:val="Tabletext"/>
            </w:pPr>
            <w:r w:rsidRPr="001A718D">
              <w:t>NG80 Asthma: Diagnosis, monitoring and chronic asthma management - Exceptional review</w:t>
            </w:r>
          </w:p>
        </w:tc>
        <w:tc>
          <w:tcPr>
            <w:tcW w:w="0" w:type="auto"/>
          </w:tcPr>
          <w:p w14:paraId="414AA37F" w14:textId="214317E2" w:rsidR="00BD1B19" w:rsidRPr="00400212" w:rsidRDefault="00BD1B19" w:rsidP="00BD1B19">
            <w:pPr>
              <w:pStyle w:val="Tabletext"/>
            </w:pPr>
            <w:r w:rsidRPr="00400212">
              <w:t>Summary of best available evidence</w:t>
            </w:r>
          </w:p>
        </w:tc>
      </w:tr>
      <w:tr w:rsidR="00BD1B19" w14:paraId="3A3FF9C3" w14:textId="77777777" w:rsidTr="00BF6908">
        <w:tc>
          <w:tcPr>
            <w:tcW w:w="0" w:type="auto"/>
          </w:tcPr>
          <w:p w14:paraId="0FED75EB" w14:textId="4BEEEB7E" w:rsidR="00BD1B19" w:rsidRPr="00400212" w:rsidRDefault="00BD1B19" w:rsidP="00BD1B19">
            <w:pPr>
              <w:pStyle w:val="Tabletext"/>
            </w:pPr>
            <w:r w:rsidRPr="00400212">
              <w:t>Guid</w:t>
            </w:r>
            <w:r w:rsidR="009D4318">
              <w:t>eline</w:t>
            </w:r>
            <w:r w:rsidRPr="00400212">
              <w:t xml:space="preserve"> surveillance reviews</w:t>
            </w:r>
          </w:p>
        </w:tc>
        <w:tc>
          <w:tcPr>
            <w:tcW w:w="0" w:type="auto"/>
          </w:tcPr>
          <w:p w14:paraId="23D16089" w14:textId="6DB9DD69" w:rsidR="00BD1B19" w:rsidRPr="00F15F45" w:rsidRDefault="001A718D" w:rsidP="00BD1B19">
            <w:pPr>
              <w:pStyle w:val="Tabletext"/>
            </w:pPr>
            <w:r w:rsidRPr="001A718D">
              <w:t>NG12 Suspected cancer: recognition and referral</w:t>
            </w:r>
          </w:p>
        </w:tc>
        <w:tc>
          <w:tcPr>
            <w:tcW w:w="0" w:type="auto"/>
          </w:tcPr>
          <w:p w14:paraId="32712909" w14:textId="1E19CA11" w:rsidR="00BD1B19" w:rsidRPr="00400212" w:rsidRDefault="00BD1B19" w:rsidP="00BD1B19">
            <w:pPr>
              <w:pStyle w:val="Tabletext"/>
            </w:pPr>
            <w:r w:rsidRPr="007E2A13">
              <w:t>Summary of best available evidence</w:t>
            </w:r>
          </w:p>
        </w:tc>
      </w:tr>
      <w:tr w:rsidR="00BD1B19" w14:paraId="219694B4" w14:textId="77777777" w:rsidTr="00BF6908">
        <w:tc>
          <w:tcPr>
            <w:tcW w:w="0" w:type="auto"/>
          </w:tcPr>
          <w:p w14:paraId="506B936F" w14:textId="19ACF877" w:rsidR="00BD1B19" w:rsidRPr="00E64A0E" w:rsidRDefault="00BD1B19" w:rsidP="00BD1B19">
            <w:pPr>
              <w:pStyle w:val="Tabletext"/>
            </w:pPr>
            <w:r w:rsidRPr="00E64A0E">
              <w:lastRenderedPageBreak/>
              <w:t>Medicines advice products</w:t>
            </w:r>
          </w:p>
        </w:tc>
        <w:tc>
          <w:tcPr>
            <w:tcW w:w="0" w:type="auto"/>
          </w:tcPr>
          <w:p w14:paraId="4A03EF9A" w14:textId="1D713D9D" w:rsidR="00BD1B19" w:rsidRPr="00CB76CB" w:rsidRDefault="00EA0616" w:rsidP="00BD1B19">
            <w:pPr>
              <w:pStyle w:val="Tabletext"/>
            </w:pPr>
            <w:r>
              <w:t xml:space="preserve">MEC: </w:t>
            </w:r>
            <w:r w:rsidR="001A718D" w:rsidRPr="001A718D">
              <w:t>New MHRA drug safety advice: December 2020 to February 2021</w:t>
            </w:r>
          </w:p>
        </w:tc>
        <w:tc>
          <w:tcPr>
            <w:tcW w:w="0" w:type="auto"/>
          </w:tcPr>
          <w:p w14:paraId="140BBE77" w14:textId="13F9A242" w:rsidR="00BD1B19" w:rsidRPr="00CB76CB" w:rsidRDefault="00BD1B19" w:rsidP="00BD1B19">
            <w:pPr>
              <w:pStyle w:val="Tabletext"/>
            </w:pPr>
            <w:r w:rsidRPr="000A488F">
              <w:t>Summary of best available evidence</w:t>
            </w:r>
          </w:p>
        </w:tc>
      </w:tr>
      <w:tr w:rsidR="001A718D" w14:paraId="16F8AFAA" w14:textId="77777777" w:rsidTr="00BF6908">
        <w:tc>
          <w:tcPr>
            <w:tcW w:w="0" w:type="auto"/>
          </w:tcPr>
          <w:p w14:paraId="11176A51" w14:textId="15C55664" w:rsidR="001A718D" w:rsidRPr="00E64A0E" w:rsidRDefault="001A718D" w:rsidP="001A718D">
            <w:pPr>
              <w:pStyle w:val="Tabletext"/>
            </w:pPr>
            <w:r w:rsidRPr="00BF53ED">
              <w:t>Medicines advice products</w:t>
            </w:r>
          </w:p>
        </w:tc>
        <w:tc>
          <w:tcPr>
            <w:tcW w:w="0" w:type="auto"/>
          </w:tcPr>
          <w:p w14:paraId="4A566A6F" w14:textId="56DFD0F7" w:rsidR="001A718D" w:rsidRPr="001A718D" w:rsidRDefault="00EA0616" w:rsidP="001A718D">
            <w:pPr>
              <w:pStyle w:val="Tabletext"/>
            </w:pPr>
            <w:r>
              <w:t xml:space="preserve">PDA: </w:t>
            </w:r>
            <w:r w:rsidR="001A718D" w:rsidRPr="001A718D">
              <w:t>Treating complications from mesh used for stress urinary incontinence</w:t>
            </w:r>
          </w:p>
        </w:tc>
        <w:tc>
          <w:tcPr>
            <w:tcW w:w="0" w:type="auto"/>
          </w:tcPr>
          <w:p w14:paraId="703E0953" w14:textId="76DCCFE1" w:rsidR="001A718D" w:rsidRPr="000A488F" w:rsidRDefault="001A718D" w:rsidP="001A718D">
            <w:pPr>
              <w:pStyle w:val="Tabletext"/>
            </w:pPr>
            <w:r w:rsidRPr="003C5DEF">
              <w:t>Summary of best available evidence</w:t>
            </w:r>
          </w:p>
        </w:tc>
      </w:tr>
      <w:tr w:rsidR="001A718D" w14:paraId="6F3B8CDE" w14:textId="77777777" w:rsidTr="00BF6908">
        <w:tc>
          <w:tcPr>
            <w:tcW w:w="0" w:type="auto"/>
          </w:tcPr>
          <w:p w14:paraId="5EC45B26" w14:textId="4E8FEE54" w:rsidR="001A718D" w:rsidRPr="00E64A0E" w:rsidRDefault="001A718D" w:rsidP="001A718D">
            <w:pPr>
              <w:pStyle w:val="Tabletext"/>
            </w:pPr>
            <w:r w:rsidRPr="00BF53ED">
              <w:t>Medicines advice products</w:t>
            </w:r>
          </w:p>
        </w:tc>
        <w:tc>
          <w:tcPr>
            <w:tcW w:w="0" w:type="auto"/>
          </w:tcPr>
          <w:p w14:paraId="2DE9A8BB" w14:textId="0D69AF20" w:rsidR="001A718D" w:rsidRPr="001A718D" w:rsidRDefault="00EA0616" w:rsidP="001A718D">
            <w:pPr>
              <w:pStyle w:val="Tabletext"/>
            </w:pPr>
            <w:r>
              <w:t xml:space="preserve">PDA: </w:t>
            </w:r>
            <w:r w:rsidR="001A718D" w:rsidRPr="001A718D">
              <w:t>Treating complications from mesh used for pelvic organ prolapse</w:t>
            </w:r>
          </w:p>
        </w:tc>
        <w:tc>
          <w:tcPr>
            <w:tcW w:w="0" w:type="auto"/>
          </w:tcPr>
          <w:p w14:paraId="77FAE54C" w14:textId="101FD6DD" w:rsidR="001A718D" w:rsidRPr="000A488F" w:rsidRDefault="001A718D" w:rsidP="001A718D">
            <w:pPr>
              <w:pStyle w:val="Tabletext"/>
            </w:pPr>
            <w:r w:rsidRPr="003C5DEF">
              <w:t>Summary of best available evidence</w:t>
            </w:r>
          </w:p>
        </w:tc>
      </w:tr>
      <w:tr w:rsidR="00BD1B19" w14:paraId="16328C6C" w14:textId="77777777" w:rsidTr="00BF6908">
        <w:tc>
          <w:tcPr>
            <w:tcW w:w="0" w:type="auto"/>
          </w:tcPr>
          <w:p w14:paraId="05998985" w14:textId="373F13D8" w:rsidR="00BD1B19" w:rsidRPr="000A488F" w:rsidRDefault="00BD1B19" w:rsidP="00BD1B19">
            <w:pPr>
              <w:pStyle w:val="Tabletext"/>
            </w:pPr>
            <w:r w:rsidRPr="009A6E7F">
              <w:t>Shared learning</w:t>
            </w:r>
          </w:p>
        </w:tc>
        <w:tc>
          <w:tcPr>
            <w:tcW w:w="0" w:type="auto"/>
          </w:tcPr>
          <w:p w14:paraId="6E3D752D" w14:textId="53B6EA99" w:rsidR="00BD1B19" w:rsidRPr="000A488F" w:rsidRDefault="001A718D" w:rsidP="00BD1B19">
            <w:pPr>
              <w:pStyle w:val="Tabletext"/>
            </w:pPr>
            <w:r w:rsidRPr="001A718D">
              <w:t>Implementation of placental growth factor (PlGF)-based testing to aid diagnosis of suspected pre-eclampsia at Lancashire Teaching Hospitals NHS Foundation Trust</w:t>
            </w:r>
          </w:p>
        </w:tc>
        <w:tc>
          <w:tcPr>
            <w:tcW w:w="0" w:type="auto"/>
          </w:tcPr>
          <w:p w14:paraId="46C53296" w14:textId="7296EEA3" w:rsidR="00BD1B19" w:rsidRPr="000A488F" w:rsidRDefault="00BD1B19" w:rsidP="00BD1B19">
            <w:pPr>
              <w:pStyle w:val="Tabletext"/>
            </w:pPr>
            <w:r w:rsidRPr="000A488F">
              <w:t>Shared Learning example</w:t>
            </w:r>
          </w:p>
        </w:tc>
      </w:tr>
      <w:tr w:rsidR="00BD1B19" w14:paraId="2813C2EC" w14:textId="77777777" w:rsidTr="00BF6908">
        <w:tc>
          <w:tcPr>
            <w:tcW w:w="0" w:type="auto"/>
          </w:tcPr>
          <w:p w14:paraId="5B9FCE76" w14:textId="09E91C50" w:rsidR="00BD1B19" w:rsidRPr="000A488F" w:rsidRDefault="00BD1B19" w:rsidP="00BD1B19">
            <w:pPr>
              <w:pStyle w:val="Tabletext"/>
            </w:pPr>
            <w:r w:rsidRPr="009A6E7F">
              <w:t>Shared learning</w:t>
            </w:r>
          </w:p>
        </w:tc>
        <w:tc>
          <w:tcPr>
            <w:tcW w:w="0" w:type="auto"/>
          </w:tcPr>
          <w:p w14:paraId="1CC0781C" w14:textId="12DC06C2" w:rsidR="00BD1B19" w:rsidRPr="000A488F" w:rsidRDefault="001A718D" w:rsidP="00BD1B19">
            <w:pPr>
              <w:pStyle w:val="Tabletext"/>
            </w:pPr>
            <w:r w:rsidRPr="001A718D">
              <w:t>COVID-19 vaccine hesitancy – debunking the myths using a community engagement approach underpinned by NICE guidance</w:t>
            </w:r>
          </w:p>
        </w:tc>
        <w:tc>
          <w:tcPr>
            <w:tcW w:w="0" w:type="auto"/>
          </w:tcPr>
          <w:p w14:paraId="1ECC8B96" w14:textId="7D511AAB" w:rsidR="00BD1B19" w:rsidRPr="000A488F" w:rsidRDefault="00BD1B19" w:rsidP="00BD1B19">
            <w:pPr>
              <w:pStyle w:val="Tabletext"/>
            </w:pPr>
            <w:r w:rsidRPr="000A488F">
              <w:t>Shared Learning example</w:t>
            </w:r>
          </w:p>
        </w:tc>
      </w:tr>
      <w:tr w:rsidR="00BD1B19" w14:paraId="44718A50" w14:textId="77777777" w:rsidTr="00BF6908">
        <w:tc>
          <w:tcPr>
            <w:tcW w:w="0" w:type="auto"/>
          </w:tcPr>
          <w:p w14:paraId="3412CC5C" w14:textId="4EEFF08B" w:rsidR="00BD1B19" w:rsidRPr="000A488F" w:rsidRDefault="00BD1B19" w:rsidP="00BD1B19">
            <w:pPr>
              <w:pStyle w:val="Tabletext"/>
            </w:pPr>
            <w:r>
              <w:t>Shared learning</w:t>
            </w:r>
          </w:p>
        </w:tc>
        <w:tc>
          <w:tcPr>
            <w:tcW w:w="0" w:type="auto"/>
          </w:tcPr>
          <w:p w14:paraId="5036AA21" w14:textId="39F1AAC3" w:rsidR="00BD1B19" w:rsidRPr="000A488F" w:rsidRDefault="001A718D" w:rsidP="00BD1B19">
            <w:pPr>
              <w:pStyle w:val="Tabletext"/>
            </w:pPr>
            <w:r w:rsidRPr="001A718D">
              <w:t>Delivering Rehabilitation EnAblement in CHronic Heart Failure (REACH-HF) in Wirral</w:t>
            </w:r>
          </w:p>
        </w:tc>
        <w:tc>
          <w:tcPr>
            <w:tcW w:w="0" w:type="auto"/>
          </w:tcPr>
          <w:p w14:paraId="5C29A37B" w14:textId="5CF7C063" w:rsidR="00BD1B19" w:rsidRPr="000A488F" w:rsidRDefault="00BD1B19" w:rsidP="00BD1B19">
            <w:pPr>
              <w:pStyle w:val="Tabletext"/>
            </w:pPr>
            <w:r w:rsidRPr="000A488F">
              <w:t>Shared Learning example</w:t>
            </w:r>
          </w:p>
        </w:tc>
      </w:tr>
      <w:tr w:rsidR="00BD1B19" w14:paraId="6C883180" w14:textId="77777777" w:rsidTr="00BF6908">
        <w:tc>
          <w:tcPr>
            <w:tcW w:w="0" w:type="auto"/>
          </w:tcPr>
          <w:p w14:paraId="28E9EEBC" w14:textId="0D164F20" w:rsidR="00BD1B19" w:rsidRDefault="00BD1B19" w:rsidP="00BD1B19">
            <w:pPr>
              <w:pStyle w:val="Tabletext"/>
            </w:pPr>
            <w:r w:rsidRPr="001540B4">
              <w:t>Shared learning</w:t>
            </w:r>
          </w:p>
        </w:tc>
        <w:tc>
          <w:tcPr>
            <w:tcW w:w="0" w:type="auto"/>
          </w:tcPr>
          <w:p w14:paraId="31786FB3" w14:textId="514DFB82" w:rsidR="00BD1B19" w:rsidRPr="00E53FF6" w:rsidRDefault="001A718D" w:rsidP="00BD1B19">
            <w:pPr>
              <w:pStyle w:val="Tabletext"/>
            </w:pPr>
            <w:r w:rsidRPr="001A718D">
              <w:t>Project CARE: Supporting people with a positive diagnosis of COVID-19 and reaching out to those in vulnerable groups</w:t>
            </w:r>
          </w:p>
        </w:tc>
        <w:tc>
          <w:tcPr>
            <w:tcW w:w="0" w:type="auto"/>
          </w:tcPr>
          <w:p w14:paraId="7461F1DA" w14:textId="0F049820" w:rsidR="00BD1B19" w:rsidRPr="000A488F" w:rsidRDefault="00BD1B19" w:rsidP="00BD1B19">
            <w:pPr>
              <w:pStyle w:val="Tabletext"/>
            </w:pPr>
            <w:r w:rsidRPr="006874E1">
              <w:t>Shared Learning example</w:t>
            </w:r>
          </w:p>
        </w:tc>
      </w:tr>
      <w:tr w:rsidR="00BD1B19" w14:paraId="1D5D25E9" w14:textId="77777777" w:rsidTr="00BF6908">
        <w:tc>
          <w:tcPr>
            <w:tcW w:w="0" w:type="auto"/>
          </w:tcPr>
          <w:p w14:paraId="69C0B81D" w14:textId="2BE634BA" w:rsidR="00BD1B19" w:rsidRDefault="00BD1B19" w:rsidP="00BD1B19">
            <w:pPr>
              <w:pStyle w:val="Tabletext"/>
            </w:pPr>
            <w:r w:rsidRPr="001540B4">
              <w:t>Shared learning</w:t>
            </w:r>
          </w:p>
        </w:tc>
        <w:tc>
          <w:tcPr>
            <w:tcW w:w="0" w:type="auto"/>
          </w:tcPr>
          <w:p w14:paraId="21642F9E" w14:textId="7B3A860E" w:rsidR="00BD1B19" w:rsidRPr="00E53FF6" w:rsidRDefault="001A718D" w:rsidP="00BD1B19">
            <w:pPr>
              <w:pStyle w:val="Tabletext"/>
            </w:pPr>
            <w:r w:rsidRPr="001A718D">
              <w:t>Transforming Intermediate Care</w:t>
            </w:r>
          </w:p>
        </w:tc>
        <w:tc>
          <w:tcPr>
            <w:tcW w:w="0" w:type="auto"/>
          </w:tcPr>
          <w:p w14:paraId="1B837646" w14:textId="3E4CC5B6" w:rsidR="00BD1B19" w:rsidRPr="000A488F" w:rsidRDefault="00BD1B19" w:rsidP="00BD1B19">
            <w:pPr>
              <w:pStyle w:val="Tabletext"/>
            </w:pPr>
            <w:r w:rsidRPr="006874E1">
              <w:t>Shared Learning example</w:t>
            </w:r>
          </w:p>
        </w:tc>
      </w:tr>
    </w:tbl>
    <w:p w14:paraId="13DDCD03" w14:textId="77777777" w:rsidR="008F78FA" w:rsidRPr="00916AB8" w:rsidRDefault="008F78FA" w:rsidP="008F78FA">
      <w:pPr>
        <w:pStyle w:val="Paragraph"/>
        <w:numPr>
          <w:ilvl w:val="0"/>
          <w:numId w:val="0"/>
        </w:numPr>
        <w:ind w:left="567" w:hanging="501"/>
      </w:pPr>
      <w:bookmarkStart w:id="8" w:name="_Hlk60905246"/>
      <w:bookmarkEnd w:id="6"/>
    </w:p>
    <w:bookmarkEnd w:id="8"/>
    <w:p w14:paraId="2CC42183" w14:textId="77777777" w:rsidR="00690C8C" w:rsidRPr="00690C8C" w:rsidRDefault="00690C8C" w:rsidP="00690C8C">
      <w:pPr>
        <w:pStyle w:val="Heading2boardreport"/>
      </w:pPr>
      <w:r w:rsidRPr="00690C8C">
        <w:t>Key to recommendation types</w:t>
      </w:r>
    </w:p>
    <w:p w14:paraId="7B46713C" w14:textId="77777777" w:rsidR="00690C8C" w:rsidRPr="00690C8C" w:rsidRDefault="00690C8C" w:rsidP="00690C8C">
      <w:pPr>
        <w:pStyle w:val="Heading3boardreport"/>
      </w:pPr>
      <w:r w:rsidRPr="00690C8C">
        <w:t>Guidelines (clinical, social care and public health):</w:t>
      </w:r>
    </w:p>
    <w:p w14:paraId="5872F20C" w14:textId="6C35098D" w:rsidR="00690C8C" w:rsidRPr="00690C8C" w:rsidRDefault="00690C8C" w:rsidP="00690C8C">
      <w:pPr>
        <w:pStyle w:val="NICEnormal"/>
      </w:pPr>
      <w:r w:rsidRPr="00690C8C">
        <w:t>NICE guidelines each cover a range of practice and interventions, with recommendations ranging from ‘must do’ (where compliance with legislation is required) and ‘should do’ (where there is strong evidence of effectiveness), to ‘don’t do’, where compelling evidence that an intervention is ineffective or harmful has been identified.</w:t>
      </w:r>
    </w:p>
    <w:p w14:paraId="4CBC9BE3" w14:textId="77777777" w:rsidR="00690C8C" w:rsidRPr="00690C8C" w:rsidRDefault="00690C8C" w:rsidP="00690C8C">
      <w:pPr>
        <w:pStyle w:val="Heading3boardreport"/>
      </w:pPr>
      <w:r w:rsidRPr="00690C8C">
        <w:lastRenderedPageBreak/>
        <w:t>Interventional Procedures:</w:t>
      </w:r>
    </w:p>
    <w:p w14:paraId="7AB53205" w14:textId="7A9E56BB" w:rsidR="00690C8C" w:rsidRPr="00690C8C" w:rsidRDefault="00690C8C" w:rsidP="00690C8C">
      <w:pPr>
        <w:pStyle w:val="NICEnormal"/>
      </w:pPr>
      <w:r w:rsidRPr="00690C8C">
        <w:t>Interventional procedures offer advice about the safety and effectiveness of surgical techniques and some other kinds of procedures. Advice normally relates to the kind of consent (normal or special) required from patients before the procedure is undertaken</w:t>
      </w:r>
      <w:r w:rsidR="00F8087C">
        <w:t>. I</w:t>
      </w:r>
      <w:r w:rsidRPr="00690C8C">
        <w:t>n a small number of cases, where major safety concerns have been identified, a ‘do not use’ recommendation is made.</w:t>
      </w:r>
    </w:p>
    <w:p w14:paraId="144CF2DD" w14:textId="77777777" w:rsidR="00690C8C" w:rsidRPr="00690C8C" w:rsidRDefault="00690C8C" w:rsidP="00690C8C">
      <w:pPr>
        <w:pStyle w:val="Heading3boardreport"/>
      </w:pPr>
      <w:r w:rsidRPr="00690C8C">
        <w:t>Medical technologies:</w:t>
      </w:r>
    </w:p>
    <w:p w14:paraId="670DC44D" w14:textId="77777777" w:rsidR="00690C8C" w:rsidRPr="00690C8C" w:rsidRDefault="00690C8C" w:rsidP="00690C8C">
      <w:pPr>
        <w:pStyle w:val="NICEnormal"/>
      </w:pPr>
      <w:r w:rsidRPr="00690C8C">
        <w:t>Guidance on new medical technologies (medical devices) is normally framed in terms of whether or not the case for use in the NHS has been successfully made by the manufacturer.</w:t>
      </w:r>
    </w:p>
    <w:p w14:paraId="1630AAC5" w14:textId="77777777" w:rsidR="00690C8C" w:rsidRPr="00690C8C" w:rsidRDefault="00690C8C" w:rsidP="00690C8C">
      <w:pPr>
        <w:pStyle w:val="Heading3boardreport"/>
      </w:pPr>
      <w:r w:rsidRPr="00690C8C">
        <w:t xml:space="preserve">Diagnostics guidance: </w:t>
      </w:r>
    </w:p>
    <w:p w14:paraId="64141783" w14:textId="77777777" w:rsidR="00690C8C" w:rsidRPr="00690C8C" w:rsidRDefault="00690C8C" w:rsidP="00690C8C">
      <w:pPr>
        <w:pStyle w:val="NICEnormal"/>
      </w:pPr>
      <w:r w:rsidRPr="00690C8C">
        <w:t>New diagnostic techniques are recommended or not recommended for routine use in the NHS, or sometimes for research.</w:t>
      </w:r>
    </w:p>
    <w:p w14:paraId="71D6F585" w14:textId="77777777" w:rsidR="00690C8C" w:rsidRPr="00690C8C" w:rsidRDefault="00690C8C" w:rsidP="00690C8C">
      <w:pPr>
        <w:pStyle w:val="Heading3boardreport"/>
      </w:pPr>
      <w:r w:rsidRPr="00690C8C">
        <w:t>Management of common infections:</w:t>
      </w:r>
    </w:p>
    <w:p w14:paraId="5E95F5F6" w14:textId="77777777" w:rsidR="00690C8C" w:rsidRPr="00690C8C" w:rsidRDefault="00690C8C" w:rsidP="00690C8C">
      <w:pPr>
        <w:pStyle w:val="NICEnormal"/>
      </w:pPr>
      <w:r w:rsidRPr="00690C8C">
        <w:t>These guidelines help the NHS make the best use of antibiotics, as part of the broader antimicrobial stewardship effort.</w:t>
      </w:r>
    </w:p>
    <w:p w14:paraId="3A09C7F1" w14:textId="77777777" w:rsidR="00690C8C" w:rsidRPr="00690C8C" w:rsidRDefault="00690C8C" w:rsidP="00690C8C">
      <w:pPr>
        <w:pStyle w:val="Heading3boardreport"/>
      </w:pPr>
      <w:r w:rsidRPr="00690C8C">
        <w:t>Quality standards:</w:t>
      </w:r>
    </w:p>
    <w:p w14:paraId="24483FC5" w14:textId="0B55E7CF" w:rsidR="00690C8C" w:rsidRPr="00690C8C" w:rsidRDefault="00690C8C" w:rsidP="00690C8C">
      <w:pPr>
        <w:pStyle w:val="NICEnormal"/>
      </w:pPr>
      <w:r w:rsidRPr="00690C8C">
        <w:t xml:space="preserve">Quality </w:t>
      </w:r>
      <w:r>
        <w:t>s</w:t>
      </w:r>
      <w:r w:rsidRPr="00690C8C">
        <w:t>tandards identify important aspects of practice in which there is significant variation across the NHS.</w:t>
      </w:r>
    </w:p>
    <w:p w14:paraId="02C32C88" w14:textId="77777777" w:rsidR="00690C8C" w:rsidRPr="00690C8C" w:rsidRDefault="00690C8C" w:rsidP="00690C8C">
      <w:pPr>
        <w:pStyle w:val="Heading3boardreport"/>
      </w:pPr>
      <w:r w:rsidRPr="00690C8C">
        <w:t xml:space="preserve">Indicators: </w:t>
      </w:r>
    </w:p>
    <w:p w14:paraId="14900738" w14:textId="77777777" w:rsidR="00690C8C" w:rsidRPr="00690C8C" w:rsidRDefault="00690C8C" w:rsidP="00690C8C">
      <w:pPr>
        <w:pStyle w:val="NICEnormal"/>
      </w:pPr>
      <w:r w:rsidRPr="00690C8C">
        <w:t>NICE indicators measure outcomes that reflect the quality of care, or processes linked, by evidence, to improved outcomes.</w:t>
      </w:r>
    </w:p>
    <w:p w14:paraId="7471B075" w14:textId="77777777" w:rsidR="00690C8C" w:rsidRPr="00690C8C" w:rsidRDefault="00690C8C" w:rsidP="00690C8C">
      <w:pPr>
        <w:pStyle w:val="Heading3boardreport"/>
      </w:pPr>
      <w:r w:rsidRPr="00690C8C">
        <w:lastRenderedPageBreak/>
        <w:t>Technology appraisals and highly specialised technologies:</w:t>
      </w:r>
    </w:p>
    <w:p w14:paraId="488B636D" w14:textId="4AE94F04" w:rsidR="00690C8C" w:rsidRDefault="00690C8C" w:rsidP="00690C8C">
      <w:pPr>
        <w:pStyle w:val="NICEnormal"/>
      </w:pPr>
      <w:r w:rsidRPr="00690C8C">
        <w:t xml:space="preserve">This guidance can ‘recommend’ the use of a new drug or other treatment, ‘optimised use’, in which the recommendation is positive for some but not all uses, or ‘not recommend’ routine use in the NHS. Research only use is also sometimes recommended. Positive recommendations are subject to a legal funding requirement. </w:t>
      </w:r>
    </w:p>
    <w:p w14:paraId="3DA6F602" w14:textId="1D9D7B59" w:rsidR="00690C8C" w:rsidRPr="00690C8C" w:rsidRDefault="00690C8C" w:rsidP="00690C8C">
      <w:pPr>
        <w:pStyle w:val="Heading3boardreport"/>
      </w:pPr>
      <w:r w:rsidRPr="00690C8C">
        <w:t>Evidence summaries and medtech innovation briefings:</w:t>
      </w:r>
    </w:p>
    <w:p w14:paraId="5515BAAA" w14:textId="3FC643C9" w:rsidR="00690C8C" w:rsidRDefault="00690C8C" w:rsidP="00690C8C">
      <w:pPr>
        <w:pStyle w:val="NICEnormal"/>
      </w:pPr>
      <w:r>
        <w:t>P</w:t>
      </w:r>
      <w:r w:rsidRPr="00690C8C">
        <w:t>rovide information (but not guidance) about a particular topic.</w:t>
      </w:r>
    </w:p>
    <w:p w14:paraId="76006F70" w14:textId="44C50320" w:rsidR="00690C8C" w:rsidRPr="00690C8C" w:rsidRDefault="00690C8C" w:rsidP="00690C8C">
      <w:pPr>
        <w:pStyle w:val="Heading3boardreport"/>
      </w:pPr>
      <w:r w:rsidRPr="00690C8C">
        <w:t>Surveillance reviews:</w:t>
      </w:r>
    </w:p>
    <w:p w14:paraId="09C010E1" w14:textId="77777777" w:rsidR="00690C8C" w:rsidRPr="00690C8C" w:rsidRDefault="00690C8C" w:rsidP="00690C8C">
      <w:pPr>
        <w:pStyle w:val="NICEnormal"/>
      </w:pPr>
      <w:r w:rsidRPr="00690C8C">
        <w:t>Provide the basis for decision about whether to update current NICE guidance.</w:t>
      </w:r>
    </w:p>
    <w:p w14:paraId="28543E83" w14:textId="77777777" w:rsidR="00690C8C" w:rsidRPr="00690C8C" w:rsidRDefault="00690C8C" w:rsidP="00690C8C">
      <w:pPr>
        <w:pStyle w:val="Heading3boardreport"/>
      </w:pPr>
      <w:r w:rsidRPr="00690C8C">
        <w:t>Shared learning examples:</w:t>
      </w:r>
    </w:p>
    <w:p w14:paraId="42EEF8F6" w14:textId="5AB04CE4" w:rsidR="00690C8C" w:rsidRDefault="00690C8C" w:rsidP="00690C8C">
      <w:pPr>
        <w:pStyle w:val="NICEnormal"/>
      </w:pPr>
      <w:r w:rsidRPr="00690C8C">
        <w:t>These publications are quality-assured practical case studies written by local organisations and describe their use of NICE guidance and/or quality standards to change and improve local practice in their services.</w:t>
      </w:r>
    </w:p>
    <w:p w14:paraId="64D1D93F" w14:textId="77777777" w:rsidR="00690C8C" w:rsidRPr="00690C8C" w:rsidRDefault="00690C8C" w:rsidP="00690C8C">
      <w:pPr>
        <w:pStyle w:val="Heading3boardreport"/>
      </w:pPr>
      <w:r w:rsidRPr="00690C8C">
        <w:t>Endorsement statements:</w:t>
      </w:r>
    </w:p>
    <w:p w14:paraId="4896B500" w14:textId="4AF26B26" w:rsidR="00F72FE0" w:rsidRPr="00690C8C" w:rsidRDefault="00690C8C" w:rsidP="00690C8C">
      <w:pPr>
        <w:pStyle w:val="NICEnormal"/>
      </w:pPr>
      <w:r w:rsidRPr="00690C8C">
        <w:t>Tools to support the uptake of NICE guidance and standards.</w:t>
      </w:r>
      <w:r w:rsidR="00F72FE0" w:rsidRPr="00C10B59">
        <w:rPr>
          <w:sz w:val="22"/>
          <w:szCs w:val="22"/>
        </w:rPr>
        <w:br w:type="page"/>
      </w:r>
    </w:p>
    <w:p w14:paraId="640309DB" w14:textId="1CE61252" w:rsidR="00F72FE0" w:rsidRDefault="00F72FE0" w:rsidP="00F72FE0">
      <w:pPr>
        <w:pStyle w:val="Heading1boardreport"/>
      </w:pPr>
      <w:r>
        <w:lastRenderedPageBreak/>
        <w:t xml:space="preserve">Appendix </w:t>
      </w:r>
      <w:r w:rsidR="004B104B">
        <w:t>5</w:t>
      </w:r>
      <w:r>
        <w:t xml:space="preserve">: Balanced scorecard April 2020 to </w:t>
      </w:r>
      <w:r w:rsidR="00770EF8">
        <w:t>March</w:t>
      </w:r>
      <w:r>
        <w:t xml:space="preserve"> 202</w:t>
      </w:r>
      <w:r w:rsidR="00770EF8">
        <w:t>1</w:t>
      </w:r>
    </w:p>
    <w:p w14:paraId="639DFF02" w14:textId="422F3E1F" w:rsidR="00F72FE0" w:rsidRDefault="00F72FE0" w:rsidP="00F72FE0">
      <w:pPr>
        <w:pStyle w:val="Caption"/>
      </w:pPr>
      <w:bookmarkStart w:id="9" w:name="_Hlk60911805"/>
      <w:r>
        <w:t>Guidance, standards, indicators and evidence</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
        <w:gridCol w:w="1972"/>
        <w:gridCol w:w="1821"/>
        <w:gridCol w:w="1415"/>
        <w:gridCol w:w="1267"/>
        <w:gridCol w:w="56"/>
        <w:gridCol w:w="1361"/>
        <w:gridCol w:w="1335"/>
        <w:gridCol w:w="1559"/>
        <w:gridCol w:w="16"/>
        <w:gridCol w:w="1312"/>
      </w:tblGrid>
      <w:tr w:rsidR="00770EF8" w14:paraId="66706FFE" w14:textId="77777777" w:rsidTr="00770EF8">
        <w:trPr>
          <w:tblHeader/>
        </w:trPr>
        <w:tc>
          <w:tcPr>
            <w:tcW w:w="1834" w:type="dxa"/>
            <w:gridSpan w:val="2"/>
          </w:tcPr>
          <w:p w14:paraId="736A1312" w14:textId="77777777" w:rsidR="00770EF8" w:rsidRPr="005A2A4F" w:rsidRDefault="00770EF8" w:rsidP="00770EF8">
            <w:pPr>
              <w:pStyle w:val="Tableheadingboardreport"/>
            </w:pPr>
            <w:r>
              <w:t>Success criteria</w:t>
            </w:r>
          </w:p>
        </w:tc>
        <w:tc>
          <w:tcPr>
            <w:tcW w:w="1972" w:type="dxa"/>
          </w:tcPr>
          <w:p w14:paraId="476A8C2E" w14:textId="77DA35AE" w:rsidR="00770EF8" w:rsidRPr="005A2A4F" w:rsidRDefault="00770EF8" w:rsidP="00770EF8">
            <w:pPr>
              <w:pStyle w:val="Tableheadingboardreport"/>
            </w:pPr>
            <w:r w:rsidRPr="00D7033D">
              <w:t>Planned output to year end</w:t>
            </w:r>
            <w:r w:rsidR="004568E5">
              <w:t xml:space="preserve"> (in draft business plan pre-COVID)</w:t>
            </w:r>
          </w:p>
        </w:tc>
        <w:tc>
          <w:tcPr>
            <w:tcW w:w="1821" w:type="dxa"/>
          </w:tcPr>
          <w:p w14:paraId="5D909740" w14:textId="5E42CB50" w:rsidR="00770EF8" w:rsidRPr="005A2A4F" w:rsidRDefault="00770EF8" w:rsidP="00770EF8">
            <w:pPr>
              <w:pStyle w:val="Tableheadingboardreport"/>
            </w:pPr>
            <w:r w:rsidRPr="00D7033D">
              <w:t>Forecast revised output due to COVID-19</w:t>
            </w:r>
            <w:r w:rsidR="004568E5">
              <w:t xml:space="preserve"> (in business plan approved in May 2020)</w:t>
            </w:r>
          </w:p>
        </w:tc>
        <w:tc>
          <w:tcPr>
            <w:tcW w:w="1415" w:type="dxa"/>
          </w:tcPr>
          <w:p w14:paraId="0F076A97" w14:textId="77777777" w:rsidR="00770EF8" w:rsidRPr="007277C3" w:rsidRDefault="00770EF8" w:rsidP="00770EF8">
            <w:pPr>
              <w:pStyle w:val="Tableheadingboardreport"/>
            </w:pPr>
            <w:r>
              <w:t>Key measures</w:t>
            </w:r>
          </w:p>
        </w:tc>
        <w:tc>
          <w:tcPr>
            <w:tcW w:w="1323" w:type="dxa"/>
            <w:gridSpan w:val="2"/>
          </w:tcPr>
          <w:p w14:paraId="2A90CB65" w14:textId="77777777" w:rsidR="00770EF8" w:rsidRPr="007277C3" w:rsidRDefault="00770EF8" w:rsidP="00770EF8">
            <w:pPr>
              <w:pStyle w:val="Tableheadingboardreport"/>
            </w:pPr>
            <w:r w:rsidRPr="00D7033D">
              <w:t>Target (against forecast revised output)</w:t>
            </w:r>
          </w:p>
        </w:tc>
        <w:tc>
          <w:tcPr>
            <w:tcW w:w="1361" w:type="dxa"/>
          </w:tcPr>
          <w:p w14:paraId="0FD79F70" w14:textId="77777777" w:rsidR="00770EF8" w:rsidRPr="007277C3" w:rsidRDefault="00770EF8" w:rsidP="00770EF8">
            <w:pPr>
              <w:pStyle w:val="Tableheadingboardreport"/>
            </w:pPr>
            <w:r w:rsidRPr="00D7033D">
              <w:t>Planned YTD (revised output)</w:t>
            </w:r>
          </w:p>
        </w:tc>
        <w:tc>
          <w:tcPr>
            <w:tcW w:w="1335" w:type="dxa"/>
          </w:tcPr>
          <w:p w14:paraId="5E0C3293" w14:textId="77777777" w:rsidR="00770EF8" w:rsidRPr="00D7033D" w:rsidRDefault="00770EF8" w:rsidP="00770EF8">
            <w:pPr>
              <w:pStyle w:val="Tableheadingboardreport"/>
            </w:pPr>
            <w:r w:rsidRPr="00D7033D">
              <w:t xml:space="preserve">Actual </w:t>
            </w:r>
          </w:p>
          <w:p w14:paraId="14FD15A9" w14:textId="77777777" w:rsidR="00770EF8" w:rsidRPr="007277C3" w:rsidRDefault="00770EF8" w:rsidP="00770EF8">
            <w:pPr>
              <w:pStyle w:val="Tableheadingboardreport"/>
            </w:pPr>
            <w:r w:rsidRPr="00D7033D">
              <w:t>YTD</w:t>
            </w:r>
          </w:p>
        </w:tc>
        <w:tc>
          <w:tcPr>
            <w:tcW w:w="1575" w:type="dxa"/>
            <w:gridSpan w:val="2"/>
          </w:tcPr>
          <w:p w14:paraId="4C34A938" w14:textId="77777777" w:rsidR="00770EF8" w:rsidRPr="007277C3" w:rsidRDefault="00770EF8" w:rsidP="00770EF8">
            <w:pPr>
              <w:pStyle w:val="Tableheadingboardreport"/>
            </w:pPr>
            <w:r w:rsidRPr="00D7033D">
              <w:t>Cumulative performance</w:t>
            </w:r>
          </w:p>
        </w:tc>
        <w:tc>
          <w:tcPr>
            <w:tcW w:w="1312" w:type="dxa"/>
          </w:tcPr>
          <w:p w14:paraId="1B4CA55C" w14:textId="78FB72F8" w:rsidR="00770EF8" w:rsidRPr="007277C3" w:rsidRDefault="00770EF8" w:rsidP="00770EF8">
            <w:pPr>
              <w:pStyle w:val="Tableheadingboardreport"/>
            </w:pPr>
            <w:r w:rsidRPr="00D7033D">
              <w:t>RAG status</w:t>
            </w:r>
          </w:p>
        </w:tc>
      </w:tr>
      <w:tr w:rsidR="00770EF8" w14:paraId="2DC2B322" w14:textId="77777777" w:rsidTr="00770EF8">
        <w:tc>
          <w:tcPr>
            <w:tcW w:w="1834" w:type="dxa"/>
            <w:gridSpan w:val="2"/>
            <w:shd w:val="clear" w:color="auto" w:fill="FFFFFF"/>
          </w:tcPr>
          <w:p w14:paraId="02855E9C" w14:textId="77777777" w:rsidR="00770EF8" w:rsidRPr="00D7033D" w:rsidRDefault="00770EF8" w:rsidP="00770EF8">
            <w:pPr>
              <w:pStyle w:val="Tabletext"/>
            </w:pPr>
            <w:r w:rsidRPr="00D7033D">
              <w:t>Publish guidelines: clinical areas</w:t>
            </w:r>
          </w:p>
        </w:tc>
        <w:tc>
          <w:tcPr>
            <w:tcW w:w="1972" w:type="dxa"/>
            <w:shd w:val="clear" w:color="auto" w:fill="FFFFFF"/>
          </w:tcPr>
          <w:p w14:paraId="518B3966" w14:textId="77777777" w:rsidR="00770EF8" w:rsidRPr="00D7033D" w:rsidRDefault="00770EF8" w:rsidP="00770EF8">
            <w:pPr>
              <w:pStyle w:val="Tabletext"/>
            </w:pPr>
            <w:r w:rsidRPr="00D7033D">
              <w:t>13</w:t>
            </w:r>
          </w:p>
        </w:tc>
        <w:tc>
          <w:tcPr>
            <w:tcW w:w="1821" w:type="dxa"/>
            <w:shd w:val="clear" w:color="auto" w:fill="FFFFFF"/>
          </w:tcPr>
          <w:p w14:paraId="6525D6C5" w14:textId="77777777" w:rsidR="00770EF8" w:rsidRPr="00D7033D" w:rsidRDefault="00770EF8" w:rsidP="00770EF8">
            <w:pPr>
              <w:pStyle w:val="Tabletext"/>
            </w:pPr>
            <w:r w:rsidRPr="00D7033D">
              <w:t>3</w:t>
            </w:r>
          </w:p>
        </w:tc>
        <w:tc>
          <w:tcPr>
            <w:tcW w:w="1415" w:type="dxa"/>
            <w:shd w:val="clear" w:color="auto" w:fill="FFFFFF"/>
          </w:tcPr>
          <w:p w14:paraId="77AD36CE" w14:textId="77777777" w:rsidR="00770EF8" w:rsidRPr="007277C3" w:rsidRDefault="00770EF8" w:rsidP="00770EF8">
            <w:pPr>
              <w:pStyle w:val="Tabletext"/>
            </w:pPr>
            <w:r w:rsidRPr="00D7033D">
              <w:t>Publication within stated year</w:t>
            </w:r>
          </w:p>
        </w:tc>
        <w:tc>
          <w:tcPr>
            <w:tcW w:w="1323" w:type="dxa"/>
            <w:gridSpan w:val="2"/>
            <w:shd w:val="clear" w:color="auto" w:fill="FFFFFF"/>
          </w:tcPr>
          <w:p w14:paraId="4B1C649C" w14:textId="77777777" w:rsidR="00770EF8" w:rsidRPr="007277C3" w:rsidRDefault="00770EF8" w:rsidP="00770EF8">
            <w:pPr>
              <w:pStyle w:val="Tabletext"/>
            </w:pPr>
            <w:r w:rsidRPr="00D7033D">
              <w:t>80%</w:t>
            </w:r>
          </w:p>
        </w:tc>
        <w:tc>
          <w:tcPr>
            <w:tcW w:w="1361" w:type="dxa"/>
            <w:shd w:val="clear" w:color="auto" w:fill="FFFFFF"/>
          </w:tcPr>
          <w:p w14:paraId="1B4CA48B" w14:textId="77777777" w:rsidR="00770EF8" w:rsidRPr="007277C3" w:rsidRDefault="00770EF8" w:rsidP="00770EF8">
            <w:pPr>
              <w:pStyle w:val="Tabletext"/>
            </w:pPr>
            <w:r>
              <w:t>3</w:t>
            </w:r>
          </w:p>
        </w:tc>
        <w:tc>
          <w:tcPr>
            <w:tcW w:w="1335" w:type="dxa"/>
            <w:shd w:val="clear" w:color="auto" w:fill="FFFFFF"/>
          </w:tcPr>
          <w:p w14:paraId="6651233D" w14:textId="77777777" w:rsidR="00770EF8" w:rsidRPr="007277C3" w:rsidRDefault="00770EF8" w:rsidP="00770EF8">
            <w:pPr>
              <w:pStyle w:val="Tabletext"/>
            </w:pPr>
            <w:r>
              <w:t>8</w:t>
            </w:r>
          </w:p>
        </w:tc>
        <w:tc>
          <w:tcPr>
            <w:tcW w:w="1575" w:type="dxa"/>
            <w:gridSpan w:val="2"/>
            <w:shd w:val="clear" w:color="auto" w:fill="FFFFFF"/>
          </w:tcPr>
          <w:p w14:paraId="51C1C495" w14:textId="4C90CD86" w:rsidR="00770EF8" w:rsidRPr="007277C3" w:rsidRDefault="004568E5" w:rsidP="00770EF8">
            <w:pPr>
              <w:pStyle w:val="Tabletext"/>
            </w:pPr>
            <w:r>
              <w:t>267</w:t>
            </w:r>
            <w:r w:rsidR="00770EF8" w:rsidRPr="00D7033D">
              <w:t>%</w:t>
            </w:r>
          </w:p>
        </w:tc>
        <w:tc>
          <w:tcPr>
            <w:tcW w:w="1312" w:type="dxa"/>
            <w:shd w:val="clear" w:color="auto" w:fill="FFFFFF"/>
          </w:tcPr>
          <w:p w14:paraId="119F77C6" w14:textId="77777777" w:rsidR="00770EF8" w:rsidRPr="007277C3" w:rsidRDefault="00770EF8" w:rsidP="00770EF8">
            <w:pPr>
              <w:pStyle w:val="Tabletext"/>
            </w:pPr>
            <w:r w:rsidRPr="00D7033D">
              <w:t>Green</w:t>
            </w:r>
          </w:p>
        </w:tc>
      </w:tr>
      <w:tr w:rsidR="00770EF8" w14:paraId="6B688BD0" w14:textId="77777777" w:rsidTr="00770EF8">
        <w:tc>
          <w:tcPr>
            <w:tcW w:w="1834" w:type="dxa"/>
            <w:gridSpan w:val="2"/>
            <w:shd w:val="clear" w:color="auto" w:fill="FFFFFF"/>
          </w:tcPr>
          <w:p w14:paraId="215EEEC7" w14:textId="77777777" w:rsidR="00770EF8" w:rsidRPr="00D7033D" w:rsidRDefault="00770EF8" w:rsidP="00770EF8">
            <w:pPr>
              <w:pStyle w:val="Tabletext"/>
            </w:pPr>
            <w:r w:rsidRPr="00D7033D">
              <w:t>Publish guidelines: public health</w:t>
            </w:r>
          </w:p>
        </w:tc>
        <w:tc>
          <w:tcPr>
            <w:tcW w:w="1972" w:type="dxa"/>
            <w:shd w:val="clear" w:color="auto" w:fill="FFFFFF"/>
          </w:tcPr>
          <w:p w14:paraId="51FB1073" w14:textId="77777777" w:rsidR="00770EF8" w:rsidRPr="00D7033D" w:rsidRDefault="00770EF8" w:rsidP="00770EF8">
            <w:pPr>
              <w:pStyle w:val="Tabletext"/>
            </w:pPr>
            <w:r w:rsidRPr="00D7033D">
              <w:t>2</w:t>
            </w:r>
          </w:p>
        </w:tc>
        <w:tc>
          <w:tcPr>
            <w:tcW w:w="1821" w:type="dxa"/>
            <w:shd w:val="clear" w:color="auto" w:fill="FFFFFF"/>
          </w:tcPr>
          <w:p w14:paraId="27B2E28C" w14:textId="77777777" w:rsidR="00770EF8" w:rsidRPr="00D7033D" w:rsidRDefault="00770EF8" w:rsidP="00770EF8">
            <w:pPr>
              <w:pStyle w:val="Tabletext"/>
            </w:pPr>
            <w:r w:rsidRPr="00D7033D">
              <w:t>1</w:t>
            </w:r>
          </w:p>
        </w:tc>
        <w:tc>
          <w:tcPr>
            <w:tcW w:w="1415" w:type="dxa"/>
            <w:shd w:val="clear" w:color="auto" w:fill="FFFFFF"/>
          </w:tcPr>
          <w:p w14:paraId="14A9D560" w14:textId="77777777" w:rsidR="00770EF8" w:rsidRDefault="00770EF8" w:rsidP="00770EF8">
            <w:pPr>
              <w:pStyle w:val="Tabletext"/>
            </w:pPr>
            <w:r w:rsidRPr="00D7033D">
              <w:t>Publication within stated year</w:t>
            </w:r>
          </w:p>
        </w:tc>
        <w:tc>
          <w:tcPr>
            <w:tcW w:w="1323" w:type="dxa"/>
            <w:gridSpan w:val="2"/>
            <w:shd w:val="clear" w:color="auto" w:fill="FFFFFF"/>
          </w:tcPr>
          <w:p w14:paraId="526B8669" w14:textId="77777777" w:rsidR="00770EF8" w:rsidRDefault="00770EF8" w:rsidP="00770EF8">
            <w:pPr>
              <w:pStyle w:val="Tabletext"/>
            </w:pPr>
            <w:r w:rsidRPr="00D7033D">
              <w:t>80%</w:t>
            </w:r>
          </w:p>
        </w:tc>
        <w:tc>
          <w:tcPr>
            <w:tcW w:w="1361" w:type="dxa"/>
            <w:shd w:val="clear" w:color="auto" w:fill="FFFFFF"/>
          </w:tcPr>
          <w:p w14:paraId="02104F60" w14:textId="77777777" w:rsidR="00770EF8" w:rsidRDefault="00770EF8" w:rsidP="00770EF8">
            <w:pPr>
              <w:pStyle w:val="Tabletext"/>
            </w:pPr>
            <w:r>
              <w:t>1</w:t>
            </w:r>
          </w:p>
        </w:tc>
        <w:tc>
          <w:tcPr>
            <w:tcW w:w="1335" w:type="dxa"/>
            <w:shd w:val="clear" w:color="auto" w:fill="FFFFFF"/>
          </w:tcPr>
          <w:p w14:paraId="46C1D890" w14:textId="77777777" w:rsidR="00770EF8" w:rsidRDefault="00770EF8" w:rsidP="00770EF8">
            <w:pPr>
              <w:pStyle w:val="Tabletext"/>
            </w:pPr>
            <w:r>
              <w:t>1</w:t>
            </w:r>
          </w:p>
        </w:tc>
        <w:tc>
          <w:tcPr>
            <w:tcW w:w="1575" w:type="dxa"/>
            <w:gridSpan w:val="2"/>
            <w:shd w:val="clear" w:color="auto" w:fill="FFFFFF"/>
          </w:tcPr>
          <w:p w14:paraId="159DD91F" w14:textId="77777777" w:rsidR="00770EF8" w:rsidRDefault="00770EF8" w:rsidP="00770EF8">
            <w:pPr>
              <w:pStyle w:val="Tabletext"/>
            </w:pPr>
            <w:r w:rsidRPr="00D7033D">
              <w:t>100%</w:t>
            </w:r>
          </w:p>
        </w:tc>
        <w:tc>
          <w:tcPr>
            <w:tcW w:w="1312" w:type="dxa"/>
            <w:shd w:val="clear" w:color="auto" w:fill="FFFFFF"/>
          </w:tcPr>
          <w:p w14:paraId="639F2558" w14:textId="77777777" w:rsidR="00770EF8" w:rsidRDefault="00770EF8" w:rsidP="00770EF8">
            <w:pPr>
              <w:pStyle w:val="Tabletext"/>
            </w:pPr>
            <w:r w:rsidRPr="00D7033D">
              <w:t>Green</w:t>
            </w:r>
          </w:p>
        </w:tc>
      </w:tr>
      <w:tr w:rsidR="00770EF8" w14:paraId="55DCF914" w14:textId="77777777" w:rsidTr="00770EF8">
        <w:tc>
          <w:tcPr>
            <w:tcW w:w="1834" w:type="dxa"/>
            <w:gridSpan w:val="2"/>
            <w:shd w:val="clear" w:color="auto" w:fill="FFFFFF"/>
          </w:tcPr>
          <w:p w14:paraId="24C8AB84" w14:textId="77777777" w:rsidR="00770EF8" w:rsidRPr="00D7033D" w:rsidRDefault="00770EF8" w:rsidP="00770EF8">
            <w:pPr>
              <w:pStyle w:val="Tabletext"/>
            </w:pPr>
            <w:r w:rsidRPr="00D7033D">
              <w:t xml:space="preserve">Publish guidelines: social care </w:t>
            </w:r>
          </w:p>
        </w:tc>
        <w:tc>
          <w:tcPr>
            <w:tcW w:w="1972" w:type="dxa"/>
            <w:shd w:val="clear" w:color="auto" w:fill="FFFFFF"/>
          </w:tcPr>
          <w:p w14:paraId="4168B1A8" w14:textId="77777777" w:rsidR="00770EF8" w:rsidRPr="00D7033D" w:rsidRDefault="00770EF8" w:rsidP="00770EF8">
            <w:pPr>
              <w:pStyle w:val="Tabletext"/>
            </w:pPr>
            <w:r w:rsidRPr="00D7033D">
              <w:t>1</w:t>
            </w:r>
          </w:p>
        </w:tc>
        <w:tc>
          <w:tcPr>
            <w:tcW w:w="1821" w:type="dxa"/>
            <w:shd w:val="clear" w:color="auto" w:fill="FFFFFF"/>
          </w:tcPr>
          <w:p w14:paraId="6874578A" w14:textId="77777777" w:rsidR="00770EF8" w:rsidRPr="00D7033D" w:rsidRDefault="00770EF8" w:rsidP="00770EF8">
            <w:pPr>
              <w:pStyle w:val="Tabletext"/>
            </w:pPr>
            <w:r w:rsidRPr="00D7033D">
              <w:t>0</w:t>
            </w:r>
          </w:p>
        </w:tc>
        <w:tc>
          <w:tcPr>
            <w:tcW w:w="1415" w:type="dxa"/>
            <w:shd w:val="clear" w:color="auto" w:fill="FFFFFF"/>
          </w:tcPr>
          <w:p w14:paraId="524F3D59" w14:textId="77777777" w:rsidR="00770EF8" w:rsidRPr="00D7033D" w:rsidRDefault="00770EF8" w:rsidP="00770EF8">
            <w:pPr>
              <w:pStyle w:val="Tabletext"/>
            </w:pPr>
            <w:r w:rsidRPr="00D7033D">
              <w:t>Publication within stated year</w:t>
            </w:r>
          </w:p>
        </w:tc>
        <w:tc>
          <w:tcPr>
            <w:tcW w:w="1323" w:type="dxa"/>
            <w:gridSpan w:val="2"/>
            <w:shd w:val="clear" w:color="auto" w:fill="FFFFFF"/>
          </w:tcPr>
          <w:p w14:paraId="44F14E9B" w14:textId="77777777" w:rsidR="00770EF8" w:rsidRPr="00D7033D" w:rsidRDefault="00770EF8" w:rsidP="00770EF8">
            <w:pPr>
              <w:pStyle w:val="Tabletext"/>
            </w:pPr>
            <w:r w:rsidRPr="00D7033D">
              <w:t>80%</w:t>
            </w:r>
          </w:p>
        </w:tc>
        <w:tc>
          <w:tcPr>
            <w:tcW w:w="1361" w:type="dxa"/>
            <w:shd w:val="clear" w:color="auto" w:fill="FFFFFF"/>
          </w:tcPr>
          <w:p w14:paraId="786170E3" w14:textId="77777777" w:rsidR="00770EF8" w:rsidRPr="00D7033D" w:rsidRDefault="00770EF8" w:rsidP="00770EF8">
            <w:pPr>
              <w:pStyle w:val="Tabletext"/>
            </w:pPr>
            <w:r>
              <w:t>0</w:t>
            </w:r>
          </w:p>
        </w:tc>
        <w:tc>
          <w:tcPr>
            <w:tcW w:w="1335" w:type="dxa"/>
            <w:shd w:val="clear" w:color="auto" w:fill="FFFFFF"/>
          </w:tcPr>
          <w:p w14:paraId="4D34B9D6" w14:textId="77777777" w:rsidR="00770EF8" w:rsidRPr="00D7033D" w:rsidRDefault="00770EF8" w:rsidP="00770EF8">
            <w:pPr>
              <w:pStyle w:val="Tabletext"/>
            </w:pPr>
            <w:r>
              <w:t>1</w:t>
            </w:r>
          </w:p>
        </w:tc>
        <w:tc>
          <w:tcPr>
            <w:tcW w:w="1575" w:type="dxa"/>
            <w:gridSpan w:val="2"/>
            <w:shd w:val="clear" w:color="auto" w:fill="FFFFFF"/>
          </w:tcPr>
          <w:p w14:paraId="7ACA2CDE" w14:textId="77777777" w:rsidR="00770EF8" w:rsidRPr="00D7033D" w:rsidRDefault="00770EF8" w:rsidP="00770EF8">
            <w:pPr>
              <w:pStyle w:val="Tabletext"/>
            </w:pPr>
            <w:r w:rsidRPr="00D7033D">
              <w:t>100%</w:t>
            </w:r>
          </w:p>
        </w:tc>
        <w:tc>
          <w:tcPr>
            <w:tcW w:w="1312" w:type="dxa"/>
            <w:shd w:val="clear" w:color="auto" w:fill="FFFFFF"/>
          </w:tcPr>
          <w:p w14:paraId="39283098" w14:textId="77777777" w:rsidR="00770EF8" w:rsidRPr="00D7033D" w:rsidRDefault="00770EF8" w:rsidP="00770EF8">
            <w:pPr>
              <w:pStyle w:val="Tabletext"/>
            </w:pPr>
            <w:r w:rsidRPr="00D7033D">
              <w:t>Green</w:t>
            </w:r>
          </w:p>
        </w:tc>
      </w:tr>
      <w:tr w:rsidR="00770EF8" w14:paraId="527AF3C3" w14:textId="77777777" w:rsidTr="00770EF8">
        <w:tc>
          <w:tcPr>
            <w:tcW w:w="1834" w:type="dxa"/>
            <w:gridSpan w:val="2"/>
            <w:shd w:val="clear" w:color="auto" w:fill="FFFFFF"/>
          </w:tcPr>
          <w:p w14:paraId="194C6782" w14:textId="77777777" w:rsidR="00770EF8" w:rsidRPr="00D7033D" w:rsidRDefault="00770EF8" w:rsidP="00770EF8">
            <w:pPr>
              <w:pStyle w:val="Tabletext"/>
            </w:pPr>
            <w:r w:rsidRPr="00D7033D">
              <w:t>Publish guidelines: managing common infections</w:t>
            </w:r>
          </w:p>
        </w:tc>
        <w:tc>
          <w:tcPr>
            <w:tcW w:w="1972" w:type="dxa"/>
            <w:shd w:val="clear" w:color="auto" w:fill="FFFFFF"/>
          </w:tcPr>
          <w:p w14:paraId="232BA7A4" w14:textId="77777777" w:rsidR="00770EF8" w:rsidRPr="00D7033D" w:rsidRDefault="00770EF8" w:rsidP="00770EF8">
            <w:pPr>
              <w:pStyle w:val="Tabletext"/>
            </w:pPr>
            <w:r w:rsidRPr="00D7033D">
              <w:t>4</w:t>
            </w:r>
          </w:p>
        </w:tc>
        <w:tc>
          <w:tcPr>
            <w:tcW w:w="1821" w:type="dxa"/>
            <w:shd w:val="clear" w:color="auto" w:fill="FFFFFF"/>
          </w:tcPr>
          <w:p w14:paraId="5CCB0802" w14:textId="77777777" w:rsidR="00770EF8" w:rsidRPr="00D7033D" w:rsidRDefault="00770EF8" w:rsidP="00770EF8">
            <w:pPr>
              <w:pStyle w:val="Tabletext"/>
            </w:pPr>
            <w:r w:rsidRPr="00D7033D">
              <w:t>0</w:t>
            </w:r>
          </w:p>
        </w:tc>
        <w:tc>
          <w:tcPr>
            <w:tcW w:w="1415" w:type="dxa"/>
            <w:shd w:val="clear" w:color="auto" w:fill="FFFFFF"/>
          </w:tcPr>
          <w:p w14:paraId="73FF0EDD" w14:textId="77777777" w:rsidR="00770EF8" w:rsidRPr="00D7033D" w:rsidRDefault="00770EF8" w:rsidP="00770EF8">
            <w:pPr>
              <w:pStyle w:val="Tabletext"/>
            </w:pPr>
            <w:r w:rsidRPr="00D7033D">
              <w:t>Publication within stated year</w:t>
            </w:r>
          </w:p>
        </w:tc>
        <w:tc>
          <w:tcPr>
            <w:tcW w:w="1323" w:type="dxa"/>
            <w:gridSpan w:val="2"/>
            <w:shd w:val="clear" w:color="auto" w:fill="FFFFFF"/>
          </w:tcPr>
          <w:p w14:paraId="1AEA21D5" w14:textId="77777777" w:rsidR="00770EF8" w:rsidRPr="00D7033D" w:rsidRDefault="00770EF8" w:rsidP="00770EF8">
            <w:pPr>
              <w:pStyle w:val="Tabletext"/>
            </w:pPr>
            <w:r w:rsidRPr="00D7033D">
              <w:t>80%</w:t>
            </w:r>
          </w:p>
        </w:tc>
        <w:tc>
          <w:tcPr>
            <w:tcW w:w="1361" w:type="dxa"/>
            <w:shd w:val="clear" w:color="auto" w:fill="FFFFFF"/>
          </w:tcPr>
          <w:p w14:paraId="2320B170" w14:textId="77777777" w:rsidR="00770EF8" w:rsidRPr="00D7033D" w:rsidRDefault="00770EF8" w:rsidP="00770EF8">
            <w:pPr>
              <w:pStyle w:val="Tabletext"/>
            </w:pPr>
            <w:r>
              <w:t>0</w:t>
            </w:r>
          </w:p>
        </w:tc>
        <w:tc>
          <w:tcPr>
            <w:tcW w:w="1335" w:type="dxa"/>
            <w:shd w:val="clear" w:color="auto" w:fill="FFFFFF"/>
          </w:tcPr>
          <w:p w14:paraId="3843CCFC" w14:textId="77777777" w:rsidR="00770EF8" w:rsidRPr="00D7033D" w:rsidRDefault="00770EF8" w:rsidP="00770EF8">
            <w:pPr>
              <w:pStyle w:val="Tabletext"/>
            </w:pPr>
            <w:r>
              <w:t>3</w:t>
            </w:r>
          </w:p>
        </w:tc>
        <w:tc>
          <w:tcPr>
            <w:tcW w:w="1575" w:type="dxa"/>
            <w:gridSpan w:val="2"/>
            <w:shd w:val="clear" w:color="auto" w:fill="FFFFFF"/>
          </w:tcPr>
          <w:p w14:paraId="1C1BBB56" w14:textId="5343F62A" w:rsidR="00770EF8" w:rsidRPr="00D7033D" w:rsidRDefault="004568E5" w:rsidP="00770EF8">
            <w:pPr>
              <w:pStyle w:val="Tabletext"/>
            </w:pPr>
            <w:r>
              <w:t>10</w:t>
            </w:r>
            <w:r w:rsidRPr="00D7033D">
              <w:t>0</w:t>
            </w:r>
            <w:r w:rsidR="00770EF8" w:rsidRPr="00D7033D">
              <w:t>%</w:t>
            </w:r>
          </w:p>
        </w:tc>
        <w:tc>
          <w:tcPr>
            <w:tcW w:w="1312" w:type="dxa"/>
            <w:shd w:val="clear" w:color="auto" w:fill="FFFFFF"/>
          </w:tcPr>
          <w:p w14:paraId="6EEE9946" w14:textId="77777777" w:rsidR="00770EF8" w:rsidRPr="00D7033D" w:rsidRDefault="00770EF8" w:rsidP="00770EF8">
            <w:pPr>
              <w:pStyle w:val="Tabletext"/>
            </w:pPr>
            <w:r>
              <w:t>Green</w:t>
            </w:r>
          </w:p>
        </w:tc>
      </w:tr>
      <w:tr w:rsidR="00770EF8" w14:paraId="6F364339" w14:textId="77777777" w:rsidTr="00770EF8">
        <w:tc>
          <w:tcPr>
            <w:tcW w:w="1834" w:type="dxa"/>
            <w:gridSpan w:val="2"/>
            <w:shd w:val="clear" w:color="auto" w:fill="FFFFFF"/>
          </w:tcPr>
          <w:p w14:paraId="51E657E1" w14:textId="77777777" w:rsidR="00770EF8" w:rsidRPr="00D7033D" w:rsidRDefault="00770EF8" w:rsidP="00770EF8">
            <w:pPr>
              <w:pStyle w:val="Tabletext"/>
            </w:pPr>
            <w:r w:rsidRPr="00D7033D">
              <w:t>Publish guidelines: COVID-19 rapid guidelines</w:t>
            </w:r>
          </w:p>
        </w:tc>
        <w:tc>
          <w:tcPr>
            <w:tcW w:w="1972" w:type="dxa"/>
            <w:shd w:val="clear" w:color="auto" w:fill="FFFFFF"/>
          </w:tcPr>
          <w:p w14:paraId="0CC63CFD" w14:textId="77777777" w:rsidR="00770EF8" w:rsidRPr="00D7033D" w:rsidRDefault="00770EF8" w:rsidP="00770EF8">
            <w:pPr>
              <w:pStyle w:val="Tabletext"/>
            </w:pPr>
            <w:r w:rsidRPr="00D7033D">
              <w:t>0</w:t>
            </w:r>
          </w:p>
        </w:tc>
        <w:tc>
          <w:tcPr>
            <w:tcW w:w="1821" w:type="dxa"/>
            <w:shd w:val="clear" w:color="auto" w:fill="FFFFFF"/>
          </w:tcPr>
          <w:p w14:paraId="2C1E7F1E" w14:textId="77777777" w:rsidR="00770EF8" w:rsidRPr="00D7033D" w:rsidRDefault="00770EF8" w:rsidP="00770EF8">
            <w:pPr>
              <w:pStyle w:val="Tabletext"/>
            </w:pPr>
            <w:r w:rsidRPr="00D7033D">
              <w:t>21</w:t>
            </w:r>
          </w:p>
        </w:tc>
        <w:tc>
          <w:tcPr>
            <w:tcW w:w="1415" w:type="dxa"/>
            <w:shd w:val="clear" w:color="auto" w:fill="FFFFFF"/>
          </w:tcPr>
          <w:p w14:paraId="28FF6722" w14:textId="77777777" w:rsidR="00770EF8" w:rsidRPr="00D7033D" w:rsidRDefault="00770EF8" w:rsidP="00770EF8">
            <w:pPr>
              <w:pStyle w:val="Tabletext"/>
            </w:pPr>
            <w:r w:rsidRPr="00D7033D">
              <w:t>Publication within stated year</w:t>
            </w:r>
          </w:p>
        </w:tc>
        <w:tc>
          <w:tcPr>
            <w:tcW w:w="1323" w:type="dxa"/>
            <w:gridSpan w:val="2"/>
            <w:shd w:val="clear" w:color="auto" w:fill="FFFFFF"/>
          </w:tcPr>
          <w:p w14:paraId="692456E5" w14:textId="77777777" w:rsidR="00770EF8" w:rsidRPr="00D7033D" w:rsidRDefault="00770EF8" w:rsidP="00770EF8">
            <w:pPr>
              <w:pStyle w:val="Tabletext"/>
            </w:pPr>
            <w:r w:rsidRPr="00D7033D">
              <w:t>80%</w:t>
            </w:r>
          </w:p>
        </w:tc>
        <w:tc>
          <w:tcPr>
            <w:tcW w:w="1361" w:type="dxa"/>
            <w:shd w:val="clear" w:color="auto" w:fill="FFFFFF"/>
          </w:tcPr>
          <w:p w14:paraId="32267D56" w14:textId="77777777" w:rsidR="00770EF8" w:rsidRPr="00D7033D" w:rsidRDefault="00770EF8" w:rsidP="00770EF8">
            <w:pPr>
              <w:pStyle w:val="Tabletext"/>
            </w:pPr>
            <w:r>
              <w:t>21</w:t>
            </w:r>
          </w:p>
        </w:tc>
        <w:tc>
          <w:tcPr>
            <w:tcW w:w="1335" w:type="dxa"/>
            <w:shd w:val="clear" w:color="auto" w:fill="FFFFFF"/>
          </w:tcPr>
          <w:p w14:paraId="09A32689" w14:textId="77777777" w:rsidR="00770EF8" w:rsidRPr="00D7033D" w:rsidRDefault="00770EF8" w:rsidP="00770EF8">
            <w:pPr>
              <w:pStyle w:val="Tabletext"/>
            </w:pPr>
            <w:r>
              <w:t>24</w:t>
            </w:r>
          </w:p>
        </w:tc>
        <w:tc>
          <w:tcPr>
            <w:tcW w:w="1575" w:type="dxa"/>
            <w:gridSpan w:val="2"/>
            <w:shd w:val="clear" w:color="auto" w:fill="FFFFFF"/>
          </w:tcPr>
          <w:p w14:paraId="530A0486" w14:textId="77777777" w:rsidR="00770EF8" w:rsidRPr="00D7033D" w:rsidRDefault="00770EF8" w:rsidP="00770EF8">
            <w:pPr>
              <w:pStyle w:val="Tabletext"/>
            </w:pPr>
            <w:r w:rsidRPr="00D7033D">
              <w:t>1</w:t>
            </w:r>
            <w:r>
              <w:t>14</w:t>
            </w:r>
            <w:r w:rsidRPr="00D7033D">
              <w:t>%</w:t>
            </w:r>
          </w:p>
        </w:tc>
        <w:tc>
          <w:tcPr>
            <w:tcW w:w="1312" w:type="dxa"/>
            <w:shd w:val="clear" w:color="auto" w:fill="FFFFFF"/>
          </w:tcPr>
          <w:p w14:paraId="425C6FB5" w14:textId="77777777" w:rsidR="00770EF8" w:rsidRPr="00D7033D" w:rsidRDefault="00770EF8" w:rsidP="00770EF8">
            <w:pPr>
              <w:pStyle w:val="Tabletext"/>
            </w:pPr>
            <w:r w:rsidRPr="00D7033D">
              <w:t>Green</w:t>
            </w:r>
          </w:p>
        </w:tc>
      </w:tr>
      <w:tr w:rsidR="00770EF8" w14:paraId="713C21C8" w14:textId="77777777" w:rsidTr="00770EF8">
        <w:tc>
          <w:tcPr>
            <w:tcW w:w="1834" w:type="dxa"/>
            <w:gridSpan w:val="2"/>
            <w:shd w:val="clear" w:color="auto" w:fill="FFFFFF"/>
          </w:tcPr>
          <w:p w14:paraId="0FBDE50F" w14:textId="77777777" w:rsidR="00770EF8" w:rsidRPr="00D7033D" w:rsidRDefault="00770EF8" w:rsidP="00770EF8">
            <w:pPr>
              <w:pStyle w:val="Tabletext"/>
            </w:pPr>
            <w:r w:rsidRPr="00D7033D">
              <w:t xml:space="preserve">Publish technology appraisals and highly </w:t>
            </w:r>
            <w:r w:rsidRPr="00D7033D">
              <w:lastRenderedPageBreak/>
              <w:t xml:space="preserve">specialised technologies guidance </w:t>
            </w:r>
          </w:p>
        </w:tc>
        <w:tc>
          <w:tcPr>
            <w:tcW w:w="1972" w:type="dxa"/>
            <w:shd w:val="clear" w:color="auto" w:fill="FFFFFF"/>
          </w:tcPr>
          <w:p w14:paraId="030933F7" w14:textId="77777777" w:rsidR="00770EF8" w:rsidRPr="00D7033D" w:rsidRDefault="00770EF8" w:rsidP="00770EF8">
            <w:pPr>
              <w:pStyle w:val="Tabletext"/>
            </w:pPr>
            <w:r w:rsidRPr="00D7033D">
              <w:lastRenderedPageBreak/>
              <w:t>98</w:t>
            </w:r>
          </w:p>
        </w:tc>
        <w:tc>
          <w:tcPr>
            <w:tcW w:w="1821" w:type="dxa"/>
            <w:shd w:val="clear" w:color="auto" w:fill="FFFFFF"/>
          </w:tcPr>
          <w:p w14:paraId="131B3119" w14:textId="77777777" w:rsidR="00770EF8" w:rsidRPr="00D7033D" w:rsidRDefault="00770EF8" w:rsidP="00770EF8">
            <w:pPr>
              <w:pStyle w:val="Tabletext"/>
            </w:pPr>
            <w:r w:rsidRPr="00D7033D">
              <w:t>Up to 70</w:t>
            </w:r>
          </w:p>
        </w:tc>
        <w:tc>
          <w:tcPr>
            <w:tcW w:w="1415" w:type="dxa"/>
            <w:shd w:val="clear" w:color="auto" w:fill="FFFFFF"/>
          </w:tcPr>
          <w:p w14:paraId="15373F90" w14:textId="77777777" w:rsidR="00770EF8" w:rsidRPr="00D7033D" w:rsidRDefault="00770EF8" w:rsidP="00770EF8">
            <w:pPr>
              <w:pStyle w:val="Tabletext"/>
            </w:pPr>
            <w:r w:rsidRPr="00D7033D">
              <w:t>Publication within stated year</w:t>
            </w:r>
          </w:p>
        </w:tc>
        <w:tc>
          <w:tcPr>
            <w:tcW w:w="1323" w:type="dxa"/>
            <w:gridSpan w:val="2"/>
            <w:shd w:val="clear" w:color="auto" w:fill="FFFFFF"/>
          </w:tcPr>
          <w:p w14:paraId="038E39A1" w14:textId="77777777" w:rsidR="00770EF8" w:rsidRPr="00D7033D" w:rsidRDefault="00770EF8" w:rsidP="00770EF8">
            <w:pPr>
              <w:pStyle w:val="Tabletext"/>
            </w:pPr>
            <w:r w:rsidRPr="00D7033D">
              <w:t>80%</w:t>
            </w:r>
          </w:p>
        </w:tc>
        <w:tc>
          <w:tcPr>
            <w:tcW w:w="1361" w:type="dxa"/>
            <w:shd w:val="clear" w:color="auto" w:fill="FFFFFF"/>
          </w:tcPr>
          <w:p w14:paraId="02457F74" w14:textId="77777777" w:rsidR="00770EF8" w:rsidRPr="00D7033D" w:rsidRDefault="00770EF8" w:rsidP="00770EF8">
            <w:pPr>
              <w:pStyle w:val="Tabletext"/>
            </w:pPr>
            <w:r>
              <w:t>Up to 70</w:t>
            </w:r>
          </w:p>
        </w:tc>
        <w:tc>
          <w:tcPr>
            <w:tcW w:w="1335" w:type="dxa"/>
            <w:shd w:val="clear" w:color="auto" w:fill="FFFFFF"/>
          </w:tcPr>
          <w:p w14:paraId="3F372DD4" w14:textId="77777777" w:rsidR="00770EF8" w:rsidRPr="00D7033D" w:rsidRDefault="00770EF8" w:rsidP="00770EF8">
            <w:pPr>
              <w:pStyle w:val="Tabletext"/>
            </w:pPr>
            <w:r>
              <w:t>65</w:t>
            </w:r>
          </w:p>
        </w:tc>
        <w:tc>
          <w:tcPr>
            <w:tcW w:w="1575" w:type="dxa"/>
            <w:gridSpan w:val="2"/>
            <w:shd w:val="clear" w:color="auto" w:fill="FFFFFF"/>
          </w:tcPr>
          <w:p w14:paraId="42E5E9B2" w14:textId="77777777" w:rsidR="00770EF8" w:rsidRPr="00D7033D" w:rsidRDefault="00770EF8" w:rsidP="00770EF8">
            <w:pPr>
              <w:pStyle w:val="Tabletext"/>
            </w:pPr>
            <w:r>
              <w:t>93</w:t>
            </w:r>
            <w:r w:rsidRPr="00D7033D">
              <w:t>%</w:t>
            </w:r>
          </w:p>
        </w:tc>
        <w:tc>
          <w:tcPr>
            <w:tcW w:w="1312" w:type="dxa"/>
            <w:shd w:val="clear" w:color="auto" w:fill="FFFFFF"/>
          </w:tcPr>
          <w:p w14:paraId="09432DAE" w14:textId="77777777" w:rsidR="00770EF8" w:rsidRPr="00D7033D" w:rsidRDefault="00770EF8" w:rsidP="00770EF8">
            <w:pPr>
              <w:pStyle w:val="Tabletext"/>
            </w:pPr>
            <w:r w:rsidRPr="00D7033D">
              <w:t>Green</w:t>
            </w:r>
          </w:p>
        </w:tc>
      </w:tr>
      <w:tr w:rsidR="00770EF8" w14:paraId="7B37F02D" w14:textId="77777777" w:rsidTr="00770EF8">
        <w:tc>
          <w:tcPr>
            <w:tcW w:w="1834" w:type="dxa"/>
            <w:gridSpan w:val="2"/>
            <w:shd w:val="clear" w:color="auto" w:fill="FFFFFF"/>
          </w:tcPr>
          <w:p w14:paraId="2AE8F0FD" w14:textId="77777777" w:rsidR="00770EF8" w:rsidRPr="00D7033D" w:rsidRDefault="00770EF8" w:rsidP="00770EF8">
            <w:pPr>
              <w:pStyle w:val="Tabletext"/>
            </w:pPr>
            <w:r w:rsidRPr="00D7033D">
              <w:t>Publish interventional procedures guidance</w:t>
            </w:r>
          </w:p>
        </w:tc>
        <w:tc>
          <w:tcPr>
            <w:tcW w:w="1972" w:type="dxa"/>
            <w:shd w:val="clear" w:color="auto" w:fill="FFFFFF"/>
          </w:tcPr>
          <w:p w14:paraId="4571F326" w14:textId="77777777" w:rsidR="00770EF8" w:rsidRPr="00D7033D" w:rsidRDefault="00770EF8" w:rsidP="00770EF8">
            <w:pPr>
              <w:pStyle w:val="Tabletext"/>
            </w:pPr>
            <w:r w:rsidRPr="00D7033D">
              <w:t>33</w:t>
            </w:r>
          </w:p>
        </w:tc>
        <w:tc>
          <w:tcPr>
            <w:tcW w:w="1821" w:type="dxa"/>
            <w:shd w:val="clear" w:color="auto" w:fill="FFFFFF"/>
          </w:tcPr>
          <w:p w14:paraId="3F89DF75" w14:textId="77777777" w:rsidR="00770EF8" w:rsidRPr="00D7033D" w:rsidRDefault="00770EF8" w:rsidP="00770EF8">
            <w:pPr>
              <w:pStyle w:val="Tabletext"/>
            </w:pPr>
            <w:r w:rsidRPr="00D7033D">
              <w:t>Up to 25</w:t>
            </w:r>
          </w:p>
        </w:tc>
        <w:tc>
          <w:tcPr>
            <w:tcW w:w="1415" w:type="dxa"/>
            <w:shd w:val="clear" w:color="auto" w:fill="FFFFFF"/>
          </w:tcPr>
          <w:p w14:paraId="274E5F80" w14:textId="77777777" w:rsidR="00770EF8" w:rsidRPr="00D7033D" w:rsidRDefault="00770EF8" w:rsidP="00770EF8">
            <w:pPr>
              <w:pStyle w:val="Tabletext"/>
            </w:pPr>
            <w:r w:rsidRPr="00D7033D">
              <w:t>Publication within stated quarter</w:t>
            </w:r>
          </w:p>
        </w:tc>
        <w:tc>
          <w:tcPr>
            <w:tcW w:w="1323" w:type="dxa"/>
            <w:gridSpan w:val="2"/>
            <w:shd w:val="clear" w:color="auto" w:fill="FFFFFF"/>
          </w:tcPr>
          <w:p w14:paraId="04B27CBB" w14:textId="77777777" w:rsidR="00770EF8" w:rsidRPr="00D7033D" w:rsidRDefault="00770EF8" w:rsidP="00770EF8">
            <w:pPr>
              <w:pStyle w:val="Tabletext"/>
            </w:pPr>
            <w:r w:rsidRPr="00D7033D">
              <w:t>80%</w:t>
            </w:r>
          </w:p>
        </w:tc>
        <w:tc>
          <w:tcPr>
            <w:tcW w:w="1361" w:type="dxa"/>
            <w:shd w:val="clear" w:color="auto" w:fill="FFFFFF"/>
          </w:tcPr>
          <w:p w14:paraId="4E67D37F" w14:textId="77777777" w:rsidR="00770EF8" w:rsidRPr="00D7033D" w:rsidRDefault="00770EF8" w:rsidP="00770EF8">
            <w:pPr>
              <w:pStyle w:val="Tabletext"/>
            </w:pPr>
            <w:r>
              <w:t>Up to 25</w:t>
            </w:r>
          </w:p>
        </w:tc>
        <w:tc>
          <w:tcPr>
            <w:tcW w:w="1335" w:type="dxa"/>
            <w:shd w:val="clear" w:color="auto" w:fill="FFFFFF"/>
          </w:tcPr>
          <w:p w14:paraId="00298682" w14:textId="77777777" w:rsidR="00770EF8" w:rsidRPr="00D7033D" w:rsidRDefault="00770EF8" w:rsidP="00770EF8">
            <w:pPr>
              <w:pStyle w:val="Tabletext"/>
            </w:pPr>
            <w:r>
              <w:t>19</w:t>
            </w:r>
          </w:p>
        </w:tc>
        <w:tc>
          <w:tcPr>
            <w:tcW w:w="1575" w:type="dxa"/>
            <w:gridSpan w:val="2"/>
            <w:shd w:val="clear" w:color="auto" w:fill="FFFFFF"/>
          </w:tcPr>
          <w:p w14:paraId="5419D4C2" w14:textId="77777777" w:rsidR="00770EF8" w:rsidRPr="00D7033D" w:rsidRDefault="00770EF8" w:rsidP="00770EF8">
            <w:pPr>
              <w:pStyle w:val="Tabletext"/>
            </w:pPr>
            <w:r>
              <w:t>76</w:t>
            </w:r>
            <w:r w:rsidRPr="00D7033D">
              <w:t>%</w:t>
            </w:r>
          </w:p>
        </w:tc>
        <w:tc>
          <w:tcPr>
            <w:tcW w:w="1312" w:type="dxa"/>
            <w:shd w:val="clear" w:color="auto" w:fill="FFFFFF"/>
          </w:tcPr>
          <w:p w14:paraId="7E0404C5" w14:textId="77777777" w:rsidR="00770EF8" w:rsidRPr="00D7033D" w:rsidRDefault="00770EF8" w:rsidP="00770EF8">
            <w:pPr>
              <w:pStyle w:val="Tabletext"/>
            </w:pPr>
            <w:r>
              <w:t>Amber (see note 1)</w:t>
            </w:r>
          </w:p>
        </w:tc>
      </w:tr>
      <w:tr w:rsidR="00770EF8" w14:paraId="4EA0FC0B" w14:textId="77777777" w:rsidTr="00770EF8">
        <w:tc>
          <w:tcPr>
            <w:tcW w:w="1834" w:type="dxa"/>
            <w:gridSpan w:val="2"/>
            <w:shd w:val="clear" w:color="auto" w:fill="FFFFFF"/>
          </w:tcPr>
          <w:p w14:paraId="2C05DCDE" w14:textId="77777777" w:rsidR="00770EF8" w:rsidRPr="00D7033D" w:rsidRDefault="00770EF8" w:rsidP="00770EF8">
            <w:pPr>
              <w:pStyle w:val="Tabletext"/>
            </w:pPr>
            <w:r w:rsidRPr="00D7033D">
              <w:t xml:space="preserve">Publish diagnostics guidance </w:t>
            </w:r>
          </w:p>
        </w:tc>
        <w:tc>
          <w:tcPr>
            <w:tcW w:w="1972" w:type="dxa"/>
            <w:shd w:val="clear" w:color="auto" w:fill="FFFFFF"/>
          </w:tcPr>
          <w:p w14:paraId="77F7077D" w14:textId="77777777" w:rsidR="00770EF8" w:rsidRPr="00D7033D" w:rsidRDefault="00770EF8" w:rsidP="00770EF8">
            <w:pPr>
              <w:pStyle w:val="Tabletext"/>
            </w:pPr>
            <w:r w:rsidRPr="00D7033D">
              <w:t>Up to 11</w:t>
            </w:r>
          </w:p>
        </w:tc>
        <w:tc>
          <w:tcPr>
            <w:tcW w:w="1821" w:type="dxa"/>
            <w:shd w:val="clear" w:color="auto" w:fill="FFFFFF"/>
          </w:tcPr>
          <w:p w14:paraId="5AE73441" w14:textId="77777777" w:rsidR="00770EF8" w:rsidRPr="00D7033D" w:rsidRDefault="00770EF8" w:rsidP="00770EF8">
            <w:pPr>
              <w:pStyle w:val="Tabletext"/>
            </w:pPr>
            <w:r w:rsidRPr="00D7033D">
              <w:t>Range from 5 to 7</w:t>
            </w:r>
          </w:p>
        </w:tc>
        <w:tc>
          <w:tcPr>
            <w:tcW w:w="1415" w:type="dxa"/>
            <w:shd w:val="clear" w:color="auto" w:fill="FFFFFF"/>
          </w:tcPr>
          <w:p w14:paraId="72CC868A" w14:textId="77777777" w:rsidR="00770EF8" w:rsidRPr="00D7033D" w:rsidRDefault="00770EF8" w:rsidP="00770EF8">
            <w:pPr>
              <w:pStyle w:val="Tabletext"/>
            </w:pPr>
            <w:r w:rsidRPr="00D7033D">
              <w:t>Publication within stated quarter</w:t>
            </w:r>
          </w:p>
        </w:tc>
        <w:tc>
          <w:tcPr>
            <w:tcW w:w="1323" w:type="dxa"/>
            <w:gridSpan w:val="2"/>
            <w:shd w:val="clear" w:color="auto" w:fill="FFFFFF"/>
          </w:tcPr>
          <w:p w14:paraId="2B524FAD" w14:textId="77777777" w:rsidR="00770EF8" w:rsidRPr="00D7033D" w:rsidRDefault="00770EF8" w:rsidP="00770EF8">
            <w:pPr>
              <w:pStyle w:val="Tabletext"/>
            </w:pPr>
            <w:r w:rsidRPr="00D7033D">
              <w:t>80%</w:t>
            </w:r>
          </w:p>
        </w:tc>
        <w:tc>
          <w:tcPr>
            <w:tcW w:w="1361" w:type="dxa"/>
            <w:shd w:val="clear" w:color="auto" w:fill="FFFFFF"/>
          </w:tcPr>
          <w:p w14:paraId="0FC756EC" w14:textId="77777777" w:rsidR="00770EF8" w:rsidRPr="00D7033D" w:rsidRDefault="00770EF8" w:rsidP="00770EF8">
            <w:pPr>
              <w:pStyle w:val="Tabletext"/>
            </w:pPr>
            <w:r>
              <w:t>Range from 5 to 7</w:t>
            </w:r>
          </w:p>
        </w:tc>
        <w:tc>
          <w:tcPr>
            <w:tcW w:w="1335" w:type="dxa"/>
            <w:shd w:val="clear" w:color="auto" w:fill="FFFFFF"/>
          </w:tcPr>
          <w:p w14:paraId="6D5E629D" w14:textId="77777777" w:rsidR="00770EF8" w:rsidRPr="00D7033D" w:rsidRDefault="00770EF8" w:rsidP="00770EF8">
            <w:pPr>
              <w:pStyle w:val="Tabletext"/>
            </w:pPr>
            <w:r>
              <w:t>5</w:t>
            </w:r>
          </w:p>
        </w:tc>
        <w:tc>
          <w:tcPr>
            <w:tcW w:w="1575" w:type="dxa"/>
            <w:gridSpan w:val="2"/>
            <w:shd w:val="clear" w:color="auto" w:fill="FFFFFF"/>
          </w:tcPr>
          <w:p w14:paraId="58FA1ACB" w14:textId="77777777" w:rsidR="00770EF8" w:rsidRPr="00D7033D" w:rsidRDefault="00770EF8" w:rsidP="00770EF8">
            <w:pPr>
              <w:pStyle w:val="Tabletext"/>
            </w:pPr>
            <w:r w:rsidRPr="00D7033D">
              <w:t>100%</w:t>
            </w:r>
          </w:p>
        </w:tc>
        <w:tc>
          <w:tcPr>
            <w:tcW w:w="1312" w:type="dxa"/>
            <w:shd w:val="clear" w:color="auto" w:fill="FFFFFF"/>
          </w:tcPr>
          <w:p w14:paraId="0DE2BE08" w14:textId="77777777" w:rsidR="00770EF8" w:rsidRPr="00D7033D" w:rsidRDefault="00770EF8" w:rsidP="00770EF8">
            <w:pPr>
              <w:pStyle w:val="Tabletext"/>
            </w:pPr>
            <w:r w:rsidRPr="00D7033D">
              <w:t>Green</w:t>
            </w:r>
          </w:p>
        </w:tc>
      </w:tr>
      <w:tr w:rsidR="00770EF8" w14:paraId="3AFFF99D" w14:textId="77777777" w:rsidTr="00770EF8">
        <w:tc>
          <w:tcPr>
            <w:tcW w:w="1834" w:type="dxa"/>
            <w:gridSpan w:val="2"/>
            <w:shd w:val="clear" w:color="auto" w:fill="FFFFFF"/>
          </w:tcPr>
          <w:p w14:paraId="10F2023F" w14:textId="77777777" w:rsidR="00770EF8" w:rsidRPr="00D7033D" w:rsidRDefault="00770EF8" w:rsidP="00770EF8">
            <w:pPr>
              <w:pStyle w:val="Tabletext"/>
            </w:pPr>
            <w:r w:rsidRPr="00D7033D">
              <w:t>Publish medical technologies guidance</w:t>
            </w:r>
          </w:p>
        </w:tc>
        <w:tc>
          <w:tcPr>
            <w:tcW w:w="1972" w:type="dxa"/>
            <w:shd w:val="clear" w:color="auto" w:fill="FFFFFF"/>
          </w:tcPr>
          <w:p w14:paraId="2F4CF2F8" w14:textId="77777777" w:rsidR="00770EF8" w:rsidRPr="00D7033D" w:rsidRDefault="00770EF8" w:rsidP="00770EF8">
            <w:pPr>
              <w:pStyle w:val="Tabletext"/>
            </w:pPr>
            <w:r w:rsidRPr="00D7033D">
              <w:t>Up to 14</w:t>
            </w:r>
          </w:p>
        </w:tc>
        <w:tc>
          <w:tcPr>
            <w:tcW w:w="1821" w:type="dxa"/>
            <w:shd w:val="clear" w:color="auto" w:fill="FFFFFF"/>
          </w:tcPr>
          <w:p w14:paraId="3611E3E5" w14:textId="77777777" w:rsidR="00770EF8" w:rsidRPr="00D7033D" w:rsidRDefault="00770EF8" w:rsidP="00770EF8">
            <w:pPr>
              <w:pStyle w:val="Tabletext"/>
            </w:pPr>
            <w:r w:rsidRPr="00D7033D">
              <w:t>Range from 5 to 10</w:t>
            </w:r>
          </w:p>
        </w:tc>
        <w:tc>
          <w:tcPr>
            <w:tcW w:w="1415" w:type="dxa"/>
            <w:shd w:val="clear" w:color="auto" w:fill="FFFFFF"/>
          </w:tcPr>
          <w:p w14:paraId="67608CD3" w14:textId="77777777" w:rsidR="00770EF8" w:rsidRPr="00D7033D" w:rsidRDefault="00770EF8" w:rsidP="00770EF8">
            <w:pPr>
              <w:pStyle w:val="Tabletext"/>
            </w:pPr>
            <w:r w:rsidRPr="00D7033D">
              <w:t>Publication within stated year</w:t>
            </w:r>
          </w:p>
        </w:tc>
        <w:tc>
          <w:tcPr>
            <w:tcW w:w="1323" w:type="dxa"/>
            <w:gridSpan w:val="2"/>
            <w:shd w:val="clear" w:color="auto" w:fill="FFFFFF"/>
          </w:tcPr>
          <w:p w14:paraId="7E07632D" w14:textId="77777777" w:rsidR="00770EF8" w:rsidRPr="00D7033D" w:rsidRDefault="00770EF8" w:rsidP="00770EF8">
            <w:pPr>
              <w:pStyle w:val="Tabletext"/>
            </w:pPr>
            <w:r w:rsidRPr="00D7033D">
              <w:t>80%</w:t>
            </w:r>
          </w:p>
        </w:tc>
        <w:tc>
          <w:tcPr>
            <w:tcW w:w="1361" w:type="dxa"/>
            <w:shd w:val="clear" w:color="auto" w:fill="FFFFFF"/>
          </w:tcPr>
          <w:p w14:paraId="7C749E18" w14:textId="77777777" w:rsidR="00770EF8" w:rsidRPr="00D7033D" w:rsidRDefault="00770EF8" w:rsidP="00770EF8">
            <w:pPr>
              <w:pStyle w:val="Tabletext"/>
            </w:pPr>
            <w:r>
              <w:t>Range from 5 to 10</w:t>
            </w:r>
          </w:p>
        </w:tc>
        <w:tc>
          <w:tcPr>
            <w:tcW w:w="1335" w:type="dxa"/>
            <w:shd w:val="clear" w:color="auto" w:fill="FFFFFF"/>
          </w:tcPr>
          <w:p w14:paraId="20E1FC87" w14:textId="77777777" w:rsidR="00770EF8" w:rsidRPr="00D7033D" w:rsidRDefault="00770EF8" w:rsidP="00770EF8">
            <w:pPr>
              <w:pStyle w:val="Tabletext"/>
            </w:pPr>
            <w:r>
              <w:t>10</w:t>
            </w:r>
          </w:p>
        </w:tc>
        <w:tc>
          <w:tcPr>
            <w:tcW w:w="1575" w:type="dxa"/>
            <w:gridSpan w:val="2"/>
            <w:shd w:val="clear" w:color="auto" w:fill="FFFFFF"/>
          </w:tcPr>
          <w:p w14:paraId="18A1799F" w14:textId="77777777" w:rsidR="00770EF8" w:rsidRPr="00D7033D" w:rsidRDefault="00770EF8" w:rsidP="00770EF8">
            <w:pPr>
              <w:pStyle w:val="Tabletext"/>
            </w:pPr>
            <w:r>
              <w:t>100</w:t>
            </w:r>
            <w:r w:rsidRPr="00D7033D">
              <w:t>%</w:t>
            </w:r>
          </w:p>
        </w:tc>
        <w:tc>
          <w:tcPr>
            <w:tcW w:w="1312" w:type="dxa"/>
            <w:shd w:val="clear" w:color="auto" w:fill="FFFFFF"/>
          </w:tcPr>
          <w:p w14:paraId="05C3938B" w14:textId="77777777" w:rsidR="00770EF8" w:rsidRPr="00D7033D" w:rsidRDefault="00770EF8" w:rsidP="00770EF8">
            <w:pPr>
              <w:pStyle w:val="Tabletext"/>
            </w:pPr>
            <w:r>
              <w:t>Green</w:t>
            </w:r>
          </w:p>
        </w:tc>
      </w:tr>
      <w:tr w:rsidR="00770EF8" w14:paraId="16EF8926" w14:textId="77777777" w:rsidTr="00770EF8">
        <w:tc>
          <w:tcPr>
            <w:tcW w:w="1834" w:type="dxa"/>
            <w:gridSpan w:val="2"/>
            <w:shd w:val="clear" w:color="auto" w:fill="FFFFFF"/>
          </w:tcPr>
          <w:p w14:paraId="0917C5C5" w14:textId="77777777" w:rsidR="00770EF8" w:rsidRPr="00D7033D" w:rsidRDefault="00770EF8" w:rsidP="00770EF8">
            <w:pPr>
              <w:pStyle w:val="Tabletext"/>
            </w:pPr>
            <w:r w:rsidRPr="00D7033D">
              <w:t>Publish medtech innovation briefings (MIBs)</w:t>
            </w:r>
          </w:p>
        </w:tc>
        <w:tc>
          <w:tcPr>
            <w:tcW w:w="1972" w:type="dxa"/>
            <w:shd w:val="clear" w:color="auto" w:fill="FFFFFF"/>
          </w:tcPr>
          <w:p w14:paraId="700ABFD9" w14:textId="77777777" w:rsidR="00770EF8" w:rsidRPr="00D7033D" w:rsidRDefault="00770EF8" w:rsidP="00770EF8">
            <w:pPr>
              <w:pStyle w:val="Tabletext"/>
            </w:pPr>
            <w:r w:rsidRPr="00D7033D">
              <w:t>Up to 46</w:t>
            </w:r>
          </w:p>
        </w:tc>
        <w:tc>
          <w:tcPr>
            <w:tcW w:w="1821" w:type="dxa"/>
            <w:shd w:val="clear" w:color="auto" w:fill="FFFFFF"/>
          </w:tcPr>
          <w:p w14:paraId="676EEB41" w14:textId="77777777" w:rsidR="00770EF8" w:rsidRPr="00D7033D" w:rsidRDefault="00770EF8" w:rsidP="00770EF8">
            <w:pPr>
              <w:pStyle w:val="Tabletext"/>
            </w:pPr>
            <w:r w:rsidRPr="00D7033D">
              <w:t>Range from 20 to 30</w:t>
            </w:r>
          </w:p>
        </w:tc>
        <w:tc>
          <w:tcPr>
            <w:tcW w:w="1415" w:type="dxa"/>
            <w:shd w:val="clear" w:color="auto" w:fill="FFFFFF"/>
          </w:tcPr>
          <w:p w14:paraId="25440D88" w14:textId="77777777" w:rsidR="00770EF8" w:rsidRPr="00D7033D" w:rsidRDefault="00770EF8" w:rsidP="00770EF8">
            <w:pPr>
              <w:pStyle w:val="Tabletext"/>
            </w:pPr>
            <w:r w:rsidRPr="00D7033D">
              <w:t>Publication within stated year</w:t>
            </w:r>
          </w:p>
        </w:tc>
        <w:tc>
          <w:tcPr>
            <w:tcW w:w="1323" w:type="dxa"/>
            <w:gridSpan w:val="2"/>
            <w:shd w:val="clear" w:color="auto" w:fill="FFFFFF"/>
          </w:tcPr>
          <w:p w14:paraId="3EC7E9FB" w14:textId="77777777" w:rsidR="00770EF8" w:rsidRPr="00D7033D" w:rsidRDefault="00770EF8" w:rsidP="00770EF8">
            <w:pPr>
              <w:pStyle w:val="Tabletext"/>
            </w:pPr>
            <w:r w:rsidRPr="00D7033D">
              <w:t>80%</w:t>
            </w:r>
          </w:p>
        </w:tc>
        <w:tc>
          <w:tcPr>
            <w:tcW w:w="1361" w:type="dxa"/>
            <w:shd w:val="clear" w:color="auto" w:fill="FFFFFF"/>
          </w:tcPr>
          <w:p w14:paraId="16681847" w14:textId="77777777" w:rsidR="00770EF8" w:rsidRPr="00D7033D" w:rsidRDefault="00770EF8" w:rsidP="00770EF8">
            <w:pPr>
              <w:pStyle w:val="Tabletext"/>
            </w:pPr>
            <w:r>
              <w:t>Range from 20 to 30</w:t>
            </w:r>
          </w:p>
        </w:tc>
        <w:tc>
          <w:tcPr>
            <w:tcW w:w="1335" w:type="dxa"/>
            <w:shd w:val="clear" w:color="auto" w:fill="FFFFFF"/>
          </w:tcPr>
          <w:p w14:paraId="32782A52" w14:textId="77777777" w:rsidR="00770EF8" w:rsidRPr="00D7033D" w:rsidRDefault="00770EF8" w:rsidP="00770EF8">
            <w:pPr>
              <w:pStyle w:val="Tabletext"/>
            </w:pPr>
            <w:r>
              <w:t>45</w:t>
            </w:r>
          </w:p>
        </w:tc>
        <w:tc>
          <w:tcPr>
            <w:tcW w:w="1575" w:type="dxa"/>
            <w:gridSpan w:val="2"/>
            <w:shd w:val="clear" w:color="auto" w:fill="FFFFFF"/>
          </w:tcPr>
          <w:p w14:paraId="46FC4D0D" w14:textId="77777777" w:rsidR="00770EF8" w:rsidRPr="00D7033D" w:rsidRDefault="00770EF8" w:rsidP="00770EF8">
            <w:pPr>
              <w:pStyle w:val="Tabletext"/>
            </w:pPr>
            <w:r>
              <w:t>150</w:t>
            </w:r>
            <w:r w:rsidRPr="00D7033D">
              <w:t>%</w:t>
            </w:r>
          </w:p>
        </w:tc>
        <w:tc>
          <w:tcPr>
            <w:tcW w:w="1312" w:type="dxa"/>
            <w:shd w:val="clear" w:color="auto" w:fill="FFFFFF"/>
          </w:tcPr>
          <w:p w14:paraId="5824CD94" w14:textId="77777777" w:rsidR="00770EF8" w:rsidRPr="00D7033D" w:rsidRDefault="00770EF8" w:rsidP="00770EF8">
            <w:pPr>
              <w:pStyle w:val="Tabletext"/>
            </w:pPr>
            <w:r w:rsidRPr="00D7033D">
              <w:t>Green</w:t>
            </w:r>
          </w:p>
        </w:tc>
      </w:tr>
      <w:tr w:rsidR="00770EF8" w14:paraId="04E77B0A" w14:textId="77777777" w:rsidTr="00770EF8">
        <w:tc>
          <w:tcPr>
            <w:tcW w:w="1834" w:type="dxa"/>
            <w:gridSpan w:val="2"/>
            <w:shd w:val="clear" w:color="auto" w:fill="FFFFFF"/>
          </w:tcPr>
          <w:p w14:paraId="7E6D3D3C" w14:textId="77777777" w:rsidR="00770EF8" w:rsidRPr="00D7033D" w:rsidRDefault="00770EF8" w:rsidP="00770EF8">
            <w:pPr>
              <w:pStyle w:val="Tabletext"/>
            </w:pPr>
            <w:r w:rsidRPr="00D7033D">
              <w:t>Deliver commercial briefing notes for NHSE&amp;I to support discussions with companies</w:t>
            </w:r>
          </w:p>
        </w:tc>
        <w:tc>
          <w:tcPr>
            <w:tcW w:w="1972" w:type="dxa"/>
            <w:shd w:val="clear" w:color="auto" w:fill="FFFFFF"/>
          </w:tcPr>
          <w:p w14:paraId="3FD31D1C" w14:textId="77777777" w:rsidR="00770EF8" w:rsidRPr="00D7033D" w:rsidRDefault="00770EF8" w:rsidP="00770EF8">
            <w:pPr>
              <w:pStyle w:val="Tabletext"/>
            </w:pPr>
            <w:r w:rsidRPr="00D7033D">
              <w:t>Up to 60</w:t>
            </w:r>
          </w:p>
        </w:tc>
        <w:tc>
          <w:tcPr>
            <w:tcW w:w="1821" w:type="dxa"/>
            <w:shd w:val="clear" w:color="auto" w:fill="FFFFFF"/>
          </w:tcPr>
          <w:p w14:paraId="21108DD2" w14:textId="77777777" w:rsidR="00770EF8" w:rsidRPr="00D7033D" w:rsidRDefault="00770EF8" w:rsidP="00770EF8">
            <w:pPr>
              <w:pStyle w:val="Tabletext"/>
            </w:pPr>
            <w:r w:rsidRPr="00D7033D">
              <w:t>Up to 40</w:t>
            </w:r>
          </w:p>
        </w:tc>
        <w:tc>
          <w:tcPr>
            <w:tcW w:w="1415" w:type="dxa"/>
            <w:shd w:val="clear" w:color="auto" w:fill="FFFFFF"/>
          </w:tcPr>
          <w:p w14:paraId="131D722E" w14:textId="77777777" w:rsidR="00770EF8" w:rsidRPr="00D7033D" w:rsidRDefault="00770EF8" w:rsidP="00770EF8">
            <w:pPr>
              <w:pStyle w:val="Tabletext"/>
            </w:pPr>
            <w:r w:rsidRPr="00D7033D">
              <w:t>Delivery within stated year</w:t>
            </w:r>
          </w:p>
        </w:tc>
        <w:tc>
          <w:tcPr>
            <w:tcW w:w="1323" w:type="dxa"/>
            <w:gridSpan w:val="2"/>
            <w:shd w:val="clear" w:color="auto" w:fill="FFFFFF"/>
          </w:tcPr>
          <w:p w14:paraId="6BB20DB9" w14:textId="77777777" w:rsidR="00770EF8" w:rsidRPr="00D7033D" w:rsidRDefault="00770EF8" w:rsidP="00770EF8">
            <w:pPr>
              <w:pStyle w:val="Tabletext"/>
            </w:pPr>
            <w:r w:rsidRPr="00D7033D">
              <w:t>80%</w:t>
            </w:r>
          </w:p>
        </w:tc>
        <w:tc>
          <w:tcPr>
            <w:tcW w:w="1361" w:type="dxa"/>
            <w:shd w:val="clear" w:color="auto" w:fill="FFFFFF"/>
          </w:tcPr>
          <w:p w14:paraId="28C56932" w14:textId="77777777" w:rsidR="00770EF8" w:rsidRPr="00D7033D" w:rsidRDefault="00770EF8" w:rsidP="00770EF8">
            <w:pPr>
              <w:pStyle w:val="Tabletext"/>
            </w:pPr>
            <w:r>
              <w:t>Up to 40</w:t>
            </w:r>
          </w:p>
        </w:tc>
        <w:tc>
          <w:tcPr>
            <w:tcW w:w="1335" w:type="dxa"/>
            <w:shd w:val="clear" w:color="auto" w:fill="FFFFFF"/>
          </w:tcPr>
          <w:p w14:paraId="386167B9" w14:textId="77777777" w:rsidR="00770EF8" w:rsidRPr="00D7033D" w:rsidRDefault="00770EF8" w:rsidP="00770EF8">
            <w:pPr>
              <w:pStyle w:val="Tabletext"/>
            </w:pPr>
            <w:r>
              <w:t>56</w:t>
            </w:r>
          </w:p>
        </w:tc>
        <w:tc>
          <w:tcPr>
            <w:tcW w:w="1575" w:type="dxa"/>
            <w:gridSpan w:val="2"/>
            <w:shd w:val="clear" w:color="auto" w:fill="FFFFFF"/>
          </w:tcPr>
          <w:p w14:paraId="0BD505C4" w14:textId="77777777" w:rsidR="00770EF8" w:rsidRPr="00D7033D" w:rsidRDefault="00770EF8" w:rsidP="00770EF8">
            <w:pPr>
              <w:pStyle w:val="Tabletext"/>
            </w:pPr>
            <w:r>
              <w:t>140</w:t>
            </w:r>
            <w:r w:rsidRPr="00D7033D">
              <w:t>%</w:t>
            </w:r>
          </w:p>
        </w:tc>
        <w:tc>
          <w:tcPr>
            <w:tcW w:w="1312" w:type="dxa"/>
            <w:shd w:val="clear" w:color="auto" w:fill="FFFFFF"/>
          </w:tcPr>
          <w:p w14:paraId="064AF6B7" w14:textId="77777777" w:rsidR="00770EF8" w:rsidRPr="00D7033D" w:rsidRDefault="00770EF8" w:rsidP="00770EF8">
            <w:pPr>
              <w:pStyle w:val="Tabletext"/>
            </w:pPr>
            <w:r w:rsidRPr="00D7033D">
              <w:t>Green</w:t>
            </w:r>
          </w:p>
        </w:tc>
      </w:tr>
      <w:tr w:rsidR="00770EF8" w14:paraId="166EAB55" w14:textId="77777777" w:rsidTr="00770EF8">
        <w:tc>
          <w:tcPr>
            <w:tcW w:w="1834" w:type="dxa"/>
            <w:gridSpan w:val="2"/>
            <w:shd w:val="clear" w:color="auto" w:fill="FFFFFF"/>
          </w:tcPr>
          <w:p w14:paraId="3F67D6B8" w14:textId="77777777" w:rsidR="00770EF8" w:rsidRPr="00D7033D" w:rsidRDefault="00770EF8" w:rsidP="00770EF8">
            <w:pPr>
              <w:pStyle w:val="Tabletext"/>
            </w:pPr>
            <w:r w:rsidRPr="00D7033D">
              <w:lastRenderedPageBreak/>
              <w:t>Advise on ‘Patient Access Schemes’</w:t>
            </w:r>
          </w:p>
        </w:tc>
        <w:tc>
          <w:tcPr>
            <w:tcW w:w="1972" w:type="dxa"/>
            <w:shd w:val="clear" w:color="auto" w:fill="FFFFFF"/>
          </w:tcPr>
          <w:p w14:paraId="0DA53181" w14:textId="77777777" w:rsidR="00770EF8" w:rsidRPr="00D7033D" w:rsidRDefault="00770EF8" w:rsidP="00770EF8">
            <w:pPr>
              <w:pStyle w:val="Tabletext"/>
            </w:pPr>
            <w:r w:rsidRPr="00D7033D">
              <w:t>Up to 55</w:t>
            </w:r>
          </w:p>
        </w:tc>
        <w:tc>
          <w:tcPr>
            <w:tcW w:w="1821" w:type="dxa"/>
            <w:shd w:val="clear" w:color="auto" w:fill="FFFFFF"/>
          </w:tcPr>
          <w:p w14:paraId="1568E17B" w14:textId="77777777" w:rsidR="00770EF8" w:rsidRPr="00D7033D" w:rsidRDefault="00770EF8" w:rsidP="00770EF8">
            <w:pPr>
              <w:pStyle w:val="Tabletext"/>
            </w:pPr>
            <w:r w:rsidRPr="00D7033D">
              <w:t>Up to 37</w:t>
            </w:r>
          </w:p>
        </w:tc>
        <w:tc>
          <w:tcPr>
            <w:tcW w:w="1415" w:type="dxa"/>
            <w:shd w:val="clear" w:color="auto" w:fill="FFFFFF"/>
          </w:tcPr>
          <w:p w14:paraId="739EE753" w14:textId="77777777" w:rsidR="00770EF8" w:rsidRPr="00D7033D" w:rsidRDefault="00770EF8" w:rsidP="00770EF8">
            <w:pPr>
              <w:pStyle w:val="Tabletext"/>
            </w:pPr>
            <w:r w:rsidRPr="00D7033D">
              <w:t>Delivery within stated year</w:t>
            </w:r>
          </w:p>
        </w:tc>
        <w:tc>
          <w:tcPr>
            <w:tcW w:w="1323" w:type="dxa"/>
            <w:gridSpan w:val="2"/>
            <w:shd w:val="clear" w:color="auto" w:fill="FFFFFF"/>
          </w:tcPr>
          <w:p w14:paraId="321D4B79" w14:textId="77777777" w:rsidR="00770EF8" w:rsidRPr="00D7033D" w:rsidRDefault="00770EF8" w:rsidP="00770EF8">
            <w:pPr>
              <w:pStyle w:val="Tabletext"/>
            </w:pPr>
            <w:r w:rsidRPr="00D7033D">
              <w:t>80%</w:t>
            </w:r>
          </w:p>
        </w:tc>
        <w:tc>
          <w:tcPr>
            <w:tcW w:w="1361" w:type="dxa"/>
            <w:shd w:val="clear" w:color="auto" w:fill="FFFFFF"/>
          </w:tcPr>
          <w:p w14:paraId="28E51F39" w14:textId="77777777" w:rsidR="00770EF8" w:rsidRPr="00D7033D" w:rsidRDefault="00770EF8" w:rsidP="00770EF8">
            <w:pPr>
              <w:pStyle w:val="Tabletext"/>
            </w:pPr>
            <w:r>
              <w:t>Up to 37</w:t>
            </w:r>
          </w:p>
        </w:tc>
        <w:tc>
          <w:tcPr>
            <w:tcW w:w="1335" w:type="dxa"/>
            <w:shd w:val="clear" w:color="auto" w:fill="FFFFFF"/>
          </w:tcPr>
          <w:p w14:paraId="78EBA55F" w14:textId="77777777" w:rsidR="00770EF8" w:rsidRPr="00D7033D" w:rsidRDefault="00770EF8" w:rsidP="00770EF8">
            <w:pPr>
              <w:pStyle w:val="Tabletext"/>
            </w:pPr>
            <w:r>
              <w:t>39</w:t>
            </w:r>
          </w:p>
        </w:tc>
        <w:tc>
          <w:tcPr>
            <w:tcW w:w="1575" w:type="dxa"/>
            <w:gridSpan w:val="2"/>
            <w:shd w:val="clear" w:color="auto" w:fill="FFFFFF"/>
          </w:tcPr>
          <w:p w14:paraId="03341B49" w14:textId="77777777" w:rsidR="00770EF8" w:rsidRPr="00D7033D" w:rsidRDefault="00770EF8" w:rsidP="00770EF8">
            <w:pPr>
              <w:pStyle w:val="Tabletext"/>
            </w:pPr>
            <w:r w:rsidRPr="00D7033D">
              <w:t>1</w:t>
            </w:r>
            <w:r>
              <w:t>05</w:t>
            </w:r>
            <w:r w:rsidRPr="00D7033D">
              <w:t>%</w:t>
            </w:r>
          </w:p>
        </w:tc>
        <w:tc>
          <w:tcPr>
            <w:tcW w:w="1312" w:type="dxa"/>
            <w:shd w:val="clear" w:color="auto" w:fill="FFFFFF"/>
          </w:tcPr>
          <w:p w14:paraId="0107770C" w14:textId="77777777" w:rsidR="00770EF8" w:rsidRPr="00D7033D" w:rsidRDefault="00770EF8" w:rsidP="00770EF8">
            <w:pPr>
              <w:pStyle w:val="Tabletext"/>
            </w:pPr>
            <w:r w:rsidRPr="00D7033D">
              <w:t>Green</w:t>
            </w:r>
          </w:p>
        </w:tc>
      </w:tr>
      <w:tr w:rsidR="00770EF8" w14:paraId="10E35F03" w14:textId="77777777" w:rsidTr="00770EF8">
        <w:tc>
          <w:tcPr>
            <w:tcW w:w="1834" w:type="dxa"/>
            <w:gridSpan w:val="2"/>
            <w:shd w:val="clear" w:color="auto" w:fill="FFFFFF"/>
          </w:tcPr>
          <w:p w14:paraId="2EAF872F" w14:textId="77777777" w:rsidR="00770EF8" w:rsidRPr="00D7033D" w:rsidRDefault="00770EF8" w:rsidP="00770EF8">
            <w:pPr>
              <w:pStyle w:val="Tabletext"/>
            </w:pPr>
            <w:r w:rsidRPr="00D7033D">
              <w:t>Deliver new data collection agreements</w:t>
            </w:r>
          </w:p>
        </w:tc>
        <w:tc>
          <w:tcPr>
            <w:tcW w:w="1972" w:type="dxa"/>
            <w:shd w:val="clear" w:color="auto" w:fill="FFFFFF"/>
          </w:tcPr>
          <w:p w14:paraId="1EE1DC57" w14:textId="77777777" w:rsidR="00770EF8" w:rsidRPr="00D7033D" w:rsidRDefault="00770EF8" w:rsidP="00770EF8">
            <w:pPr>
              <w:pStyle w:val="Tabletext"/>
            </w:pPr>
            <w:r w:rsidRPr="00D7033D">
              <w:t>Up to 22</w:t>
            </w:r>
          </w:p>
        </w:tc>
        <w:tc>
          <w:tcPr>
            <w:tcW w:w="1821" w:type="dxa"/>
            <w:shd w:val="clear" w:color="auto" w:fill="FFFFFF"/>
          </w:tcPr>
          <w:p w14:paraId="59CEBF7C" w14:textId="77777777" w:rsidR="00770EF8" w:rsidRPr="00D7033D" w:rsidRDefault="00770EF8" w:rsidP="00770EF8">
            <w:pPr>
              <w:pStyle w:val="Tabletext"/>
            </w:pPr>
            <w:r w:rsidRPr="00D7033D">
              <w:t>Up to 15</w:t>
            </w:r>
          </w:p>
        </w:tc>
        <w:tc>
          <w:tcPr>
            <w:tcW w:w="1415" w:type="dxa"/>
            <w:shd w:val="clear" w:color="auto" w:fill="FFFFFF"/>
          </w:tcPr>
          <w:p w14:paraId="6B94D5A1" w14:textId="77777777" w:rsidR="00770EF8" w:rsidRPr="00D7033D" w:rsidRDefault="00770EF8" w:rsidP="00770EF8">
            <w:pPr>
              <w:pStyle w:val="Tabletext"/>
            </w:pPr>
            <w:r w:rsidRPr="00D7033D">
              <w:t>Delivery within stated year</w:t>
            </w:r>
          </w:p>
        </w:tc>
        <w:tc>
          <w:tcPr>
            <w:tcW w:w="1323" w:type="dxa"/>
            <w:gridSpan w:val="2"/>
            <w:shd w:val="clear" w:color="auto" w:fill="FFFFFF"/>
          </w:tcPr>
          <w:p w14:paraId="47D47CAC" w14:textId="77777777" w:rsidR="00770EF8" w:rsidRPr="00D7033D" w:rsidRDefault="00770EF8" w:rsidP="00770EF8">
            <w:pPr>
              <w:pStyle w:val="Tabletext"/>
            </w:pPr>
            <w:r w:rsidRPr="00D7033D">
              <w:t>80%</w:t>
            </w:r>
          </w:p>
        </w:tc>
        <w:tc>
          <w:tcPr>
            <w:tcW w:w="1361" w:type="dxa"/>
            <w:shd w:val="clear" w:color="auto" w:fill="FFFFFF"/>
          </w:tcPr>
          <w:p w14:paraId="3DBF9DA3" w14:textId="77777777" w:rsidR="00770EF8" w:rsidRPr="00D7033D" w:rsidRDefault="00770EF8" w:rsidP="00770EF8">
            <w:pPr>
              <w:pStyle w:val="Tabletext"/>
            </w:pPr>
            <w:r w:rsidRPr="00D7033D">
              <w:t xml:space="preserve">Up to </w:t>
            </w:r>
            <w:r>
              <w:t>11</w:t>
            </w:r>
          </w:p>
        </w:tc>
        <w:tc>
          <w:tcPr>
            <w:tcW w:w="1335" w:type="dxa"/>
            <w:shd w:val="clear" w:color="auto" w:fill="FFFFFF"/>
          </w:tcPr>
          <w:p w14:paraId="7B0F572B" w14:textId="77777777" w:rsidR="00770EF8" w:rsidRPr="00D7033D" w:rsidRDefault="00770EF8" w:rsidP="00770EF8">
            <w:pPr>
              <w:pStyle w:val="Tabletext"/>
            </w:pPr>
            <w:r>
              <w:t>10</w:t>
            </w:r>
          </w:p>
        </w:tc>
        <w:tc>
          <w:tcPr>
            <w:tcW w:w="1575" w:type="dxa"/>
            <w:gridSpan w:val="2"/>
            <w:shd w:val="clear" w:color="auto" w:fill="FFFFFF"/>
          </w:tcPr>
          <w:p w14:paraId="16900E7A" w14:textId="77777777" w:rsidR="00770EF8" w:rsidRPr="00D7033D" w:rsidRDefault="00770EF8" w:rsidP="00770EF8">
            <w:pPr>
              <w:pStyle w:val="Tabletext"/>
            </w:pPr>
            <w:r>
              <w:t>91</w:t>
            </w:r>
            <w:r w:rsidRPr="00D7033D">
              <w:t>%</w:t>
            </w:r>
          </w:p>
        </w:tc>
        <w:tc>
          <w:tcPr>
            <w:tcW w:w="1312" w:type="dxa"/>
            <w:shd w:val="clear" w:color="auto" w:fill="FFFFFF"/>
          </w:tcPr>
          <w:p w14:paraId="2F88098E" w14:textId="77777777" w:rsidR="00770EF8" w:rsidRPr="00D7033D" w:rsidRDefault="00770EF8" w:rsidP="00770EF8">
            <w:pPr>
              <w:pStyle w:val="Tabletext"/>
            </w:pPr>
            <w:r>
              <w:t>Green</w:t>
            </w:r>
          </w:p>
        </w:tc>
      </w:tr>
      <w:tr w:rsidR="00770EF8" w14:paraId="4D1DB2C8" w14:textId="77777777" w:rsidTr="00770EF8">
        <w:tc>
          <w:tcPr>
            <w:tcW w:w="1834" w:type="dxa"/>
            <w:gridSpan w:val="2"/>
            <w:shd w:val="clear" w:color="auto" w:fill="FFFFFF"/>
          </w:tcPr>
          <w:p w14:paraId="7DC0A212" w14:textId="77777777" w:rsidR="00770EF8" w:rsidRPr="00D7033D" w:rsidRDefault="00770EF8" w:rsidP="00770EF8">
            <w:pPr>
              <w:pStyle w:val="Tabletext"/>
            </w:pPr>
            <w:r w:rsidRPr="00D7033D">
              <w:t>Complete data collection projects and associated managed access agreement exits</w:t>
            </w:r>
          </w:p>
        </w:tc>
        <w:tc>
          <w:tcPr>
            <w:tcW w:w="1972" w:type="dxa"/>
            <w:shd w:val="clear" w:color="auto" w:fill="FFFFFF"/>
          </w:tcPr>
          <w:p w14:paraId="62167E47" w14:textId="77777777" w:rsidR="00770EF8" w:rsidRPr="00D7033D" w:rsidRDefault="00770EF8" w:rsidP="00770EF8">
            <w:pPr>
              <w:pStyle w:val="Tabletext"/>
            </w:pPr>
            <w:r w:rsidRPr="00D7033D">
              <w:t>Up to 12</w:t>
            </w:r>
          </w:p>
        </w:tc>
        <w:tc>
          <w:tcPr>
            <w:tcW w:w="1821" w:type="dxa"/>
            <w:shd w:val="clear" w:color="auto" w:fill="FFFFFF"/>
          </w:tcPr>
          <w:p w14:paraId="13F75FCF" w14:textId="77777777" w:rsidR="00770EF8" w:rsidRPr="00D7033D" w:rsidRDefault="00770EF8" w:rsidP="00770EF8">
            <w:pPr>
              <w:pStyle w:val="Tabletext"/>
            </w:pPr>
            <w:r w:rsidRPr="00D7033D">
              <w:t>Up to 12</w:t>
            </w:r>
          </w:p>
        </w:tc>
        <w:tc>
          <w:tcPr>
            <w:tcW w:w="1415" w:type="dxa"/>
            <w:shd w:val="clear" w:color="auto" w:fill="FFFFFF"/>
          </w:tcPr>
          <w:p w14:paraId="14233EE6" w14:textId="77777777" w:rsidR="00770EF8" w:rsidRPr="00D7033D" w:rsidRDefault="00770EF8" w:rsidP="00770EF8">
            <w:pPr>
              <w:pStyle w:val="Tabletext"/>
            </w:pPr>
            <w:r w:rsidRPr="00D7033D">
              <w:t>Delivery within stated year</w:t>
            </w:r>
          </w:p>
        </w:tc>
        <w:tc>
          <w:tcPr>
            <w:tcW w:w="1323" w:type="dxa"/>
            <w:gridSpan w:val="2"/>
            <w:shd w:val="clear" w:color="auto" w:fill="FFFFFF"/>
          </w:tcPr>
          <w:p w14:paraId="2730C7F6" w14:textId="77777777" w:rsidR="00770EF8" w:rsidRPr="00D7033D" w:rsidRDefault="00770EF8" w:rsidP="00770EF8">
            <w:pPr>
              <w:pStyle w:val="Tabletext"/>
            </w:pPr>
            <w:r w:rsidRPr="00D7033D">
              <w:t>80%</w:t>
            </w:r>
          </w:p>
        </w:tc>
        <w:tc>
          <w:tcPr>
            <w:tcW w:w="1361" w:type="dxa"/>
            <w:shd w:val="clear" w:color="auto" w:fill="FFFFFF"/>
          </w:tcPr>
          <w:p w14:paraId="1573EA02" w14:textId="77777777" w:rsidR="00770EF8" w:rsidRPr="00D7033D" w:rsidRDefault="00770EF8" w:rsidP="00770EF8">
            <w:pPr>
              <w:pStyle w:val="Tabletext"/>
            </w:pPr>
            <w:r w:rsidRPr="00D7033D">
              <w:t xml:space="preserve">Up to </w:t>
            </w:r>
            <w:r>
              <w:t>9</w:t>
            </w:r>
          </w:p>
        </w:tc>
        <w:tc>
          <w:tcPr>
            <w:tcW w:w="1335" w:type="dxa"/>
            <w:shd w:val="clear" w:color="auto" w:fill="FFFFFF"/>
          </w:tcPr>
          <w:p w14:paraId="1AE506B3" w14:textId="77777777" w:rsidR="00770EF8" w:rsidRPr="00D7033D" w:rsidRDefault="00770EF8" w:rsidP="00770EF8">
            <w:pPr>
              <w:pStyle w:val="Tabletext"/>
            </w:pPr>
            <w:r>
              <w:t>9</w:t>
            </w:r>
          </w:p>
        </w:tc>
        <w:tc>
          <w:tcPr>
            <w:tcW w:w="1575" w:type="dxa"/>
            <w:gridSpan w:val="2"/>
            <w:shd w:val="clear" w:color="auto" w:fill="FFFFFF"/>
          </w:tcPr>
          <w:p w14:paraId="5F3ECECD" w14:textId="77777777" w:rsidR="00770EF8" w:rsidRPr="00D7033D" w:rsidRDefault="00770EF8" w:rsidP="00770EF8">
            <w:pPr>
              <w:pStyle w:val="Tabletext"/>
            </w:pPr>
            <w:r>
              <w:t>100</w:t>
            </w:r>
            <w:r w:rsidRPr="00D7033D">
              <w:t>%</w:t>
            </w:r>
          </w:p>
        </w:tc>
        <w:tc>
          <w:tcPr>
            <w:tcW w:w="1312" w:type="dxa"/>
            <w:shd w:val="clear" w:color="auto" w:fill="FFFFFF"/>
          </w:tcPr>
          <w:p w14:paraId="07907D25" w14:textId="77777777" w:rsidR="00770EF8" w:rsidRPr="00D7033D" w:rsidRDefault="00770EF8" w:rsidP="00770EF8">
            <w:pPr>
              <w:pStyle w:val="Tabletext"/>
            </w:pPr>
            <w:r>
              <w:t>Green</w:t>
            </w:r>
          </w:p>
        </w:tc>
      </w:tr>
      <w:tr w:rsidR="00770EF8" w14:paraId="08CEA51E" w14:textId="77777777" w:rsidTr="00770EF8">
        <w:tc>
          <w:tcPr>
            <w:tcW w:w="1834" w:type="dxa"/>
            <w:gridSpan w:val="2"/>
            <w:shd w:val="clear" w:color="auto" w:fill="FFFFFF"/>
          </w:tcPr>
          <w:p w14:paraId="0760814B" w14:textId="77777777" w:rsidR="00770EF8" w:rsidRPr="00D7033D" w:rsidRDefault="00770EF8" w:rsidP="00770EF8">
            <w:pPr>
              <w:pStyle w:val="Tabletext"/>
            </w:pPr>
            <w:r w:rsidRPr="00D7033D">
              <w:t>Actively monitor existing data collection projects</w:t>
            </w:r>
          </w:p>
        </w:tc>
        <w:tc>
          <w:tcPr>
            <w:tcW w:w="1972" w:type="dxa"/>
            <w:shd w:val="clear" w:color="auto" w:fill="FFFFFF"/>
          </w:tcPr>
          <w:p w14:paraId="1C4CDD89" w14:textId="77777777" w:rsidR="00770EF8" w:rsidRPr="00D7033D" w:rsidRDefault="00770EF8" w:rsidP="00770EF8">
            <w:pPr>
              <w:pStyle w:val="Tabletext"/>
            </w:pPr>
            <w:r w:rsidRPr="00D7033D">
              <w:t>Up to 52</w:t>
            </w:r>
          </w:p>
        </w:tc>
        <w:tc>
          <w:tcPr>
            <w:tcW w:w="1821" w:type="dxa"/>
            <w:shd w:val="clear" w:color="auto" w:fill="FFFFFF"/>
          </w:tcPr>
          <w:p w14:paraId="4BDB8897" w14:textId="77777777" w:rsidR="00770EF8" w:rsidRPr="00D7033D" w:rsidRDefault="00770EF8" w:rsidP="00770EF8">
            <w:pPr>
              <w:pStyle w:val="Tabletext"/>
            </w:pPr>
            <w:r w:rsidRPr="00D7033D">
              <w:t>Up to 52</w:t>
            </w:r>
          </w:p>
        </w:tc>
        <w:tc>
          <w:tcPr>
            <w:tcW w:w="1415" w:type="dxa"/>
            <w:shd w:val="clear" w:color="auto" w:fill="FFFFFF"/>
          </w:tcPr>
          <w:p w14:paraId="4013EF0F" w14:textId="77777777" w:rsidR="00770EF8" w:rsidRPr="00D7033D" w:rsidRDefault="00770EF8" w:rsidP="00770EF8">
            <w:pPr>
              <w:pStyle w:val="Tabletext"/>
            </w:pPr>
            <w:r w:rsidRPr="00D7033D">
              <w:t>Delivery within stated year</w:t>
            </w:r>
          </w:p>
        </w:tc>
        <w:tc>
          <w:tcPr>
            <w:tcW w:w="1323" w:type="dxa"/>
            <w:gridSpan w:val="2"/>
            <w:shd w:val="clear" w:color="auto" w:fill="FFFFFF"/>
          </w:tcPr>
          <w:p w14:paraId="57C6E2FF" w14:textId="77777777" w:rsidR="00770EF8" w:rsidRPr="00D7033D" w:rsidRDefault="00770EF8" w:rsidP="00770EF8">
            <w:pPr>
              <w:pStyle w:val="Tabletext"/>
            </w:pPr>
            <w:r w:rsidRPr="00D7033D">
              <w:t>80%</w:t>
            </w:r>
          </w:p>
        </w:tc>
        <w:tc>
          <w:tcPr>
            <w:tcW w:w="1361" w:type="dxa"/>
            <w:shd w:val="clear" w:color="auto" w:fill="FFFFFF"/>
          </w:tcPr>
          <w:p w14:paraId="03FF3498" w14:textId="77777777" w:rsidR="00770EF8" w:rsidRPr="00D7033D" w:rsidRDefault="00770EF8" w:rsidP="00770EF8">
            <w:pPr>
              <w:pStyle w:val="Tabletext"/>
            </w:pPr>
            <w:r w:rsidRPr="00D7033D">
              <w:t xml:space="preserve">Up to </w:t>
            </w:r>
            <w:r>
              <w:t>52</w:t>
            </w:r>
          </w:p>
        </w:tc>
        <w:tc>
          <w:tcPr>
            <w:tcW w:w="1335" w:type="dxa"/>
            <w:shd w:val="clear" w:color="auto" w:fill="FFFFFF"/>
          </w:tcPr>
          <w:p w14:paraId="70916A88" w14:textId="77777777" w:rsidR="00770EF8" w:rsidRPr="00104D73" w:rsidRDefault="00770EF8" w:rsidP="00770EF8">
            <w:pPr>
              <w:pStyle w:val="Tabletext"/>
            </w:pPr>
            <w:r w:rsidRPr="00104D73">
              <w:t>40</w:t>
            </w:r>
          </w:p>
        </w:tc>
        <w:tc>
          <w:tcPr>
            <w:tcW w:w="1575" w:type="dxa"/>
            <w:gridSpan w:val="2"/>
            <w:shd w:val="clear" w:color="auto" w:fill="FFFFFF"/>
          </w:tcPr>
          <w:p w14:paraId="15B0CFE8" w14:textId="77777777" w:rsidR="00770EF8" w:rsidRPr="00D7033D" w:rsidRDefault="00770EF8" w:rsidP="00770EF8">
            <w:pPr>
              <w:pStyle w:val="Tabletext"/>
            </w:pPr>
            <w:r>
              <w:t>77</w:t>
            </w:r>
            <w:r w:rsidRPr="00D7033D">
              <w:t>%</w:t>
            </w:r>
          </w:p>
        </w:tc>
        <w:tc>
          <w:tcPr>
            <w:tcW w:w="1312" w:type="dxa"/>
            <w:shd w:val="clear" w:color="auto" w:fill="FFFFFF"/>
          </w:tcPr>
          <w:p w14:paraId="3B24AB5B" w14:textId="77777777" w:rsidR="00770EF8" w:rsidRPr="00D7033D" w:rsidRDefault="00770EF8" w:rsidP="00770EF8">
            <w:pPr>
              <w:pStyle w:val="Tabletext"/>
            </w:pPr>
            <w:r>
              <w:t>Amber (see note 2)</w:t>
            </w:r>
          </w:p>
        </w:tc>
      </w:tr>
      <w:tr w:rsidR="00770EF8" w14:paraId="679851ED" w14:textId="77777777" w:rsidTr="00770EF8">
        <w:tc>
          <w:tcPr>
            <w:tcW w:w="1834" w:type="dxa"/>
            <w:gridSpan w:val="2"/>
            <w:shd w:val="clear" w:color="auto" w:fill="FFFFFF"/>
          </w:tcPr>
          <w:p w14:paraId="7AA12851" w14:textId="77777777" w:rsidR="00770EF8" w:rsidRPr="00D7033D" w:rsidRDefault="00770EF8" w:rsidP="00770EF8">
            <w:pPr>
              <w:pStyle w:val="Tabletext"/>
            </w:pPr>
            <w:bookmarkStart w:id="10" w:name="_Hlk70088186"/>
            <w:r w:rsidRPr="00D7033D">
              <w:t xml:space="preserve">Manage portfolio of evaluative commissioning projects for NHSE&amp;I </w:t>
            </w:r>
          </w:p>
        </w:tc>
        <w:tc>
          <w:tcPr>
            <w:tcW w:w="1972" w:type="dxa"/>
            <w:shd w:val="clear" w:color="auto" w:fill="FFFFFF"/>
          </w:tcPr>
          <w:p w14:paraId="1394A304" w14:textId="77777777" w:rsidR="00770EF8" w:rsidRPr="00D7033D" w:rsidRDefault="00770EF8" w:rsidP="00770EF8">
            <w:pPr>
              <w:pStyle w:val="Tabletext"/>
            </w:pPr>
            <w:r w:rsidRPr="00D7033D">
              <w:t>Up to 2</w:t>
            </w:r>
          </w:p>
        </w:tc>
        <w:tc>
          <w:tcPr>
            <w:tcW w:w="1821" w:type="dxa"/>
            <w:shd w:val="clear" w:color="auto" w:fill="FFFFFF"/>
          </w:tcPr>
          <w:p w14:paraId="483E8008" w14:textId="77777777" w:rsidR="00770EF8" w:rsidRPr="00D7033D" w:rsidRDefault="00770EF8" w:rsidP="00770EF8">
            <w:pPr>
              <w:pStyle w:val="Tabletext"/>
            </w:pPr>
            <w:r w:rsidRPr="00D7033D">
              <w:t>Up to 1</w:t>
            </w:r>
          </w:p>
        </w:tc>
        <w:tc>
          <w:tcPr>
            <w:tcW w:w="1415" w:type="dxa"/>
            <w:shd w:val="clear" w:color="auto" w:fill="FFFFFF"/>
          </w:tcPr>
          <w:p w14:paraId="20C299DC" w14:textId="77777777" w:rsidR="00770EF8" w:rsidRPr="00D7033D" w:rsidRDefault="00770EF8" w:rsidP="00770EF8">
            <w:pPr>
              <w:pStyle w:val="Tabletext"/>
            </w:pPr>
            <w:r w:rsidRPr="00D7033D">
              <w:t>Submission to NHS England Clinical Panel within stated quarter</w:t>
            </w:r>
          </w:p>
        </w:tc>
        <w:tc>
          <w:tcPr>
            <w:tcW w:w="1323" w:type="dxa"/>
            <w:gridSpan w:val="2"/>
            <w:shd w:val="clear" w:color="auto" w:fill="FFFFFF"/>
          </w:tcPr>
          <w:p w14:paraId="6495566D" w14:textId="77777777" w:rsidR="00770EF8" w:rsidRPr="00D7033D" w:rsidRDefault="00770EF8" w:rsidP="00770EF8">
            <w:pPr>
              <w:pStyle w:val="Tabletext"/>
            </w:pPr>
            <w:r w:rsidRPr="00D7033D">
              <w:t>80%</w:t>
            </w:r>
          </w:p>
        </w:tc>
        <w:tc>
          <w:tcPr>
            <w:tcW w:w="1361" w:type="dxa"/>
            <w:shd w:val="clear" w:color="auto" w:fill="FFFFFF"/>
          </w:tcPr>
          <w:p w14:paraId="502174B4" w14:textId="77777777" w:rsidR="00770EF8" w:rsidRPr="00D7033D" w:rsidRDefault="00770EF8" w:rsidP="00770EF8">
            <w:pPr>
              <w:pStyle w:val="Tabletext"/>
            </w:pPr>
            <w:r>
              <w:t>Up to 1</w:t>
            </w:r>
          </w:p>
        </w:tc>
        <w:tc>
          <w:tcPr>
            <w:tcW w:w="1335" w:type="dxa"/>
            <w:shd w:val="clear" w:color="auto" w:fill="FFFFFF"/>
          </w:tcPr>
          <w:p w14:paraId="2E8706D1" w14:textId="77777777" w:rsidR="00770EF8" w:rsidRPr="00B01A87" w:rsidRDefault="00770EF8" w:rsidP="00770EF8">
            <w:pPr>
              <w:pStyle w:val="Tabletext"/>
              <w:rPr>
                <w:highlight w:val="yellow"/>
              </w:rPr>
            </w:pPr>
            <w:r w:rsidRPr="00770EF8">
              <w:t>1</w:t>
            </w:r>
          </w:p>
        </w:tc>
        <w:tc>
          <w:tcPr>
            <w:tcW w:w="1575" w:type="dxa"/>
            <w:gridSpan w:val="2"/>
            <w:shd w:val="clear" w:color="auto" w:fill="FFFFFF"/>
          </w:tcPr>
          <w:p w14:paraId="0D1D4936" w14:textId="77777777" w:rsidR="00770EF8" w:rsidRPr="00D7033D" w:rsidRDefault="00770EF8" w:rsidP="00770EF8">
            <w:pPr>
              <w:pStyle w:val="Tabletext"/>
            </w:pPr>
            <w:r w:rsidRPr="00D7033D">
              <w:t>100%</w:t>
            </w:r>
          </w:p>
        </w:tc>
        <w:tc>
          <w:tcPr>
            <w:tcW w:w="1312" w:type="dxa"/>
            <w:shd w:val="clear" w:color="auto" w:fill="FFFFFF"/>
          </w:tcPr>
          <w:p w14:paraId="378E4275" w14:textId="77777777" w:rsidR="00770EF8" w:rsidRPr="00D7033D" w:rsidRDefault="00770EF8" w:rsidP="00770EF8">
            <w:pPr>
              <w:pStyle w:val="Tabletext"/>
            </w:pPr>
            <w:r w:rsidRPr="00D7033D">
              <w:t>Green</w:t>
            </w:r>
          </w:p>
        </w:tc>
      </w:tr>
      <w:bookmarkEnd w:id="10"/>
      <w:tr w:rsidR="00770EF8" w14:paraId="73BFFF7B" w14:textId="77777777" w:rsidTr="00770EF8">
        <w:tc>
          <w:tcPr>
            <w:tcW w:w="1834" w:type="dxa"/>
            <w:gridSpan w:val="2"/>
            <w:shd w:val="clear" w:color="auto" w:fill="FFFFFF"/>
          </w:tcPr>
          <w:p w14:paraId="598BDF9E" w14:textId="77777777" w:rsidR="00770EF8" w:rsidRPr="00D7033D" w:rsidRDefault="00770EF8" w:rsidP="00770EF8">
            <w:pPr>
              <w:pStyle w:val="Tabletext"/>
            </w:pPr>
            <w:r w:rsidRPr="00D7033D">
              <w:t xml:space="preserve">Publish guideline </w:t>
            </w:r>
            <w:r w:rsidRPr="00D7033D">
              <w:lastRenderedPageBreak/>
              <w:t xml:space="preserve">surveillance reviews </w:t>
            </w:r>
          </w:p>
        </w:tc>
        <w:tc>
          <w:tcPr>
            <w:tcW w:w="1972" w:type="dxa"/>
            <w:shd w:val="clear" w:color="auto" w:fill="FFFFFF"/>
          </w:tcPr>
          <w:p w14:paraId="660E872A" w14:textId="77777777" w:rsidR="00770EF8" w:rsidRPr="00D7033D" w:rsidRDefault="00770EF8" w:rsidP="00770EF8">
            <w:pPr>
              <w:pStyle w:val="Tabletext"/>
            </w:pPr>
            <w:r w:rsidRPr="00D7033D">
              <w:lastRenderedPageBreak/>
              <w:t>20</w:t>
            </w:r>
          </w:p>
        </w:tc>
        <w:tc>
          <w:tcPr>
            <w:tcW w:w="1821" w:type="dxa"/>
            <w:shd w:val="clear" w:color="auto" w:fill="FFFFFF"/>
          </w:tcPr>
          <w:p w14:paraId="56643D22" w14:textId="77777777" w:rsidR="00770EF8" w:rsidRPr="00D7033D" w:rsidRDefault="00770EF8" w:rsidP="00770EF8">
            <w:pPr>
              <w:pStyle w:val="Tabletext"/>
            </w:pPr>
            <w:r w:rsidRPr="00D7033D">
              <w:t>Up to 20</w:t>
            </w:r>
          </w:p>
        </w:tc>
        <w:tc>
          <w:tcPr>
            <w:tcW w:w="1415" w:type="dxa"/>
            <w:shd w:val="clear" w:color="auto" w:fill="FFFFFF"/>
          </w:tcPr>
          <w:p w14:paraId="5E8A2A40" w14:textId="77777777" w:rsidR="00770EF8" w:rsidRPr="00D7033D" w:rsidRDefault="00770EF8" w:rsidP="00770EF8">
            <w:pPr>
              <w:pStyle w:val="Tabletext"/>
            </w:pPr>
            <w:r w:rsidRPr="00D7033D">
              <w:t>Publication within stated year</w:t>
            </w:r>
          </w:p>
        </w:tc>
        <w:tc>
          <w:tcPr>
            <w:tcW w:w="1323" w:type="dxa"/>
            <w:gridSpan w:val="2"/>
            <w:shd w:val="clear" w:color="auto" w:fill="FFFFFF"/>
          </w:tcPr>
          <w:p w14:paraId="7583BE7A" w14:textId="77777777" w:rsidR="00770EF8" w:rsidRPr="00D7033D" w:rsidRDefault="00770EF8" w:rsidP="00770EF8">
            <w:pPr>
              <w:pStyle w:val="Tabletext"/>
            </w:pPr>
            <w:r w:rsidRPr="00D7033D">
              <w:t>80%</w:t>
            </w:r>
          </w:p>
        </w:tc>
        <w:tc>
          <w:tcPr>
            <w:tcW w:w="1361" w:type="dxa"/>
            <w:shd w:val="clear" w:color="auto" w:fill="FFFFFF"/>
          </w:tcPr>
          <w:p w14:paraId="5A2F375E" w14:textId="77777777" w:rsidR="00770EF8" w:rsidRPr="00D7033D" w:rsidRDefault="00770EF8" w:rsidP="00770EF8">
            <w:pPr>
              <w:pStyle w:val="Tabletext"/>
            </w:pPr>
            <w:r>
              <w:t>Up to 20</w:t>
            </w:r>
          </w:p>
        </w:tc>
        <w:tc>
          <w:tcPr>
            <w:tcW w:w="1335" w:type="dxa"/>
            <w:shd w:val="clear" w:color="auto" w:fill="FFFFFF"/>
          </w:tcPr>
          <w:p w14:paraId="606C0476" w14:textId="77777777" w:rsidR="00770EF8" w:rsidRPr="00D7033D" w:rsidRDefault="00770EF8" w:rsidP="00770EF8">
            <w:pPr>
              <w:pStyle w:val="Tabletext"/>
            </w:pPr>
            <w:r>
              <w:t>21</w:t>
            </w:r>
          </w:p>
        </w:tc>
        <w:tc>
          <w:tcPr>
            <w:tcW w:w="1575" w:type="dxa"/>
            <w:gridSpan w:val="2"/>
            <w:shd w:val="clear" w:color="auto" w:fill="FFFFFF"/>
          </w:tcPr>
          <w:p w14:paraId="2AF4119D" w14:textId="77777777" w:rsidR="00770EF8" w:rsidRPr="00D7033D" w:rsidRDefault="00770EF8" w:rsidP="00770EF8">
            <w:pPr>
              <w:pStyle w:val="Tabletext"/>
            </w:pPr>
            <w:r>
              <w:t>105</w:t>
            </w:r>
            <w:r w:rsidRPr="00D7033D">
              <w:t>%</w:t>
            </w:r>
          </w:p>
        </w:tc>
        <w:tc>
          <w:tcPr>
            <w:tcW w:w="1312" w:type="dxa"/>
            <w:shd w:val="clear" w:color="auto" w:fill="FFFFFF"/>
          </w:tcPr>
          <w:p w14:paraId="70547957" w14:textId="77777777" w:rsidR="00770EF8" w:rsidRPr="00D7033D" w:rsidRDefault="00770EF8" w:rsidP="00770EF8">
            <w:pPr>
              <w:pStyle w:val="Tabletext"/>
            </w:pPr>
            <w:r>
              <w:t>Green</w:t>
            </w:r>
          </w:p>
        </w:tc>
      </w:tr>
      <w:tr w:rsidR="00770EF8" w14:paraId="10E414D0" w14:textId="77777777" w:rsidTr="00770EF8">
        <w:tc>
          <w:tcPr>
            <w:tcW w:w="1834" w:type="dxa"/>
            <w:gridSpan w:val="2"/>
            <w:shd w:val="clear" w:color="auto" w:fill="FFFFFF"/>
          </w:tcPr>
          <w:p w14:paraId="27B8FBB5" w14:textId="77777777" w:rsidR="00770EF8" w:rsidRPr="00D7033D" w:rsidRDefault="00770EF8" w:rsidP="00770EF8">
            <w:pPr>
              <w:pStyle w:val="Tabletext"/>
            </w:pPr>
            <w:r w:rsidRPr="00D7033D">
              <w:t>Deliver evidence summaries – antimicrobial prescribing</w:t>
            </w:r>
          </w:p>
        </w:tc>
        <w:tc>
          <w:tcPr>
            <w:tcW w:w="1972" w:type="dxa"/>
            <w:shd w:val="clear" w:color="auto" w:fill="FFFFFF"/>
          </w:tcPr>
          <w:p w14:paraId="7E9D297D" w14:textId="77777777" w:rsidR="00770EF8" w:rsidRPr="00D7033D" w:rsidRDefault="00770EF8" w:rsidP="00770EF8">
            <w:pPr>
              <w:pStyle w:val="Tabletext"/>
            </w:pPr>
            <w:r w:rsidRPr="00D7033D">
              <w:t>Up to 4</w:t>
            </w:r>
          </w:p>
        </w:tc>
        <w:tc>
          <w:tcPr>
            <w:tcW w:w="1821" w:type="dxa"/>
            <w:shd w:val="clear" w:color="auto" w:fill="FFFFFF"/>
          </w:tcPr>
          <w:p w14:paraId="6E4D9F56" w14:textId="77777777" w:rsidR="00770EF8" w:rsidRPr="00D7033D" w:rsidRDefault="00770EF8" w:rsidP="00770EF8">
            <w:pPr>
              <w:pStyle w:val="Tabletext"/>
            </w:pPr>
            <w:r w:rsidRPr="00D7033D">
              <w:t>Up to 4</w:t>
            </w:r>
          </w:p>
        </w:tc>
        <w:tc>
          <w:tcPr>
            <w:tcW w:w="1415" w:type="dxa"/>
            <w:shd w:val="clear" w:color="auto" w:fill="FFFFFF"/>
          </w:tcPr>
          <w:p w14:paraId="32E69B0E" w14:textId="77777777" w:rsidR="00770EF8" w:rsidRPr="00D7033D" w:rsidRDefault="00770EF8" w:rsidP="00770EF8">
            <w:pPr>
              <w:pStyle w:val="Tabletext"/>
            </w:pPr>
            <w:r w:rsidRPr="00D7033D">
              <w:t>Publication within stated year</w:t>
            </w:r>
          </w:p>
        </w:tc>
        <w:tc>
          <w:tcPr>
            <w:tcW w:w="1323" w:type="dxa"/>
            <w:gridSpan w:val="2"/>
            <w:shd w:val="clear" w:color="auto" w:fill="FFFFFF"/>
          </w:tcPr>
          <w:p w14:paraId="53D748D1" w14:textId="77777777" w:rsidR="00770EF8" w:rsidRPr="00D7033D" w:rsidRDefault="00770EF8" w:rsidP="00770EF8">
            <w:pPr>
              <w:pStyle w:val="Tabletext"/>
            </w:pPr>
            <w:r w:rsidRPr="00D7033D">
              <w:t>75%</w:t>
            </w:r>
          </w:p>
        </w:tc>
        <w:tc>
          <w:tcPr>
            <w:tcW w:w="1361" w:type="dxa"/>
            <w:shd w:val="clear" w:color="auto" w:fill="FFFFFF"/>
          </w:tcPr>
          <w:p w14:paraId="051166E0" w14:textId="77777777" w:rsidR="00770EF8" w:rsidRPr="00D7033D" w:rsidRDefault="00770EF8" w:rsidP="00770EF8">
            <w:pPr>
              <w:pStyle w:val="Tabletext"/>
            </w:pPr>
            <w:r>
              <w:t>Up to 4</w:t>
            </w:r>
          </w:p>
        </w:tc>
        <w:tc>
          <w:tcPr>
            <w:tcW w:w="1335" w:type="dxa"/>
            <w:shd w:val="clear" w:color="auto" w:fill="FFFFFF"/>
          </w:tcPr>
          <w:p w14:paraId="07A456E7" w14:textId="77777777" w:rsidR="00770EF8" w:rsidRPr="00D7033D" w:rsidRDefault="00770EF8" w:rsidP="00770EF8">
            <w:pPr>
              <w:pStyle w:val="Tabletext"/>
            </w:pPr>
            <w:r>
              <w:t>3</w:t>
            </w:r>
          </w:p>
        </w:tc>
        <w:tc>
          <w:tcPr>
            <w:tcW w:w="1575" w:type="dxa"/>
            <w:gridSpan w:val="2"/>
            <w:shd w:val="clear" w:color="auto" w:fill="FFFFFF"/>
          </w:tcPr>
          <w:p w14:paraId="46A67FE2" w14:textId="77777777" w:rsidR="00770EF8" w:rsidRPr="00D7033D" w:rsidRDefault="00770EF8" w:rsidP="00770EF8">
            <w:pPr>
              <w:pStyle w:val="Tabletext"/>
            </w:pPr>
            <w:r>
              <w:t>75</w:t>
            </w:r>
            <w:r w:rsidRPr="00D7033D">
              <w:t>%</w:t>
            </w:r>
          </w:p>
        </w:tc>
        <w:tc>
          <w:tcPr>
            <w:tcW w:w="1312" w:type="dxa"/>
            <w:shd w:val="clear" w:color="auto" w:fill="FFFFFF"/>
          </w:tcPr>
          <w:p w14:paraId="7C84E221" w14:textId="77777777" w:rsidR="00770EF8" w:rsidRPr="00D7033D" w:rsidRDefault="00770EF8" w:rsidP="00770EF8">
            <w:pPr>
              <w:pStyle w:val="Tabletext"/>
            </w:pPr>
            <w:r>
              <w:t>Green</w:t>
            </w:r>
          </w:p>
        </w:tc>
      </w:tr>
      <w:tr w:rsidR="00770EF8" w:rsidRPr="00AF3CE1" w14:paraId="699F6297" w14:textId="77777777" w:rsidTr="00770EF8">
        <w:tc>
          <w:tcPr>
            <w:tcW w:w="1827" w:type="dxa"/>
            <w:shd w:val="clear" w:color="auto" w:fill="FFFFFF"/>
          </w:tcPr>
          <w:p w14:paraId="18FF16C1" w14:textId="77777777" w:rsidR="00770EF8" w:rsidRPr="00D7033D" w:rsidRDefault="00770EF8" w:rsidP="00770EF8">
            <w:pPr>
              <w:pStyle w:val="Tabletext"/>
            </w:pPr>
            <w:r w:rsidRPr="00D7033D">
              <w:t>Deliver evidence reviews for NHSE&amp;I specialised commissioning (including COVID-19 rapid evidence summaries)</w:t>
            </w:r>
          </w:p>
        </w:tc>
        <w:tc>
          <w:tcPr>
            <w:tcW w:w="1979" w:type="dxa"/>
            <w:gridSpan w:val="2"/>
            <w:shd w:val="clear" w:color="auto" w:fill="FFFFFF"/>
          </w:tcPr>
          <w:p w14:paraId="0D189D84" w14:textId="77777777" w:rsidR="00770EF8" w:rsidRPr="00D7033D" w:rsidRDefault="00770EF8" w:rsidP="00770EF8">
            <w:pPr>
              <w:pStyle w:val="Tabletext"/>
            </w:pPr>
            <w:r w:rsidRPr="00D7033D">
              <w:t>Up to 10</w:t>
            </w:r>
          </w:p>
        </w:tc>
        <w:tc>
          <w:tcPr>
            <w:tcW w:w="1821" w:type="dxa"/>
            <w:shd w:val="clear" w:color="auto" w:fill="FFFFFF"/>
          </w:tcPr>
          <w:p w14:paraId="045F9BA9" w14:textId="77777777" w:rsidR="00770EF8" w:rsidRPr="00D7033D" w:rsidRDefault="00770EF8" w:rsidP="00770EF8">
            <w:pPr>
              <w:pStyle w:val="Tabletext"/>
            </w:pPr>
            <w:r w:rsidRPr="00D7033D">
              <w:t>3</w:t>
            </w:r>
          </w:p>
        </w:tc>
        <w:tc>
          <w:tcPr>
            <w:tcW w:w="1415" w:type="dxa"/>
            <w:shd w:val="clear" w:color="auto" w:fill="FFFFFF"/>
          </w:tcPr>
          <w:p w14:paraId="62E3598A" w14:textId="77777777" w:rsidR="00770EF8" w:rsidRPr="00D7033D" w:rsidRDefault="00770EF8" w:rsidP="00770EF8">
            <w:pPr>
              <w:pStyle w:val="Tabletext"/>
            </w:pPr>
            <w:r w:rsidRPr="00D7033D">
              <w:t>Delivery to NHS England within year</w:t>
            </w:r>
          </w:p>
        </w:tc>
        <w:tc>
          <w:tcPr>
            <w:tcW w:w="1267" w:type="dxa"/>
            <w:shd w:val="clear" w:color="auto" w:fill="FFFFFF"/>
          </w:tcPr>
          <w:p w14:paraId="46EEF759" w14:textId="77777777" w:rsidR="00770EF8" w:rsidRPr="00D7033D" w:rsidRDefault="00770EF8" w:rsidP="00770EF8">
            <w:pPr>
              <w:pStyle w:val="Tabletext"/>
            </w:pPr>
            <w:r w:rsidRPr="00D7033D">
              <w:t>80%</w:t>
            </w:r>
          </w:p>
        </w:tc>
        <w:tc>
          <w:tcPr>
            <w:tcW w:w="1417" w:type="dxa"/>
            <w:gridSpan w:val="2"/>
            <w:shd w:val="clear" w:color="auto" w:fill="FFFFFF"/>
          </w:tcPr>
          <w:p w14:paraId="5893E09B" w14:textId="77777777" w:rsidR="00770EF8" w:rsidRPr="00D7033D" w:rsidRDefault="00770EF8" w:rsidP="00770EF8">
            <w:pPr>
              <w:pStyle w:val="Tabletext"/>
            </w:pPr>
            <w:r>
              <w:t>3</w:t>
            </w:r>
          </w:p>
        </w:tc>
        <w:tc>
          <w:tcPr>
            <w:tcW w:w="1335" w:type="dxa"/>
            <w:shd w:val="clear" w:color="auto" w:fill="FFFFFF"/>
          </w:tcPr>
          <w:p w14:paraId="3C1C7AE4" w14:textId="77777777" w:rsidR="00770EF8" w:rsidRPr="00D7033D" w:rsidRDefault="00770EF8" w:rsidP="00770EF8">
            <w:pPr>
              <w:pStyle w:val="Tabletext"/>
            </w:pPr>
            <w:r>
              <w:t>11</w:t>
            </w:r>
          </w:p>
        </w:tc>
        <w:tc>
          <w:tcPr>
            <w:tcW w:w="1559" w:type="dxa"/>
            <w:shd w:val="clear" w:color="auto" w:fill="FFFFFF"/>
          </w:tcPr>
          <w:p w14:paraId="2BA35BD7" w14:textId="77777777" w:rsidR="00770EF8" w:rsidRPr="00D7033D" w:rsidRDefault="00770EF8" w:rsidP="00770EF8">
            <w:pPr>
              <w:pStyle w:val="Tabletext"/>
            </w:pPr>
            <w:r>
              <w:t>367</w:t>
            </w:r>
            <w:r w:rsidRPr="00D7033D">
              <w:t>%</w:t>
            </w:r>
          </w:p>
        </w:tc>
        <w:tc>
          <w:tcPr>
            <w:tcW w:w="1328" w:type="dxa"/>
            <w:gridSpan w:val="2"/>
            <w:shd w:val="clear" w:color="auto" w:fill="FFFFFF"/>
          </w:tcPr>
          <w:p w14:paraId="350706DF" w14:textId="77777777" w:rsidR="00770EF8" w:rsidRPr="00D7033D" w:rsidRDefault="00770EF8" w:rsidP="00770EF8">
            <w:pPr>
              <w:pStyle w:val="Tabletext"/>
            </w:pPr>
            <w:r w:rsidRPr="00D7033D">
              <w:t>Green</w:t>
            </w:r>
          </w:p>
        </w:tc>
      </w:tr>
      <w:tr w:rsidR="00770EF8" w:rsidRPr="00AF3CE1" w14:paraId="510F81F1" w14:textId="77777777" w:rsidTr="00770EF8">
        <w:tc>
          <w:tcPr>
            <w:tcW w:w="1827" w:type="dxa"/>
            <w:shd w:val="clear" w:color="auto" w:fill="FFFFFF"/>
          </w:tcPr>
          <w:p w14:paraId="229622EF" w14:textId="77777777" w:rsidR="00770EF8" w:rsidRPr="00D7033D" w:rsidRDefault="00770EF8" w:rsidP="00770EF8">
            <w:pPr>
              <w:pStyle w:val="Tabletext"/>
            </w:pPr>
            <w:r w:rsidRPr="00D7033D">
              <w:t>Deliver quality standards</w:t>
            </w:r>
          </w:p>
        </w:tc>
        <w:tc>
          <w:tcPr>
            <w:tcW w:w="1979" w:type="dxa"/>
            <w:gridSpan w:val="2"/>
            <w:shd w:val="clear" w:color="auto" w:fill="FFFFFF"/>
          </w:tcPr>
          <w:p w14:paraId="74C6E9C3" w14:textId="77777777" w:rsidR="00770EF8" w:rsidRPr="00D7033D" w:rsidRDefault="00770EF8" w:rsidP="00770EF8">
            <w:pPr>
              <w:pStyle w:val="Tabletext"/>
            </w:pPr>
            <w:r w:rsidRPr="00D7033D">
              <w:t>16</w:t>
            </w:r>
          </w:p>
        </w:tc>
        <w:tc>
          <w:tcPr>
            <w:tcW w:w="1821" w:type="dxa"/>
            <w:shd w:val="clear" w:color="auto" w:fill="FFFFFF"/>
          </w:tcPr>
          <w:p w14:paraId="0E02CDDC" w14:textId="77777777" w:rsidR="00770EF8" w:rsidRPr="00D7033D" w:rsidRDefault="00770EF8" w:rsidP="00770EF8">
            <w:pPr>
              <w:pStyle w:val="Tabletext"/>
            </w:pPr>
            <w:r w:rsidRPr="00D7033D">
              <w:t>8</w:t>
            </w:r>
          </w:p>
        </w:tc>
        <w:tc>
          <w:tcPr>
            <w:tcW w:w="1415" w:type="dxa"/>
            <w:shd w:val="clear" w:color="auto" w:fill="FFFFFF"/>
          </w:tcPr>
          <w:p w14:paraId="1CA039AE" w14:textId="77777777" w:rsidR="00770EF8" w:rsidRPr="00D7033D" w:rsidRDefault="00770EF8" w:rsidP="00770EF8">
            <w:pPr>
              <w:pStyle w:val="Tabletext"/>
            </w:pPr>
            <w:r w:rsidRPr="00D7033D">
              <w:t>Publication within stated quarter</w:t>
            </w:r>
          </w:p>
        </w:tc>
        <w:tc>
          <w:tcPr>
            <w:tcW w:w="1267" w:type="dxa"/>
            <w:shd w:val="clear" w:color="auto" w:fill="FFFFFF"/>
          </w:tcPr>
          <w:p w14:paraId="49D189FF" w14:textId="77777777" w:rsidR="00770EF8" w:rsidRPr="00D7033D" w:rsidRDefault="00770EF8" w:rsidP="00770EF8">
            <w:pPr>
              <w:pStyle w:val="Tabletext"/>
            </w:pPr>
            <w:r w:rsidRPr="00D7033D">
              <w:t>80%</w:t>
            </w:r>
          </w:p>
        </w:tc>
        <w:tc>
          <w:tcPr>
            <w:tcW w:w="1417" w:type="dxa"/>
            <w:gridSpan w:val="2"/>
            <w:shd w:val="clear" w:color="auto" w:fill="FFFFFF"/>
          </w:tcPr>
          <w:p w14:paraId="06A7E7E9" w14:textId="77777777" w:rsidR="00770EF8" w:rsidRPr="000D353C" w:rsidRDefault="00770EF8" w:rsidP="00770EF8">
            <w:pPr>
              <w:pStyle w:val="Tabletext"/>
            </w:pPr>
            <w:r>
              <w:t>8</w:t>
            </w:r>
          </w:p>
        </w:tc>
        <w:tc>
          <w:tcPr>
            <w:tcW w:w="1335" w:type="dxa"/>
            <w:shd w:val="clear" w:color="auto" w:fill="FFFFFF"/>
          </w:tcPr>
          <w:p w14:paraId="72789B2D" w14:textId="1316792F" w:rsidR="00770EF8" w:rsidRPr="0029355A" w:rsidRDefault="005F1A4A" w:rsidP="00770EF8">
            <w:pPr>
              <w:pStyle w:val="Tabletext"/>
            </w:pPr>
            <w:r w:rsidRPr="0029355A">
              <w:t>8</w:t>
            </w:r>
          </w:p>
        </w:tc>
        <w:tc>
          <w:tcPr>
            <w:tcW w:w="1559" w:type="dxa"/>
            <w:shd w:val="clear" w:color="auto" w:fill="FFFFFF"/>
          </w:tcPr>
          <w:p w14:paraId="17E5FCC5" w14:textId="484B8DE8" w:rsidR="00770EF8" w:rsidRPr="0029355A" w:rsidRDefault="00770EF8" w:rsidP="00770EF8">
            <w:pPr>
              <w:pStyle w:val="Tabletext"/>
            </w:pPr>
            <w:r w:rsidRPr="0029355A">
              <w:t>1</w:t>
            </w:r>
            <w:r w:rsidR="005F1A4A" w:rsidRPr="0029355A">
              <w:t>00</w:t>
            </w:r>
            <w:r w:rsidRPr="0029355A">
              <w:t>%</w:t>
            </w:r>
          </w:p>
        </w:tc>
        <w:tc>
          <w:tcPr>
            <w:tcW w:w="1328" w:type="dxa"/>
            <w:gridSpan w:val="2"/>
            <w:shd w:val="clear" w:color="auto" w:fill="FFFFFF"/>
          </w:tcPr>
          <w:p w14:paraId="6D1EC8F0" w14:textId="77777777" w:rsidR="00770EF8" w:rsidRPr="00D7033D" w:rsidRDefault="00770EF8" w:rsidP="00770EF8">
            <w:pPr>
              <w:pStyle w:val="Tabletext"/>
            </w:pPr>
            <w:r w:rsidRPr="00D7033D">
              <w:t>Green</w:t>
            </w:r>
          </w:p>
        </w:tc>
      </w:tr>
      <w:tr w:rsidR="00770EF8" w:rsidRPr="00AF3CE1" w14:paraId="303C63C2" w14:textId="77777777" w:rsidTr="00770EF8">
        <w:tc>
          <w:tcPr>
            <w:tcW w:w="1827" w:type="dxa"/>
            <w:shd w:val="clear" w:color="auto" w:fill="FFFFFF"/>
          </w:tcPr>
          <w:p w14:paraId="5AF8E3F9" w14:textId="77777777" w:rsidR="00770EF8" w:rsidRPr="00D7033D" w:rsidRDefault="00770EF8" w:rsidP="00770EF8">
            <w:pPr>
              <w:pStyle w:val="Tabletext"/>
            </w:pPr>
            <w:r w:rsidRPr="00D7033D">
              <w:t xml:space="preserve">Deliver indicator menu </w:t>
            </w:r>
          </w:p>
        </w:tc>
        <w:tc>
          <w:tcPr>
            <w:tcW w:w="1979" w:type="dxa"/>
            <w:gridSpan w:val="2"/>
            <w:shd w:val="clear" w:color="auto" w:fill="FFFFFF"/>
          </w:tcPr>
          <w:p w14:paraId="194EB71A" w14:textId="77777777" w:rsidR="00770EF8" w:rsidRPr="00D7033D" w:rsidRDefault="00770EF8" w:rsidP="00770EF8">
            <w:pPr>
              <w:pStyle w:val="Tabletext"/>
            </w:pPr>
            <w:r w:rsidRPr="00D7033D">
              <w:t>1</w:t>
            </w:r>
          </w:p>
        </w:tc>
        <w:tc>
          <w:tcPr>
            <w:tcW w:w="1821" w:type="dxa"/>
            <w:shd w:val="clear" w:color="auto" w:fill="FFFFFF"/>
          </w:tcPr>
          <w:p w14:paraId="7BD32CA5" w14:textId="77777777" w:rsidR="00770EF8" w:rsidRPr="00D7033D" w:rsidRDefault="00770EF8" w:rsidP="00770EF8">
            <w:pPr>
              <w:pStyle w:val="Tabletext"/>
            </w:pPr>
            <w:r w:rsidRPr="00D7033D">
              <w:t>1</w:t>
            </w:r>
          </w:p>
        </w:tc>
        <w:tc>
          <w:tcPr>
            <w:tcW w:w="1415" w:type="dxa"/>
            <w:shd w:val="clear" w:color="auto" w:fill="FFFFFF"/>
          </w:tcPr>
          <w:p w14:paraId="6F64ABBA" w14:textId="77777777" w:rsidR="00770EF8" w:rsidRPr="00D7033D" w:rsidRDefault="00770EF8" w:rsidP="00770EF8">
            <w:pPr>
              <w:pStyle w:val="Tabletext"/>
            </w:pPr>
            <w:r w:rsidRPr="00D7033D">
              <w:t>Publication within stated year</w:t>
            </w:r>
          </w:p>
        </w:tc>
        <w:tc>
          <w:tcPr>
            <w:tcW w:w="1267" w:type="dxa"/>
            <w:shd w:val="clear" w:color="auto" w:fill="FFFFFF"/>
          </w:tcPr>
          <w:p w14:paraId="041CED18" w14:textId="77777777" w:rsidR="00770EF8" w:rsidRPr="00D7033D" w:rsidRDefault="00770EF8" w:rsidP="00770EF8">
            <w:pPr>
              <w:pStyle w:val="Tabletext"/>
            </w:pPr>
            <w:r w:rsidRPr="00D7033D">
              <w:t>100%</w:t>
            </w:r>
          </w:p>
        </w:tc>
        <w:tc>
          <w:tcPr>
            <w:tcW w:w="1417" w:type="dxa"/>
            <w:gridSpan w:val="2"/>
            <w:shd w:val="clear" w:color="auto" w:fill="FFFFFF"/>
          </w:tcPr>
          <w:p w14:paraId="64C06232" w14:textId="77777777" w:rsidR="00770EF8" w:rsidRPr="00D7033D" w:rsidRDefault="00770EF8" w:rsidP="00770EF8">
            <w:pPr>
              <w:pStyle w:val="Tabletext"/>
            </w:pPr>
            <w:r w:rsidRPr="00D7033D">
              <w:t>1</w:t>
            </w:r>
          </w:p>
        </w:tc>
        <w:tc>
          <w:tcPr>
            <w:tcW w:w="1335" w:type="dxa"/>
            <w:shd w:val="clear" w:color="auto" w:fill="FFFFFF"/>
          </w:tcPr>
          <w:p w14:paraId="43840602" w14:textId="77777777" w:rsidR="00770EF8" w:rsidRPr="00D7033D" w:rsidRDefault="00770EF8" w:rsidP="00770EF8">
            <w:pPr>
              <w:pStyle w:val="Tabletext"/>
            </w:pPr>
            <w:r w:rsidRPr="00D7033D">
              <w:t>1</w:t>
            </w:r>
          </w:p>
        </w:tc>
        <w:tc>
          <w:tcPr>
            <w:tcW w:w="1559" w:type="dxa"/>
            <w:shd w:val="clear" w:color="auto" w:fill="FFFFFF"/>
          </w:tcPr>
          <w:p w14:paraId="3AE75F81" w14:textId="77777777" w:rsidR="00770EF8" w:rsidRPr="00D7033D" w:rsidRDefault="00770EF8" w:rsidP="00770EF8">
            <w:pPr>
              <w:pStyle w:val="Tabletext"/>
            </w:pPr>
            <w:r w:rsidRPr="00D7033D">
              <w:t>100%</w:t>
            </w:r>
          </w:p>
        </w:tc>
        <w:tc>
          <w:tcPr>
            <w:tcW w:w="1328" w:type="dxa"/>
            <w:gridSpan w:val="2"/>
            <w:shd w:val="clear" w:color="auto" w:fill="FFFFFF"/>
          </w:tcPr>
          <w:p w14:paraId="5947BD77" w14:textId="77777777" w:rsidR="00770EF8" w:rsidRPr="00D7033D" w:rsidRDefault="00770EF8" w:rsidP="00770EF8">
            <w:pPr>
              <w:pStyle w:val="Tabletext"/>
            </w:pPr>
            <w:r w:rsidRPr="00D7033D">
              <w:t>Green</w:t>
            </w:r>
          </w:p>
        </w:tc>
      </w:tr>
      <w:tr w:rsidR="00770EF8" w:rsidRPr="00AF3CE1" w14:paraId="7C693579" w14:textId="77777777" w:rsidTr="00770EF8">
        <w:tc>
          <w:tcPr>
            <w:tcW w:w="1827" w:type="dxa"/>
            <w:shd w:val="clear" w:color="auto" w:fill="FFFFFF"/>
          </w:tcPr>
          <w:p w14:paraId="17CBE80A" w14:textId="77777777" w:rsidR="00770EF8" w:rsidRPr="00D7033D" w:rsidRDefault="00770EF8" w:rsidP="00770EF8">
            <w:pPr>
              <w:pStyle w:val="Tabletext"/>
            </w:pPr>
            <w:r w:rsidRPr="00D7033D">
              <w:t>Deliver endorsement statements</w:t>
            </w:r>
          </w:p>
        </w:tc>
        <w:tc>
          <w:tcPr>
            <w:tcW w:w="1979" w:type="dxa"/>
            <w:gridSpan w:val="2"/>
            <w:shd w:val="clear" w:color="auto" w:fill="FFFFFF"/>
          </w:tcPr>
          <w:p w14:paraId="049183F4" w14:textId="77777777" w:rsidR="00770EF8" w:rsidRPr="00D7033D" w:rsidRDefault="00770EF8" w:rsidP="00770EF8">
            <w:pPr>
              <w:pStyle w:val="Tabletext"/>
            </w:pPr>
            <w:r w:rsidRPr="00D7033D">
              <w:t>30</w:t>
            </w:r>
          </w:p>
        </w:tc>
        <w:tc>
          <w:tcPr>
            <w:tcW w:w="1821" w:type="dxa"/>
            <w:shd w:val="clear" w:color="auto" w:fill="FFFFFF"/>
          </w:tcPr>
          <w:p w14:paraId="5D7FE395" w14:textId="77777777" w:rsidR="00770EF8" w:rsidRPr="00D7033D" w:rsidRDefault="00770EF8" w:rsidP="00770EF8">
            <w:pPr>
              <w:pStyle w:val="Tabletext"/>
            </w:pPr>
            <w:r w:rsidRPr="00D7033D">
              <w:t>20</w:t>
            </w:r>
          </w:p>
        </w:tc>
        <w:tc>
          <w:tcPr>
            <w:tcW w:w="1415" w:type="dxa"/>
            <w:shd w:val="clear" w:color="auto" w:fill="FFFFFF"/>
          </w:tcPr>
          <w:p w14:paraId="0E4AB0F6" w14:textId="77777777" w:rsidR="00770EF8" w:rsidRPr="00D7033D" w:rsidRDefault="00770EF8" w:rsidP="00770EF8">
            <w:pPr>
              <w:pStyle w:val="Tabletext"/>
            </w:pPr>
            <w:r w:rsidRPr="00D7033D">
              <w:t xml:space="preserve">Publication within </w:t>
            </w:r>
            <w:r w:rsidRPr="00D7033D">
              <w:lastRenderedPageBreak/>
              <w:t>stated quarter</w:t>
            </w:r>
          </w:p>
        </w:tc>
        <w:tc>
          <w:tcPr>
            <w:tcW w:w="1267" w:type="dxa"/>
            <w:shd w:val="clear" w:color="auto" w:fill="FFFFFF"/>
          </w:tcPr>
          <w:p w14:paraId="62737B12" w14:textId="77777777" w:rsidR="00770EF8" w:rsidRPr="00D7033D" w:rsidRDefault="00770EF8" w:rsidP="00770EF8">
            <w:pPr>
              <w:pStyle w:val="Tabletext"/>
            </w:pPr>
            <w:r w:rsidRPr="00D7033D">
              <w:lastRenderedPageBreak/>
              <w:t>80%</w:t>
            </w:r>
          </w:p>
        </w:tc>
        <w:tc>
          <w:tcPr>
            <w:tcW w:w="1417" w:type="dxa"/>
            <w:gridSpan w:val="2"/>
            <w:shd w:val="clear" w:color="auto" w:fill="FFFFFF"/>
          </w:tcPr>
          <w:p w14:paraId="03455A1A" w14:textId="77777777" w:rsidR="00770EF8" w:rsidRPr="00D7033D" w:rsidRDefault="00770EF8" w:rsidP="00770EF8">
            <w:pPr>
              <w:pStyle w:val="Tabletext"/>
            </w:pPr>
            <w:r>
              <w:t>20</w:t>
            </w:r>
          </w:p>
        </w:tc>
        <w:tc>
          <w:tcPr>
            <w:tcW w:w="1335" w:type="dxa"/>
            <w:shd w:val="clear" w:color="auto" w:fill="FFFFFF"/>
          </w:tcPr>
          <w:p w14:paraId="169E54E4" w14:textId="77777777" w:rsidR="00770EF8" w:rsidRPr="000E0CF0" w:rsidRDefault="00770EF8" w:rsidP="00770EF8">
            <w:pPr>
              <w:pStyle w:val="Tabletext"/>
            </w:pPr>
            <w:r w:rsidRPr="000E0CF0">
              <w:t>21</w:t>
            </w:r>
          </w:p>
        </w:tc>
        <w:tc>
          <w:tcPr>
            <w:tcW w:w="1559" w:type="dxa"/>
            <w:shd w:val="clear" w:color="auto" w:fill="FFFFFF"/>
          </w:tcPr>
          <w:p w14:paraId="532B6035" w14:textId="77777777" w:rsidR="00770EF8" w:rsidRPr="00D7033D" w:rsidRDefault="00770EF8" w:rsidP="00770EF8">
            <w:pPr>
              <w:pStyle w:val="Tabletext"/>
            </w:pPr>
            <w:r>
              <w:t>105</w:t>
            </w:r>
            <w:r w:rsidRPr="00D7033D">
              <w:t>%</w:t>
            </w:r>
          </w:p>
        </w:tc>
        <w:tc>
          <w:tcPr>
            <w:tcW w:w="1328" w:type="dxa"/>
            <w:gridSpan w:val="2"/>
            <w:shd w:val="clear" w:color="auto" w:fill="FFFFFF"/>
          </w:tcPr>
          <w:p w14:paraId="4216B6A2" w14:textId="77777777" w:rsidR="00770EF8" w:rsidRPr="00D7033D" w:rsidRDefault="00770EF8" w:rsidP="00770EF8">
            <w:pPr>
              <w:pStyle w:val="Tabletext"/>
            </w:pPr>
            <w:r w:rsidRPr="00D7033D">
              <w:t>Green</w:t>
            </w:r>
          </w:p>
        </w:tc>
      </w:tr>
      <w:tr w:rsidR="00770EF8" w:rsidRPr="00AF3CE1" w14:paraId="1340736E" w14:textId="77777777" w:rsidTr="00770EF8">
        <w:tc>
          <w:tcPr>
            <w:tcW w:w="1827" w:type="dxa"/>
            <w:shd w:val="clear" w:color="auto" w:fill="FFFFFF"/>
          </w:tcPr>
          <w:p w14:paraId="6B354DE1" w14:textId="77777777" w:rsidR="00770EF8" w:rsidRPr="00D7033D" w:rsidRDefault="00770EF8" w:rsidP="00770EF8">
            <w:pPr>
              <w:pStyle w:val="Tabletext"/>
            </w:pPr>
            <w:r w:rsidRPr="00D7033D">
              <w:t>Deliver shared learning examples</w:t>
            </w:r>
          </w:p>
        </w:tc>
        <w:tc>
          <w:tcPr>
            <w:tcW w:w="1979" w:type="dxa"/>
            <w:gridSpan w:val="2"/>
            <w:shd w:val="clear" w:color="auto" w:fill="FFFFFF"/>
          </w:tcPr>
          <w:p w14:paraId="76F9925E" w14:textId="77777777" w:rsidR="00770EF8" w:rsidRPr="00D7033D" w:rsidRDefault="00770EF8" w:rsidP="00770EF8">
            <w:pPr>
              <w:pStyle w:val="Tabletext"/>
            </w:pPr>
            <w:r w:rsidRPr="00D7033D">
              <w:t>50</w:t>
            </w:r>
          </w:p>
        </w:tc>
        <w:tc>
          <w:tcPr>
            <w:tcW w:w="1821" w:type="dxa"/>
            <w:shd w:val="clear" w:color="auto" w:fill="FFFFFF"/>
          </w:tcPr>
          <w:p w14:paraId="5F711410" w14:textId="77777777" w:rsidR="00770EF8" w:rsidRPr="00D7033D" w:rsidRDefault="00770EF8" w:rsidP="00770EF8">
            <w:pPr>
              <w:pStyle w:val="Tabletext"/>
            </w:pPr>
            <w:r w:rsidRPr="00D7033D">
              <w:t>25</w:t>
            </w:r>
          </w:p>
        </w:tc>
        <w:tc>
          <w:tcPr>
            <w:tcW w:w="1415" w:type="dxa"/>
            <w:shd w:val="clear" w:color="auto" w:fill="FFFFFF"/>
          </w:tcPr>
          <w:p w14:paraId="101B83A8" w14:textId="77777777" w:rsidR="00770EF8" w:rsidRPr="00D7033D" w:rsidRDefault="00770EF8" w:rsidP="00770EF8">
            <w:pPr>
              <w:pStyle w:val="Tabletext"/>
            </w:pPr>
            <w:r w:rsidRPr="00D7033D">
              <w:t>Publication within stated quarter</w:t>
            </w:r>
          </w:p>
        </w:tc>
        <w:tc>
          <w:tcPr>
            <w:tcW w:w="1267" w:type="dxa"/>
            <w:shd w:val="clear" w:color="auto" w:fill="FFFFFF"/>
          </w:tcPr>
          <w:p w14:paraId="0A966F58" w14:textId="77777777" w:rsidR="00770EF8" w:rsidRPr="00D7033D" w:rsidRDefault="00770EF8" w:rsidP="00770EF8">
            <w:pPr>
              <w:pStyle w:val="Tabletext"/>
            </w:pPr>
            <w:r w:rsidRPr="00D7033D">
              <w:t>80%</w:t>
            </w:r>
          </w:p>
        </w:tc>
        <w:tc>
          <w:tcPr>
            <w:tcW w:w="1417" w:type="dxa"/>
            <w:gridSpan w:val="2"/>
            <w:shd w:val="clear" w:color="auto" w:fill="FFFFFF"/>
          </w:tcPr>
          <w:p w14:paraId="483A35FF" w14:textId="77777777" w:rsidR="00770EF8" w:rsidRPr="00D7033D" w:rsidRDefault="00770EF8" w:rsidP="00770EF8">
            <w:pPr>
              <w:pStyle w:val="Tabletext"/>
            </w:pPr>
            <w:r>
              <w:t>25</w:t>
            </w:r>
          </w:p>
        </w:tc>
        <w:tc>
          <w:tcPr>
            <w:tcW w:w="1335" w:type="dxa"/>
            <w:shd w:val="clear" w:color="auto" w:fill="FFFFFF"/>
          </w:tcPr>
          <w:p w14:paraId="7C3645DC" w14:textId="37D6A7D4" w:rsidR="00770EF8" w:rsidRPr="000E0CF0" w:rsidRDefault="00770EF8" w:rsidP="00770EF8">
            <w:pPr>
              <w:pStyle w:val="Tabletext"/>
            </w:pPr>
            <w:r w:rsidRPr="000E0CF0">
              <w:t>4</w:t>
            </w:r>
            <w:r w:rsidR="005F1A4A">
              <w:t>5</w:t>
            </w:r>
          </w:p>
        </w:tc>
        <w:tc>
          <w:tcPr>
            <w:tcW w:w="1559" w:type="dxa"/>
            <w:shd w:val="clear" w:color="auto" w:fill="FFFFFF"/>
          </w:tcPr>
          <w:p w14:paraId="4922FB0A" w14:textId="77F68D1C" w:rsidR="00770EF8" w:rsidRPr="00D7033D" w:rsidRDefault="00770EF8" w:rsidP="00770EF8">
            <w:pPr>
              <w:pStyle w:val="Tabletext"/>
            </w:pPr>
            <w:r>
              <w:t>1</w:t>
            </w:r>
            <w:r w:rsidR="005F1A4A">
              <w:t>80</w:t>
            </w:r>
            <w:r>
              <w:t>%</w:t>
            </w:r>
          </w:p>
        </w:tc>
        <w:tc>
          <w:tcPr>
            <w:tcW w:w="1328" w:type="dxa"/>
            <w:gridSpan w:val="2"/>
            <w:shd w:val="clear" w:color="auto" w:fill="FFFFFF"/>
          </w:tcPr>
          <w:p w14:paraId="5E057AAF" w14:textId="77777777" w:rsidR="00770EF8" w:rsidRPr="00D7033D" w:rsidRDefault="00770EF8" w:rsidP="00770EF8">
            <w:pPr>
              <w:pStyle w:val="Tabletext"/>
            </w:pPr>
            <w:r w:rsidRPr="00D7033D">
              <w:t>Green</w:t>
            </w:r>
          </w:p>
        </w:tc>
      </w:tr>
      <w:tr w:rsidR="00770EF8" w:rsidRPr="00AF3CE1" w14:paraId="00D5752B" w14:textId="77777777" w:rsidTr="00770EF8">
        <w:tc>
          <w:tcPr>
            <w:tcW w:w="1827" w:type="dxa"/>
            <w:shd w:val="clear" w:color="auto" w:fill="FFFFFF"/>
          </w:tcPr>
          <w:p w14:paraId="2A98ECFF" w14:textId="77777777" w:rsidR="00770EF8" w:rsidRPr="00147F25" w:rsidRDefault="00770EF8" w:rsidP="00770EF8">
            <w:pPr>
              <w:pStyle w:val="Tabletext"/>
            </w:pPr>
            <w:r w:rsidRPr="00147F25">
              <w:t>Publish monthly updates of the BNF and BNF C content</w:t>
            </w:r>
          </w:p>
        </w:tc>
        <w:tc>
          <w:tcPr>
            <w:tcW w:w="1979" w:type="dxa"/>
            <w:gridSpan w:val="2"/>
            <w:shd w:val="clear" w:color="auto" w:fill="FFFFFF"/>
          </w:tcPr>
          <w:p w14:paraId="47C8C8A7" w14:textId="77777777" w:rsidR="00770EF8" w:rsidRPr="00D7033D" w:rsidRDefault="00770EF8" w:rsidP="00770EF8">
            <w:pPr>
              <w:pStyle w:val="Tabletext"/>
            </w:pPr>
            <w:r w:rsidRPr="00D7033D">
              <w:t>12</w:t>
            </w:r>
          </w:p>
        </w:tc>
        <w:tc>
          <w:tcPr>
            <w:tcW w:w="1821" w:type="dxa"/>
            <w:shd w:val="clear" w:color="auto" w:fill="FFFFFF"/>
          </w:tcPr>
          <w:p w14:paraId="7CC69C96" w14:textId="77777777" w:rsidR="00770EF8" w:rsidRPr="00D7033D" w:rsidRDefault="00770EF8" w:rsidP="00770EF8">
            <w:pPr>
              <w:pStyle w:val="Tabletext"/>
            </w:pPr>
            <w:r w:rsidRPr="00D7033D">
              <w:t>12</w:t>
            </w:r>
          </w:p>
        </w:tc>
        <w:tc>
          <w:tcPr>
            <w:tcW w:w="1415" w:type="dxa"/>
            <w:shd w:val="clear" w:color="auto" w:fill="FFFFFF"/>
          </w:tcPr>
          <w:p w14:paraId="6A72123D" w14:textId="77777777" w:rsidR="00770EF8" w:rsidRPr="00D7033D" w:rsidRDefault="00770EF8" w:rsidP="00770EF8">
            <w:pPr>
              <w:pStyle w:val="Tabletext"/>
            </w:pPr>
            <w:r w:rsidRPr="00D7033D">
              <w:t>Publication within stated quarter</w:t>
            </w:r>
          </w:p>
        </w:tc>
        <w:tc>
          <w:tcPr>
            <w:tcW w:w="1267" w:type="dxa"/>
            <w:shd w:val="clear" w:color="auto" w:fill="FFFFFF"/>
          </w:tcPr>
          <w:p w14:paraId="35328FCB" w14:textId="77777777" w:rsidR="00770EF8" w:rsidRPr="00D7033D" w:rsidRDefault="00770EF8" w:rsidP="00770EF8">
            <w:pPr>
              <w:pStyle w:val="Tabletext"/>
            </w:pPr>
            <w:r w:rsidRPr="00D7033D">
              <w:t>80%</w:t>
            </w:r>
          </w:p>
        </w:tc>
        <w:tc>
          <w:tcPr>
            <w:tcW w:w="1417" w:type="dxa"/>
            <w:gridSpan w:val="2"/>
            <w:shd w:val="clear" w:color="auto" w:fill="FFFFFF"/>
          </w:tcPr>
          <w:p w14:paraId="6FC32C38" w14:textId="77777777" w:rsidR="00770EF8" w:rsidRPr="00D7033D" w:rsidRDefault="00770EF8" w:rsidP="00770EF8">
            <w:pPr>
              <w:pStyle w:val="Tabletext"/>
            </w:pPr>
            <w:r>
              <w:t>12</w:t>
            </w:r>
          </w:p>
        </w:tc>
        <w:tc>
          <w:tcPr>
            <w:tcW w:w="1335" w:type="dxa"/>
            <w:shd w:val="clear" w:color="auto" w:fill="FFFFFF"/>
          </w:tcPr>
          <w:p w14:paraId="2D845981" w14:textId="77777777" w:rsidR="00770EF8" w:rsidRPr="00D7033D" w:rsidRDefault="00770EF8" w:rsidP="00770EF8">
            <w:pPr>
              <w:pStyle w:val="Tabletext"/>
            </w:pPr>
            <w:r>
              <w:t>12</w:t>
            </w:r>
          </w:p>
        </w:tc>
        <w:tc>
          <w:tcPr>
            <w:tcW w:w="1559" w:type="dxa"/>
            <w:shd w:val="clear" w:color="auto" w:fill="FFFFFF"/>
          </w:tcPr>
          <w:p w14:paraId="496A78C3" w14:textId="77777777" w:rsidR="00770EF8" w:rsidRPr="00D7033D" w:rsidRDefault="00770EF8" w:rsidP="00770EF8">
            <w:pPr>
              <w:pStyle w:val="Tabletext"/>
            </w:pPr>
            <w:r w:rsidRPr="00D7033D">
              <w:t>100%</w:t>
            </w:r>
          </w:p>
        </w:tc>
        <w:tc>
          <w:tcPr>
            <w:tcW w:w="1328" w:type="dxa"/>
            <w:gridSpan w:val="2"/>
            <w:shd w:val="clear" w:color="auto" w:fill="FFFFFF"/>
          </w:tcPr>
          <w:p w14:paraId="14A7B4F2" w14:textId="77777777" w:rsidR="00770EF8" w:rsidRPr="00D7033D" w:rsidRDefault="00770EF8" w:rsidP="00770EF8">
            <w:pPr>
              <w:pStyle w:val="Tabletext"/>
            </w:pPr>
            <w:r w:rsidRPr="00D7033D">
              <w:t>Green</w:t>
            </w:r>
          </w:p>
        </w:tc>
      </w:tr>
      <w:tr w:rsidR="00770EF8" w:rsidRPr="00AF3CE1" w14:paraId="3B6DA266" w14:textId="77777777" w:rsidTr="00770EF8">
        <w:tc>
          <w:tcPr>
            <w:tcW w:w="1827" w:type="dxa"/>
            <w:shd w:val="clear" w:color="auto" w:fill="FFFFFF"/>
          </w:tcPr>
          <w:p w14:paraId="17FCB084" w14:textId="77777777" w:rsidR="00770EF8" w:rsidRPr="00147F25" w:rsidRDefault="00770EF8" w:rsidP="00770EF8">
            <w:pPr>
              <w:pStyle w:val="Tabletext"/>
            </w:pPr>
            <w:r w:rsidRPr="00147F25">
              <w:t xml:space="preserve">Deliver a regular medicine awareness service </w:t>
            </w:r>
          </w:p>
        </w:tc>
        <w:tc>
          <w:tcPr>
            <w:tcW w:w="1979" w:type="dxa"/>
            <w:gridSpan w:val="2"/>
            <w:shd w:val="clear" w:color="auto" w:fill="FFFFFF"/>
          </w:tcPr>
          <w:p w14:paraId="540C6CC7" w14:textId="77777777" w:rsidR="00770EF8" w:rsidRPr="00D7033D" w:rsidRDefault="00770EF8" w:rsidP="00770EF8">
            <w:pPr>
              <w:pStyle w:val="Tabletext"/>
            </w:pPr>
            <w:r w:rsidRPr="00D7033D">
              <w:t>50</w:t>
            </w:r>
          </w:p>
        </w:tc>
        <w:tc>
          <w:tcPr>
            <w:tcW w:w="1821" w:type="dxa"/>
            <w:shd w:val="clear" w:color="auto" w:fill="FFFFFF"/>
          </w:tcPr>
          <w:p w14:paraId="7BB5F5CE" w14:textId="77777777" w:rsidR="00770EF8" w:rsidRPr="00D7033D" w:rsidRDefault="00770EF8" w:rsidP="00770EF8">
            <w:pPr>
              <w:pStyle w:val="Tabletext"/>
            </w:pPr>
            <w:r w:rsidRPr="00D7033D">
              <w:t>50</w:t>
            </w:r>
          </w:p>
        </w:tc>
        <w:tc>
          <w:tcPr>
            <w:tcW w:w="1415" w:type="dxa"/>
            <w:shd w:val="clear" w:color="auto" w:fill="FFFFFF"/>
          </w:tcPr>
          <w:p w14:paraId="0EA3CA63" w14:textId="77777777" w:rsidR="00770EF8" w:rsidRPr="00D7033D" w:rsidRDefault="00770EF8" w:rsidP="00770EF8">
            <w:pPr>
              <w:pStyle w:val="Tabletext"/>
            </w:pPr>
            <w:r w:rsidRPr="00D7033D">
              <w:t>Publication to regular schedule</w:t>
            </w:r>
          </w:p>
        </w:tc>
        <w:tc>
          <w:tcPr>
            <w:tcW w:w="1267" w:type="dxa"/>
            <w:shd w:val="clear" w:color="auto" w:fill="FFFFFF"/>
          </w:tcPr>
          <w:p w14:paraId="3C97F6D5" w14:textId="77777777" w:rsidR="00770EF8" w:rsidRPr="00D7033D" w:rsidRDefault="00770EF8" w:rsidP="00770EF8">
            <w:pPr>
              <w:pStyle w:val="Tabletext"/>
            </w:pPr>
            <w:r w:rsidRPr="00D7033D">
              <w:t>90%</w:t>
            </w:r>
          </w:p>
        </w:tc>
        <w:tc>
          <w:tcPr>
            <w:tcW w:w="1417" w:type="dxa"/>
            <w:gridSpan w:val="2"/>
            <w:shd w:val="clear" w:color="auto" w:fill="FFFFFF"/>
          </w:tcPr>
          <w:p w14:paraId="2CE50C11" w14:textId="77777777" w:rsidR="00770EF8" w:rsidRPr="00D7033D" w:rsidRDefault="00770EF8" w:rsidP="00770EF8">
            <w:pPr>
              <w:pStyle w:val="Tabletext"/>
            </w:pPr>
            <w:r>
              <w:t>50</w:t>
            </w:r>
          </w:p>
        </w:tc>
        <w:tc>
          <w:tcPr>
            <w:tcW w:w="1335" w:type="dxa"/>
            <w:shd w:val="clear" w:color="auto" w:fill="FFFFFF"/>
          </w:tcPr>
          <w:p w14:paraId="6A0CB4FA" w14:textId="77777777" w:rsidR="00770EF8" w:rsidRPr="00D7033D" w:rsidRDefault="00770EF8" w:rsidP="00770EF8">
            <w:pPr>
              <w:pStyle w:val="Tabletext"/>
            </w:pPr>
            <w:r>
              <w:t>50</w:t>
            </w:r>
          </w:p>
        </w:tc>
        <w:tc>
          <w:tcPr>
            <w:tcW w:w="1559" w:type="dxa"/>
            <w:shd w:val="clear" w:color="auto" w:fill="FFFFFF"/>
          </w:tcPr>
          <w:p w14:paraId="0487BBA2" w14:textId="77777777" w:rsidR="00770EF8" w:rsidRPr="00D7033D" w:rsidRDefault="00770EF8" w:rsidP="00770EF8">
            <w:pPr>
              <w:pStyle w:val="Tabletext"/>
            </w:pPr>
            <w:r w:rsidRPr="00D7033D">
              <w:t>100%</w:t>
            </w:r>
          </w:p>
        </w:tc>
        <w:tc>
          <w:tcPr>
            <w:tcW w:w="1328" w:type="dxa"/>
            <w:gridSpan w:val="2"/>
            <w:shd w:val="clear" w:color="auto" w:fill="FFFFFF"/>
          </w:tcPr>
          <w:p w14:paraId="6635DD09" w14:textId="77777777" w:rsidR="00770EF8" w:rsidRPr="00D7033D" w:rsidRDefault="00770EF8" w:rsidP="00770EF8">
            <w:pPr>
              <w:pStyle w:val="Tabletext"/>
            </w:pPr>
            <w:r w:rsidRPr="00D7033D">
              <w:t>Green</w:t>
            </w:r>
          </w:p>
        </w:tc>
      </w:tr>
      <w:tr w:rsidR="00770EF8" w:rsidRPr="00AF3CE1" w14:paraId="1D787076" w14:textId="77777777" w:rsidTr="00770EF8">
        <w:tc>
          <w:tcPr>
            <w:tcW w:w="1827" w:type="dxa"/>
            <w:shd w:val="clear" w:color="auto" w:fill="FFFFFF"/>
          </w:tcPr>
          <w:p w14:paraId="77FBEDC1" w14:textId="77777777" w:rsidR="00770EF8" w:rsidRPr="00D7033D" w:rsidRDefault="00770EF8" w:rsidP="00770EF8">
            <w:pPr>
              <w:pStyle w:val="Tabletext"/>
            </w:pPr>
            <w:r w:rsidRPr="00D7033D">
              <w:t>Deliver medicines advice products</w:t>
            </w:r>
          </w:p>
        </w:tc>
        <w:tc>
          <w:tcPr>
            <w:tcW w:w="1979" w:type="dxa"/>
            <w:gridSpan w:val="2"/>
            <w:shd w:val="clear" w:color="auto" w:fill="FFFFFF"/>
          </w:tcPr>
          <w:p w14:paraId="16DD08FD" w14:textId="77777777" w:rsidR="00770EF8" w:rsidRPr="00D7033D" w:rsidRDefault="00770EF8" w:rsidP="00770EF8">
            <w:pPr>
              <w:pStyle w:val="Tabletext"/>
            </w:pPr>
            <w:r w:rsidRPr="00D7033D">
              <w:t>10</w:t>
            </w:r>
          </w:p>
        </w:tc>
        <w:tc>
          <w:tcPr>
            <w:tcW w:w="1821" w:type="dxa"/>
            <w:shd w:val="clear" w:color="auto" w:fill="FFFFFF"/>
          </w:tcPr>
          <w:p w14:paraId="38AE9FC3" w14:textId="77777777" w:rsidR="00770EF8" w:rsidRPr="00D7033D" w:rsidRDefault="00770EF8" w:rsidP="00770EF8">
            <w:pPr>
              <w:pStyle w:val="Tabletext"/>
            </w:pPr>
            <w:r w:rsidRPr="00D7033D">
              <w:t>10</w:t>
            </w:r>
          </w:p>
        </w:tc>
        <w:tc>
          <w:tcPr>
            <w:tcW w:w="1415" w:type="dxa"/>
            <w:shd w:val="clear" w:color="auto" w:fill="FFFFFF"/>
          </w:tcPr>
          <w:p w14:paraId="1E33CB1E" w14:textId="77777777" w:rsidR="00770EF8" w:rsidRPr="00D7033D" w:rsidRDefault="00770EF8" w:rsidP="00770EF8">
            <w:pPr>
              <w:pStyle w:val="Tabletext"/>
            </w:pPr>
            <w:r w:rsidRPr="00D7033D">
              <w:t>Publication within stated quarter</w:t>
            </w:r>
          </w:p>
        </w:tc>
        <w:tc>
          <w:tcPr>
            <w:tcW w:w="1267" w:type="dxa"/>
            <w:shd w:val="clear" w:color="auto" w:fill="FFFFFF"/>
          </w:tcPr>
          <w:p w14:paraId="4403F81E" w14:textId="77777777" w:rsidR="00770EF8" w:rsidRPr="00D7033D" w:rsidRDefault="00770EF8" w:rsidP="00770EF8">
            <w:pPr>
              <w:pStyle w:val="Tabletext"/>
            </w:pPr>
            <w:r w:rsidRPr="00D7033D">
              <w:t>80%</w:t>
            </w:r>
          </w:p>
        </w:tc>
        <w:tc>
          <w:tcPr>
            <w:tcW w:w="1417" w:type="dxa"/>
            <w:gridSpan w:val="2"/>
            <w:shd w:val="clear" w:color="auto" w:fill="FFFFFF"/>
          </w:tcPr>
          <w:p w14:paraId="675275E8" w14:textId="77777777" w:rsidR="00770EF8" w:rsidRPr="00D7033D" w:rsidRDefault="00770EF8" w:rsidP="00770EF8">
            <w:pPr>
              <w:pStyle w:val="Tabletext"/>
            </w:pPr>
            <w:r>
              <w:t>10</w:t>
            </w:r>
          </w:p>
        </w:tc>
        <w:tc>
          <w:tcPr>
            <w:tcW w:w="1335" w:type="dxa"/>
            <w:shd w:val="clear" w:color="auto" w:fill="FFFFFF"/>
          </w:tcPr>
          <w:p w14:paraId="61822B68" w14:textId="77777777" w:rsidR="00770EF8" w:rsidRPr="00D7033D" w:rsidRDefault="00770EF8" w:rsidP="00770EF8">
            <w:pPr>
              <w:pStyle w:val="Tabletext"/>
            </w:pPr>
            <w:r>
              <w:t>12</w:t>
            </w:r>
          </w:p>
        </w:tc>
        <w:tc>
          <w:tcPr>
            <w:tcW w:w="1559" w:type="dxa"/>
            <w:shd w:val="clear" w:color="auto" w:fill="FFFFFF"/>
          </w:tcPr>
          <w:p w14:paraId="59C824B9" w14:textId="77777777" w:rsidR="00770EF8" w:rsidRPr="00D7033D" w:rsidRDefault="00770EF8" w:rsidP="00770EF8">
            <w:pPr>
              <w:pStyle w:val="Tabletext"/>
            </w:pPr>
            <w:r w:rsidRPr="00D7033D">
              <w:t>1</w:t>
            </w:r>
            <w:r>
              <w:t>2</w:t>
            </w:r>
            <w:r w:rsidRPr="00D7033D">
              <w:t>0%</w:t>
            </w:r>
          </w:p>
        </w:tc>
        <w:tc>
          <w:tcPr>
            <w:tcW w:w="1328" w:type="dxa"/>
            <w:gridSpan w:val="2"/>
            <w:shd w:val="clear" w:color="auto" w:fill="FFFFFF"/>
          </w:tcPr>
          <w:p w14:paraId="6E35B548" w14:textId="77777777" w:rsidR="00770EF8" w:rsidRPr="00D7033D" w:rsidRDefault="00770EF8" w:rsidP="00770EF8">
            <w:pPr>
              <w:pStyle w:val="Tabletext"/>
            </w:pPr>
            <w:r w:rsidRPr="00D7033D">
              <w:t>Green</w:t>
            </w:r>
          </w:p>
        </w:tc>
      </w:tr>
      <w:tr w:rsidR="00770EF8" w:rsidRPr="00AF3CE1" w14:paraId="68FAF65D" w14:textId="77777777" w:rsidTr="00770EF8">
        <w:tc>
          <w:tcPr>
            <w:tcW w:w="1827" w:type="dxa"/>
            <w:shd w:val="clear" w:color="auto" w:fill="FFFFFF"/>
          </w:tcPr>
          <w:p w14:paraId="307F2886" w14:textId="77777777" w:rsidR="00770EF8" w:rsidRPr="00D7033D" w:rsidRDefault="00770EF8" w:rsidP="00770EF8">
            <w:pPr>
              <w:pStyle w:val="Tabletext"/>
            </w:pPr>
            <w:r w:rsidRPr="00D7033D">
              <w:t>Develop ‘rapid action plans’ in context of RAPID-C19</w:t>
            </w:r>
          </w:p>
        </w:tc>
        <w:tc>
          <w:tcPr>
            <w:tcW w:w="1979" w:type="dxa"/>
            <w:gridSpan w:val="2"/>
            <w:shd w:val="clear" w:color="auto" w:fill="FFFFFF"/>
          </w:tcPr>
          <w:p w14:paraId="1942655D" w14:textId="77777777" w:rsidR="00770EF8" w:rsidRPr="00D7033D" w:rsidRDefault="00770EF8" w:rsidP="00770EF8">
            <w:pPr>
              <w:pStyle w:val="Tabletext"/>
            </w:pPr>
            <w:r w:rsidRPr="00D7033D">
              <w:t>0</w:t>
            </w:r>
          </w:p>
        </w:tc>
        <w:tc>
          <w:tcPr>
            <w:tcW w:w="1821" w:type="dxa"/>
            <w:shd w:val="clear" w:color="auto" w:fill="FFFFFF"/>
          </w:tcPr>
          <w:p w14:paraId="23375B9B" w14:textId="77777777" w:rsidR="00770EF8" w:rsidRPr="00D7033D" w:rsidRDefault="00770EF8" w:rsidP="00770EF8">
            <w:pPr>
              <w:pStyle w:val="Tabletext"/>
            </w:pPr>
            <w:r w:rsidRPr="00D7033D">
              <w:t>Up to 15</w:t>
            </w:r>
          </w:p>
        </w:tc>
        <w:tc>
          <w:tcPr>
            <w:tcW w:w="1415" w:type="dxa"/>
            <w:shd w:val="clear" w:color="auto" w:fill="FFFFFF"/>
          </w:tcPr>
          <w:p w14:paraId="1DC21357" w14:textId="77777777" w:rsidR="00770EF8" w:rsidRPr="00D7033D" w:rsidRDefault="00770EF8" w:rsidP="00770EF8">
            <w:pPr>
              <w:pStyle w:val="Tabletext"/>
            </w:pPr>
            <w:r w:rsidRPr="00D7033D">
              <w:t>Develop within stated year</w:t>
            </w:r>
          </w:p>
        </w:tc>
        <w:tc>
          <w:tcPr>
            <w:tcW w:w="1267" w:type="dxa"/>
            <w:shd w:val="clear" w:color="auto" w:fill="FFFFFF"/>
          </w:tcPr>
          <w:p w14:paraId="396CB5C4" w14:textId="77777777" w:rsidR="00770EF8" w:rsidRPr="00D7033D" w:rsidRDefault="00770EF8" w:rsidP="00770EF8">
            <w:pPr>
              <w:pStyle w:val="Tabletext"/>
            </w:pPr>
            <w:r w:rsidRPr="00D7033D">
              <w:t>80%</w:t>
            </w:r>
          </w:p>
        </w:tc>
        <w:tc>
          <w:tcPr>
            <w:tcW w:w="1417" w:type="dxa"/>
            <w:gridSpan w:val="2"/>
            <w:shd w:val="clear" w:color="auto" w:fill="FFFFFF"/>
          </w:tcPr>
          <w:p w14:paraId="1A85ECC8" w14:textId="77777777" w:rsidR="00770EF8" w:rsidRPr="00D7033D" w:rsidRDefault="00770EF8" w:rsidP="00770EF8">
            <w:pPr>
              <w:pStyle w:val="Tabletext"/>
            </w:pPr>
            <w:r>
              <w:t>Up to 15</w:t>
            </w:r>
          </w:p>
        </w:tc>
        <w:tc>
          <w:tcPr>
            <w:tcW w:w="1335" w:type="dxa"/>
            <w:shd w:val="clear" w:color="auto" w:fill="FFFFFF"/>
          </w:tcPr>
          <w:p w14:paraId="1ED98090" w14:textId="71479DB2" w:rsidR="00770EF8" w:rsidRPr="00404331" w:rsidRDefault="00A82908" w:rsidP="00770EF8">
            <w:pPr>
              <w:pStyle w:val="Tabletext"/>
            </w:pPr>
            <w:r>
              <w:t>62</w:t>
            </w:r>
          </w:p>
        </w:tc>
        <w:tc>
          <w:tcPr>
            <w:tcW w:w="1559" w:type="dxa"/>
            <w:shd w:val="clear" w:color="auto" w:fill="FFFFFF"/>
          </w:tcPr>
          <w:p w14:paraId="1925C7DE" w14:textId="637999D7" w:rsidR="00770EF8" w:rsidRPr="00D7033D" w:rsidRDefault="00A82908" w:rsidP="00770EF8">
            <w:pPr>
              <w:pStyle w:val="Tabletext"/>
            </w:pPr>
            <w:r>
              <w:t>413</w:t>
            </w:r>
            <w:r w:rsidR="00770EF8" w:rsidRPr="00D7033D">
              <w:t>%</w:t>
            </w:r>
          </w:p>
        </w:tc>
        <w:tc>
          <w:tcPr>
            <w:tcW w:w="1328" w:type="dxa"/>
            <w:gridSpan w:val="2"/>
            <w:shd w:val="clear" w:color="auto" w:fill="FFFFFF"/>
          </w:tcPr>
          <w:p w14:paraId="597141ED" w14:textId="77777777" w:rsidR="00770EF8" w:rsidRPr="00D7033D" w:rsidRDefault="00770EF8" w:rsidP="00770EF8">
            <w:pPr>
              <w:pStyle w:val="Tabletext"/>
            </w:pPr>
            <w:r w:rsidRPr="00D7033D">
              <w:t>Green</w:t>
            </w:r>
          </w:p>
        </w:tc>
      </w:tr>
    </w:tbl>
    <w:p w14:paraId="7ECA42BF" w14:textId="77777777" w:rsidR="00770EF8" w:rsidRPr="005A2A4F" w:rsidRDefault="00770EF8" w:rsidP="00770EF8">
      <w:pPr>
        <w:pStyle w:val="NICEnormal"/>
      </w:pPr>
    </w:p>
    <w:p w14:paraId="11DE6B21" w14:textId="77777777" w:rsidR="00770EF8" w:rsidRDefault="00770EF8" w:rsidP="00770EF8">
      <w:pPr>
        <w:pStyle w:val="Caption"/>
      </w:pPr>
      <w:r>
        <w:lastRenderedPageBreak/>
        <w:t>Adoption and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5"/>
        <w:gridCol w:w="3526"/>
        <w:gridCol w:w="889"/>
        <w:gridCol w:w="1122"/>
        <w:gridCol w:w="1266"/>
      </w:tblGrid>
      <w:tr w:rsidR="00770EF8" w14:paraId="5F0F91A4" w14:textId="77777777" w:rsidTr="005004D8">
        <w:tc>
          <w:tcPr>
            <w:tcW w:w="0" w:type="auto"/>
          </w:tcPr>
          <w:p w14:paraId="1CC093E7" w14:textId="77777777" w:rsidR="00770EF8" w:rsidRPr="003170CC" w:rsidRDefault="00770EF8" w:rsidP="00770EF8">
            <w:pPr>
              <w:pStyle w:val="Tableheadingboardreport"/>
            </w:pPr>
            <w:r>
              <w:t>Outputs</w:t>
            </w:r>
          </w:p>
        </w:tc>
        <w:tc>
          <w:tcPr>
            <w:tcW w:w="0" w:type="auto"/>
          </w:tcPr>
          <w:p w14:paraId="22F6C043" w14:textId="77777777" w:rsidR="00770EF8" w:rsidRPr="003170CC" w:rsidRDefault="00770EF8" w:rsidP="00770EF8">
            <w:pPr>
              <w:pStyle w:val="Tableheadingboardreport"/>
            </w:pPr>
            <w:r>
              <w:t>Measure</w:t>
            </w:r>
          </w:p>
        </w:tc>
        <w:tc>
          <w:tcPr>
            <w:tcW w:w="0" w:type="auto"/>
          </w:tcPr>
          <w:p w14:paraId="6F3A9EC8" w14:textId="77777777" w:rsidR="00770EF8" w:rsidRPr="003170CC" w:rsidRDefault="00770EF8" w:rsidP="00770EF8">
            <w:pPr>
              <w:pStyle w:val="Tableheadingboardreport"/>
            </w:pPr>
            <w:r>
              <w:t>Target</w:t>
            </w:r>
          </w:p>
        </w:tc>
        <w:tc>
          <w:tcPr>
            <w:tcW w:w="0" w:type="auto"/>
          </w:tcPr>
          <w:p w14:paraId="36EA53B2" w14:textId="77777777" w:rsidR="00770EF8" w:rsidRPr="00C070CC" w:rsidRDefault="00770EF8" w:rsidP="00770EF8">
            <w:pPr>
              <w:pStyle w:val="Tableheadingboardreport"/>
            </w:pPr>
            <w:r w:rsidRPr="00C070CC">
              <w:t>Actual YTD</w:t>
            </w:r>
          </w:p>
        </w:tc>
        <w:tc>
          <w:tcPr>
            <w:tcW w:w="0" w:type="auto"/>
          </w:tcPr>
          <w:p w14:paraId="5699A303" w14:textId="77777777" w:rsidR="00770EF8" w:rsidRPr="007277C3" w:rsidRDefault="00770EF8" w:rsidP="00770EF8">
            <w:pPr>
              <w:pStyle w:val="Tableheadingboardreport"/>
            </w:pPr>
            <w:r>
              <w:t>RAG</w:t>
            </w:r>
          </w:p>
        </w:tc>
      </w:tr>
      <w:tr w:rsidR="00770EF8" w14:paraId="2D23EEBB" w14:textId="77777777" w:rsidTr="005004D8">
        <w:tc>
          <w:tcPr>
            <w:tcW w:w="0" w:type="auto"/>
            <w:shd w:val="clear" w:color="auto" w:fill="FFFFFF"/>
          </w:tcPr>
          <w:p w14:paraId="73531B77" w14:textId="77777777" w:rsidR="00770EF8" w:rsidRPr="003170CC" w:rsidRDefault="00770EF8" w:rsidP="00770EF8">
            <w:pPr>
              <w:pStyle w:val="Tabletext"/>
            </w:pPr>
            <w:r w:rsidRPr="003170CC">
              <w:t xml:space="preserve">Publish resource impact products to support all NICE guidelines (excluding COVID-19 rapid guidelines), positively recommended technology appraisals, medical technologies and diagnostics guidance at the point of guidance publication </w:t>
            </w:r>
          </w:p>
          <w:p w14:paraId="56518ABB" w14:textId="77777777" w:rsidR="00770EF8" w:rsidRPr="003170CC" w:rsidRDefault="00770EF8" w:rsidP="00770EF8">
            <w:pPr>
              <w:pStyle w:val="Tabletext"/>
            </w:pPr>
          </w:p>
        </w:tc>
        <w:tc>
          <w:tcPr>
            <w:tcW w:w="0" w:type="auto"/>
            <w:shd w:val="clear" w:color="auto" w:fill="FFFFFF"/>
          </w:tcPr>
          <w:p w14:paraId="1144145C" w14:textId="77777777" w:rsidR="00770EF8" w:rsidRPr="003170CC" w:rsidRDefault="00770EF8" w:rsidP="00770EF8">
            <w:pPr>
              <w:pStyle w:val="Tabletext"/>
            </w:pPr>
            <w:r w:rsidRPr="003170CC">
              <w:t>Publication within year</w:t>
            </w:r>
          </w:p>
        </w:tc>
        <w:tc>
          <w:tcPr>
            <w:tcW w:w="0" w:type="auto"/>
            <w:shd w:val="clear" w:color="auto" w:fill="FFFFFF"/>
          </w:tcPr>
          <w:p w14:paraId="7BCDBA86" w14:textId="77777777" w:rsidR="00770EF8" w:rsidRPr="003170CC" w:rsidRDefault="00770EF8" w:rsidP="00770EF8">
            <w:pPr>
              <w:pStyle w:val="Tabletext"/>
            </w:pPr>
            <w:r w:rsidRPr="003170CC">
              <w:t>90%</w:t>
            </w:r>
          </w:p>
        </w:tc>
        <w:tc>
          <w:tcPr>
            <w:tcW w:w="0" w:type="auto"/>
            <w:shd w:val="clear" w:color="auto" w:fill="FFFFFF"/>
          </w:tcPr>
          <w:p w14:paraId="1E79B439" w14:textId="65A13C4B" w:rsidR="00770EF8" w:rsidRPr="007277C3" w:rsidRDefault="005F1A4A" w:rsidP="00770EF8">
            <w:pPr>
              <w:pStyle w:val="Tabletext"/>
            </w:pPr>
            <w:r>
              <w:t>98</w:t>
            </w:r>
            <w:r w:rsidR="00770EF8" w:rsidRPr="003170CC">
              <w:t>%</w:t>
            </w:r>
          </w:p>
        </w:tc>
        <w:tc>
          <w:tcPr>
            <w:tcW w:w="0" w:type="auto"/>
            <w:shd w:val="clear" w:color="auto" w:fill="FFFFFF"/>
          </w:tcPr>
          <w:p w14:paraId="3E03A6D4" w14:textId="77777777" w:rsidR="00770EF8" w:rsidRPr="007277C3" w:rsidRDefault="00770EF8" w:rsidP="00770EF8">
            <w:pPr>
              <w:pStyle w:val="Tabletext"/>
            </w:pPr>
            <w:r w:rsidRPr="003170CC">
              <w:t>Green</w:t>
            </w:r>
          </w:p>
        </w:tc>
      </w:tr>
      <w:tr w:rsidR="00770EF8" w14:paraId="5B94DD7E" w14:textId="77777777" w:rsidTr="005004D8">
        <w:tc>
          <w:tcPr>
            <w:tcW w:w="0" w:type="auto"/>
            <w:shd w:val="clear" w:color="auto" w:fill="FFFFFF"/>
          </w:tcPr>
          <w:p w14:paraId="568A3BFF" w14:textId="77777777" w:rsidR="00770EF8" w:rsidRPr="003170CC" w:rsidRDefault="00770EF8" w:rsidP="00770EF8">
            <w:pPr>
              <w:pStyle w:val="Tabletext"/>
            </w:pPr>
            <w:r w:rsidRPr="00087BBF">
              <w:t>Coverage of NICE in the media</w:t>
            </w:r>
          </w:p>
        </w:tc>
        <w:tc>
          <w:tcPr>
            <w:tcW w:w="0" w:type="auto"/>
            <w:shd w:val="clear" w:color="auto" w:fill="FFFFFF"/>
          </w:tcPr>
          <w:p w14:paraId="102C8B18" w14:textId="77777777" w:rsidR="00770EF8" w:rsidRPr="003170CC" w:rsidRDefault="00770EF8" w:rsidP="00770EF8">
            <w:pPr>
              <w:pStyle w:val="Tabletext"/>
            </w:pPr>
            <w:r w:rsidRPr="003170CC">
              <w:t>% of positive coverage of NICE in the media resulting from active programme of media relations</w:t>
            </w:r>
          </w:p>
        </w:tc>
        <w:tc>
          <w:tcPr>
            <w:tcW w:w="0" w:type="auto"/>
            <w:shd w:val="clear" w:color="auto" w:fill="FFFFFF"/>
          </w:tcPr>
          <w:p w14:paraId="17E0C8F3" w14:textId="77777777" w:rsidR="00770EF8" w:rsidRPr="003170CC" w:rsidRDefault="00770EF8" w:rsidP="00770EF8">
            <w:pPr>
              <w:pStyle w:val="NICEnormal"/>
            </w:pPr>
            <w:r w:rsidRPr="003170CC">
              <w:t>80%</w:t>
            </w:r>
          </w:p>
        </w:tc>
        <w:tc>
          <w:tcPr>
            <w:tcW w:w="0" w:type="auto"/>
            <w:shd w:val="clear" w:color="auto" w:fill="FFFFFF"/>
          </w:tcPr>
          <w:p w14:paraId="2589D2B8" w14:textId="77777777" w:rsidR="00770EF8" w:rsidRPr="00E60A2D" w:rsidRDefault="00770EF8" w:rsidP="00770EF8">
            <w:pPr>
              <w:pStyle w:val="NICEnormal"/>
            </w:pPr>
            <w:r w:rsidRPr="00E60A2D">
              <w:t>78%</w:t>
            </w:r>
          </w:p>
        </w:tc>
        <w:tc>
          <w:tcPr>
            <w:tcW w:w="0" w:type="auto"/>
            <w:shd w:val="clear" w:color="auto" w:fill="FFFFFF"/>
          </w:tcPr>
          <w:p w14:paraId="3365986A" w14:textId="0CD46479" w:rsidR="00770EF8" w:rsidRDefault="00770EF8" w:rsidP="00770EF8">
            <w:pPr>
              <w:pStyle w:val="NICEnormal"/>
            </w:pPr>
            <w:r>
              <w:t xml:space="preserve">Amber (see note </w:t>
            </w:r>
            <w:r w:rsidR="00404331">
              <w:t>3</w:t>
            </w:r>
            <w:r>
              <w:t>)</w:t>
            </w:r>
          </w:p>
        </w:tc>
      </w:tr>
      <w:tr w:rsidR="00770EF8" w14:paraId="5E6B45E7" w14:textId="77777777" w:rsidTr="005004D8">
        <w:tc>
          <w:tcPr>
            <w:tcW w:w="0" w:type="auto"/>
            <w:shd w:val="clear" w:color="auto" w:fill="FFFFFF"/>
          </w:tcPr>
          <w:p w14:paraId="79021372" w14:textId="77777777" w:rsidR="00770EF8" w:rsidRDefault="00770EF8" w:rsidP="00770EF8">
            <w:pPr>
              <w:pStyle w:val="Tabletext"/>
            </w:pPr>
            <w:r w:rsidRPr="003170CC">
              <w:t>Ensuring stakeholders have access to our websites as the main communication channel</w:t>
            </w:r>
          </w:p>
        </w:tc>
        <w:tc>
          <w:tcPr>
            <w:tcW w:w="0" w:type="auto"/>
            <w:shd w:val="clear" w:color="auto" w:fill="FFFFFF"/>
          </w:tcPr>
          <w:p w14:paraId="5FB0F319" w14:textId="77777777" w:rsidR="00770EF8" w:rsidRDefault="00770EF8" w:rsidP="00770EF8">
            <w:pPr>
              <w:pStyle w:val="Tabletext"/>
            </w:pPr>
            <w:r w:rsidRPr="003170CC">
              <w:t>Percentage of planned availability, not including scheduled out of hours maintenance</w:t>
            </w:r>
          </w:p>
        </w:tc>
        <w:tc>
          <w:tcPr>
            <w:tcW w:w="0" w:type="auto"/>
            <w:shd w:val="clear" w:color="auto" w:fill="FFFFFF"/>
          </w:tcPr>
          <w:p w14:paraId="226AFB7F" w14:textId="77777777" w:rsidR="00770EF8" w:rsidRDefault="00770EF8" w:rsidP="00770EF8">
            <w:pPr>
              <w:pStyle w:val="NICEnormal"/>
            </w:pPr>
            <w:r w:rsidRPr="003170CC">
              <w:t>98%</w:t>
            </w:r>
          </w:p>
        </w:tc>
        <w:tc>
          <w:tcPr>
            <w:tcW w:w="0" w:type="auto"/>
            <w:shd w:val="clear" w:color="auto" w:fill="FFFFFF"/>
          </w:tcPr>
          <w:p w14:paraId="7D3F02D0" w14:textId="77777777" w:rsidR="00770EF8" w:rsidRDefault="00770EF8" w:rsidP="00770EF8">
            <w:pPr>
              <w:pStyle w:val="NICEnormal"/>
            </w:pPr>
            <w:r>
              <w:t>99.98</w:t>
            </w:r>
            <w:r w:rsidRPr="003170CC">
              <w:t>%</w:t>
            </w:r>
          </w:p>
        </w:tc>
        <w:tc>
          <w:tcPr>
            <w:tcW w:w="0" w:type="auto"/>
            <w:shd w:val="clear" w:color="auto" w:fill="FFFFFF"/>
          </w:tcPr>
          <w:p w14:paraId="755BD0EF" w14:textId="77777777" w:rsidR="00770EF8" w:rsidRDefault="00770EF8" w:rsidP="00770EF8">
            <w:pPr>
              <w:pStyle w:val="NICEnormal"/>
            </w:pPr>
            <w:r w:rsidRPr="003170CC">
              <w:t>Green</w:t>
            </w:r>
          </w:p>
        </w:tc>
      </w:tr>
    </w:tbl>
    <w:p w14:paraId="2CFA1855" w14:textId="77777777" w:rsidR="00404331" w:rsidRPr="005004D8" w:rsidRDefault="00404331" w:rsidP="005004D8">
      <w:pPr>
        <w:pStyle w:val="Paragraphnonumbers"/>
        <w:spacing w:after="0"/>
        <w:rPr>
          <w:sz w:val="22"/>
          <w:szCs w:val="22"/>
        </w:rPr>
      </w:pPr>
    </w:p>
    <w:p w14:paraId="54658A1B" w14:textId="793B3207" w:rsidR="00770EF8" w:rsidRDefault="00770EF8" w:rsidP="00770EF8">
      <w:pPr>
        <w:pStyle w:val="Caption"/>
      </w:pPr>
      <w:r>
        <w:t>Operating efficiently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4941"/>
        <w:gridCol w:w="1534"/>
        <w:gridCol w:w="3819"/>
        <w:gridCol w:w="1071"/>
      </w:tblGrid>
      <w:tr w:rsidR="00770EF8" w14:paraId="351A85F9" w14:textId="77777777" w:rsidTr="005004D8">
        <w:trPr>
          <w:tblHeader/>
        </w:trPr>
        <w:tc>
          <w:tcPr>
            <w:tcW w:w="0" w:type="auto"/>
          </w:tcPr>
          <w:p w14:paraId="567009D2" w14:textId="77777777" w:rsidR="00770EF8" w:rsidRPr="008D1FFE" w:rsidRDefault="00770EF8" w:rsidP="00770EF8">
            <w:pPr>
              <w:pStyle w:val="Tableheadingboardreport"/>
            </w:pPr>
            <w:r>
              <w:t>Critical success factors</w:t>
            </w:r>
          </w:p>
        </w:tc>
        <w:tc>
          <w:tcPr>
            <w:tcW w:w="0" w:type="auto"/>
          </w:tcPr>
          <w:p w14:paraId="2335993A" w14:textId="77777777" w:rsidR="00770EF8" w:rsidRPr="008D1FFE" w:rsidRDefault="00770EF8" w:rsidP="00770EF8">
            <w:pPr>
              <w:pStyle w:val="Tableheadingboardreport"/>
            </w:pPr>
            <w:r>
              <w:t>Key measures</w:t>
            </w:r>
          </w:p>
        </w:tc>
        <w:tc>
          <w:tcPr>
            <w:tcW w:w="0" w:type="auto"/>
          </w:tcPr>
          <w:p w14:paraId="5A441B0A" w14:textId="77777777" w:rsidR="00770EF8" w:rsidRPr="008D1FFE" w:rsidRDefault="00770EF8" w:rsidP="00770EF8">
            <w:pPr>
              <w:pStyle w:val="Tableheadingboardreport"/>
            </w:pPr>
            <w:r>
              <w:t>Target</w:t>
            </w:r>
          </w:p>
        </w:tc>
        <w:tc>
          <w:tcPr>
            <w:tcW w:w="0" w:type="auto"/>
          </w:tcPr>
          <w:p w14:paraId="01CE27BA" w14:textId="77777777" w:rsidR="00770EF8" w:rsidRPr="007277C3" w:rsidRDefault="00770EF8" w:rsidP="00770EF8">
            <w:pPr>
              <w:pStyle w:val="Tableheadingboardreport"/>
            </w:pPr>
            <w:r>
              <w:t>Actual YTD</w:t>
            </w:r>
          </w:p>
        </w:tc>
        <w:tc>
          <w:tcPr>
            <w:tcW w:w="0" w:type="auto"/>
          </w:tcPr>
          <w:p w14:paraId="5CD6BCEC" w14:textId="77777777" w:rsidR="00770EF8" w:rsidRPr="007277C3" w:rsidRDefault="00770EF8" w:rsidP="00770EF8">
            <w:pPr>
              <w:pStyle w:val="Tableheadingboardreport"/>
            </w:pPr>
            <w:r>
              <w:t>RAG</w:t>
            </w:r>
          </w:p>
        </w:tc>
      </w:tr>
      <w:tr w:rsidR="00770EF8" w14:paraId="306D4FF3" w14:textId="77777777" w:rsidTr="005004D8">
        <w:tc>
          <w:tcPr>
            <w:tcW w:w="0" w:type="auto"/>
            <w:shd w:val="clear" w:color="auto" w:fill="FFFFFF"/>
          </w:tcPr>
          <w:p w14:paraId="559282F0" w14:textId="77777777" w:rsidR="00770EF8" w:rsidRPr="008D1FFE" w:rsidRDefault="00770EF8" w:rsidP="00770EF8">
            <w:pPr>
              <w:pStyle w:val="Tabletext"/>
            </w:pPr>
            <w:r w:rsidRPr="008D1FFE">
              <w:t>Effective management of financial resources</w:t>
            </w:r>
          </w:p>
        </w:tc>
        <w:tc>
          <w:tcPr>
            <w:tcW w:w="0" w:type="auto"/>
            <w:shd w:val="clear" w:color="auto" w:fill="FFFFFF"/>
          </w:tcPr>
          <w:p w14:paraId="70B61716" w14:textId="77777777" w:rsidR="00770EF8" w:rsidRPr="008D1FFE" w:rsidRDefault="00770EF8" w:rsidP="00770EF8">
            <w:pPr>
              <w:pStyle w:val="Tabletext"/>
            </w:pPr>
            <w:r w:rsidRPr="008D1FFE">
              <w:t>Revenue spend</w:t>
            </w:r>
          </w:p>
        </w:tc>
        <w:tc>
          <w:tcPr>
            <w:tcW w:w="0" w:type="auto"/>
            <w:shd w:val="clear" w:color="auto" w:fill="FFFFFF"/>
          </w:tcPr>
          <w:p w14:paraId="14A0A865" w14:textId="77777777" w:rsidR="00770EF8" w:rsidRPr="008D1FFE" w:rsidRDefault="00770EF8" w:rsidP="00770EF8">
            <w:pPr>
              <w:pStyle w:val="Tabletext"/>
            </w:pPr>
            <w:r w:rsidRPr="008D1FFE">
              <w:t>To operate within budget</w:t>
            </w:r>
          </w:p>
        </w:tc>
        <w:tc>
          <w:tcPr>
            <w:tcW w:w="0" w:type="auto"/>
            <w:shd w:val="clear" w:color="auto" w:fill="FFFFFF"/>
          </w:tcPr>
          <w:p w14:paraId="7268F8D7" w14:textId="77777777" w:rsidR="00770EF8" w:rsidRDefault="00770EF8" w:rsidP="00770EF8">
            <w:pPr>
              <w:pStyle w:val="Tabletext"/>
            </w:pPr>
            <w:r w:rsidRPr="00F06BA1">
              <w:t xml:space="preserve">Budget for </w:t>
            </w:r>
            <w:r w:rsidRPr="007E47D4">
              <w:t>2020-21 was £53.4m.</w:t>
            </w:r>
          </w:p>
          <w:p w14:paraId="401F3B41" w14:textId="77777777" w:rsidR="00770EF8" w:rsidRDefault="00770EF8" w:rsidP="00770EF8">
            <w:pPr>
              <w:pStyle w:val="Tabletext"/>
            </w:pPr>
          </w:p>
          <w:p w14:paraId="0930FCDD" w14:textId="77777777" w:rsidR="00770EF8" w:rsidRPr="007277C3" w:rsidRDefault="00770EF8" w:rsidP="00770EF8">
            <w:pPr>
              <w:pStyle w:val="Tabletext"/>
            </w:pPr>
            <w:r w:rsidRPr="007E47D4">
              <w:t>Net spend in 2020-21 was £49.7m. This was a net under spend of £3.7m (9%).</w:t>
            </w:r>
          </w:p>
        </w:tc>
        <w:tc>
          <w:tcPr>
            <w:tcW w:w="0" w:type="auto"/>
            <w:shd w:val="clear" w:color="auto" w:fill="FFFFFF"/>
          </w:tcPr>
          <w:p w14:paraId="3761725E" w14:textId="77777777" w:rsidR="00770EF8" w:rsidRPr="007277C3" w:rsidRDefault="00770EF8" w:rsidP="00770EF8">
            <w:pPr>
              <w:pStyle w:val="Tabletext"/>
            </w:pPr>
            <w:r w:rsidRPr="008D1FFE">
              <w:t>Green</w:t>
            </w:r>
          </w:p>
        </w:tc>
      </w:tr>
      <w:tr w:rsidR="00770EF8" w14:paraId="54E6461C" w14:textId="77777777" w:rsidTr="005004D8">
        <w:tc>
          <w:tcPr>
            <w:tcW w:w="0" w:type="auto"/>
            <w:shd w:val="clear" w:color="auto" w:fill="FFFFFF"/>
          </w:tcPr>
          <w:p w14:paraId="6CA0E1E9" w14:textId="77777777" w:rsidR="00770EF8" w:rsidRPr="00F06BA1" w:rsidRDefault="00770EF8" w:rsidP="00770EF8">
            <w:pPr>
              <w:pStyle w:val="Tabletext"/>
            </w:pPr>
            <w:r w:rsidRPr="00F06BA1">
              <w:lastRenderedPageBreak/>
              <w:t xml:space="preserve">Effective management of non-exchequer income </w:t>
            </w:r>
          </w:p>
        </w:tc>
        <w:tc>
          <w:tcPr>
            <w:tcW w:w="0" w:type="auto"/>
            <w:shd w:val="clear" w:color="auto" w:fill="FFFFFF"/>
          </w:tcPr>
          <w:p w14:paraId="7307902B" w14:textId="77777777" w:rsidR="00770EF8" w:rsidRPr="008D1FFE" w:rsidRDefault="00770EF8" w:rsidP="00770EF8">
            <w:pPr>
              <w:pStyle w:val="Tabletext"/>
            </w:pPr>
            <w:r w:rsidRPr="008D1FFE">
              <w:t>Net income received from non-exchequer income sources (including TA/HST cost recovery, Scientific Advice, Office for Market Access, research grants, knowledge transfer) measured against business plan targets</w:t>
            </w:r>
          </w:p>
        </w:tc>
        <w:tc>
          <w:tcPr>
            <w:tcW w:w="0" w:type="auto"/>
            <w:shd w:val="clear" w:color="auto" w:fill="FFFFFF"/>
          </w:tcPr>
          <w:p w14:paraId="0432AA73" w14:textId="77777777" w:rsidR="00770EF8" w:rsidRPr="008D1FFE" w:rsidRDefault="00770EF8" w:rsidP="00770EF8">
            <w:pPr>
              <w:pStyle w:val="Tabletext"/>
            </w:pPr>
            <w:r w:rsidRPr="008D1FFE">
              <w:t>90%</w:t>
            </w:r>
          </w:p>
        </w:tc>
        <w:tc>
          <w:tcPr>
            <w:tcW w:w="0" w:type="auto"/>
            <w:shd w:val="clear" w:color="auto" w:fill="FFFFFF"/>
          </w:tcPr>
          <w:p w14:paraId="26C1B5C0" w14:textId="77777777" w:rsidR="00770EF8" w:rsidRDefault="00770EF8" w:rsidP="00770EF8">
            <w:pPr>
              <w:pStyle w:val="Tabletext"/>
            </w:pPr>
            <w:r w:rsidRPr="007E47D4">
              <w:t>The business plan income target for 2020-21 was to receive £13.6m from non-exchequer sources.</w:t>
            </w:r>
          </w:p>
          <w:p w14:paraId="70665486" w14:textId="22E5B411" w:rsidR="00770EF8" w:rsidRDefault="00770EF8" w:rsidP="00770EF8">
            <w:pPr>
              <w:pStyle w:val="Tabletext"/>
            </w:pPr>
            <w:r w:rsidRPr="007E47D4">
              <w:t xml:space="preserve">The income recognised in 2020-21 </w:t>
            </w:r>
            <w:r>
              <w:t>wa</w:t>
            </w:r>
            <w:r w:rsidRPr="007E47D4">
              <w:t xml:space="preserve">s £10.3m, which is £3.3m (32%) lower than target. This deficit is primarily related to </w:t>
            </w:r>
            <w:r w:rsidR="003057C7">
              <w:t>lower</w:t>
            </w:r>
            <w:r w:rsidR="003057C7" w:rsidRPr="007E47D4">
              <w:t xml:space="preserve"> </w:t>
            </w:r>
            <w:r w:rsidRPr="007E47D4">
              <w:t>income from TA/HST fees than target.</w:t>
            </w:r>
          </w:p>
        </w:tc>
        <w:tc>
          <w:tcPr>
            <w:tcW w:w="0" w:type="auto"/>
            <w:shd w:val="clear" w:color="auto" w:fill="FFFFFF"/>
          </w:tcPr>
          <w:p w14:paraId="20C5875A" w14:textId="04E1805F" w:rsidR="00770EF8" w:rsidRDefault="00770EF8" w:rsidP="00770EF8">
            <w:pPr>
              <w:pStyle w:val="Tabletext"/>
            </w:pPr>
            <w:r w:rsidRPr="008D1FFE">
              <w:t xml:space="preserve">Amber (see note </w:t>
            </w:r>
            <w:r w:rsidR="00404331">
              <w:t>4</w:t>
            </w:r>
            <w:r w:rsidRPr="008D1FFE">
              <w:t>)</w:t>
            </w:r>
          </w:p>
        </w:tc>
      </w:tr>
      <w:tr w:rsidR="00770EF8" w14:paraId="06142619" w14:textId="77777777" w:rsidTr="005004D8">
        <w:tc>
          <w:tcPr>
            <w:tcW w:w="0" w:type="auto"/>
            <w:shd w:val="clear" w:color="auto" w:fill="FFFFFF"/>
          </w:tcPr>
          <w:p w14:paraId="211C85C7" w14:textId="77777777" w:rsidR="00770EF8" w:rsidRDefault="00770EF8" w:rsidP="00770EF8">
            <w:pPr>
              <w:pStyle w:val="Tabletext"/>
            </w:pPr>
            <w:r w:rsidRPr="008D1FFE">
              <w:t>Management of recruitment</w:t>
            </w:r>
          </w:p>
        </w:tc>
        <w:tc>
          <w:tcPr>
            <w:tcW w:w="0" w:type="auto"/>
            <w:shd w:val="clear" w:color="auto" w:fill="FFFFFF"/>
          </w:tcPr>
          <w:p w14:paraId="5E44E275" w14:textId="77777777" w:rsidR="00770EF8" w:rsidRDefault="00770EF8" w:rsidP="00770EF8">
            <w:pPr>
              <w:pStyle w:val="Tabletext"/>
            </w:pPr>
            <w:r w:rsidRPr="008D1FFE">
              <w:t>Proportion of posts appointed to within 4 months of first advertisement</w:t>
            </w:r>
          </w:p>
        </w:tc>
        <w:tc>
          <w:tcPr>
            <w:tcW w:w="0" w:type="auto"/>
            <w:shd w:val="clear" w:color="auto" w:fill="FFFFFF"/>
          </w:tcPr>
          <w:p w14:paraId="13B08111" w14:textId="77777777" w:rsidR="00770EF8" w:rsidRDefault="00770EF8" w:rsidP="00770EF8">
            <w:pPr>
              <w:pStyle w:val="Tabletext"/>
            </w:pPr>
            <w:r w:rsidRPr="008D1FFE">
              <w:t>80%</w:t>
            </w:r>
          </w:p>
        </w:tc>
        <w:tc>
          <w:tcPr>
            <w:tcW w:w="0" w:type="auto"/>
            <w:shd w:val="clear" w:color="auto" w:fill="FFFFFF"/>
          </w:tcPr>
          <w:p w14:paraId="7554257D" w14:textId="77777777" w:rsidR="00770EF8" w:rsidRDefault="00770EF8" w:rsidP="00770EF8">
            <w:pPr>
              <w:pStyle w:val="Tabletext"/>
            </w:pPr>
            <w:r>
              <w:t>81</w:t>
            </w:r>
            <w:r w:rsidRPr="008D1FFE">
              <w:t>%</w:t>
            </w:r>
          </w:p>
        </w:tc>
        <w:tc>
          <w:tcPr>
            <w:tcW w:w="0" w:type="auto"/>
            <w:shd w:val="clear" w:color="auto" w:fill="FFFFFF"/>
          </w:tcPr>
          <w:p w14:paraId="382F3515" w14:textId="77777777" w:rsidR="00770EF8" w:rsidRDefault="00770EF8" w:rsidP="00770EF8">
            <w:pPr>
              <w:pStyle w:val="Tabletext"/>
            </w:pPr>
            <w:r>
              <w:t>Green</w:t>
            </w:r>
          </w:p>
        </w:tc>
      </w:tr>
      <w:tr w:rsidR="00770EF8" w14:paraId="19FEA919" w14:textId="77777777" w:rsidTr="005004D8">
        <w:tc>
          <w:tcPr>
            <w:tcW w:w="0" w:type="auto"/>
            <w:shd w:val="clear" w:color="auto" w:fill="FFFFFF"/>
          </w:tcPr>
          <w:p w14:paraId="4E063ACA" w14:textId="77777777" w:rsidR="00770EF8" w:rsidRDefault="00770EF8" w:rsidP="00770EF8">
            <w:pPr>
              <w:pStyle w:val="Tabletext"/>
            </w:pPr>
            <w:r w:rsidRPr="008D1FFE">
              <w:t>Management of sickness absence</w:t>
            </w:r>
          </w:p>
        </w:tc>
        <w:tc>
          <w:tcPr>
            <w:tcW w:w="0" w:type="auto"/>
            <w:shd w:val="clear" w:color="auto" w:fill="FFFFFF"/>
          </w:tcPr>
          <w:p w14:paraId="600A2994" w14:textId="77777777" w:rsidR="00770EF8" w:rsidRDefault="00770EF8" w:rsidP="00770EF8">
            <w:pPr>
              <w:pStyle w:val="Tabletext"/>
            </w:pPr>
            <w:r w:rsidRPr="008D1FFE">
              <w:t xml:space="preserve">Quarterly sickness absence rate is lower than the average rate (2.75% for the 12 months to September 2019) across the Arms Length Bodies </w:t>
            </w:r>
          </w:p>
        </w:tc>
        <w:tc>
          <w:tcPr>
            <w:tcW w:w="0" w:type="auto"/>
            <w:shd w:val="clear" w:color="auto" w:fill="FFFFFF"/>
          </w:tcPr>
          <w:p w14:paraId="00E9F693" w14:textId="77777777" w:rsidR="00770EF8" w:rsidRDefault="00770EF8" w:rsidP="00770EF8">
            <w:pPr>
              <w:pStyle w:val="Tabletext"/>
            </w:pPr>
            <w:r w:rsidRPr="008D1FFE">
              <w:t>2.75%</w:t>
            </w:r>
          </w:p>
        </w:tc>
        <w:tc>
          <w:tcPr>
            <w:tcW w:w="0" w:type="auto"/>
            <w:shd w:val="clear" w:color="auto" w:fill="FFFFFF"/>
          </w:tcPr>
          <w:p w14:paraId="2AA516C8" w14:textId="77777777" w:rsidR="00770EF8" w:rsidRDefault="00770EF8" w:rsidP="00770EF8">
            <w:pPr>
              <w:pStyle w:val="Tabletext"/>
            </w:pPr>
            <w:r w:rsidRPr="008D1FFE">
              <w:t>1.</w:t>
            </w:r>
            <w:r>
              <w:t>74</w:t>
            </w:r>
            <w:r w:rsidRPr="008D1FFE">
              <w:t>%</w:t>
            </w:r>
          </w:p>
        </w:tc>
        <w:tc>
          <w:tcPr>
            <w:tcW w:w="0" w:type="auto"/>
            <w:shd w:val="clear" w:color="auto" w:fill="FFFFFF"/>
          </w:tcPr>
          <w:p w14:paraId="1A67C509" w14:textId="77777777" w:rsidR="00770EF8" w:rsidRDefault="00770EF8" w:rsidP="00770EF8">
            <w:pPr>
              <w:pStyle w:val="Tabletext"/>
            </w:pPr>
            <w:r w:rsidRPr="008D1FFE">
              <w:t>Green</w:t>
            </w:r>
          </w:p>
        </w:tc>
      </w:tr>
      <w:tr w:rsidR="00770EF8" w14:paraId="225EBA80" w14:textId="77777777" w:rsidTr="005004D8">
        <w:tc>
          <w:tcPr>
            <w:tcW w:w="0" w:type="auto"/>
            <w:shd w:val="clear" w:color="auto" w:fill="FFFFFF"/>
          </w:tcPr>
          <w:p w14:paraId="59A9F677" w14:textId="77777777" w:rsidR="00770EF8" w:rsidRDefault="00770EF8" w:rsidP="00770EF8">
            <w:pPr>
              <w:pStyle w:val="Tabletext"/>
            </w:pPr>
            <w:r w:rsidRPr="008D1FFE">
              <w:t>Staff satisfaction</w:t>
            </w:r>
          </w:p>
        </w:tc>
        <w:tc>
          <w:tcPr>
            <w:tcW w:w="0" w:type="auto"/>
            <w:shd w:val="clear" w:color="auto" w:fill="FFFFFF"/>
          </w:tcPr>
          <w:p w14:paraId="68611546" w14:textId="77777777" w:rsidR="00770EF8" w:rsidRDefault="00770EF8" w:rsidP="00770EF8">
            <w:pPr>
              <w:pStyle w:val="Tabletext"/>
            </w:pPr>
            <w:r w:rsidRPr="008D1FFE">
              <w:t>Proportion of staff reporting in staff survey that the Institute is a good, very good or excellent place to work (global job satisfaction index)</w:t>
            </w:r>
          </w:p>
        </w:tc>
        <w:tc>
          <w:tcPr>
            <w:tcW w:w="0" w:type="auto"/>
            <w:shd w:val="clear" w:color="auto" w:fill="FFFFFF"/>
          </w:tcPr>
          <w:p w14:paraId="6F79FF16" w14:textId="77777777" w:rsidR="00770EF8" w:rsidRDefault="00770EF8" w:rsidP="00770EF8">
            <w:pPr>
              <w:pStyle w:val="Tabletext"/>
            </w:pPr>
            <w:r w:rsidRPr="008D1FFE">
              <w:t>80%</w:t>
            </w:r>
          </w:p>
        </w:tc>
        <w:tc>
          <w:tcPr>
            <w:tcW w:w="0" w:type="auto"/>
            <w:shd w:val="clear" w:color="auto" w:fill="FFFFFF"/>
          </w:tcPr>
          <w:p w14:paraId="363BD4F8" w14:textId="77777777" w:rsidR="00770EF8" w:rsidRDefault="00770EF8" w:rsidP="00770EF8">
            <w:pPr>
              <w:pStyle w:val="Tabletext"/>
            </w:pPr>
            <w:r w:rsidRPr="008D1FFE">
              <w:t xml:space="preserve">N/A </w:t>
            </w:r>
          </w:p>
          <w:p w14:paraId="3066102D" w14:textId="77777777" w:rsidR="00770EF8" w:rsidRDefault="00770EF8" w:rsidP="00770EF8">
            <w:pPr>
              <w:pStyle w:val="Tabletext"/>
            </w:pPr>
            <w:r w:rsidRPr="008D1FFE">
              <w:t>This data has not been collected. The staff survey has been deferred to May 2021.</w:t>
            </w:r>
          </w:p>
        </w:tc>
        <w:tc>
          <w:tcPr>
            <w:tcW w:w="0" w:type="auto"/>
            <w:shd w:val="clear" w:color="auto" w:fill="FFFFFF"/>
          </w:tcPr>
          <w:p w14:paraId="56875F45" w14:textId="77777777" w:rsidR="00770EF8" w:rsidRDefault="00770EF8" w:rsidP="00770EF8">
            <w:pPr>
              <w:pStyle w:val="Tabletext"/>
            </w:pPr>
            <w:r w:rsidRPr="008D1FFE">
              <w:t>N/A</w:t>
            </w:r>
          </w:p>
        </w:tc>
      </w:tr>
      <w:tr w:rsidR="00770EF8" w14:paraId="1FE9277F" w14:textId="77777777" w:rsidTr="005004D8">
        <w:tc>
          <w:tcPr>
            <w:tcW w:w="0" w:type="auto"/>
            <w:shd w:val="clear" w:color="auto" w:fill="FFFFFF"/>
          </w:tcPr>
          <w:p w14:paraId="27259193" w14:textId="77777777" w:rsidR="00770EF8" w:rsidRDefault="00770EF8" w:rsidP="00770EF8">
            <w:pPr>
              <w:pStyle w:val="Tabletext"/>
            </w:pPr>
            <w:r w:rsidRPr="008D1FFE">
              <w:t>Staff involvement</w:t>
            </w:r>
          </w:p>
        </w:tc>
        <w:tc>
          <w:tcPr>
            <w:tcW w:w="0" w:type="auto"/>
            <w:shd w:val="clear" w:color="auto" w:fill="FFFFFF"/>
          </w:tcPr>
          <w:p w14:paraId="674E7C68" w14:textId="77777777" w:rsidR="00770EF8" w:rsidRDefault="00770EF8" w:rsidP="00770EF8">
            <w:pPr>
              <w:pStyle w:val="Tabletext"/>
            </w:pPr>
            <w:r w:rsidRPr="008D1FFE">
              <w:t>Hold monthly staff meetings</w:t>
            </w:r>
          </w:p>
        </w:tc>
        <w:tc>
          <w:tcPr>
            <w:tcW w:w="0" w:type="auto"/>
            <w:shd w:val="clear" w:color="auto" w:fill="FFFFFF"/>
          </w:tcPr>
          <w:p w14:paraId="490790F9" w14:textId="77777777" w:rsidR="00770EF8" w:rsidRDefault="00770EF8" w:rsidP="00770EF8">
            <w:pPr>
              <w:pStyle w:val="Tabletext"/>
            </w:pPr>
            <w:r w:rsidRPr="008D1FFE">
              <w:t>80%</w:t>
            </w:r>
          </w:p>
        </w:tc>
        <w:tc>
          <w:tcPr>
            <w:tcW w:w="0" w:type="auto"/>
            <w:shd w:val="clear" w:color="auto" w:fill="FFFFFF"/>
          </w:tcPr>
          <w:p w14:paraId="42518F93" w14:textId="77777777" w:rsidR="00770EF8" w:rsidRDefault="00770EF8" w:rsidP="00770EF8">
            <w:pPr>
              <w:pStyle w:val="Tabletext"/>
            </w:pPr>
            <w:r>
              <w:t>10</w:t>
            </w:r>
            <w:r w:rsidRPr="008D1FFE">
              <w:t>0%</w:t>
            </w:r>
          </w:p>
        </w:tc>
        <w:tc>
          <w:tcPr>
            <w:tcW w:w="0" w:type="auto"/>
            <w:shd w:val="clear" w:color="auto" w:fill="FFFFFF"/>
          </w:tcPr>
          <w:p w14:paraId="4DFDE28D" w14:textId="77777777" w:rsidR="00770EF8" w:rsidRDefault="00770EF8" w:rsidP="00770EF8">
            <w:pPr>
              <w:pStyle w:val="Tabletext"/>
            </w:pPr>
            <w:r w:rsidRPr="008D1FFE">
              <w:t>Green</w:t>
            </w:r>
          </w:p>
        </w:tc>
      </w:tr>
      <w:tr w:rsidR="00770EF8" w14:paraId="7E8090BB" w14:textId="77777777" w:rsidTr="005004D8">
        <w:tc>
          <w:tcPr>
            <w:tcW w:w="0" w:type="auto"/>
            <w:shd w:val="clear" w:color="auto" w:fill="FFFFFF"/>
          </w:tcPr>
          <w:p w14:paraId="4E9CF8AB" w14:textId="77777777" w:rsidR="00770EF8" w:rsidRDefault="00770EF8" w:rsidP="00770EF8">
            <w:pPr>
              <w:pStyle w:val="Tabletext"/>
            </w:pPr>
            <w:r w:rsidRPr="008D1FFE">
              <w:t>Staff well-being</w:t>
            </w:r>
          </w:p>
        </w:tc>
        <w:tc>
          <w:tcPr>
            <w:tcW w:w="0" w:type="auto"/>
            <w:shd w:val="clear" w:color="auto" w:fill="FFFFFF"/>
          </w:tcPr>
          <w:p w14:paraId="76FCA789" w14:textId="77777777" w:rsidR="00770EF8" w:rsidRDefault="00770EF8" w:rsidP="00770EF8">
            <w:pPr>
              <w:pStyle w:val="Tabletext"/>
            </w:pPr>
            <w:r w:rsidRPr="008D1FFE">
              <w:t>Implementation of NICE’s quality standard for healthy workplaces: improving employee mental and physical health and wellbeing in respect of own staff</w:t>
            </w:r>
          </w:p>
        </w:tc>
        <w:tc>
          <w:tcPr>
            <w:tcW w:w="0" w:type="auto"/>
            <w:shd w:val="clear" w:color="auto" w:fill="FFFFFF"/>
          </w:tcPr>
          <w:p w14:paraId="55B436CB" w14:textId="77777777" w:rsidR="00770EF8" w:rsidRDefault="00770EF8" w:rsidP="00770EF8">
            <w:pPr>
              <w:pStyle w:val="Tabletext"/>
            </w:pPr>
            <w:r w:rsidRPr="008D1FFE">
              <w:t>80% of quality statements</w:t>
            </w:r>
          </w:p>
        </w:tc>
        <w:tc>
          <w:tcPr>
            <w:tcW w:w="0" w:type="auto"/>
            <w:shd w:val="clear" w:color="auto" w:fill="FFFFFF"/>
          </w:tcPr>
          <w:p w14:paraId="7DA6E5AE" w14:textId="77777777" w:rsidR="00770EF8" w:rsidRDefault="00770EF8" w:rsidP="00770EF8">
            <w:pPr>
              <w:pStyle w:val="Tabletext"/>
            </w:pPr>
            <w:r w:rsidRPr="008D1FFE">
              <w:t>8</w:t>
            </w:r>
            <w:r>
              <w:t>3</w:t>
            </w:r>
            <w:r w:rsidRPr="008D1FFE">
              <w:t>%</w:t>
            </w:r>
          </w:p>
        </w:tc>
        <w:tc>
          <w:tcPr>
            <w:tcW w:w="0" w:type="auto"/>
            <w:shd w:val="clear" w:color="auto" w:fill="FFFFFF"/>
          </w:tcPr>
          <w:p w14:paraId="06C63F8C" w14:textId="77777777" w:rsidR="00770EF8" w:rsidRDefault="00770EF8" w:rsidP="00770EF8">
            <w:pPr>
              <w:pStyle w:val="Tabletext"/>
            </w:pPr>
            <w:r w:rsidRPr="008D1FFE">
              <w:t>Green</w:t>
            </w:r>
          </w:p>
        </w:tc>
      </w:tr>
      <w:tr w:rsidR="00770EF8" w14:paraId="3AC3A705" w14:textId="77777777" w:rsidTr="005004D8">
        <w:tc>
          <w:tcPr>
            <w:tcW w:w="0" w:type="auto"/>
            <w:shd w:val="clear" w:color="auto" w:fill="FFFFFF"/>
          </w:tcPr>
          <w:p w14:paraId="253D62F3" w14:textId="77777777" w:rsidR="00770EF8" w:rsidRDefault="00770EF8" w:rsidP="00770EF8">
            <w:pPr>
              <w:pStyle w:val="Tabletext"/>
            </w:pPr>
            <w:r w:rsidRPr="008D1FFE">
              <w:t xml:space="preserve">Recycled waste </w:t>
            </w:r>
          </w:p>
        </w:tc>
        <w:tc>
          <w:tcPr>
            <w:tcW w:w="0" w:type="auto"/>
            <w:shd w:val="clear" w:color="auto" w:fill="FFFFFF"/>
          </w:tcPr>
          <w:p w14:paraId="3F09D86C" w14:textId="77777777" w:rsidR="00770EF8" w:rsidRDefault="00770EF8" w:rsidP="00770EF8">
            <w:pPr>
              <w:pStyle w:val="Tabletext"/>
            </w:pPr>
            <w:r w:rsidRPr="008D1FFE">
              <w:t>% of total waste recycled</w:t>
            </w:r>
            <w:r w:rsidRPr="008D1FFE">
              <w:tab/>
            </w:r>
          </w:p>
        </w:tc>
        <w:tc>
          <w:tcPr>
            <w:tcW w:w="0" w:type="auto"/>
            <w:shd w:val="clear" w:color="auto" w:fill="FFFFFF"/>
          </w:tcPr>
          <w:p w14:paraId="77C08065" w14:textId="77777777" w:rsidR="00770EF8" w:rsidRDefault="00770EF8" w:rsidP="00770EF8">
            <w:pPr>
              <w:pStyle w:val="Tabletext"/>
            </w:pPr>
            <w:r w:rsidRPr="008D1FFE">
              <w:t>90%</w:t>
            </w:r>
          </w:p>
        </w:tc>
        <w:tc>
          <w:tcPr>
            <w:tcW w:w="0" w:type="auto"/>
            <w:shd w:val="clear" w:color="auto" w:fill="FFFFFF"/>
          </w:tcPr>
          <w:p w14:paraId="2F0AA8BD" w14:textId="77777777" w:rsidR="00770EF8" w:rsidRDefault="00770EF8" w:rsidP="00770EF8">
            <w:pPr>
              <w:pStyle w:val="Tabletext"/>
            </w:pPr>
            <w:r>
              <w:t>10</w:t>
            </w:r>
            <w:r w:rsidRPr="008D1FFE">
              <w:t>0%</w:t>
            </w:r>
          </w:p>
        </w:tc>
        <w:tc>
          <w:tcPr>
            <w:tcW w:w="0" w:type="auto"/>
            <w:shd w:val="clear" w:color="auto" w:fill="FFFFFF"/>
          </w:tcPr>
          <w:p w14:paraId="46F832DA" w14:textId="77777777" w:rsidR="00770EF8" w:rsidRDefault="00770EF8" w:rsidP="00770EF8">
            <w:pPr>
              <w:pStyle w:val="Tabletext"/>
            </w:pPr>
            <w:r w:rsidRPr="008D1FFE">
              <w:t>Green</w:t>
            </w:r>
          </w:p>
        </w:tc>
      </w:tr>
      <w:tr w:rsidR="00770EF8" w14:paraId="17BFC002" w14:textId="77777777" w:rsidTr="005004D8">
        <w:tc>
          <w:tcPr>
            <w:tcW w:w="0" w:type="auto"/>
            <w:shd w:val="clear" w:color="auto" w:fill="FFFFFF"/>
          </w:tcPr>
          <w:p w14:paraId="7EEB2BC7" w14:textId="77777777" w:rsidR="00770EF8" w:rsidRDefault="00770EF8" w:rsidP="00770EF8">
            <w:pPr>
              <w:pStyle w:val="Tabletext"/>
            </w:pPr>
            <w:r w:rsidRPr="008D1FFE">
              <w:t>Improved satisfaction</w:t>
            </w:r>
          </w:p>
        </w:tc>
        <w:tc>
          <w:tcPr>
            <w:tcW w:w="0" w:type="auto"/>
            <w:shd w:val="clear" w:color="auto" w:fill="FFFFFF"/>
          </w:tcPr>
          <w:p w14:paraId="1EFB5DA4" w14:textId="77777777" w:rsidR="00770EF8" w:rsidRDefault="00770EF8" w:rsidP="00770EF8">
            <w:pPr>
              <w:pStyle w:val="Tabletext"/>
            </w:pPr>
            <w:r w:rsidRPr="008D1FFE">
              <w:t>Complaints responded to in 20 working days</w:t>
            </w:r>
          </w:p>
        </w:tc>
        <w:tc>
          <w:tcPr>
            <w:tcW w:w="0" w:type="auto"/>
            <w:shd w:val="clear" w:color="auto" w:fill="FFFFFF"/>
          </w:tcPr>
          <w:p w14:paraId="2C44293B" w14:textId="77777777" w:rsidR="00770EF8" w:rsidRDefault="00770EF8" w:rsidP="00770EF8">
            <w:pPr>
              <w:pStyle w:val="Tabletext"/>
            </w:pPr>
            <w:r w:rsidRPr="008D1FFE">
              <w:t>80%</w:t>
            </w:r>
          </w:p>
        </w:tc>
        <w:tc>
          <w:tcPr>
            <w:tcW w:w="0" w:type="auto"/>
            <w:shd w:val="clear" w:color="auto" w:fill="FFFFFF"/>
          </w:tcPr>
          <w:p w14:paraId="4DEE8F4E" w14:textId="77777777" w:rsidR="00770EF8" w:rsidRDefault="00770EF8" w:rsidP="00770EF8">
            <w:pPr>
              <w:pStyle w:val="Tabletext"/>
            </w:pPr>
            <w:r>
              <w:t>100</w:t>
            </w:r>
            <w:r w:rsidRPr="008D1FFE">
              <w:t>%</w:t>
            </w:r>
          </w:p>
        </w:tc>
        <w:tc>
          <w:tcPr>
            <w:tcW w:w="0" w:type="auto"/>
            <w:shd w:val="clear" w:color="auto" w:fill="FFFFFF"/>
          </w:tcPr>
          <w:p w14:paraId="53FC7921" w14:textId="77777777" w:rsidR="00770EF8" w:rsidRDefault="00770EF8" w:rsidP="00770EF8">
            <w:pPr>
              <w:pStyle w:val="Tabletext"/>
            </w:pPr>
            <w:r w:rsidRPr="008D1FFE">
              <w:t>Green</w:t>
            </w:r>
          </w:p>
        </w:tc>
      </w:tr>
      <w:tr w:rsidR="00770EF8" w14:paraId="1E78DB41" w14:textId="77777777" w:rsidTr="005004D8">
        <w:tc>
          <w:tcPr>
            <w:tcW w:w="0" w:type="auto"/>
            <w:shd w:val="clear" w:color="auto" w:fill="FFFFFF"/>
          </w:tcPr>
          <w:p w14:paraId="3235B81C" w14:textId="77777777" w:rsidR="00770EF8" w:rsidRDefault="00770EF8" w:rsidP="00770EF8">
            <w:pPr>
              <w:pStyle w:val="Tabletext"/>
            </w:pPr>
            <w:r w:rsidRPr="008D1FFE">
              <w:t>Improved satisfaction</w:t>
            </w:r>
          </w:p>
        </w:tc>
        <w:tc>
          <w:tcPr>
            <w:tcW w:w="0" w:type="auto"/>
            <w:shd w:val="clear" w:color="auto" w:fill="FFFFFF"/>
          </w:tcPr>
          <w:p w14:paraId="51E4EA87" w14:textId="77777777" w:rsidR="00770EF8" w:rsidRDefault="00770EF8" w:rsidP="00770EF8">
            <w:pPr>
              <w:pStyle w:val="Tabletext"/>
            </w:pPr>
            <w:r w:rsidRPr="008D1FFE">
              <w:t>Enquiries fully responded to in 18 working days</w:t>
            </w:r>
          </w:p>
        </w:tc>
        <w:tc>
          <w:tcPr>
            <w:tcW w:w="0" w:type="auto"/>
            <w:shd w:val="clear" w:color="auto" w:fill="FFFFFF"/>
          </w:tcPr>
          <w:p w14:paraId="56062D82" w14:textId="77777777" w:rsidR="00770EF8" w:rsidRDefault="00770EF8" w:rsidP="00770EF8">
            <w:pPr>
              <w:pStyle w:val="Tabletext"/>
            </w:pPr>
            <w:r w:rsidRPr="008D1FFE">
              <w:t>90%</w:t>
            </w:r>
          </w:p>
        </w:tc>
        <w:tc>
          <w:tcPr>
            <w:tcW w:w="0" w:type="auto"/>
            <w:shd w:val="clear" w:color="auto" w:fill="FFFFFF"/>
          </w:tcPr>
          <w:p w14:paraId="460CC6B8" w14:textId="77777777" w:rsidR="00770EF8" w:rsidRDefault="00770EF8" w:rsidP="00770EF8">
            <w:pPr>
              <w:pStyle w:val="Tabletext"/>
            </w:pPr>
            <w:r w:rsidRPr="008D1FFE">
              <w:t>9</w:t>
            </w:r>
            <w:r>
              <w:t>3</w:t>
            </w:r>
            <w:r w:rsidRPr="008D1FFE">
              <w:t>%</w:t>
            </w:r>
          </w:p>
        </w:tc>
        <w:tc>
          <w:tcPr>
            <w:tcW w:w="0" w:type="auto"/>
            <w:shd w:val="clear" w:color="auto" w:fill="FFFFFF"/>
          </w:tcPr>
          <w:p w14:paraId="7330494C" w14:textId="77777777" w:rsidR="00770EF8" w:rsidRDefault="00770EF8" w:rsidP="00770EF8">
            <w:pPr>
              <w:pStyle w:val="Tabletext"/>
            </w:pPr>
            <w:r w:rsidRPr="008D1FFE">
              <w:t>Green</w:t>
            </w:r>
          </w:p>
        </w:tc>
      </w:tr>
      <w:tr w:rsidR="00770EF8" w14:paraId="21FB6E7E" w14:textId="77777777" w:rsidTr="005004D8">
        <w:tc>
          <w:tcPr>
            <w:tcW w:w="0" w:type="auto"/>
            <w:shd w:val="clear" w:color="auto" w:fill="FFFFFF"/>
          </w:tcPr>
          <w:p w14:paraId="1D7FFCCB" w14:textId="77777777" w:rsidR="00770EF8" w:rsidRDefault="00770EF8" w:rsidP="00770EF8">
            <w:pPr>
              <w:pStyle w:val="Tabletext"/>
            </w:pPr>
            <w:r w:rsidRPr="008D1FFE">
              <w:t>Improved satisfaction</w:t>
            </w:r>
          </w:p>
        </w:tc>
        <w:tc>
          <w:tcPr>
            <w:tcW w:w="0" w:type="auto"/>
            <w:shd w:val="clear" w:color="auto" w:fill="FFFFFF"/>
          </w:tcPr>
          <w:p w14:paraId="5211C9B8" w14:textId="77777777" w:rsidR="00770EF8" w:rsidRDefault="00770EF8" w:rsidP="00770EF8">
            <w:pPr>
              <w:pStyle w:val="Tabletext"/>
            </w:pPr>
            <w:r w:rsidRPr="008D1FFE">
              <w:t>Number of Freedom of Information requests responded to within 20 working days</w:t>
            </w:r>
          </w:p>
        </w:tc>
        <w:tc>
          <w:tcPr>
            <w:tcW w:w="0" w:type="auto"/>
            <w:shd w:val="clear" w:color="auto" w:fill="FFFFFF"/>
          </w:tcPr>
          <w:p w14:paraId="0F7466BF" w14:textId="77777777" w:rsidR="00770EF8" w:rsidRDefault="00770EF8" w:rsidP="00770EF8">
            <w:pPr>
              <w:pStyle w:val="Tabletext"/>
            </w:pPr>
            <w:r w:rsidRPr="008D1FFE">
              <w:t>100%</w:t>
            </w:r>
          </w:p>
        </w:tc>
        <w:tc>
          <w:tcPr>
            <w:tcW w:w="0" w:type="auto"/>
            <w:shd w:val="clear" w:color="auto" w:fill="FFFFFF"/>
          </w:tcPr>
          <w:p w14:paraId="7F966B20" w14:textId="4BCEFFD4" w:rsidR="00770EF8" w:rsidRDefault="00770EF8" w:rsidP="00770EF8">
            <w:pPr>
              <w:pStyle w:val="Tabletext"/>
            </w:pPr>
            <w:r>
              <w:t>9</w:t>
            </w:r>
            <w:r w:rsidR="005F1A4A">
              <w:t>4</w:t>
            </w:r>
            <w:r w:rsidRPr="008D1FFE">
              <w:t>%</w:t>
            </w:r>
          </w:p>
        </w:tc>
        <w:tc>
          <w:tcPr>
            <w:tcW w:w="0" w:type="auto"/>
            <w:shd w:val="clear" w:color="auto" w:fill="FFFFFF"/>
          </w:tcPr>
          <w:p w14:paraId="48989E3D" w14:textId="44A6E736" w:rsidR="00770EF8" w:rsidRPr="00404331" w:rsidRDefault="00770EF8" w:rsidP="00770EF8">
            <w:pPr>
              <w:pStyle w:val="Tabletext"/>
            </w:pPr>
            <w:r w:rsidRPr="00404331">
              <w:t xml:space="preserve">Amber (see note </w:t>
            </w:r>
            <w:r w:rsidR="00404331">
              <w:t>5</w:t>
            </w:r>
            <w:r w:rsidRPr="00404331">
              <w:t>)</w:t>
            </w:r>
          </w:p>
        </w:tc>
      </w:tr>
      <w:tr w:rsidR="00770EF8" w14:paraId="01F8E1E0" w14:textId="77777777" w:rsidTr="005004D8">
        <w:tc>
          <w:tcPr>
            <w:tcW w:w="0" w:type="auto"/>
            <w:shd w:val="clear" w:color="auto" w:fill="FFFFFF"/>
          </w:tcPr>
          <w:p w14:paraId="45CA9391" w14:textId="77777777" w:rsidR="00770EF8" w:rsidRDefault="00770EF8" w:rsidP="00770EF8">
            <w:pPr>
              <w:pStyle w:val="Tabletext"/>
            </w:pPr>
            <w:r w:rsidRPr="008D1FFE">
              <w:lastRenderedPageBreak/>
              <w:t>Improved satisfaction</w:t>
            </w:r>
          </w:p>
        </w:tc>
        <w:tc>
          <w:tcPr>
            <w:tcW w:w="0" w:type="auto"/>
            <w:shd w:val="clear" w:color="auto" w:fill="FFFFFF"/>
          </w:tcPr>
          <w:p w14:paraId="078BF992" w14:textId="77777777" w:rsidR="00770EF8" w:rsidRDefault="00770EF8" w:rsidP="00770EF8">
            <w:pPr>
              <w:pStyle w:val="Tabletext"/>
            </w:pPr>
            <w:r w:rsidRPr="008D1FFE">
              <w:t>Parliamentary Questions (PQs) contribution provided within requested time frame</w:t>
            </w:r>
          </w:p>
        </w:tc>
        <w:tc>
          <w:tcPr>
            <w:tcW w:w="0" w:type="auto"/>
            <w:shd w:val="clear" w:color="auto" w:fill="FFFFFF"/>
          </w:tcPr>
          <w:p w14:paraId="1FF20BFD" w14:textId="77777777" w:rsidR="00770EF8" w:rsidRDefault="00770EF8" w:rsidP="00770EF8">
            <w:pPr>
              <w:pStyle w:val="Tabletext"/>
            </w:pPr>
            <w:r w:rsidRPr="008D1FFE">
              <w:t>90%</w:t>
            </w:r>
          </w:p>
        </w:tc>
        <w:tc>
          <w:tcPr>
            <w:tcW w:w="0" w:type="auto"/>
            <w:shd w:val="clear" w:color="auto" w:fill="FFFFFF"/>
          </w:tcPr>
          <w:p w14:paraId="23C2BA5C" w14:textId="237F779C" w:rsidR="00770EF8" w:rsidRDefault="005F1A4A" w:rsidP="00770EF8">
            <w:pPr>
              <w:pStyle w:val="Tabletext"/>
            </w:pPr>
            <w:r>
              <w:t>92</w:t>
            </w:r>
            <w:r w:rsidR="00770EF8" w:rsidRPr="008D1FFE">
              <w:t>%</w:t>
            </w:r>
          </w:p>
        </w:tc>
        <w:tc>
          <w:tcPr>
            <w:tcW w:w="0" w:type="auto"/>
            <w:shd w:val="clear" w:color="auto" w:fill="FFFFFF"/>
          </w:tcPr>
          <w:p w14:paraId="00741FE9" w14:textId="0383C041" w:rsidR="00770EF8" w:rsidRPr="005F1A4A" w:rsidRDefault="005F1A4A" w:rsidP="00770EF8">
            <w:pPr>
              <w:pStyle w:val="Tabletext"/>
            </w:pPr>
            <w:r w:rsidRPr="005F1A4A">
              <w:t>Green</w:t>
            </w:r>
          </w:p>
        </w:tc>
      </w:tr>
      <w:tr w:rsidR="00770EF8" w14:paraId="54AFB9FB" w14:textId="77777777" w:rsidTr="005004D8">
        <w:tc>
          <w:tcPr>
            <w:tcW w:w="0" w:type="auto"/>
            <w:shd w:val="clear" w:color="auto" w:fill="FFFFFF"/>
          </w:tcPr>
          <w:p w14:paraId="43FDF2A4" w14:textId="77777777" w:rsidR="00770EF8" w:rsidRDefault="00770EF8" w:rsidP="00770EF8">
            <w:pPr>
              <w:pStyle w:val="Tabletext"/>
            </w:pPr>
            <w:r w:rsidRPr="008D1FFE">
              <w:t>Interest in lay committee vacancies reflected by ratio of applications to positions</w:t>
            </w:r>
          </w:p>
        </w:tc>
        <w:tc>
          <w:tcPr>
            <w:tcW w:w="0" w:type="auto"/>
            <w:shd w:val="clear" w:color="auto" w:fill="FFFFFF"/>
          </w:tcPr>
          <w:p w14:paraId="00525FA0" w14:textId="77777777" w:rsidR="00770EF8" w:rsidRDefault="00770EF8" w:rsidP="00770EF8">
            <w:pPr>
              <w:pStyle w:val="Tabletext"/>
            </w:pPr>
            <w:r w:rsidRPr="008D1FFE">
              <w:t xml:space="preserve">2:1 (or greater) each quarter </w:t>
            </w:r>
          </w:p>
        </w:tc>
        <w:tc>
          <w:tcPr>
            <w:tcW w:w="0" w:type="auto"/>
            <w:shd w:val="clear" w:color="auto" w:fill="FFFFFF"/>
          </w:tcPr>
          <w:p w14:paraId="732B206A" w14:textId="77777777" w:rsidR="00770EF8" w:rsidRDefault="00770EF8" w:rsidP="00770EF8">
            <w:pPr>
              <w:pStyle w:val="Tabletext"/>
            </w:pPr>
            <w:r w:rsidRPr="008D1FFE">
              <w:t>100%</w:t>
            </w:r>
          </w:p>
        </w:tc>
        <w:tc>
          <w:tcPr>
            <w:tcW w:w="0" w:type="auto"/>
            <w:shd w:val="clear" w:color="auto" w:fill="FFFFFF"/>
          </w:tcPr>
          <w:p w14:paraId="5887718D" w14:textId="2DF9C3D4" w:rsidR="00770EF8" w:rsidRDefault="005F1A4A" w:rsidP="00770EF8">
            <w:pPr>
              <w:pStyle w:val="Tabletext"/>
            </w:pPr>
            <w:r>
              <w:t>6</w:t>
            </w:r>
            <w:r w:rsidR="00770EF8">
              <w:t>.</w:t>
            </w:r>
            <w:r>
              <w:t>4</w:t>
            </w:r>
            <w:r w:rsidR="00770EF8">
              <w:t>:1</w:t>
            </w:r>
          </w:p>
        </w:tc>
        <w:tc>
          <w:tcPr>
            <w:tcW w:w="0" w:type="auto"/>
            <w:shd w:val="clear" w:color="auto" w:fill="FFFFFF"/>
          </w:tcPr>
          <w:p w14:paraId="5F1C1DCA" w14:textId="77777777" w:rsidR="00770EF8" w:rsidRDefault="00770EF8" w:rsidP="00770EF8">
            <w:pPr>
              <w:pStyle w:val="Tabletext"/>
            </w:pPr>
            <w:r w:rsidRPr="008D1FFE">
              <w:t>Green</w:t>
            </w:r>
          </w:p>
        </w:tc>
      </w:tr>
      <w:tr w:rsidR="00770EF8" w14:paraId="49875698" w14:textId="77777777" w:rsidTr="005004D8">
        <w:tc>
          <w:tcPr>
            <w:tcW w:w="0" w:type="auto"/>
            <w:shd w:val="clear" w:color="auto" w:fill="FFFFFF"/>
          </w:tcPr>
          <w:p w14:paraId="747EA5BA" w14:textId="07CC3C76" w:rsidR="00770EF8" w:rsidRDefault="00770EF8" w:rsidP="00770EF8">
            <w:pPr>
              <w:pStyle w:val="Tabletext"/>
            </w:pPr>
            <w:r w:rsidRPr="008D1FFE">
              <w:t>Speed of production</w:t>
            </w:r>
            <w:r w:rsidR="005E2493">
              <w:t xml:space="preserve"> (see note 6)</w:t>
            </w:r>
          </w:p>
        </w:tc>
        <w:tc>
          <w:tcPr>
            <w:tcW w:w="0" w:type="auto"/>
            <w:shd w:val="clear" w:color="auto" w:fill="FFFFFF"/>
          </w:tcPr>
          <w:p w14:paraId="39A8BEB7" w14:textId="77777777" w:rsidR="00770EF8" w:rsidRDefault="00770EF8" w:rsidP="00770EF8">
            <w:pPr>
              <w:pStyle w:val="Tabletext"/>
            </w:pPr>
            <w:r w:rsidRPr="008D1FFE">
              <w:t>% Technology appraisals for all new drugs with a new active substance referred to NICE issuing guidance within 90 days of the product being first licensed in the UK</w:t>
            </w:r>
          </w:p>
        </w:tc>
        <w:tc>
          <w:tcPr>
            <w:tcW w:w="0" w:type="auto"/>
            <w:shd w:val="clear" w:color="auto" w:fill="FFFFFF"/>
          </w:tcPr>
          <w:p w14:paraId="19A94CEC" w14:textId="77777777" w:rsidR="00770EF8" w:rsidRDefault="00770EF8" w:rsidP="00770EF8">
            <w:pPr>
              <w:pStyle w:val="Tabletext"/>
            </w:pPr>
            <w:r w:rsidRPr="008D1FFE">
              <w:t>90%</w:t>
            </w:r>
          </w:p>
        </w:tc>
        <w:tc>
          <w:tcPr>
            <w:tcW w:w="0" w:type="auto"/>
            <w:shd w:val="clear" w:color="auto" w:fill="FFFFFF"/>
          </w:tcPr>
          <w:p w14:paraId="0EF8B66E" w14:textId="77777777" w:rsidR="00770EF8" w:rsidRPr="008C2B19" w:rsidRDefault="00770EF8" w:rsidP="00770EF8">
            <w:pPr>
              <w:pStyle w:val="Tabletext"/>
            </w:pPr>
            <w:r w:rsidRPr="008C2B19">
              <w:t>100%</w:t>
            </w:r>
          </w:p>
          <w:p w14:paraId="767B5261" w14:textId="41043B13" w:rsidR="00770EF8" w:rsidRPr="008C2B19" w:rsidRDefault="008C2B19" w:rsidP="00770EF8">
            <w:pPr>
              <w:pStyle w:val="Tabletext"/>
            </w:pPr>
            <w:r w:rsidRPr="008C2B19">
              <w:t>3</w:t>
            </w:r>
            <w:r w:rsidR="00770EF8" w:rsidRPr="008C2B19">
              <w:t xml:space="preserve"> out of </w:t>
            </w:r>
            <w:r w:rsidRPr="008C2B19">
              <w:t>3</w:t>
            </w:r>
            <w:r w:rsidR="00770EF8" w:rsidRPr="008C2B19">
              <w:t xml:space="preserve"> topic met the target – </w:t>
            </w:r>
            <w:r w:rsidR="00404331">
              <w:t>4</w:t>
            </w:r>
            <w:r w:rsidR="00770EF8" w:rsidRPr="008C2B19">
              <w:t xml:space="preserve"> topics covered by SOP caveats</w:t>
            </w:r>
          </w:p>
        </w:tc>
        <w:tc>
          <w:tcPr>
            <w:tcW w:w="0" w:type="auto"/>
            <w:shd w:val="clear" w:color="auto" w:fill="FFFFFF"/>
          </w:tcPr>
          <w:p w14:paraId="74144AD2" w14:textId="77777777" w:rsidR="00770EF8" w:rsidRDefault="00770EF8" w:rsidP="00770EF8">
            <w:pPr>
              <w:pStyle w:val="Tabletext"/>
            </w:pPr>
            <w:r>
              <w:t>Green</w:t>
            </w:r>
          </w:p>
        </w:tc>
      </w:tr>
      <w:tr w:rsidR="00770EF8" w14:paraId="7083FD1A" w14:textId="77777777" w:rsidTr="005004D8">
        <w:tc>
          <w:tcPr>
            <w:tcW w:w="0" w:type="auto"/>
            <w:shd w:val="clear" w:color="auto" w:fill="FFFFFF"/>
          </w:tcPr>
          <w:p w14:paraId="6811EC3E" w14:textId="3E0209B7" w:rsidR="00770EF8" w:rsidRDefault="00770EF8" w:rsidP="00770EF8">
            <w:pPr>
              <w:pStyle w:val="Tabletext"/>
            </w:pPr>
            <w:r w:rsidRPr="008D1FFE">
              <w:t>Speed of production</w:t>
            </w:r>
            <w:r w:rsidR="005E2493">
              <w:t xml:space="preserve"> (see note 7)</w:t>
            </w:r>
          </w:p>
        </w:tc>
        <w:tc>
          <w:tcPr>
            <w:tcW w:w="0" w:type="auto"/>
            <w:shd w:val="clear" w:color="auto" w:fill="FFFFFF"/>
          </w:tcPr>
          <w:p w14:paraId="12A0FD5D" w14:textId="77777777" w:rsidR="00770EF8" w:rsidRDefault="00770EF8" w:rsidP="00770EF8">
            <w:pPr>
              <w:pStyle w:val="Tabletext"/>
            </w:pPr>
            <w:r w:rsidRPr="008D1FFE">
              <w:t xml:space="preserve">% of multiple technology appraisals </w:t>
            </w:r>
            <w:r>
              <w:t xml:space="preserve">(MTA) </w:t>
            </w:r>
            <w:r w:rsidRPr="008D1FFE">
              <w:t>from invitation to participate to appraisal consultation document (ACD) in 41 weeks, or where no ACD produced to final appraisal document (FAD) in 44 weeks</w:t>
            </w:r>
          </w:p>
        </w:tc>
        <w:tc>
          <w:tcPr>
            <w:tcW w:w="0" w:type="auto"/>
            <w:shd w:val="clear" w:color="auto" w:fill="FFFFFF"/>
          </w:tcPr>
          <w:p w14:paraId="45248F68" w14:textId="77777777" w:rsidR="00770EF8" w:rsidRDefault="00770EF8" w:rsidP="00770EF8">
            <w:pPr>
              <w:pStyle w:val="Tabletext"/>
            </w:pPr>
            <w:r w:rsidRPr="008D1FFE">
              <w:t>85%</w:t>
            </w:r>
          </w:p>
        </w:tc>
        <w:tc>
          <w:tcPr>
            <w:tcW w:w="0" w:type="auto"/>
            <w:shd w:val="clear" w:color="auto" w:fill="FFFFFF"/>
          </w:tcPr>
          <w:p w14:paraId="269E7295" w14:textId="77777777" w:rsidR="00770EF8" w:rsidRPr="004E0D0F" w:rsidRDefault="00770EF8" w:rsidP="00770EF8">
            <w:pPr>
              <w:pStyle w:val="Tabletext"/>
            </w:pPr>
            <w:r w:rsidRPr="004E0D0F">
              <w:t>N/A</w:t>
            </w:r>
          </w:p>
          <w:p w14:paraId="279E83E4" w14:textId="77777777" w:rsidR="00770EF8" w:rsidRPr="004E0D0F" w:rsidRDefault="00770EF8" w:rsidP="00770EF8">
            <w:pPr>
              <w:pStyle w:val="Tabletext"/>
            </w:pPr>
          </w:p>
          <w:p w14:paraId="0736796E" w14:textId="77777777" w:rsidR="00770EF8" w:rsidRPr="005649C1" w:rsidRDefault="00770EF8" w:rsidP="00770EF8">
            <w:pPr>
              <w:pStyle w:val="Tabletext"/>
              <w:rPr>
                <w:highlight w:val="yellow"/>
              </w:rPr>
            </w:pPr>
            <w:r w:rsidRPr="004E0D0F">
              <w:t>1 topic covered by SOP caveats</w:t>
            </w:r>
          </w:p>
        </w:tc>
        <w:tc>
          <w:tcPr>
            <w:tcW w:w="0" w:type="auto"/>
            <w:shd w:val="clear" w:color="auto" w:fill="FFFFFF"/>
          </w:tcPr>
          <w:p w14:paraId="4FDD1BE5" w14:textId="77777777" w:rsidR="00770EF8" w:rsidRDefault="00770EF8" w:rsidP="00770EF8">
            <w:pPr>
              <w:pStyle w:val="Tabletext"/>
            </w:pPr>
            <w:r>
              <w:t>N/A</w:t>
            </w:r>
          </w:p>
        </w:tc>
      </w:tr>
      <w:tr w:rsidR="00770EF8" w14:paraId="43856483" w14:textId="77777777" w:rsidTr="005004D8">
        <w:tc>
          <w:tcPr>
            <w:tcW w:w="0" w:type="auto"/>
            <w:shd w:val="clear" w:color="auto" w:fill="FFFFFF"/>
          </w:tcPr>
          <w:p w14:paraId="1291B147" w14:textId="77777777" w:rsidR="00770EF8" w:rsidRDefault="00770EF8" w:rsidP="00770EF8">
            <w:pPr>
              <w:pStyle w:val="Tabletext"/>
            </w:pPr>
            <w:r w:rsidRPr="008D1FFE">
              <w:t>Speed of production</w:t>
            </w:r>
          </w:p>
        </w:tc>
        <w:tc>
          <w:tcPr>
            <w:tcW w:w="0" w:type="auto"/>
            <w:shd w:val="clear" w:color="auto" w:fill="FFFFFF"/>
          </w:tcPr>
          <w:p w14:paraId="7A4ABABE" w14:textId="77777777" w:rsidR="00770EF8" w:rsidRDefault="00770EF8" w:rsidP="00770EF8">
            <w:pPr>
              <w:pStyle w:val="Tabletext"/>
            </w:pPr>
            <w:r w:rsidRPr="008D1FFE">
              <w:t>% of Appeal Panel decisions received within 3 weeks of the hearing</w:t>
            </w:r>
          </w:p>
        </w:tc>
        <w:tc>
          <w:tcPr>
            <w:tcW w:w="0" w:type="auto"/>
            <w:shd w:val="clear" w:color="auto" w:fill="FFFFFF"/>
          </w:tcPr>
          <w:p w14:paraId="1FEB15F1" w14:textId="77777777" w:rsidR="00770EF8" w:rsidRDefault="00770EF8" w:rsidP="00770EF8">
            <w:pPr>
              <w:pStyle w:val="Tabletext"/>
            </w:pPr>
            <w:r w:rsidRPr="008D1FFE">
              <w:t>80%</w:t>
            </w:r>
          </w:p>
        </w:tc>
        <w:tc>
          <w:tcPr>
            <w:tcW w:w="0" w:type="auto"/>
            <w:shd w:val="clear" w:color="auto" w:fill="FFFFFF"/>
          </w:tcPr>
          <w:p w14:paraId="18B58F67" w14:textId="77777777" w:rsidR="00770EF8" w:rsidRDefault="00770EF8" w:rsidP="00770EF8">
            <w:pPr>
              <w:pStyle w:val="Tabletext"/>
            </w:pPr>
            <w:r>
              <w:t>Two appeal decisions were published: both were received outside of the target</w:t>
            </w:r>
          </w:p>
        </w:tc>
        <w:tc>
          <w:tcPr>
            <w:tcW w:w="0" w:type="auto"/>
            <w:shd w:val="clear" w:color="auto" w:fill="FFFFFF"/>
          </w:tcPr>
          <w:p w14:paraId="084B1586" w14:textId="054FEF1A" w:rsidR="00770EF8" w:rsidRDefault="00770EF8" w:rsidP="00770EF8">
            <w:pPr>
              <w:pStyle w:val="Tabletext"/>
            </w:pPr>
            <w:r>
              <w:t xml:space="preserve">Red (see note </w:t>
            </w:r>
            <w:r w:rsidR="00404331">
              <w:t>6</w:t>
            </w:r>
            <w:r>
              <w:t>)</w:t>
            </w:r>
          </w:p>
        </w:tc>
      </w:tr>
    </w:tbl>
    <w:p w14:paraId="10E825C8" w14:textId="77777777" w:rsidR="005004D8" w:rsidRDefault="005004D8" w:rsidP="005004D8">
      <w:pPr>
        <w:pStyle w:val="NICEnormal"/>
        <w:spacing w:after="0"/>
        <w:rPr>
          <w:sz w:val="22"/>
          <w:szCs w:val="22"/>
        </w:rPr>
      </w:pPr>
    </w:p>
    <w:p w14:paraId="045E5507" w14:textId="63E5FBAF" w:rsidR="005004D8" w:rsidRPr="002B3E49" w:rsidRDefault="005004D8" w:rsidP="002B3E49">
      <w:pPr>
        <w:pStyle w:val="NICEnormal"/>
        <w:spacing w:after="0"/>
        <w:rPr>
          <w:sz w:val="22"/>
          <w:szCs w:val="22"/>
        </w:rPr>
      </w:pPr>
      <w:r w:rsidRPr="002B3E49">
        <w:rPr>
          <w:sz w:val="22"/>
          <w:szCs w:val="22"/>
        </w:rPr>
        <w:t>Notes:</w:t>
      </w:r>
    </w:p>
    <w:p w14:paraId="2880587B" w14:textId="77777777" w:rsidR="005004D8" w:rsidRPr="002B3E49" w:rsidRDefault="005004D8" w:rsidP="002B3E49">
      <w:pPr>
        <w:pStyle w:val="NICEnormal"/>
        <w:numPr>
          <w:ilvl w:val="0"/>
          <w:numId w:val="44"/>
        </w:numPr>
        <w:rPr>
          <w:sz w:val="22"/>
          <w:szCs w:val="22"/>
        </w:rPr>
      </w:pPr>
      <w:r w:rsidRPr="002B3E49">
        <w:rPr>
          <w:sz w:val="22"/>
          <w:szCs w:val="22"/>
        </w:rPr>
        <w:t>3 delayed interventional procedures guidance topics: Melphalan chemosaturation with percutaneous hepatic artery perfusion and hepatic vein isolation for primary or metastatic liver cancer, High tibial osteotomy with adjustable magnetic nail insertion for symptomatic medial knee osteoarthritis and Repetitive short pulse transscleral cyclophotocoagulation for glaucoma. 3 topics were not planned into the work programme because of committee capacity issues arising from the backlog of topics created when consultation and publication was paused during the financial year.</w:t>
      </w:r>
    </w:p>
    <w:p w14:paraId="45A4EEF7" w14:textId="77777777" w:rsidR="005004D8" w:rsidRPr="002B3E49" w:rsidRDefault="005004D8" w:rsidP="002B3E49">
      <w:pPr>
        <w:pStyle w:val="NICEnormal"/>
        <w:numPr>
          <w:ilvl w:val="0"/>
          <w:numId w:val="44"/>
        </w:numPr>
        <w:rPr>
          <w:sz w:val="22"/>
          <w:szCs w:val="22"/>
        </w:rPr>
      </w:pPr>
      <w:r w:rsidRPr="002B3E49">
        <w:rPr>
          <w:sz w:val="22"/>
          <w:szCs w:val="22"/>
        </w:rPr>
        <w:t xml:space="preserve">In line with the reduced number of guidance publications during 2020/21, fewer topics have been recommended for managed access. In addition, during 2020/21 NICE Commercial and Managed Access function has engaged early with companies and NHSE&amp;I to identify </w:t>
      </w:r>
      <w:r w:rsidRPr="002B3E49">
        <w:rPr>
          <w:sz w:val="22"/>
          <w:szCs w:val="22"/>
        </w:rPr>
        <w:lastRenderedPageBreak/>
        <w:t>topics which might require new commercial flexibilities to support an assessment of cost-effectiveness. At the same time the NHSE&amp;I Commercial Framework has created opportunities for new commercial flexibilities which have previously only been available via a managed access agreement between NHSE&amp;I and companies.</w:t>
      </w:r>
    </w:p>
    <w:p w14:paraId="08566794" w14:textId="50F3635D" w:rsidR="005004D8" w:rsidRPr="002B3E49" w:rsidRDefault="005004D8" w:rsidP="002B3E49">
      <w:pPr>
        <w:pStyle w:val="NICEnormal"/>
        <w:numPr>
          <w:ilvl w:val="0"/>
          <w:numId w:val="44"/>
        </w:numPr>
        <w:rPr>
          <w:sz w:val="22"/>
          <w:szCs w:val="22"/>
        </w:rPr>
      </w:pPr>
      <w:r w:rsidRPr="002B3E49">
        <w:rPr>
          <w:sz w:val="22"/>
          <w:szCs w:val="22"/>
        </w:rPr>
        <w:t xml:space="preserve">Some negative media coverage </w:t>
      </w:r>
      <w:r w:rsidR="00DE4B79" w:rsidRPr="002B3E49">
        <w:rPr>
          <w:sz w:val="22"/>
          <w:szCs w:val="22"/>
        </w:rPr>
        <w:t xml:space="preserve">was received, </w:t>
      </w:r>
      <w:r w:rsidRPr="002B3E49">
        <w:rPr>
          <w:sz w:val="22"/>
          <w:szCs w:val="22"/>
        </w:rPr>
        <w:t>relating to antipsychotic medicines, campaigns to widen access to Kuvan for PKU, and abiraterone for prostate cancer.</w:t>
      </w:r>
    </w:p>
    <w:p w14:paraId="5142C596" w14:textId="77777777" w:rsidR="005004D8" w:rsidRPr="002B3E49" w:rsidRDefault="00770EF8" w:rsidP="002B3E49">
      <w:pPr>
        <w:pStyle w:val="NICEnormal"/>
        <w:numPr>
          <w:ilvl w:val="0"/>
          <w:numId w:val="44"/>
        </w:numPr>
        <w:rPr>
          <w:sz w:val="22"/>
          <w:szCs w:val="22"/>
        </w:rPr>
      </w:pPr>
      <w:r w:rsidRPr="002B3E49">
        <w:rPr>
          <w:sz w:val="22"/>
          <w:szCs w:val="22"/>
        </w:rPr>
        <w:t xml:space="preserve">The income target for TA/HST in 2020-21 was £10.7m, with £7m recognised in that time. This shortfall was expected due to the impact of </w:t>
      </w:r>
      <w:r w:rsidR="003057C7" w:rsidRPr="002B3E49">
        <w:rPr>
          <w:sz w:val="22"/>
          <w:szCs w:val="22"/>
        </w:rPr>
        <w:t>COVID</w:t>
      </w:r>
      <w:r w:rsidRPr="002B3E49">
        <w:rPr>
          <w:sz w:val="22"/>
          <w:szCs w:val="22"/>
        </w:rPr>
        <w:t>-19, with the 2020-21 business plan assuming a deficit of between 30-50% less income this financial year.</w:t>
      </w:r>
      <w:r w:rsidR="00404331" w:rsidRPr="002B3E49">
        <w:rPr>
          <w:sz w:val="22"/>
          <w:szCs w:val="22"/>
        </w:rPr>
        <w:t xml:space="preserve"> </w:t>
      </w:r>
      <w:r w:rsidRPr="002B3E49">
        <w:rPr>
          <w:sz w:val="22"/>
          <w:szCs w:val="22"/>
        </w:rPr>
        <w:t xml:space="preserve">Other income from non-exchequer sources (excluding fees from TA/HST) overachieved target by £0.4m, mainly </w:t>
      </w:r>
      <w:r w:rsidR="005004D8" w:rsidRPr="002B3E49">
        <w:rPr>
          <w:sz w:val="22"/>
          <w:szCs w:val="22"/>
        </w:rPr>
        <w:t>due to</w:t>
      </w:r>
      <w:r w:rsidRPr="002B3E49">
        <w:rPr>
          <w:sz w:val="22"/>
          <w:szCs w:val="22"/>
        </w:rPr>
        <w:t xml:space="preserve"> better performance in NICE Scientific Advice.</w:t>
      </w:r>
    </w:p>
    <w:p w14:paraId="0900DF04" w14:textId="3C5F7829" w:rsidR="005004D8" w:rsidRPr="002B3E49" w:rsidRDefault="008C2B19" w:rsidP="002B3E49">
      <w:pPr>
        <w:pStyle w:val="NICEnormal"/>
        <w:numPr>
          <w:ilvl w:val="0"/>
          <w:numId w:val="44"/>
        </w:numPr>
        <w:rPr>
          <w:sz w:val="22"/>
          <w:szCs w:val="22"/>
        </w:rPr>
      </w:pPr>
      <w:r w:rsidRPr="002B3E49">
        <w:rPr>
          <w:sz w:val="22"/>
          <w:szCs w:val="22"/>
        </w:rPr>
        <w:t xml:space="preserve">We responded to 7 FOIs outside of the statutory time limit. In each case, the delay in obtaining necessary technical information was a factor. 1 case was also particularly complex and required input from multiple colleagues and legal advice. The impact of the COVID-19 pandemic also played a part due to availability of colleagues and prioritisation of workload. </w:t>
      </w:r>
      <w:r w:rsidR="002B3E49">
        <w:rPr>
          <w:sz w:val="22"/>
          <w:szCs w:val="22"/>
        </w:rPr>
        <w:t>N</w:t>
      </w:r>
      <w:r w:rsidRPr="002B3E49">
        <w:rPr>
          <w:sz w:val="22"/>
          <w:szCs w:val="22"/>
        </w:rPr>
        <w:t>ote that the Information Commissioner took a pragmatic approach to delays, recognising that the pandemic might have an impact on compliance with the time limits.</w:t>
      </w:r>
      <w:r w:rsidR="00770EF8" w:rsidRPr="002B3E49">
        <w:rPr>
          <w:sz w:val="22"/>
          <w:szCs w:val="22"/>
        </w:rPr>
        <w:t xml:space="preserve"> </w:t>
      </w:r>
    </w:p>
    <w:p w14:paraId="6104BC7A" w14:textId="77777777" w:rsidR="005E2493" w:rsidRPr="002B3E49" w:rsidRDefault="00770EF8" w:rsidP="002B3E49">
      <w:pPr>
        <w:pStyle w:val="NICEnormal"/>
        <w:numPr>
          <w:ilvl w:val="0"/>
          <w:numId w:val="44"/>
        </w:numPr>
        <w:rPr>
          <w:sz w:val="22"/>
          <w:szCs w:val="22"/>
        </w:rPr>
      </w:pPr>
      <w:r w:rsidRPr="002B3E49">
        <w:rPr>
          <w:sz w:val="22"/>
          <w:szCs w:val="22"/>
        </w:rPr>
        <w:t>2 appeal decisions were received outside of the required timeframe. Both decisions were delayed due to the length and complexity of the oral hearings.</w:t>
      </w:r>
    </w:p>
    <w:p w14:paraId="2FFA665F" w14:textId="0A14F4EC" w:rsidR="005E2493" w:rsidRPr="002B3E49" w:rsidRDefault="005E2493" w:rsidP="002B3E49">
      <w:pPr>
        <w:pStyle w:val="NICEnormal"/>
        <w:numPr>
          <w:ilvl w:val="0"/>
          <w:numId w:val="44"/>
        </w:numPr>
        <w:spacing w:after="0"/>
        <w:rPr>
          <w:sz w:val="22"/>
          <w:szCs w:val="22"/>
        </w:rPr>
      </w:pPr>
      <w:r w:rsidRPr="002B3E49">
        <w:rPr>
          <w:sz w:val="22"/>
          <w:szCs w:val="22"/>
        </w:rPr>
        <w:t xml:space="preserve">The following caveats are taken into account when measuring performance: </w:t>
      </w:r>
    </w:p>
    <w:p w14:paraId="343628EC" w14:textId="77777777" w:rsidR="005E2493" w:rsidRPr="002B3E49" w:rsidRDefault="005E2493" w:rsidP="002B3E49">
      <w:pPr>
        <w:pStyle w:val="NICEnormal"/>
        <w:numPr>
          <w:ilvl w:val="0"/>
          <w:numId w:val="45"/>
        </w:numPr>
        <w:spacing w:after="0"/>
        <w:rPr>
          <w:sz w:val="22"/>
          <w:szCs w:val="22"/>
        </w:rPr>
      </w:pPr>
      <w:r w:rsidRPr="002B3E49">
        <w:rPr>
          <w:sz w:val="22"/>
          <w:szCs w:val="22"/>
        </w:rPr>
        <w:t>The product has been identified and referred early enough to allow for guidance publication to be timely, and</w:t>
      </w:r>
    </w:p>
    <w:p w14:paraId="1CCCBA7B" w14:textId="77777777" w:rsidR="005E2493" w:rsidRPr="002B3E49" w:rsidRDefault="005E2493" w:rsidP="002B3E49">
      <w:pPr>
        <w:pStyle w:val="NICEnormal"/>
        <w:numPr>
          <w:ilvl w:val="0"/>
          <w:numId w:val="45"/>
        </w:numPr>
        <w:spacing w:after="0"/>
        <w:rPr>
          <w:sz w:val="22"/>
          <w:szCs w:val="22"/>
        </w:rPr>
      </w:pPr>
      <w:r w:rsidRPr="002B3E49">
        <w:rPr>
          <w:sz w:val="22"/>
          <w:szCs w:val="22"/>
        </w:rPr>
        <w:t>The company has not asked for the appraisal to be scheduled at a later date, which was accepted by NICE, and</w:t>
      </w:r>
    </w:p>
    <w:p w14:paraId="751AC4DE" w14:textId="77777777" w:rsidR="005E2493" w:rsidRPr="002B3E49" w:rsidRDefault="005E2493" w:rsidP="002B3E49">
      <w:pPr>
        <w:pStyle w:val="NICEnormal"/>
        <w:numPr>
          <w:ilvl w:val="0"/>
          <w:numId w:val="45"/>
        </w:numPr>
        <w:spacing w:after="0"/>
        <w:rPr>
          <w:sz w:val="22"/>
          <w:szCs w:val="22"/>
        </w:rPr>
      </w:pPr>
      <w:r w:rsidRPr="002B3E49">
        <w:rPr>
          <w:sz w:val="22"/>
          <w:szCs w:val="22"/>
        </w:rPr>
        <w:t>The technology appraisal follows standard NICE process up to and including the first committee meeting, and</w:t>
      </w:r>
    </w:p>
    <w:p w14:paraId="1EFF5DBB" w14:textId="77777777" w:rsidR="005E2493" w:rsidRPr="002B3E49" w:rsidRDefault="005E2493" w:rsidP="002B3E49">
      <w:pPr>
        <w:pStyle w:val="NICEnormal"/>
        <w:numPr>
          <w:ilvl w:val="0"/>
          <w:numId w:val="45"/>
        </w:numPr>
        <w:spacing w:after="0"/>
        <w:rPr>
          <w:sz w:val="22"/>
          <w:szCs w:val="22"/>
        </w:rPr>
      </w:pPr>
      <w:r w:rsidRPr="002B3E49">
        <w:rPr>
          <w:sz w:val="22"/>
          <w:szCs w:val="22"/>
        </w:rPr>
        <w:lastRenderedPageBreak/>
        <w:t>No changes to the regulatory schedule are received after the company has been invited by NICE to make an evidence submission, and</w:t>
      </w:r>
    </w:p>
    <w:p w14:paraId="45BB83C2" w14:textId="77777777" w:rsidR="005E2493" w:rsidRPr="002B3E49" w:rsidRDefault="005E2493" w:rsidP="002B3E49">
      <w:pPr>
        <w:pStyle w:val="NICEnormal"/>
        <w:numPr>
          <w:ilvl w:val="0"/>
          <w:numId w:val="45"/>
        </w:numPr>
        <w:spacing w:after="0"/>
        <w:rPr>
          <w:sz w:val="22"/>
          <w:szCs w:val="22"/>
        </w:rPr>
      </w:pPr>
      <w:r w:rsidRPr="002B3E49">
        <w:rPr>
          <w:sz w:val="22"/>
          <w:szCs w:val="22"/>
        </w:rPr>
        <w:t>No changes to the regulatory schedule are communicated before the appraisal has started, where the dates are brought forward without opportunity for NICE to react (that is notification less than 43 weeks before the CHMP meeting date) and</w:t>
      </w:r>
    </w:p>
    <w:p w14:paraId="45BA857D" w14:textId="77777777" w:rsidR="005E2493" w:rsidRPr="002B3E49" w:rsidRDefault="005E2493" w:rsidP="002B3E49">
      <w:pPr>
        <w:pStyle w:val="NICEnormal"/>
        <w:numPr>
          <w:ilvl w:val="0"/>
          <w:numId w:val="45"/>
        </w:numPr>
        <w:spacing w:after="0"/>
        <w:rPr>
          <w:sz w:val="22"/>
          <w:szCs w:val="22"/>
        </w:rPr>
      </w:pPr>
      <w:r w:rsidRPr="002B3E49">
        <w:rPr>
          <w:sz w:val="22"/>
          <w:szCs w:val="22"/>
        </w:rPr>
        <w:t>No requests for further submission of evidence are made after the initial submission of evidence, including for a PAS or CAA, and</w:t>
      </w:r>
    </w:p>
    <w:p w14:paraId="1F9FE859" w14:textId="40DBACE5" w:rsidR="005E2493" w:rsidRPr="002B3E49" w:rsidRDefault="005E2493" w:rsidP="002B3E49">
      <w:pPr>
        <w:pStyle w:val="NICEnormal"/>
        <w:numPr>
          <w:ilvl w:val="0"/>
          <w:numId w:val="45"/>
        </w:numPr>
        <w:spacing w:after="0"/>
        <w:rPr>
          <w:sz w:val="22"/>
          <w:szCs w:val="22"/>
        </w:rPr>
      </w:pPr>
      <w:r w:rsidRPr="002B3E49">
        <w:rPr>
          <w:sz w:val="22"/>
          <w:szCs w:val="22"/>
        </w:rPr>
        <w:t>No other factors out of NICE’s control are in play (for example ‘purdah’ and a pandemic such as COVID-19)</w:t>
      </w:r>
    </w:p>
    <w:p w14:paraId="4684B557" w14:textId="77777777" w:rsidR="005E2493" w:rsidRPr="002B3E49" w:rsidRDefault="005E2493" w:rsidP="002B3E49">
      <w:pPr>
        <w:pStyle w:val="NICEnormal"/>
        <w:spacing w:after="0"/>
        <w:ind w:left="1080"/>
        <w:rPr>
          <w:sz w:val="22"/>
          <w:szCs w:val="22"/>
        </w:rPr>
      </w:pPr>
    </w:p>
    <w:p w14:paraId="55CEC61F" w14:textId="77777777" w:rsidR="005E2493" w:rsidRPr="002B3E49" w:rsidRDefault="005E2493" w:rsidP="002B3E49">
      <w:pPr>
        <w:pStyle w:val="NICEnormal"/>
        <w:numPr>
          <w:ilvl w:val="0"/>
          <w:numId w:val="44"/>
        </w:numPr>
        <w:spacing w:after="0"/>
        <w:rPr>
          <w:sz w:val="22"/>
          <w:szCs w:val="22"/>
        </w:rPr>
      </w:pPr>
      <w:r w:rsidRPr="002B3E49">
        <w:rPr>
          <w:sz w:val="22"/>
          <w:szCs w:val="22"/>
        </w:rPr>
        <w:t xml:space="preserve">The following caveats are taken into account when measuring performance: </w:t>
      </w:r>
    </w:p>
    <w:p w14:paraId="2A4E30E1" w14:textId="77777777" w:rsidR="005E2493" w:rsidRPr="002B3E49" w:rsidRDefault="005E2493" w:rsidP="002B3E49">
      <w:pPr>
        <w:pStyle w:val="NICEnormal"/>
        <w:numPr>
          <w:ilvl w:val="0"/>
          <w:numId w:val="45"/>
        </w:numPr>
        <w:spacing w:after="0"/>
        <w:rPr>
          <w:sz w:val="22"/>
          <w:szCs w:val="22"/>
        </w:rPr>
      </w:pPr>
      <w:r w:rsidRPr="002B3E49">
        <w:rPr>
          <w:sz w:val="22"/>
          <w:szCs w:val="22"/>
        </w:rPr>
        <w:t>The technology appraisal follows standard NICE process up to and including the first committee meeting</w:t>
      </w:r>
    </w:p>
    <w:p w14:paraId="7D4195DF" w14:textId="3897957A" w:rsidR="005E2493" w:rsidRPr="002B3E49" w:rsidRDefault="005E2493" w:rsidP="002B3E49">
      <w:pPr>
        <w:pStyle w:val="NICEnormal"/>
        <w:numPr>
          <w:ilvl w:val="0"/>
          <w:numId w:val="45"/>
        </w:numPr>
        <w:spacing w:after="0"/>
        <w:rPr>
          <w:sz w:val="22"/>
          <w:szCs w:val="22"/>
        </w:rPr>
      </w:pPr>
      <w:r w:rsidRPr="002B3E49">
        <w:rPr>
          <w:sz w:val="22"/>
          <w:szCs w:val="22"/>
        </w:rPr>
        <w:t>No requests for further submission of evidence are made after the initial submission of evidence, including for a PAS or CAA, and</w:t>
      </w:r>
    </w:p>
    <w:p w14:paraId="581F8C70" w14:textId="77777777" w:rsidR="005E2493" w:rsidRPr="002B3E49" w:rsidRDefault="005E2493" w:rsidP="002B3E49">
      <w:pPr>
        <w:pStyle w:val="ListParagraph"/>
        <w:numPr>
          <w:ilvl w:val="0"/>
          <w:numId w:val="45"/>
        </w:numPr>
        <w:contextualSpacing w:val="0"/>
        <w:rPr>
          <w:rFonts w:ascii="Arial" w:hAnsi="Arial"/>
          <w:sz w:val="22"/>
          <w:szCs w:val="22"/>
        </w:rPr>
      </w:pPr>
      <w:r w:rsidRPr="002B3E49">
        <w:rPr>
          <w:rFonts w:ascii="Arial" w:hAnsi="Arial"/>
          <w:sz w:val="22"/>
          <w:szCs w:val="22"/>
        </w:rPr>
        <w:t>No other factors out of NICE’s control are in play (for example ‘purdah’)</w:t>
      </w:r>
    </w:p>
    <w:p w14:paraId="68DA6AF8" w14:textId="77777777" w:rsidR="005E2493" w:rsidRPr="002B3E49" w:rsidRDefault="005E2493" w:rsidP="002B3E49">
      <w:pPr>
        <w:pStyle w:val="NICEnormal"/>
        <w:spacing w:after="0"/>
        <w:ind w:left="360"/>
        <w:rPr>
          <w:sz w:val="22"/>
          <w:szCs w:val="22"/>
        </w:rPr>
      </w:pPr>
    </w:p>
    <w:p w14:paraId="7A823242" w14:textId="65D35F49" w:rsidR="00770EF8" w:rsidRPr="00C9507C" w:rsidRDefault="00427315" w:rsidP="00770EF8">
      <w:pPr>
        <w:pStyle w:val="NICEnormal"/>
      </w:pPr>
      <w:r w:rsidRPr="00427315">
        <w:t>RAG status: Green = Greater than or equal to annual target; Amber = Between 50% and less than annual target; Red = Less than 50% of annual target</w:t>
      </w:r>
    </w:p>
    <w:p w14:paraId="6FCEF4A0" w14:textId="77777777" w:rsidR="00770EF8" w:rsidRPr="00DB6F82" w:rsidRDefault="00770EF8" w:rsidP="00770EF8">
      <w:pPr>
        <w:pStyle w:val="Paragraphnonumbers"/>
      </w:pPr>
      <w:r w:rsidRPr="00DB6F82">
        <w:t xml:space="preserve">© NICE </w:t>
      </w:r>
      <w:r>
        <w:t>2021</w:t>
      </w:r>
      <w:r w:rsidRPr="00DB6F82">
        <w:t xml:space="preserve">. All rights reserved. </w:t>
      </w:r>
      <w:hyperlink r:id="rId12" w:anchor="notice-of-rights" w:history="1">
        <w:r w:rsidRPr="00DB6F82">
          <w:rPr>
            <w:rStyle w:val="Hyperlink"/>
          </w:rPr>
          <w:t>Subject to Notice of rights</w:t>
        </w:r>
      </w:hyperlink>
      <w:r w:rsidRPr="00DB6F82">
        <w:t>.</w:t>
      </w:r>
    </w:p>
    <w:p w14:paraId="718B98A1" w14:textId="77777777" w:rsidR="00770EF8" w:rsidRDefault="00770EF8" w:rsidP="00770EF8">
      <w:pPr>
        <w:pStyle w:val="Paragraphnonumbers"/>
      </w:pPr>
      <w:r>
        <w:t>May 2021</w:t>
      </w:r>
      <w:bookmarkEnd w:id="9"/>
    </w:p>
    <w:sectPr w:rsidR="00770EF8" w:rsidSect="003F112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91D4" w14:textId="77777777" w:rsidR="002C281A" w:rsidRDefault="002C281A">
      <w:r>
        <w:separator/>
      </w:r>
    </w:p>
  </w:endnote>
  <w:endnote w:type="continuationSeparator" w:id="0">
    <w:p w14:paraId="00263A3C" w14:textId="77777777" w:rsidR="002C281A" w:rsidRDefault="002C2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2C49" w14:textId="2B0509FC" w:rsidR="00A24CA5" w:rsidRPr="002A231B" w:rsidRDefault="00A24CA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3914A385" w14:textId="1EC98919" w:rsidR="00A24CA5" w:rsidRPr="00333DC0" w:rsidRDefault="00A24CA5" w:rsidP="004B4705">
    <w:pPr>
      <w:pStyle w:val="Footer"/>
      <w:rPr>
        <w:szCs w:val="16"/>
      </w:rPr>
    </w:pPr>
    <w:r w:rsidRPr="00333DC0">
      <w:t xml:space="preserve">Chief Executive's report </w:t>
    </w:r>
  </w:p>
  <w:p w14:paraId="67D1E53A" w14:textId="1B32A136" w:rsidR="00A24CA5" w:rsidRPr="00F23A61" w:rsidRDefault="00A24CA5" w:rsidP="004B4705">
    <w:pPr>
      <w:pStyle w:val="Footer"/>
      <w:rPr>
        <w:szCs w:val="16"/>
      </w:rPr>
    </w:pPr>
    <w:r w:rsidRPr="00333DC0">
      <w:rPr>
        <w:szCs w:val="16"/>
      </w:rPr>
      <w:t xml:space="preserve">Date: </w:t>
    </w:r>
    <w:r>
      <w:rPr>
        <w:szCs w:val="16"/>
      </w:rPr>
      <w:t>19 May 2021</w:t>
    </w:r>
    <w:r w:rsidRPr="00333DC0">
      <w:rPr>
        <w:szCs w:val="16"/>
      </w:rPr>
      <w:t xml:space="preserve"> </w:t>
    </w:r>
  </w:p>
  <w:p w14:paraId="7A53DFF2" w14:textId="4F937FE1" w:rsidR="00A24CA5" w:rsidRDefault="00A24CA5" w:rsidP="004B4705">
    <w:pPr>
      <w:pStyle w:val="Footer"/>
    </w:pPr>
    <w:r w:rsidRPr="00333DC0">
      <w:rPr>
        <w:szCs w:val="16"/>
      </w:rPr>
      <w:t>Reference: 2</w:t>
    </w:r>
    <w:r>
      <w:rPr>
        <w:szCs w:val="16"/>
      </w:rPr>
      <w:t>1</w:t>
    </w:r>
    <w:r w:rsidRPr="00333DC0">
      <w:rPr>
        <w:szCs w:val="16"/>
      </w:rPr>
      <w:t>/</w:t>
    </w:r>
    <w:r>
      <w:rPr>
        <w:szCs w:val="16"/>
      </w:rPr>
      <w:t>040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E569" w14:textId="4919A6E7" w:rsidR="00A24CA5" w:rsidRPr="002A231B" w:rsidRDefault="00A24CA5" w:rsidP="004B4705">
    <w:pPr>
      <w:pStyle w:val="Footer"/>
      <w:tabs>
        <w:tab w:val="right" w:pos="8931"/>
        <w:tab w:val="right" w:pos="13892"/>
      </w:tabs>
      <w:rPr>
        <w:szCs w:val="16"/>
      </w:rPr>
    </w:pPr>
    <w:r w:rsidRPr="002A231B">
      <w:rPr>
        <w:szCs w:val="16"/>
      </w:rPr>
      <w:t>National Institute for Health and Care Excellence</w:t>
    </w:r>
    <w:r w:rsidRPr="002A231B">
      <w:rPr>
        <w:szCs w:val="16"/>
      </w:rPr>
      <w:tab/>
    </w:r>
    <w:r>
      <w:rPr>
        <w:szCs w:val="16"/>
      </w:rPr>
      <w:tab/>
    </w:r>
    <w:r>
      <w:rPr>
        <w:szCs w:val="16"/>
      </w:rPr>
      <w:tab/>
    </w:r>
    <w:r>
      <w:rPr>
        <w:szCs w:val="16"/>
      </w:rPr>
      <w:tab/>
    </w:r>
    <w:r w:rsidRPr="002A231B">
      <w:rPr>
        <w:szCs w:val="16"/>
      </w:rPr>
      <w:t xml:space="preserve">Page </w:t>
    </w:r>
    <w:r w:rsidRPr="002A231B">
      <w:rPr>
        <w:szCs w:val="16"/>
      </w:rPr>
      <w:fldChar w:fldCharType="begin"/>
    </w:r>
    <w:r w:rsidRPr="002A231B">
      <w:rPr>
        <w:szCs w:val="16"/>
      </w:rPr>
      <w:instrText xml:space="preserve"> PAGE  \* Arabic  \* MERGEFORMAT </w:instrText>
    </w:r>
    <w:r w:rsidRPr="002A231B">
      <w:rPr>
        <w:szCs w:val="16"/>
      </w:rPr>
      <w:fldChar w:fldCharType="separate"/>
    </w:r>
    <w:r>
      <w:rPr>
        <w:noProof/>
        <w:szCs w:val="16"/>
      </w:rPr>
      <w:t>7</w:t>
    </w:r>
    <w:r w:rsidRPr="002A231B">
      <w:rPr>
        <w:szCs w:val="16"/>
      </w:rPr>
      <w:fldChar w:fldCharType="end"/>
    </w:r>
    <w:r w:rsidRPr="002A231B">
      <w:rPr>
        <w:szCs w:val="16"/>
      </w:rPr>
      <w:t xml:space="preserve"> of </w:t>
    </w:r>
    <w:r w:rsidRPr="002A231B">
      <w:rPr>
        <w:szCs w:val="16"/>
      </w:rPr>
      <w:fldChar w:fldCharType="begin"/>
    </w:r>
    <w:r w:rsidRPr="002A231B">
      <w:rPr>
        <w:szCs w:val="16"/>
      </w:rPr>
      <w:instrText xml:space="preserve"> NUMPAGES  \* Arabic  \* MERGEFORMAT </w:instrText>
    </w:r>
    <w:r w:rsidRPr="002A231B">
      <w:rPr>
        <w:szCs w:val="16"/>
      </w:rPr>
      <w:fldChar w:fldCharType="separate"/>
    </w:r>
    <w:r>
      <w:rPr>
        <w:noProof/>
        <w:szCs w:val="16"/>
      </w:rPr>
      <w:t>8</w:t>
    </w:r>
    <w:r w:rsidRPr="002A231B">
      <w:rPr>
        <w:szCs w:val="16"/>
      </w:rPr>
      <w:fldChar w:fldCharType="end"/>
    </w:r>
  </w:p>
  <w:p w14:paraId="3084AF62" w14:textId="77777777" w:rsidR="00A24CA5" w:rsidRPr="00333DC0" w:rsidRDefault="00A24CA5" w:rsidP="004B4705">
    <w:pPr>
      <w:pStyle w:val="Footer"/>
      <w:rPr>
        <w:szCs w:val="16"/>
      </w:rPr>
    </w:pPr>
    <w:r w:rsidRPr="00333DC0">
      <w:t xml:space="preserve">Chief Executive's report </w:t>
    </w:r>
  </w:p>
  <w:p w14:paraId="6D490BF5" w14:textId="715C1901" w:rsidR="00A24CA5" w:rsidRPr="00F23A61" w:rsidRDefault="00A24CA5" w:rsidP="004B4705">
    <w:pPr>
      <w:pStyle w:val="Footer"/>
      <w:rPr>
        <w:szCs w:val="16"/>
      </w:rPr>
    </w:pPr>
    <w:r w:rsidRPr="00333DC0">
      <w:rPr>
        <w:szCs w:val="16"/>
      </w:rPr>
      <w:t>Date:</w:t>
    </w:r>
    <w:r>
      <w:rPr>
        <w:szCs w:val="16"/>
      </w:rPr>
      <w:t>19 May 2021</w:t>
    </w:r>
    <w:r w:rsidRPr="00333DC0">
      <w:rPr>
        <w:szCs w:val="16"/>
      </w:rPr>
      <w:t xml:space="preserve"> </w:t>
    </w:r>
  </w:p>
  <w:p w14:paraId="265C9700" w14:textId="2ED1B17A" w:rsidR="00A24CA5" w:rsidRDefault="00A24CA5" w:rsidP="004B4705">
    <w:pPr>
      <w:pStyle w:val="Footer"/>
    </w:pPr>
    <w:r w:rsidRPr="00333DC0">
      <w:rPr>
        <w:szCs w:val="16"/>
      </w:rPr>
      <w:t>Reference: 2</w:t>
    </w:r>
    <w:r>
      <w:rPr>
        <w:szCs w:val="16"/>
      </w:rPr>
      <w:t>1</w:t>
    </w:r>
    <w:r w:rsidRPr="00333DC0">
      <w:rPr>
        <w:szCs w:val="16"/>
      </w:rPr>
      <w:t>/</w:t>
    </w:r>
    <w:r>
      <w:rPr>
        <w:szCs w:val="16"/>
      </w:rPr>
      <w:t>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AEFE" w14:textId="77777777" w:rsidR="002C281A" w:rsidRDefault="002C281A">
      <w:r>
        <w:separator/>
      </w:r>
    </w:p>
  </w:footnote>
  <w:footnote w:type="continuationSeparator" w:id="0">
    <w:p w14:paraId="6228A8EE" w14:textId="77777777" w:rsidR="002C281A" w:rsidRDefault="002C28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F50" w14:textId="1E227E60" w:rsidR="00A24CA5" w:rsidRDefault="00A24CA5" w:rsidP="004B4705">
    <w:pPr>
      <w:pStyle w:val="Header"/>
      <w:jc w:val="right"/>
    </w:pPr>
    <w:r w:rsidRPr="002A231B">
      <w:t xml:space="preserve">Item </w:t>
    </w:r>
    <w: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B6E31EE"/>
    <w:multiLevelType w:val="hybridMultilevel"/>
    <w:tmpl w:val="4A065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B17B44"/>
    <w:multiLevelType w:val="hybridMultilevel"/>
    <w:tmpl w:val="22F2E8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B15797"/>
    <w:multiLevelType w:val="hybridMultilevel"/>
    <w:tmpl w:val="B9301242"/>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246E2B"/>
    <w:multiLevelType w:val="hybridMultilevel"/>
    <w:tmpl w:val="A06270D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9ED3BF2"/>
    <w:multiLevelType w:val="hybridMultilevel"/>
    <w:tmpl w:val="B76645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32474C"/>
    <w:multiLevelType w:val="hybridMultilevel"/>
    <w:tmpl w:val="BFE68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1B066C1"/>
    <w:multiLevelType w:val="hybridMultilevel"/>
    <w:tmpl w:val="983CC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5ACC9930"/>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indent2"/>
      <w:lvlText w:val=""/>
      <w:lvlJc w:val="left"/>
      <w:pPr>
        <w:tabs>
          <w:tab w:val="num" w:pos="567"/>
        </w:tabs>
        <w:ind w:left="567" w:hanging="283"/>
      </w:pPr>
      <w:rPr>
        <w:rFonts w:ascii="Symbol" w:hAnsi="Symbol" w:hint="default"/>
      </w:rPr>
    </w:lvl>
    <w:lvl w:ilvl="2">
      <w:start w:val="1"/>
      <w:numFmt w:val="decimal"/>
      <w:lvlText w:val="%3.%1.%2"/>
      <w:lvlJc w:val="left"/>
      <w:pPr>
        <w:tabs>
          <w:tab w:val="num" w:pos="834"/>
        </w:tabs>
        <w:ind w:left="834" w:hanging="964"/>
      </w:pPr>
      <w:rPr>
        <w:rFonts w:hint="default"/>
      </w:rPr>
    </w:lvl>
    <w:lvl w:ilvl="3">
      <w:start w:val="1"/>
      <w:numFmt w:val="decimal"/>
      <w:lvlText w:val="%1.%2.%3.%4"/>
      <w:lvlJc w:val="left"/>
      <w:pPr>
        <w:tabs>
          <w:tab w:val="num" w:pos="834"/>
        </w:tabs>
        <w:ind w:left="834" w:hanging="964"/>
      </w:pPr>
      <w:rPr>
        <w:rFonts w:hint="default"/>
      </w:rPr>
    </w:lvl>
    <w:lvl w:ilvl="4">
      <w:start w:val="1"/>
      <w:numFmt w:val="decimal"/>
      <w:lvlText w:val="%1.%2.%3.%4.%5."/>
      <w:lvlJc w:val="left"/>
      <w:pPr>
        <w:tabs>
          <w:tab w:val="num" w:pos="4190"/>
        </w:tabs>
        <w:ind w:left="2102" w:hanging="792"/>
      </w:pPr>
      <w:rPr>
        <w:rFonts w:hint="default"/>
      </w:rPr>
    </w:lvl>
    <w:lvl w:ilvl="5">
      <w:start w:val="1"/>
      <w:numFmt w:val="decimal"/>
      <w:lvlText w:val="%1.%2.%3.%4.%5.%6."/>
      <w:lvlJc w:val="left"/>
      <w:pPr>
        <w:tabs>
          <w:tab w:val="num" w:pos="5270"/>
        </w:tabs>
        <w:ind w:left="2606" w:hanging="936"/>
      </w:pPr>
      <w:rPr>
        <w:rFonts w:hint="default"/>
      </w:rPr>
    </w:lvl>
    <w:lvl w:ilvl="6">
      <w:start w:val="1"/>
      <w:numFmt w:val="decimal"/>
      <w:lvlText w:val="%1.%2.%3.%4.%5.%6.%7."/>
      <w:lvlJc w:val="left"/>
      <w:pPr>
        <w:tabs>
          <w:tab w:val="num" w:pos="6350"/>
        </w:tabs>
        <w:ind w:left="3110" w:hanging="1080"/>
      </w:pPr>
      <w:rPr>
        <w:rFonts w:hint="default"/>
      </w:rPr>
    </w:lvl>
    <w:lvl w:ilvl="7">
      <w:start w:val="1"/>
      <w:numFmt w:val="decimal"/>
      <w:lvlText w:val="%1.%2.%3.%4.%5.%6.%7.%8."/>
      <w:lvlJc w:val="left"/>
      <w:pPr>
        <w:tabs>
          <w:tab w:val="num" w:pos="7070"/>
        </w:tabs>
        <w:ind w:left="3614" w:hanging="1224"/>
      </w:pPr>
      <w:rPr>
        <w:rFonts w:hint="default"/>
      </w:rPr>
    </w:lvl>
    <w:lvl w:ilvl="8">
      <w:start w:val="1"/>
      <w:numFmt w:val="decimal"/>
      <w:lvlText w:val="%1.%2.%3.%4.%5.%6.%7.%8.%9."/>
      <w:lvlJc w:val="left"/>
      <w:pPr>
        <w:tabs>
          <w:tab w:val="num" w:pos="8150"/>
        </w:tabs>
        <w:ind w:left="4190"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9877ED6"/>
    <w:multiLevelType w:val="hybridMultilevel"/>
    <w:tmpl w:val="55C4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01F7934"/>
    <w:multiLevelType w:val="hybridMultilevel"/>
    <w:tmpl w:val="06E86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66F31D1"/>
    <w:multiLevelType w:val="hybridMultilevel"/>
    <w:tmpl w:val="1DF6A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35D27E1"/>
    <w:multiLevelType w:val="hybridMultilevel"/>
    <w:tmpl w:val="3516D46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F3223"/>
    <w:multiLevelType w:val="hybridMultilevel"/>
    <w:tmpl w:val="708AEF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7BDA371C"/>
    <w:multiLevelType w:val="hybridMultilevel"/>
    <w:tmpl w:val="F9F239F6"/>
    <w:lvl w:ilvl="0" w:tplc="08090001">
      <w:start w:val="1"/>
      <w:numFmt w:val="bullet"/>
      <w:lvlText w:val=""/>
      <w:lvlJc w:val="left"/>
      <w:pPr>
        <w:ind w:left="1095" w:hanging="735"/>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37"/>
  </w:num>
  <w:num w:numId="3">
    <w:abstractNumId w:val="24"/>
  </w:num>
  <w:num w:numId="4">
    <w:abstractNumId w:val="25"/>
  </w:num>
  <w:num w:numId="5">
    <w:abstractNumId w:val="9"/>
  </w:num>
  <w:num w:numId="6">
    <w:abstractNumId w:val="14"/>
  </w:num>
  <w:num w:numId="7">
    <w:abstractNumId w:val="20"/>
  </w:num>
  <w:num w:numId="8">
    <w:abstractNumId w:val="23"/>
  </w:num>
  <w:num w:numId="9">
    <w:abstractNumId w:val="29"/>
  </w:num>
  <w:num w:numId="10">
    <w:abstractNumId w:val="12"/>
  </w:num>
  <w:num w:numId="11">
    <w:abstractNumId w:val="34"/>
  </w:num>
  <w:num w:numId="12">
    <w:abstractNumId w:val="18"/>
  </w:num>
  <w:num w:numId="13">
    <w:abstractNumId w:val="27"/>
  </w:num>
  <w:num w:numId="14">
    <w:abstractNumId w:val="32"/>
  </w:num>
  <w:num w:numId="15">
    <w:abstractNumId w:val="19"/>
  </w:num>
  <w:num w:numId="16">
    <w:abstractNumId w:val="3"/>
  </w:num>
  <w:num w:numId="17">
    <w:abstractNumId w:val="4"/>
  </w:num>
  <w:num w:numId="18">
    <w:abstractNumId w:val="16"/>
  </w:num>
  <w:num w:numId="19">
    <w:abstractNumId w:val="22"/>
  </w:num>
  <w:num w:numId="20">
    <w:abstractNumId w:val="10"/>
  </w:num>
  <w:num w:numId="21">
    <w:abstractNumId w:val="36"/>
  </w:num>
  <w:num w:numId="22">
    <w:abstractNumId w:val="33"/>
  </w:num>
  <w:num w:numId="23">
    <w:abstractNumId w:val="38"/>
  </w:num>
  <w:num w:numId="24">
    <w:abstractNumId w:val="17"/>
  </w:num>
  <w:num w:numId="25">
    <w:abstractNumId w:val="8"/>
  </w:num>
  <w:num w:numId="26">
    <w:abstractNumId w:val="7"/>
  </w:num>
  <w:num w:numId="27">
    <w:abstractNumId w:val="40"/>
  </w:num>
  <w:num w:numId="28">
    <w:abstractNumId w:val="39"/>
  </w:num>
  <w:num w:numId="29">
    <w:abstractNumId w:val="8"/>
  </w:num>
  <w:num w:numId="30">
    <w:abstractNumId w:val="8"/>
    <w:lvlOverride w:ilvl="0">
      <w:startOverride w:val="1"/>
    </w:lvlOverride>
  </w:num>
  <w:num w:numId="31">
    <w:abstractNumId w:val="8"/>
  </w:num>
  <w:num w:numId="32">
    <w:abstractNumId w:val="24"/>
  </w:num>
  <w:num w:numId="33">
    <w:abstractNumId w:val="24"/>
  </w:num>
  <w:num w:numId="34">
    <w:abstractNumId w:val="15"/>
  </w:num>
  <w:num w:numId="35">
    <w:abstractNumId w:val="36"/>
  </w:num>
  <w:num w:numId="36">
    <w:abstractNumId w:val="13"/>
  </w:num>
  <w:num w:numId="37">
    <w:abstractNumId w:val="2"/>
  </w:num>
  <w:num w:numId="38">
    <w:abstractNumId w:val="1"/>
  </w:num>
  <w:num w:numId="39">
    <w:abstractNumId w:val="0"/>
  </w:num>
  <w:num w:numId="40">
    <w:abstractNumId w:val="31"/>
  </w:num>
  <w:num w:numId="41">
    <w:abstractNumId w:val="21"/>
  </w:num>
  <w:num w:numId="42">
    <w:abstractNumId w:val="11"/>
  </w:num>
  <w:num w:numId="43">
    <w:abstractNumId w:val="26"/>
  </w:num>
  <w:num w:numId="44">
    <w:abstractNumId w:val="35"/>
  </w:num>
  <w:num w:numId="45">
    <w:abstractNumId w:val="6"/>
  </w:num>
  <w:num w:numId="46">
    <w:abstractNumId w:val="28"/>
  </w:num>
  <w:num w:numId="47">
    <w:abstractNumId w:val="8"/>
  </w:num>
  <w:num w:numId="48">
    <w:abstractNumId w:val="8"/>
  </w:num>
  <w:num w:numId="49">
    <w:abstractNumId w:val="8"/>
  </w:num>
  <w:num w:numId="50">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1" w:cryptProviderType="rsaAES" w:cryptAlgorithmClass="hash" w:cryptAlgorithmType="typeAny" w:cryptAlgorithmSid="14" w:cryptSpinCount="100000" w:hash="VgA8y8wLcztydmryzFHj+wEtD1L6OhLe7YSkAbbDW3WkjvQvYKTepwXMw3k1QAHxLnOrVQkCD8bfoed7K3Tv3g==" w:salt="ukt85saOPuzLJlPz9TJlvw=="/>
  <w:defaultTabStop w:val="720"/>
  <w:characterSpacingControl w:val="doNotCompress"/>
  <w:hdrShapeDefaults>
    <o:shapedefaults v:ext="edit" spidmax="1433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2F"/>
    <w:rsid w:val="000119FB"/>
    <w:rsid w:val="00012DF7"/>
    <w:rsid w:val="0001538A"/>
    <w:rsid w:val="000170E2"/>
    <w:rsid w:val="000174FE"/>
    <w:rsid w:val="0002373C"/>
    <w:rsid w:val="000242AA"/>
    <w:rsid w:val="00025657"/>
    <w:rsid w:val="00045FA0"/>
    <w:rsid w:val="00051529"/>
    <w:rsid w:val="0005546E"/>
    <w:rsid w:val="00056451"/>
    <w:rsid w:val="0006108F"/>
    <w:rsid w:val="00063790"/>
    <w:rsid w:val="00063DA2"/>
    <w:rsid w:val="00084807"/>
    <w:rsid w:val="000850A9"/>
    <w:rsid w:val="00086A04"/>
    <w:rsid w:val="00087911"/>
    <w:rsid w:val="00087BBF"/>
    <w:rsid w:val="00092126"/>
    <w:rsid w:val="00095682"/>
    <w:rsid w:val="00097804"/>
    <w:rsid w:val="000A0853"/>
    <w:rsid w:val="000A1EC0"/>
    <w:rsid w:val="000A2355"/>
    <w:rsid w:val="000A488F"/>
    <w:rsid w:val="000B03A2"/>
    <w:rsid w:val="000B5AF5"/>
    <w:rsid w:val="000C3F75"/>
    <w:rsid w:val="000C4168"/>
    <w:rsid w:val="000C76ED"/>
    <w:rsid w:val="000D353C"/>
    <w:rsid w:val="000E02E4"/>
    <w:rsid w:val="000E1E78"/>
    <w:rsid w:val="000E6C5F"/>
    <w:rsid w:val="00101B1E"/>
    <w:rsid w:val="00101F34"/>
    <w:rsid w:val="00112C6C"/>
    <w:rsid w:val="00115443"/>
    <w:rsid w:val="001172E1"/>
    <w:rsid w:val="00117933"/>
    <w:rsid w:val="001219F1"/>
    <w:rsid w:val="0012274E"/>
    <w:rsid w:val="00123D3F"/>
    <w:rsid w:val="00123E7F"/>
    <w:rsid w:val="00125062"/>
    <w:rsid w:val="00130516"/>
    <w:rsid w:val="00130FD3"/>
    <w:rsid w:val="00131EB8"/>
    <w:rsid w:val="00133103"/>
    <w:rsid w:val="001336A3"/>
    <w:rsid w:val="0013415E"/>
    <w:rsid w:val="00136D7A"/>
    <w:rsid w:val="001448A8"/>
    <w:rsid w:val="00144987"/>
    <w:rsid w:val="00147F25"/>
    <w:rsid w:val="00151807"/>
    <w:rsid w:val="00151CBE"/>
    <w:rsid w:val="001536EF"/>
    <w:rsid w:val="00161AA0"/>
    <w:rsid w:val="00161B98"/>
    <w:rsid w:val="0016457E"/>
    <w:rsid w:val="00173CB1"/>
    <w:rsid w:val="001747AA"/>
    <w:rsid w:val="001766AF"/>
    <w:rsid w:val="00177EBC"/>
    <w:rsid w:val="001807D7"/>
    <w:rsid w:val="00185F3B"/>
    <w:rsid w:val="001874AE"/>
    <w:rsid w:val="00191DE2"/>
    <w:rsid w:val="00195F5C"/>
    <w:rsid w:val="00197EE6"/>
    <w:rsid w:val="001A5387"/>
    <w:rsid w:val="001A5E4C"/>
    <w:rsid w:val="001A718D"/>
    <w:rsid w:val="001B0506"/>
    <w:rsid w:val="001B0F0B"/>
    <w:rsid w:val="001B5891"/>
    <w:rsid w:val="001C032E"/>
    <w:rsid w:val="001C293E"/>
    <w:rsid w:val="001D7F2C"/>
    <w:rsid w:val="001E0966"/>
    <w:rsid w:val="001E14BD"/>
    <w:rsid w:val="001E23E3"/>
    <w:rsid w:val="001E3383"/>
    <w:rsid w:val="001E3529"/>
    <w:rsid w:val="001E38BF"/>
    <w:rsid w:val="001E542B"/>
    <w:rsid w:val="001E6D09"/>
    <w:rsid w:val="0020350C"/>
    <w:rsid w:val="0020652F"/>
    <w:rsid w:val="00210F66"/>
    <w:rsid w:val="0021150B"/>
    <w:rsid w:val="00215CE4"/>
    <w:rsid w:val="0021651A"/>
    <w:rsid w:val="002169E7"/>
    <w:rsid w:val="00220784"/>
    <w:rsid w:val="00224EA4"/>
    <w:rsid w:val="0022693A"/>
    <w:rsid w:val="00235CAB"/>
    <w:rsid w:val="002424A1"/>
    <w:rsid w:val="00246B67"/>
    <w:rsid w:val="0025049D"/>
    <w:rsid w:val="00251D56"/>
    <w:rsid w:val="002526E6"/>
    <w:rsid w:val="002529B3"/>
    <w:rsid w:val="002535B1"/>
    <w:rsid w:val="00260069"/>
    <w:rsid w:val="00270996"/>
    <w:rsid w:val="0028138D"/>
    <w:rsid w:val="00282069"/>
    <w:rsid w:val="0028563D"/>
    <w:rsid w:val="00285684"/>
    <w:rsid w:val="002864D0"/>
    <w:rsid w:val="00290101"/>
    <w:rsid w:val="00290629"/>
    <w:rsid w:val="0029153D"/>
    <w:rsid w:val="00292BEB"/>
    <w:rsid w:val="0029355A"/>
    <w:rsid w:val="002A3712"/>
    <w:rsid w:val="002B11F6"/>
    <w:rsid w:val="002B3E49"/>
    <w:rsid w:val="002C2013"/>
    <w:rsid w:val="002C281A"/>
    <w:rsid w:val="002C3FAA"/>
    <w:rsid w:val="002C61A3"/>
    <w:rsid w:val="002D53A7"/>
    <w:rsid w:val="002D7A2F"/>
    <w:rsid w:val="002E3654"/>
    <w:rsid w:val="002E3B6E"/>
    <w:rsid w:val="002F15CF"/>
    <w:rsid w:val="00301D86"/>
    <w:rsid w:val="00304189"/>
    <w:rsid w:val="003057C7"/>
    <w:rsid w:val="003129DA"/>
    <w:rsid w:val="00313DD6"/>
    <w:rsid w:val="00314CEE"/>
    <w:rsid w:val="00314D9B"/>
    <w:rsid w:val="0031664C"/>
    <w:rsid w:val="003170CC"/>
    <w:rsid w:val="00320FB6"/>
    <w:rsid w:val="00321A28"/>
    <w:rsid w:val="003313C2"/>
    <w:rsid w:val="003330E6"/>
    <w:rsid w:val="00333DC0"/>
    <w:rsid w:val="00335C3C"/>
    <w:rsid w:val="00336CEE"/>
    <w:rsid w:val="00343040"/>
    <w:rsid w:val="00343928"/>
    <w:rsid w:val="00345626"/>
    <w:rsid w:val="003458FC"/>
    <w:rsid w:val="00350EF5"/>
    <w:rsid w:val="00353D3E"/>
    <w:rsid w:val="0035505D"/>
    <w:rsid w:val="00357D04"/>
    <w:rsid w:val="003604DF"/>
    <w:rsid w:val="00362226"/>
    <w:rsid w:val="003643D4"/>
    <w:rsid w:val="0036638E"/>
    <w:rsid w:val="00367432"/>
    <w:rsid w:val="00371621"/>
    <w:rsid w:val="00372A63"/>
    <w:rsid w:val="003742CA"/>
    <w:rsid w:val="00374938"/>
    <w:rsid w:val="00375764"/>
    <w:rsid w:val="00377C1F"/>
    <w:rsid w:val="00377E36"/>
    <w:rsid w:val="00385778"/>
    <w:rsid w:val="00385B45"/>
    <w:rsid w:val="00392BC6"/>
    <w:rsid w:val="003B1379"/>
    <w:rsid w:val="003B7BCF"/>
    <w:rsid w:val="003C36AC"/>
    <w:rsid w:val="003C4D92"/>
    <w:rsid w:val="003D3585"/>
    <w:rsid w:val="003D79CD"/>
    <w:rsid w:val="003E10D0"/>
    <w:rsid w:val="003E2BBF"/>
    <w:rsid w:val="003E2E1F"/>
    <w:rsid w:val="003E6840"/>
    <w:rsid w:val="003F112A"/>
    <w:rsid w:val="003F3395"/>
    <w:rsid w:val="00400039"/>
    <w:rsid w:val="00403F65"/>
    <w:rsid w:val="00404010"/>
    <w:rsid w:val="00404331"/>
    <w:rsid w:val="00404955"/>
    <w:rsid w:val="00404C31"/>
    <w:rsid w:val="00412159"/>
    <w:rsid w:val="00421127"/>
    <w:rsid w:val="004244AE"/>
    <w:rsid w:val="00427315"/>
    <w:rsid w:val="00427901"/>
    <w:rsid w:val="00432064"/>
    <w:rsid w:val="00437632"/>
    <w:rsid w:val="00440529"/>
    <w:rsid w:val="004422A5"/>
    <w:rsid w:val="00444AF4"/>
    <w:rsid w:val="004511A7"/>
    <w:rsid w:val="004519B2"/>
    <w:rsid w:val="004541D0"/>
    <w:rsid w:val="00455DF4"/>
    <w:rsid w:val="004568E5"/>
    <w:rsid w:val="00457583"/>
    <w:rsid w:val="00461997"/>
    <w:rsid w:val="00465CB8"/>
    <w:rsid w:val="00473F7D"/>
    <w:rsid w:val="00474142"/>
    <w:rsid w:val="004741CB"/>
    <w:rsid w:val="004820E9"/>
    <w:rsid w:val="0048361F"/>
    <w:rsid w:val="004838EB"/>
    <w:rsid w:val="00484FE9"/>
    <w:rsid w:val="00485B88"/>
    <w:rsid w:val="004914C0"/>
    <w:rsid w:val="004961BC"/>
    <w:rsid w:val="004A2180"/>
    <w:rsid w:val="004A5ED3"/>
    <w:rsid w:val="004B0B6B"/>
    <w:rsid w:val="004B104B"/>
    <w:rsid w:val="004B4705"/>
    <w:rsid w:val="004B514C"/>
    <w:rsid w:val="004C1D4B"/>
    <w:rsid w:val="004C1F86"/>
    <w:rsid w:val="004D2D4E"/>
    <w:rsid w:val="004D4DD7"/>
    <w:rsid w:val="004F17A8"/>
    <w:rsid w:val="004F26F5"/>
    <w:rsid w:val="005004D8"/>
    <w:rsid w:val="00502928"/>
    <w:rsid w:val="00502A79"/>
    <w:rsid w:val="00504A8F"/>
    <w:rsid w:val="00515D87"/>
    <w:rsid w:val="00526C07"/>
    <w:rsid w:val="0053219F"/>
    <w:rsid w:val="0053387C"/>
    <w:rsid w:val="00535B1E"/>
    <w:rsid w:val="00536CF6"/>
    <w:rsid w:val="0054109B"/>
    <w:rsid w:val="00543CA9"/>
    <w:rsid w:val="00547F9D"/>
    <w:rsid w:val="005534A4"/>
    <w:rsid w:val="0055504A"/>
    <w:rsid w:val="005614AA"/>
    <w:rsid w:val="0058319F"/>
    <w:rsid w:val="005860F4"/>
    <w:rsid w:val="005866B1"/>
    <w:rsid w:val="00586F54"/>
    <w:rsid w:val="00590A95"/>
    <w:rsid w:val="005966A0"/>
    <w:rsid w:val="005A2899"/>
    <w:rsid w:val="005A2A4F"/>
    <w:rsid w:val="005A4EDE"/>
    <w:rsid w:val="005A5E10"/>
    <w:rsid w:val="005A6CD3"/>
    <w:rsid w:val="005B159B"/>
    <w:rsid w:val="005B24A6"/>
    <w:rsid w:val="005B34DB"/>
    <w:rsid w:val="005B5B6E"/>
    <w:rsid w:val="005B74DE"/>
    <w:rsid w:val="005C0132"/>
    <w:rsid w:val="005C051F"/>
    <w:rsid w:val="005C26D9"/>
    <w:rsid w:val="005C4F7B"/>
    <w:rsid w:val="005C73A8"/>
    <w:rsid w:val="005C762E"/>
    <w:rsid w:val="005D098C"/>
    <w:rsid w:val="005D0F0B"/>
    <w:rsid w:val="005D1404"/>
    <w:rsid w:val="005D331A"/>
    <w:rsid w:val="005D6013"/>
    <w:rsid w:val="005E2493"/>
    <w:rsid w:val="005E2AF8"/>
    <w:rsid w:val="005F087D"/>
    <w:rsid w:val="005F1A4A"/>
    <w:rsid w:val="005F2E3B"/>
    <w:rsid w:val="006032FE"/>
    <w:rsid w:val="00603E56"/>
    <w:rsid w:val="0060662A"/>
    <w:rsid w:val="006130E6"/>
    <w:rsid w:val="00614BDA"/>
    <w:rsid w:val="00617519"/>
    <w:rsid w:val="0062401A"/>
    <w:rsid w:val="00630C43"/>
    <w:rsid w:val="006331B4"/>
    <w:rsid w:val="006343F3"/>
    <w:rsid w:val="006408FB"/>
    <w:rsid w:val="00642906"/>
    <w:rsid w:val="00643248"/>
    <w:rsid w:val="006432A7"/>
    <w:rsid w:val="00646ADB"/>
    <w:rsid w:val="006501BB"/>
    <w:rsid w:val="00653324"/>
    <w:rsid w:val="00653CF2"/>
    <w:rsid w:val="006571D4"/>
    <w:rsid w:val="006756C3"/>
    <w:rsid w:val="00677A6E"/>
    <w:rsid w:val="00680B94"/>
    <w:rsid w:val="00682099"/>
    <w:rsid w:val="006825F1"/>
    <w:rsid w:val="0068262B"/>
    <w:rsid w:val="00682D9F"/>
    <w:rsid w:val="006834C6"/>
    <w:rsid w:val="0068422B"/>
    <w:rsid w:val="00690189"/>
    <w:rsid w:val="00690C8C"/>
    <w:rsid w:val="0069251A"/>
    <w:rsid w:val="0069569E"/>
    <w:rsid w:val="006A18F7"/>
    <w:rsid w:val="006A721F"/>
    <w:rsid w:val="006C62A3"/>
    <w:rsid w:val="006C6ACC"/>
    <w:rsid w:val="006D0286"/>
    <w:rsid w:val="006D2357"/>
    <w:rsid w:val="006D5508"/>
    <w:rsid w:val="006D73F1"/>
    <w:rsid w:val="006E6B80"/>
    <w:rsid w:val="006E75D5"/>
    <w:rsid w:val="006E7D16"/>
    <w:rsid w:val="006F0001"/>
    <w:rsid w:val="006F033C"/>
    <w:rsid w:val="006F57FF"/>
    <w:rsid w:val="00703B09"/>
    <w:rsid w:val="0071008F"/>
    <w:rsid w:val="00710205"/>
    <w:rsid w:val="0071126D"/>
    <w:rsid w:val="00717B9F"/>
    <w:rsid w:val="00723AA8"/>
    <w:rsid w:val="00724D32"/>
    <w:rsid w:val="00725288"/>
    <w:rsid w:val="007277C3"/>
    <w:rsid w:val="00732519"/>
    <w:rsid w:val="00737F9C"/>
    <w:rsid w:val="0074148D"/>
    <w:rsid w:val="00742010"/>
    <w:rsid w:val="007428A6"/>
    <w:rsid w:val="00745D0D"/>
    <w:rsid w:val="00747204"/>
    <w:rsid w:val="007660F0"/>
    <w:rsid w:val="0077023F"/>
    <w:rsid w:val="00770EF8"/>
    <w:rsid w:val="007720F3"/>
    <w:rsid w:val="00772370"/>
    <w:rsid w:val="00773995"/>
    <w:rsid w:val="00781715"/>
    <w:rsid w:val="00781ABF"/>
    <w:rsid w:val="00787E56"/>
    <w:rsid w:val="007909A9"/>
    <w:rsid w:val="00790C7B"/>
    <w:rsid w:val="00792D19"/>
    <w:rsid w:val="00795BC5"/>
    <w:rsid w:val="00796CF1"/>
    <w:rsid w:val="007A10D5"/>
    <w:rsid w:val="007A1302"/>
    <w:rsid w:val="007A174B"/>
    <w:rsid w:val="007A2751"/>
    <w:rsid w:val="007A4EEE"/>
    <w:rsid w:val="007A7E41"/>
    <w:rsid w:val="007C4108"/>
    <w:rsid w:val="007C4EBF"/>
    <w:rsid w:val="007D41C2"/>
    <w:rsid w:val="007D5483"/>
    <w:rsid w:val="007D551C"/>
    <w:rsid w:val="007D72E2"/>
    <w:rsid w:val="007D7617"/>
    <w:rsid w:val="007E1367"/>
    <w:rsid w:val="007F2F82"/>
    <w:rsid w:val="007F3215"/>
    <w:rsid w:val="008011C7"/>
    <w:rsid w:val="008033F1"/>
    <w:rsid w:val="00804DCF"/>
    <w:rsid w:val="00806C39"/>
    <w:rsid w:val="00822EBB"/>
    <w:rsid w:val="0082723B"/>
    <w:rsid w:val="008328F0"/>
    <w:rsid w:val="00833BA9"/>
    <w:rsid w:val="008370B2"/>
    <w:rsid w:val="00840D60"/>
    <w:rsid w:val="0084373A"/>
    <w:rsid w:val="0084493C"/>
    <w:rsid w:val="00845366"/>
    <w:rsid w:val="00846468"/>
    <w:rsid w:val="0084700C"/>
    <w:rsid w:val="008505C3"/>
    <w:rsid w:val="008536F1"/>
    <w:rsid w:val="00853BAC"/>
    <w:rsid w:val="008563DC"/>
    <w:rsid w:val="00862C0C"/>
    <w:rsid w:val="00865219"/>
    <w:rsid w:val="00866858"/>
    <w:rsid w:val="00885390"/>
    <w:rsid w:val="008853CB"/>
    <w:rsid w:val="00885749"/>
    <w:rsid w:val="008938DE"/>
    <w:rsid w:val="008A3CB5"/>
    <w:rsid w:val="008A6557"/>
    <w:rsid w:val="008B4E7D"/>
    <w:rsid w:val="008B5C3D"/>
    <w:rsid w:val="008C191E"/>
    <w:rsid w:val="008C27C0"/>
    <w:rsid w:val="008C2B19"/>
    <w:rsid w:val="008C4776"/>
    <w:rsid w:val="008C782E"/>
    <w:rsid w:val="008D1FFE"/>
    <w:rsid w:val="008D4862"/>
    <w:rsid w:val="008D4A0D"/>
    <w:rsid w:val="008D6069"/>
    <w:rsid w:val="008D722C"/>
    <w:rsid w:val="008E002F"/>
    <w:rsid w:val="008E13D5"/>
    <w:rsid w:val="008E3DC3"/>
    <w:rsid w:val="008E7585"/>
    <w:rsid w:val="008F78FA"/>
    <w:rsid w:val="0090549A"/>
    <w:rsid w:val="00905E10"/>
    <w:rsid w:val="00910545"/>
    <w:rsid w:val="0091112A"/>
    <w:rsid w:val="00913BAA"/>
    <w:rsid w:val="009148BE"/>
    <w:rsid w:val="00915A3D"/>
    <w:rsid w:val="0092012D"/>
    <w:rsid w:val="0092086E"/>
    <w:rsid w:val="00921354"/>
    <w:rsid w:val="00921C91"/>
    <w:rsid w:val="0092255B"/>
    <w:rsid w:val="0092625D"/>
    <w:rsid w:val="00931AE9"/>
    <w:rsid w:val="00934ACA"/>
    <w:rsid w:val="009363F9"/>
    <w:rsid w:val="009410F3"/>
    <w:rsid w:val="00942CC7"/>
    <w:rsid w:val="0094366C"/>
    <w:rsid w:val="00944B96"/>
    <w:rsid w:val="00947BA1"/>
    <w:rsid w:val="00953ADF"/>
    <w:rsid w:val="00955B7A"/>
    <w:rsid w:val="009562CF"/>
    <w:rsid w:val="009660F7"/>
    <w:rsid w:val="00971131"/>
    <w:rsid w:val="00971B30"/>
    <w:rsid w:val="009738BF"/>
    <w:rsid w:val="00975331"/>
    <w:rsid w:val="00975B7E"/>
    <w:rsid w:val="0098476D"/>
    <w:rsid w:val="009864D2"/>
    <w:rsid w:val="009871F3"/>
    <w:rsid w:val="009911CE"/>
    <w:rsid w:val="00992CDB"/>
    <w:rsid w:val="009A0289"/>
    <w:rsid w:val="009A2256"/>
    <w:rsid w:val="009A549A"/>
    <w:rsid w:val="009B3BB8"/>
    <w:rsid w:val="009B621A"/>
    <w:rsid w:val="009C04A6"/>
    <w:rsid w:val="009C262A"/>
    <w:rsid w:val="009C45D9"/>
    <w:rsid w:val="009C5689"/>
    <w:rsid w:val="009D108E"/>
    <w:rsid w:val="009D4318"/>
    <w:rsid w:val="009E1ED5"/>
    <w:rsid w:val="009F18A2"/>
    <w:rsid w:val="009F207F"/>
    <w:rsid w:val="009F7D5A"/>
    <w:rsid w:val="00A02BFE"/>
    <w:rsid w:val="00A04570"/>
    <w:rsid w:val="00A06657"/>
    <w:rsid w:val="00A11DB9"/>
    <w:rsid w:val="00A13E24"/>
    <w:rsid w:val="00A24C1C"/>
    <w:rsid w:val="00A24CA5"/>
    <w:rsid w:val="00A2561E"/>
    <w:rsid w:val="00A27D3C"/>
    <w:rsid w:val="00A323A8"/>
    <w:rsid w:val="00A34073"/>
    <w:rsid w:val="00A351C6"/>
    <w:rsid w:val="00A36575"/>
    <w:rsid w:val="00A44C26"/>
    <w:rsid w:val="00A506CA"/>
    <w:rsid w:val="00A526AF"/>
    <w:rsid w:val="00A5344C"/>
    <w:rsid w:val="00A553FE"/>
    <w:rsid w:val="00A572FA"/>
    <w:rsid w:val="00A73082"/>
    <w:rsid w:val="00A73D52"/>
    <w:rsid w:val="00A80507"/>
    <w:rsid w:val="00A8115A"/>
    <w:rsid w:val="00A82908"/>
    <w:rsid w:val="00A84332"/>
    <w:rsid w:val="00A84C80"/>
    <w:rsid w:val="00A86D3D"/>
    <w:rsid w:val="00A9230B"/>
    <w:rsid w:val="00A956DE"/>
    <w:rsid w:val="00AA06BD"/>
    <w:rsid w:val="00AA5263"/>
    <w:rsid w:val="00AA6EC2"/>
    <w:rsid w:val="00AB0E2C"/>
    <w:rsid w:val="00AB2948"/>
    <w:rsid w:val="00AB39FA"/>
    <w:rsid w:val="00AB698E"/>
    <w:rsid w:val="00AC7E73"/>
    <w:rsid w:val="00AD1822"/>
    <w:rsid w:val="00AD380C"/>
    <w:rsid w:val="00AD5CB7"/>
    <w:rsid w:val="00AD5E0B"/>
    <w:rsid w:val="00AD6933"/>
    <w:rsid w:val="00AD6B7B"/>
    <w:rsid w:val="00AD757D"/>
    <w:rsid w:val="00AE0BC0"/>
    <w:rsid w:val="00AE37AD"/>
    <w:rsid w:val="00AE656B"/>
    <w:rsid w:val="00AE7519"/>
    <w:rsid w:val="00AF0529"/>
    <w:rsid w:val="00B0463B"/>
    <w:rsid w:val="00B11EB0"/>
    <w:rsid w:val="00B14519"/>
    <w:rsid w:val="00B15262"/>
    <w:rsid w:val="00B16544"/>
    <w:rsid w:val="00B17F8C"/>
    <w:rsid w:val="00B20080"/>
    <w:rsid w:val="00B20CBF"/>
    <w:rsid w:val="00B245F4"/>
    <w:rsid w:val="00B33A91"/>
    <w:rsid w:val="00B363BE"/>
    <w:rsid w:val="00B522C4"/>
    <w:rsid w:val="00B5556C"/>
    <w:rsid w:val="00B572B8"/>
    <w:rsid w:val="00B5798B"/>
    <w:rsid w:val="00B60D70"/>
    <w:rsid w:val="00B624BB"/>
    <w:rsid w:val="00B6453D"/>
    <w:rsid w:val="00B71615"/>
    <w:rsid w:val="00B7412E"/>
    <w:rsid w:val="00B76196"/>
    <w:rsid w:val="00B84BC1"/>
    <w:rsid w:val="00B85A79"/>
    <w:rsid w:val="00B93E08"/>
    <w:rsid w:val="00B95A10"/>
    <w:rsid w:val="00BA0179"/>
    <w:rsid w:val="00BA0E99"/>
    <w:rsid w:val="00BA106C"/>
    <w:rsid w:val="00BA51EA"/>
    <w:rsid w:val="00BA589F"/>
    <w:rsid w:val="00BB047B"/>
    <w:rsid w:val="00BB220C"/>
    <w:rsid w:val="00BB5E42"/>
    <w:rsid w:val="00BB6398"/>
    <w:rsid w:val="00BC04D3"/>
    <w:rsid w:val="00BC0E86"/>
    <w:rsid w:val="00BC1731"/>
    <w:rsid w:val="00BD0372"/>
    <w:rsid w:val="00BD0A9D"/>
    <w:rsid w:val="00BD1B19"/>
    <w:rsid w:val="00BD22B0"/>
    <w:rsid w:val="00BD246E"/>
    <w:rsid w:val="00BD341C"/>
    <w:rsid w:val="00BF0CFC"/>
    <w:rsid w:val="00BF4768"/>
    <w:rsid w:val="00BF5EC9"/>
    <w:rsid w:val="00BF6908"/>
    <w:rsid w:val="00C03C58"/>
    <w:rsid w:val="00C04F81"/>
    <w:rsid w:val="00C057E0"/>
    <w:rsid w:val="00C070CC"/>
    <w:rsid w:val="00C10B59"/>
    <w:rsid w:val="00C10C44"/>
    <w:rsid w:val="00C139CA"/>
    <w:rsid w:val="00C15B80"/>
    <w:rsid w:val="00C22E82"/>
    <w:rsid w:val="00C2444D"/>
    <w:rsid w:val="00C261AC"/>
    <w:rsid w:val="00C27F78"/>
    <w:rsid w:val="00C312CF"/>
    <w:rsid w:val="00C333EE"/>
    <w:rsid w:val="00C36618"/>
    <w:rsid w:val="00C374A7"/>
    <w:rsid w:val="00C420A2"/>
    <w:rsid w:val="00C4227D"/>
    <w:rsid w:val="00C4234C"/>
    <w:rsid w:val="00C433C5"/>
    <w:rsid w:val="00C44689"/>
    <w:rsid w:val="00C45312"/>
    <w:rsid w:val="00C51429"/>
    <w:rsid w:val="00C55041"/>
    <w:rsid w:val="00C56575"/>
    <w:rsid w:val="00C61903"/>
    <w:rsid w:val="00C64997"/>
    <w:rsid w:val="00C64AC8"/>
    <w:rsid w:val="00C71729"/>
    <w:rsid w:val="00C71962"/>
    <w:rsid w:val="00C77798"/>
    <w:rsid w:val="00C83853"/>
    <w:rsid w:val="00C84FE2"/>
    <w:rsid w:val="00C9047E"/>
    <w:rsid w:val="00C95256"/>
    <w:rsid w:val="00C976B4"/>
    <w:rsid w:val="00CA198C"/>
    <w:rsid w:val="00CA3397"/>
    <w:rsid w:val="00CA33E1"/>
    <w:rsid w:val="00CA3AA6"/>
    <w:rsid w:val="00CB6433"/>
    <w:rsid w:val="00CB6BEB"/>
    <w:rsid w:val="00CB76CB"/>
    <w:rsid w:val="00CC3F17"/>
    <w:rsid w:val="00CD221E"/>
    <w:rsid w:val="00CD2390"/>
    <w:rsid w:val="00CE2F0B"/>
    <w:rsid w:val="00CE7855"/>
    <w:rsid w:val="00CF1077"/>
    <w:rsid w:val="00CF5C10"/>
    <w:rsid w:val="00D022E5"/>
    <w:rsid w:val="00D05C21"/>
    <w:rsid w:val="00D06AA9"/>
    <w:rsid w:val="00D137E9"/>
    <w:rsid w:val="00D14962"/>
    <w:rsid w:val="00D15EA3"/>
    <w:rsid w:val="00D27CF6"/>
    <w:rsid w:val="00D30135"/>
    <w:rsid w:val="00D31B81"/>
    <w:rsid w:val="00D3410D"/>
    <w:rsid w:val="00D34CAA"/>
    <w:rsid w:val="00D3612A"/>
    <w:rsid w:val="00D37703"/>
    <w:rsid w:val="00D37A00"/>
    <w:rsid w:val="00D37F25"/>
    <w:rsid w:val="00D453F6"/>
    <w:rsid w:val="00D46725"/>
    <w:rsid w:val="00D60D8D"/>
    <w:rsid w:val="00D62A68"/>
    <w:rsid w:val="00D63A8B"/>
    <w:rsid w:val="00D6611F"/>
    <w:rsid w:val="00D662F1"/>
    <w:rsid w:val="00D66A36"/>
    <w:rsid w:val="00D7033D"/>
    <w:rsid w:val="00D724F3"/>
    <w:rsid w:val="00D736CE"/>
    <w:rsid w:val="00D73C98"/>
    <w:rsid w:val="00D800F0"/>
    <w:rsid w:val="00D80CDA"/>
    <w:rsid w:val="00D93D1D"/>
    <w:rsid w:val="00DA0736"/>
    <w:rsid w:val="00DA11DD"/>
    <w:rsid w:val="00DA3058"/>
    <w:rsid w:val="00DA3913"/>
    <w:rsid w:val="00DA4B56"/>
    <w:rsid w:val="00DB4A3A"/>
    <w:rsid w:val="00DC0120"/>
    <w:rsid w:val="00DC4C98"/>
    <w:rsid w:val="00DC6DA8"/>
    <w:rsid w:val="00DC72AD"/>
    <w:rsid w:val="00DD1647"/>
    <w:rsid w:val="00DD2591"/>
    <w:rsid w:val="00DD4C88"/>
    <w:rsid w:val="00DD7821"/>
    <w:rsid w:val="00DE4B79"/>
    <w:rsid w:val="00DE6081"/>
    <w:rsid w:val="00DE643F"/>
    <w:rsid w:val="00DE6C09"/>
    <w:rsid w:val="00DF4523"/>
    <w:rsid w:val="00DF5C79"/>
    <w:rsid w:val="00DF5D7A"/>
    <w:rsid w:val="00DF7080"/>
    <w:rsid w:val="00E00A42"/>
    <w:rsid w:val="00E0122A"/>
    <w:rsid w:val="00E04426"/>
    <w:rsid w:val="00E05EA8"/>
    <w:rsid w:val="00E127D4"/>
    <w:rsid w:val="00E13C6B"/>
    <w:rsid w:val="00E157BC"/>
    <w:rsid w:val="00E2509B"/>
    <w:rsid w:val="00E25BD3"/>
    <w:rsid w:val="00E27A77"/>
    <w:rsid w:val="00E410E8"/>
    <w:rsid w:val="00E41D8C"/>
    <w:rsid w:val="00E44132"/>
    <w:rsid w:val="00E442F7"/>
    <w:rsid w:val="00E44E85"/>
    <w:rsid w:val="00E4622C"/>
    <w:rsid w:val="00E46571"/>
    <w:rsid w:val="00E47A6C"/>
    <w:rsid w:val="00E5031D"/>
    <w:rsid w:val="00E50DB4"/>
    <w:rsid w:val="00E51FFB"/>
    <w:rsid w:val="00E53FF6"/>
    <w:rsid w:val="00E56839"/>
    <w:rsid w:val="00E63855"/>
    <w:rsid w:val="00E64A0E"/>
    <w:rsid w:val="00E7512C"/>
    <w:rsid w:val="00E75454"/>
    <w:rsid w:val="00E80608"/>
    <w:rsid w:val="00E91F3F"/>
    <w:rsid w:val="00E95993"/>
    <w:rsid w:val="00E977D2"/>
    <w:rsid w:val="00E97A21"/>
    <w:rsid w:val="00EA02D0"/>
    <w:rsid w:val="00EA0616"/>
    <w:rsid w:val="00EA6823"/>
    <w:rsid w:val="00EB03BB"/>
    <w:rsid w:val="00EB122A"/>
    <w:rsid w:val="00EB1C36"/>
    <w:rsid w:val="00EB2CE6"/>
    <w:rsid w:val="00EC0A68"/>
    <w:rsid w:val="00ED0C9D"/>
    <w:rsid w:val="00ED2282"/>
    <w:rsid w:val="00ED2A70"/>
    <w:rsid w:val="00EE2EB2"/>
    <w:rsid w:val="00EE3F9A"/>
    <w:rsid w:val="00EE406C"/>
    <w:rsid w:val="00EE77F5"/>
    <w:rsid w:val="00F02C22"/>
    <w:rsid w:val="00F048F8"/>
    <w:rsid w:val="00F06BA1"/>
    <w:rsid w:val="00F07534"/>
    <w:rsid w:val="00F12FBC"/>
    <w:rsid w:val="00F14F11"/>
    <w:rsid w:val="00F15F45"/>
    <w:rsid w:val="00F17111"/>
    <w:rsid w:val="00F22F0E"/>
    <w:rsid w:val="00F23A61"/>
    <w:rsid w:val="00F26A0A"/>
    <w:rsid w:val="00F26A9F"/>
    <w:rsid w:val="00F26E68"/>
    <w:rsid w:val="00F271E5"/>
    <w:rsid w:val="00F27EA7"/>
    <w:rsid w:val="00F33119"/>
    <w:rsid w:val="00F40265"/>
    <w:rsid w:val="00F43AAD"/>
    <w:rsid w:val="00F66185"/>
    <w:rsid w:val="00F67965"/>
    <w:rsid w:val="00F67B0A"/>
    <w:rsid w:val="00F72FE0"/>
    <w:rsid w:val="00F73C47"/>
    <w:rsid w:val="00F77C1E"/>
    <w:rsid w:val="00F8087C"/>
    <w:rsid w:val="00F81F2C"/>
    <w:rsid w:val="00F82911"/>
    <w:rsid w:val="00F8345D"/>
    <w:rsid w:val="00F8601E"/>
    <w:rsid w:val="00F90E63"/>
    <w:rsid w:val="00F9635F"/>
    <w:rsid w:val="00FA06DD"/>
    <w:rsid w:val="00FA2149"/>
    <w:rsid w:val="00FA34D1"/>
    <w:rsid w:val="00FA66A6"/>
    <w:rsid w:val="00FA6EE7"/>
    <w:rsid w:val="00FA75E5"/>
    <w:rsid w:val="00FB47DD"/>
    <w:rsid w:val="00FB73D3"/>
    <w:rsid w:val="00FC4D01"/>
    <w:rsid w:val="00FC4EC8"/>
    <w:rsid w:val="00FC5C4B"/>
    <w:rsid w:val="00FD06B2"/>
    <w:rsid w:val="00FD4756"/>
    <w:rsid w:val="00FE2F9C"/>
    <w:rsid w:val="00FF0447"/>
    <w:rsid w:val="00FF5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f06"/>
    </o:shapedefaults>
    <o:shapelayout v:ext="edit">
      <o:idmap v:ext="edit" data="1"/>
    </o:shapelayout>
  </w:shapeDefaults>
  <w:decimalSymbol w:val="."/>
  <w:listSeparator w:val=","/>
  <w14:docId w14:val="665D7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uiPriority="1" w:qFormat="1"/>
    <w:lsdException w:name="heading 2" w:locked="0" w:uiPriority="2"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uiPriority="99"/>
    <w:lsdException w:name="annotation text" w:locked="0"/>
    <w:lsdException w:name="header" w:locked="0" w:uiPriority="99"/>
    <w:lsdException w:name="footer" w:locked="0"/>
    <w:lsdException w:name="caption" w:locked="0" w:semiHidden="1" w:unhideWhenUsed="1" w:qFormat="1"/>
    <w:lsdException w:name="footnote reference" w:uiPriority="99"/>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uiPriority w:val="1"/>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412159"/>
    <w:pPr>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aliases w:val="Bullet 1,Numbered Para 1,Dot pt,No Spacing1,List Paragraph Char Char Char,Indicator Text,List Paragraph1,Bullet Points,MAIN CONTENT,F5 List Paragraph,Colorful List - Accent 11,List Paragraph2,List Paragraph12,OBC Bullet,List Paragraph11,L"/>
    <w:basedOn w:val="Normal"/>
    <w:link w:val="ListParagraphChar"/>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29"/>
      </w:numPr>
      <w:tabs>
        <w:tab w:val="left" w:pos="426"/>
      </w:tabs>
    </w:pPr>
  </w:style>
  <w:style w:type="paragraph" w:customStyle="1" w:styleId="Bullets">
    <w:name w:val="Bullets"/>
    <w:basedOn w:val="Normal"/>
    <w:uiPriority w:val="5"/>
    <w:qFormat/>
    <w:locked/>
    <w:rsid w:val="00EB1C36"/>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412159"/>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pPr>
      <w:ind w:left="567" w:hanging="283"/>
    </w:pPr>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Title">
    <w:name w:val="Title"/>
    <w:basedOn w:val="Normal"/>
    <w:next w:val="Heading1"/>
    <w:link w:val="TitleChar"/>
    <w:qFormat/>
    <w:rsid w:val="001D7F2C"/>
    <w:pPr>
      <w:spacing w:before="120" w:after="240"/>
      <w:jc w:val="center"/>
      <w:outlineLvl w:val="0"/>
    </w:pPr>
    <w:rPr>
      <w:rFonts w:ascii="Arial" w:hAnsi="Arial"/>
      <w:b/>
      <w:bCs/>
      <w:kern w:val="28"/>
      <w:sz w:val="40"/>
      <w:szCs w:val="32"/>
      <w:lang w:eastAsia="en-GB"/>
    </w:rPr>
  </w:style>
  <w:style w:type="character" w:customStyle="1" w:styleId="TitleChar">
    <w:name w:val="Title Char"/>
    <w:basedOn w:val="DefaultParagraphFont"/>
    <w:link w:val="Title"/>
    <w:rsid w:val="001D7F2C"/>
    <w:rPr>
      <w:rFonts w:ascii="Arial" w:hAnsi="Arial"/>
      <w:b/>
      <w:bCs/>
      <w:kern w:val="28"/>
      <w:sz w:val="40"/>
      <w:szCs w:val="32"/>
    </w:rPr>
  </w:style>
  <w:style w:type="paragraph" w:styleId="FootnoteText">
    <w:name w:val="footnote text"/>
    <w:basedOn w:val="Normal"/>
    <w:link w:val="FootnoteTextChar1"/>
    <w:uiPriority w:val="99"/>
    <w:locked/>
    <w:rsid w:val="008F78FA"/>
    <w:rPr>
      <w:sz w:val="20"/>
      <w:szCs w:val="20"/>
      <w:lang w:eastAsia="en-GB"/>
    </w:rPr>
  </w:style>
  <w:style w:type="character" w:customStyle="1" w:styleId="FootnoteTextChar">
    <w:name w:val="Footnote Text Char"/>
    <w:basedOn w:val="DefaultParagraphFont"/>
    <w:rsid w:val="008F78FA"/>
    <w:rPr>
      <w:lang w:eastAsia="en-US"/>
    </w:rPr>
  </w:style>
  <w:style w:type="character" w:customStyle="1" w:styleId="FootnoteTextChar1">
    <w:name w:val="Footnote Text Char1"/>
    <w:basedOn w:val="DefaultParagraphFont"/>
    <w:link w:val="FootnoteText"/>
    <w:uiPriority w:val="99"/>
    <w:rsid w:val="008F78FA"/>
  </w:style>
  <w:style w:type="character" w:styleId="FootnoteReference">
    <w:name w:val="footnote reference"/>
    <w:basedOn w:val="DefaultParagraphFont"/>
    <w:uiPriority w:val="99"/>
    <w:locked/>
    <w:rsid w:val="008F78FA"/>
    <w:rPr>
      <w:vertAlign w:val="superscript"/>
    </w:rPr>
  </w:style>
  <w:style w:type="character" w:customStyle="1" w:styleId="ListParagraphChar">
    <w:name w:val="List Paragraph Char"/>
    <w:aliases w:val="Bullet 1 Char,Numbered Para 1 Char,Dot pt Char,No Spacing1 Char,List Paragraph Char Char Char Char,Indicator Text Char,List Paragraph1 Char,Bullet Points Char,MAIN CONTENT Char,F5 List Paragraph Char,Colorful List - Accent 11 Char"/>
    <w:basedOn w:val="DefaultParagraphFont"/>
    <w:link w:val="ListParagraph"/>
    <w:uiPriority w:val="34"/>
    <w:locked/>
    <w:rsid w:val="008F78FA"/>
    <w:rPr>
      <w:sz w:val="24"/>
      <w:szCs w:val="24"/>
      <w:lang w:eastAsia="en-US"/>
    </w:rPr>
  </w:style>
  <w:style w:type="paragraph" w:styleId="CommentSubject">
    <w:name w:val="annotation subject"/>
    <w:basedOn w:val="CommentText"/>
    <w:next w:val="CommentText"/>
    <w:link w:val="CommentSubjectChar"/>
    <w:rsid w:val="00A13E24"/>
    <w:rPr>
      <w:b/>
      <w:bCs/>
      <w:lang w:eastAsia="en-US"/>
    </w:rPr>
  </w:style>
  <w:style w:type="character" w:customStyle="1" w:styleId="CommentSubjectChar">
    <w:name w:val="Comment Subject Char"/>
    <w:basedOn w:val="CommentTextChar"/>
    <w:link w:val="CommentSubject"/>
    <w:rsid w:val="00A13E24"/>
    <w:rPr>
      <w:b/>
      <w:bCs/>
      <w:lang w:eastAsia="en-US"/>
    </w:rPr>
  </w:style>
  <w:style w:type="paragraph" w:customStyle="1" w:styleId="StinkingStyles5">
    <w:name w:val="Stinking Styles5"/>
    <w:basedOn w:val="Normal"/>
    <w:link w:val="PlainTextChar"/>
    <w:uiPriority w:val="99"/>
    <w:rsid w:val="00742010"/>
    <w:rPr>
      <w:rFonts w:ascii="Consolas" w:hAnsi="Consolas" w:cs="Consolas"/>
      <w:sz w:val="21"/>
      <w:szCs w:val="21"/>
      <w:lang w:eastAsia="en-GB"/>
    </w:rPr>
  </w:style>
  <w:style w:type="character" w:customStyle="1" w:styleId="PlainTextChar">
    <w:name w:val="Plain Text Char"/>
    <w:link w:val="StinkingStyles5"/>
    <w:uiPriority w:val="99"/>
    <w:rsid w:val="00742010"/>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4129">
      <w:bodyDiv w:val="1"/>
      <w:marLeft w:val="0"/>
      <w:marRight w:val="0"/>
      <w:marTop w:val="0"/>
      <w:marBottom w:val="0"/>
      <w:divBdr>
        <w:top w:val="none" w:sz="0" w:space="0" w:color="auto"/>
        <w:left w:val="none" w:sz="0" w:space="0" w:color="auto"/>
        <w:bottom w:val="none" w:sz="0" w:space="0" w:color="auto"/>
        <w:right w:val="none" w:sz="0" w:space="0" w:color="auto"/>
      </w:divBdr>
      <w:divsChild>
        <w:div w:id="709495202">
          <w:marLeft w:val="0"/>
          <w:marRight w:val="0"/>
          <w:marTop w:val="0"/>
          <w:marBottom w:val="0"/>
          <w:divBdr>
            <w:top w:val="none" w:sz="0" w:space="0" w:color="auto"/>
            <w:left w:val="none" w:sz="0" w:space="0" w:color="auto"/>
            <w:bottom w:val="none" w:sz="0" w:space="0" w:color="auto"/>
            <w:right w:val="none" w:sz="0" w:space="0" w:color="auto"/>
          </w:divBdr>
        </w:div>
      </w:divsChild>
    </w:div>
    <w:div w:id="157354059">
      <w:bodyDiv w:val="1"/>
      <w:marLeft w:val="0"/>
      <w:marRight w:val="0"/>
      <w:marTop w:val="0"/>
      <w:marBottom w:val="0"/>
      <w:divBdr>
        <w:top w:val="none" w:sz="0" w:space="0" w:color="auto"/>
        <w:left w:val="none" w:sz="0" w:space="0" w:color="auto"/>
        <w:bottom w:val="none" w:sz="0" w:space="0" w:color="auto"/>
        <w:right w:val="none" w:sz="0" w:space="0" w:color="auto"/>
      </w:divBdr>
    </w:div>
    <w:div w:id="191378274">
      <w:bodyDiv w:val="1"/>
      <w:marLeft w:val="0"/>
      <w:marRight w:val="0"/>
      <w:marTop w:val="0"/>
      <w:marBottom w:val="0"/>
      <w:divBdr>
        <w:top w:val="none" w:sz="0" w:space="0" w:color="auto"/>
        <w:left w:val="none" w:sz="0" w:space="0" w:color="auto"/>
        <w:bottom w:val="none" w:sz="0" w:space="0" w:color="auto"/>
        <w:right w:val="none" w:sz="0" w:space="0" w:color="auto"/>
      </w:divBdr>
      <w:divsChild>
        <w:div w:id="1959749546">
          <w:marLeft w:val="0"/>
          <w:marRight w:val="0"/>
          <w:marTop w:val="0"/>
          <w:marBottom w:val="0"/>
          <w:divBdr>
            <w:top w:val="none" w:sz="0" w:space="0" w:color="auto"/>
            <w:left w:val="none" w:sz="0" w:space="0" w:color="auto"/>
            <w:bottom w:val="none" w:sz="0" w:space="0" w:color="auto"/>
            <w:right w:val="none" w:sz="0" w:space="0" w:color="auto"/>
          </w:divBdr>
        </w:div>
      </w:divsChild>
    </w:div>
    <w:div w:id="641741110">
      <w:bodyDiv w:val="1"/>
      <w:marLeft w:val="0"/>
      <w:marRight w:val="0"/>
      <w:marTop w:val="0"/>
      <w:marBottom w:val="0"/>
      <w:divBdr>
        <w:top w:val="none" w:sz="0" w:space="0" w:color="auto"/>
        <w:left w:val="none" w:sz="0" w:space="0" w:color="auto"/>
        <w:bottom w:val="none" w:sz="0" w:space="0" w:color="auto"/>
        <w:right w:val="none" w:sz="0" w:space="0" w:color="auto"/>
      </w:divBdr>
      <w:divsChild>
        <w:div w:id="686714522">
          <w:marLeft w:val="0"/>
          <w:marRight w:val="0"/>
          <w:marTop w:val="0"/>
          <w:marBottom w:val="0"/>
          <w:divBdr>
            <w:top w:val="none" w:sz="0" w:space="0" w:color="auto"/>
            <w:left w:val="none" w:sz="0" w:space="0" w:color="auto"/>
            <w:bottom w:val="none" w:sz="0" w:space="0" w:color="auto"/>
            <w:right w:val="none" w:sz="0" w:space="0" w:color="auto"/>
          </w:divBdr>
        </w:div>
      </w:divsChild>
    </w:div>
    <w:div w:id="1107117888">
      <w:bodyDiv w:val="1"/>
      <w:marLeft w:val="0"/>
      <w:marRight w:val="0"/>
      <w:marTop w:val="0"/>
      <w:marBottom w:val="0"/>
      <w:divBdr>
        <w:top w:val="none" w:sz="0" w:space="0" w:color="auto"/>
        <w:left w:val="none" w:sz="0" w:space="0" w:color="auto"/>
        <w:bottom w:val="none" w:sz="0" w:space="0" w:color="auto"/>
        <w:right w:val="none" w:sz="0" w:space="0" w:color="auto"/>
      </w:divBdr>
    </w:div>
    <w:div w:id="1382706956">
      <w:bodyDiv w:val="1"/>
      <w:marLeft w:val="0"/>
      <w:marRight w:val="0"/>
      <w:marTop w:val="0"/>
      <w:marBottom w:val="0"/>
      <w:divBdr>
        <w:top w:val="none" w:sz="0" w:space="0" w:color="auto"/>
        <w:left w:val="none" w:sz="0" w:space="0" w:color="auto"/>
        <w:bottom w:val="none" w:sz="0" w:space="0" w:color="auto"/>
        <w:right w:val="none" w:sz="0" w:space="0" w:color="auto"/>
      </w:divBdr>
      <w:divsChild>
        <w:div w:id="1680692362">
          <w:marLeft w:val="0"/>
          <w:marRight w:val="0"/>
          <w:marTop w:val="0"/>
          <w:marBottom w:val="0"/>
          <w:divBdr>
            <w:top w:val="none" w:sz="0" w:space="0" w:color="auto"/>
            <w:left w:val="none" w:sz="0" w:space="0" w:color="auto"/>
            <w:bottom w:val="none" w:sz="0" w:space="0" w:color="auto"/>
            <w:right w:val="none" w:sz="0" w:space="0" w:color="auto"/>
          </w:divBdr>
        </w:div>
      </w:divsChild>
    </w:div>
    <w:div w:id="1402021043">
      <w:bodyDiv w:val="1"/>
      <w:marLeft w:val="0"/>
      <w:marRight w:val="0"/>
      <w:marTop w:val="0"/>
      <w:marBottom w:val="0"/>
      <w:divBdr>
        <w:top w:val="none" w:sz="0" w:space="0" w:color="auto"/>
        <w:left w:val="none" w:sz="0" w:space="0" w:color="auto"/>
        <w:bottom w:val="none" w:sz="0" w:space="0" w:color="auto"/>
        <w:right w:val="none" w:sz="0" w:space="0" w:color="auto"/>
      </w:divBdr>
      <w:divsChild>
        <w:div w:id="1795711879">
          <w:marLeft w:val="0"/>
          <w:marRight w:val="0"/>
          <w:marTop w:val="0"/>
          <w:marBottom w:val="0"/>
          <w:divBdr>
            <w:top w:val="none" w:sz="0" w:space="0" w:color="auto"/>
            <w:left w:val="none" w:sz="0" w:space="0" w:color="auto"/>
            <w:bottom w:val="none" w:sz="0" w:space="0" w:color="auto"/>
            <w:right w:val="none" w:sz="0" w:space="0" w:color="auto"/>
          </w:divBdr>
        </w:div>
      </w:divsChild>
    </w:div>
    <w:div w:id="1807089898">
      <w:bodyDiv w:val="1"/>
      <w:marLeft w:val="0"/>
      <w:marRight w:val="0"/>
      <w:marTop w:val="0"/>
      <w:marBottom w:val="0"/>
      <w:divBdr>
        <w:top w:val="none" w:sz="0" w:space="0" w:color="auto"/>
        <w:left w:val="none" w:sz="0" w:space="0" w:color="auto"/>
        <w:bottom w:val="none" w:sz="0" w:space="0" w:color="auto"/>
        <w:right w:val="none" w:sz="0" w:space="0" w:color="auto"/>
      </w:divBdr>
      <w:divsChild>
        <w:div w:id="1765492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terms-and-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nice.nhs.uk\Data\Planning%20&amp;%20Resources\Corporate%20Office\Performance%20Management\Activity%20Board%20Reports\m12%20(Apr-Mar)\2020-21\Board%20report%20graphs%20month%209%20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tx>
            <c:strRef>
              <c:f>'Outputs - Actual v Plan'!$C$21</c:f>
              <c:strCache>
                <c:ptCount val="1"/>
                <c:pt idx="0">
                  <c:v>Actual</c:v>
                </c:pt>
              </c:strCache>
            </c:strRef>
          </c:tx>
          <c:spPr>
            <a:solidFill>
              <a:schemeClr val="accent5">
                <a:tint val="77000"/>
              </a:schemeClr>
            </a:solidFill>
            <a:ln>
              <a:noFill/>
            </a:ln>
            <a:effectLst/>
          </c:spPr>
          <c:invertIfNegative val="0"/>
          <c:cat>
            <c:strRef>
              <c:f>'Outputs - Actual v Plan'!$B$22:$B$33</c:f>
              <c:strCache>
                <c:ptCount val="12"/>
                <c:pt idx="0">
                  <c:v>Appraisals and HST</c:v>
                </c:pt>
                <c:pt idx="1">
                  <c:v>Clinical guidelines</c:v>
                </c:pt>
                <c:pt idx="2">
                  <c:v>Interventional procedures</c:v>
                </c:pt>
                <c:pt idx="3">
                  <c:v>Public health</c:v>
                </c:pt>
                <c:pt idx="4">
                  <c:v>Quality standards</c:v>
                </c:pt>
                <c:pt idx="5">
                  <c:v>Medical technologies</c:v>
                </c:pt>
                <c:pt idx="6">
                  <c:v>Diagnostics</c:v>
                </c:pt>
                <c:pt idx="7">
                  <c:v>Social Care</c:v>
                </c:pt>
                <c:pt idx="8">
                  <c:v>Managing common infections</c:v>
                </c:pt>
                <c:pt idx="9">
                  <c:v>COVID-19 rapid guidelines</c:v>
                </c:pt>
                <c:pt idx="10">
                  <c:v>Medtech Innovation Briefings</c:v>
                </c:pt>
                <c:pt idx="11">
                  <c:v>Guideline surveillance reviews</c:v>
                </c:pt>
              </c:strCache>
            </c:strRef>
          </c:cat>
          <c:val>
            <c:numRef>
              <c:f>'Outputs - Actual v Plan'!$C$22:$C$33</c:f>
              <c:numCache>
                <c:formatCode>General</c:formatCode>
                <c:ptCount val="12"/>
                <c:pt idx="0">
                  <c:v>65</c:v>
                </c:pt>
                <c:pt idx="1">
                  <c:v>8</c:v>
                </c:pt>
                <c:pt idx="2">
                  <c:v>19</c:v>
                </c:pt>
                <c:pt idx="3">
                  <c:v>1</c:v>
                </c:pt>
                <c:pt idx="4">
                  <c:v>8</c:v>
                </c:pt>
                <c:pt idx="5">
                  <c:v>10</c:v>
                </c:pt>
                <c:pt idx="6">
                  <c:v>5</c:v>
                </c:pt>
                <c:pt idx="7">
                  <c:v>1</c:v>
                </c:pt>
                <c:pt idx="8">
                  <c:v>3</c:v>
                </c:pt>
                <c:pt idx="9">
                  <c:v>24</c:v>
                </c:pt>
                <c:pt idx="10">
                  <c:v>45</c:v>
                </c:pt>
                <c:pt idx="11">
                  <c:v>21</c:v>
                </c:pt>
              </c:numCache>
            </c:numRef>
          </c:val>
          <c:extLst>
            <c:ext xmlns:c16="http://schemas.microsoft.com/office/drawing/2014/chart" uri="{C3380CC4-5D6E-409C-BE32-E72D297353CC}">
              <c16:uniqueId val="{00000000-E8F2-4757-98BF-C1F18C41382F}"/>
            </c:ext>
          </c:extLst>
        </c:ser>
        <c:dLbls>
          <c:showLegendKey val="0"/>
          <c:showVal val="0"/>
          <c:showCatName val="0"/>
          <c:showSerName val="0"/>
          <c:showPercent val="0"/>
          <c:showBubbleSize val="0"/>
        </c:dLbls>
        <c:gapWidth val="150"/>
        <c:axId val="134601264"/>
        <c:axId val="136348168"/>
      </c:barChart>
      <c:lineChart>
        <c:grouping val="standard"/>
        <c:varyColors val="0"/>
        <c:ser>
          <c:idx val="1"/>
          <c:order val="1"/>
          <c:tx>
            <c:strRef>
              <c:f>'Outputs - Actual v Plan'!$D$21</c:f>
              <c:strCache>
                <c:ptCount val="1"/>
                <c:pt idx="0">
                  <c:v>Planned</c:v>
                </c:pt>
              </c:strCache>
            </c:strRef>
          </c:tx>
          <c:spPr>
            <a:ln w="28575" cap="rnd" cmpd="sng" algn="ctr">
              <a:noFill/>
              <a:prstDash val="solid"/>
              <a:round/>
            </a:ln>
            <a:effectLst/>
          </c:spPr>
          <c:marker>
            <c:symbol val="dash"/>
            <c:size val="20"/>
            <c:spPr>
              <a:solidFill>
                <a:srgbClr val="00506A"/>
              </a:solidFill>
              <a:ln w="9525" cap="flat" cmpd="sng" algn="ctr">
                <a:solidFill>
                  <a:srgbClr val="00506A"/>
                </a:solidFill>
                <a:prstDash val="solid"/>
                <a:round/>
              </a:ln>
              <a:effectLst/>
            </c:spPr>
          </c:marker>
          <c:dPt>
            <c:idx val="0"/>
            <c:bubble3D val="0"/>
            <c:spPr>
              <a:ln w="28575" cap="rnd" cmpd="sng" algn="ctr">
                <a:noFill/>
                <a:prstDash val="solid"/>
                <a:round/>
              </a:ln>
              <a:effectLst/>
            </c:spPr>
            <c:extLst>
              <c:ext xmlns:c16="http://schemas.microsoft.com/office/drawing/2014/chart" uri="{C3380CC4-5D6E-409C-BE32-E72D297353CC}">
                <c16:uniqueId val="{00000002-E8F2-4757-98BF-C1F18C41382F}"/>
              </c:ext>
            </c:extLst>
          </c:dPt>
          <c:dPt>
            <c:idx val="1"/>
            <c:bubble3D val="0"/>
            <c:spPr>
              <a:ln w="28575" cap="rnd" cmpd="sng" algn="ctr">
                <a:noFill/>
                <a:prstDash val="solid"/>
                <a:round/>
              </a:ln>
              <a:effectLst/>
            </c:spPr>
            <c:extLst>
              <c:ext xmlns:c16="http://schemas.microsoft.com/office/drawing/2014/chart" uri="{C3380CC4-5D6E-409C-BE32-E72D297353CC}">
                <c16:uniqueId val="{00000004-E8F2-4757-98BF-C1F18C41382F}"/>
              </c:ext>
            </c:extLst>
          </c:dPt>
          <c:dPt>
            <c:idx val="2"/>
            <c:bubble3D val="0"/>
            <c:spPr>
              <a:ln w="28575" cap="rnd" cmpd="sng" algn="ctr">
                <a:noFill/>
                <a:prstDash val="solid"/>
                <a:round/>
              </a:ln>
              <a:effectLst/>
            </c:spPr>
            <c:extLst>
              <c:ext xmlns:c16="http://schemas.microsoft.com/office/drawing/2014/chart" uri="{C3380CC4-5D6E-409C-BE32-E72D297353CC}">
                <c16:uniqueId val="{00000006-E8F2-4757-98BF-C1F18C41382F}"/>
              </c:ext>
            </c:extLst>
          </c:dPt>
          <c:dPt>
            <c:idx val="3"/>
            <c:bubble3D val="0"/>
            <c:spPr>
              <a:ln w="28575" cap="rnd" cmpd="sng" algn="ctr">
                <a:noFill/>
                <a:prstDash val="solid"/>
                <a:round/>
              </a:ln>
              <a:effectLst/>
            </c:spPr>
            <c:extLst>
              <c:ext xmlns:c16="http://schemas.microsoft.com/office/drawing/2014/chart" uri="{C3380CC4-5D6E-409C-BE32-E72D297353CC}">
                <c16:uniqueId val="{00000008-E8F2-4757-98BF-C1F18C41382F}"/>
              </c:ext>
            </c:extLst>
          </c:dPt>
          <c:dPt>
            <c:idx val="4"/>
            <c:bubble3D val="0"/>
            <c:spPr>
              <a:ln w="28575" cap="rnd" cmpd="sng" algn="ctr">
                <a:noFill/>
                <a:prstDash val="solid"/>
                <a:round/>
              </a:ln>
              <a:effectLst/>
            </c:spPr>
            <c:extLst>
              <c:ext xmlns:c16="http://schemas.microsoft.com/office/drawing/2014/chart" uri="{C3380CC4-5D6E-409C-BE32-E72D297353CC}">
                <c16:uniqueId val="{0000000A-E8F2-4757-98BF-C1F18C41382F}"/>
              </c:ext>
            </c:extLst>
          </c:dPt>
          <c:dPt>
            <c:idx val="5"/>
            <c:bubble3D val="0"/>
            <c:spPr>
              <a:ln w="28575" cap="rnd" cmpd="sng" algn="ctr">
                <a:noFill/>
                <a:prstDash val="solid"/>
                <a:round/>
              </a:ln>
              <a:effectLst/>
            </c:spPr>
            <c:extLst>
              <c:ext xmlns:c16="http://schemas.microsoft.com/office/drawing/2014/chart" uri="{C3380CC4-5D6E-409C-BE32-E72D297353CC}">
                <c16:uniqueId val="{0000000C-E8F2-4757-98BF-C1F18C41382F}"/>
              </c:ext>
            </c:extLst>
          </c:dPt>
          <c:dPt>
            <c:idx val="6"/>
            <c:bubble3D val="0"/>
            <c:spPr>
              <a:ln w="28575" cap="rnd" cmpd="sng" algn="ctr">
                <a:noFill/>
                <a:prstDash val="solid"/>
                <a:round/>
              </a:ln>
              <a:effectLst/>
            </c:spPr>
            <c:extLst>
              <c:ext xmlns:c16="http://schemas.microsoft.com/office/drawing/2014/chart" uri="{C3380CC4-5D6E-409C-BE32-E72D297353CC}">
                <c16:uniqueId val="{0000000E-E8F2-4757-98BF-C1F18C41382F}"/>
              </c:ext>
            </c:extLst>
          </c:dPt>
          <c:cat>
            <c:strRef>
              <c:f>'Outputs - Actual v Plan'!$B$22:$B$33</c:f>
              <c:strCache>
                <c:ptCount val="12"/>
                <c:pt idx="0">
                  <c:v>Appraisals and HST</c:v>
                </c:pt>
                <c:pt idx="1">
                  <c:v>Clinical guidelines</c:v>
                </c:pt>
                <c:pt idx="2">
                  <c:v>Interventional procedures</c:v>
                </c:pt>
                <c:pt idx="3">
                  <c:v>Public health</c:v>
                </c:pt>
                <c:pt idx="4">
                  <c:v>Quality standards</c:v>
                </c:pt>
                <c:pt idx="5">
                  <c:v>Medical technologies</c:v>
                </c:pt>
                <c:pt idx="6">
                  <c:v>Diagnostics</c:v>
                </c:pt>
                <c:pt idx="7">
                  <c:v>Social Care</c:v>
                </c:pt>
                <c:pt idx="8">
                  <c:v>Managing common infections</c:v>
                </c:pt>
                <c:pt idx="9">
                  <c:v>COVID-19 rapid guidelines</c:v>
                </c:pt>
                <c:pt idx="10">
                  <c:v>Medtech Innovation Briefings</c:v>
                </c:pt>
                <c:pt idx="11">
                  <c:v>Guideline surveillance reviews</c:v>
                </c:pt>
              </c:strCache>
            </c:strRef>
          </c:cat>
          <c:val>
            <c:numRef>
              <c:f>'Outputs - Actual v Plan'!$D$22:$D$33</c:f>
              <c:numCache>
                <c:formatCode>General</c:formatCode>
                <c:ptCount val="12"/>
                <c:pt idx="0">
                  <c:v>70</c:v>
                </c:pt>
                <c:pt idx="1">
                  <c:v>3</c:v>
                </c:pt>
                <c:pt idx="2">
                  <c:v>25</c:v>
                </c:pt>
                <c:pt idx="3">
                  <c:v>1</c:v>
                </c:pt>
                <c:pt idx="4">
                  <c:v>8</c:v>
                </c:pt>
                <c:pt idx="5">
                  <c:v>10</c:v>
                </c:pt>
                <c:pt idx="6">
                  <c:v>7</c:v>
                </c:pt>
                <c:pt idx="7">
                  <c:v>0</c:v>
                </c:pt>
                <c:pt idx="8">
                  <c:v>0</c:v>
                </c:pt>
                <c:pt idx="9">
                  <c:v>21</c:v>
                </c:pt>
                <c:pt idx="10">
                  <c:v>30</c:v>
                </c:pt>
                <c:pt idx="11">
                  <c:v>20</c:v>
                </c:pt>
              </c:numCache>
            </c:numRef>
          </c:val>
          <c:smooth val="0"/>
          <c:extLst>
            <c:ext xmlns:c16="http://schemas.microsoft.com/office/drawing/2014/chart" uri="{C3380CC4-5D6E-409C-BE32-E72D297353CC}">
              <c16:uniqueId val="{0000000F-E8F2-4757-98BF-C1F18C41382F}"/>
            </c:ext>
          </c:extLst>
        </c:ser>
        <c:dLbls>
          <c:showLegendKey val="0"/>
          <c:showVal val="0"/>
          <c:showCatName val="0"/>
          <c:showSerName val="0"/>
          <c:showPercent val="0"/>
          <c:showBubbleSize val="0"/>
        </c:dLbls>
        <c:marker val="1"/>
        <c:smooth val="0"/>
        <c:axId val="136348952"/>
        <c:axId val="136348560"/>
      </c:lineChart>
      <c:catAx>
        <c:axId val="13460126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36348168"/>
        <c:crosses val="autoZero"/>
        <c:auto val="1"/>
        <c:lblAlgn val="ctr"/>
        <c:lblOffset val="100"/>
        <c:noMultiLvlLbl val="0"/>
      </c:catAx>
      <c:valAx>
        <c:axId val="1363481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34601264"/>
        <c:crosses val="autoZero"/>
        <c:crossBetween val="between"/>
      </c:valAx>
      <c:valAx>
        <c:axId val="136348560"/>
        <c:scaling>
          <c:orientation val="minMax"/>
        </c:scaling>
        <c:delete val="1"/>
        <c:axPos val="r"/>
        <c:numFmt formatCode="General" sourceLinked="1"/>
        <c:majorTickMark val="out"/>
        <c:minorTickMark val="none"/>
        <c:tickLblPos val="nextTo"/>
        <c:crossAx val="136348952"/>
        <c:crosses val="max"/>
        <c:crossBetween val="between"/>
      </c:valAx>
      <c:catAx>
        <c:axId val="136348952"/>
        <c:scaling>
          <c:orientation val="minMax"/>
        </c:scaling>
        <c:delete val="1"/>
        <c:axPos val="t"/>
        <c:numFmt formatCode="General" sourceLinked="1"/>
        <c:majorTickMark val="out"/>
        <c:minorTickMark val="none"/>
        <c:tickLblPos val="nextTo"/>
        <c:crossAx val="136348560"/>
        <c:crosses val="max"/>
        <c:auto val="1"/>
        <c:lblAlgn val="ctr"/>
        <c:lblOffset val="100"/>
        <c:noMultiLvlLbl val="0"/>
      </c:cat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10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5683-D7E5-4E2D-8F91-05A583B8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8858</Words>
  <Characters>49658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2021-05-18T09:06:00Z</dcterms:created>
  <dcterms:modified xsi:type="dcterms:W3CDTF">2021-05-18T09:15:00Z</dcterms:modified>
</cp:coreProperties>
</file>