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1EC5" w14:textId="33C3A1CA" w:rsidR="00EB1C36" w:rsidRPr="00D73C98" w:rsidRDefault="00EB1C36" w:rsidP="00F07534">
      <w:pPr>
        <w:pStyle w:val="Title20"/>
      </w:pPr>
      <w:r>
        <w:t>National Institute for Health and Care Excellence</w:t>
      </w:r>
    </w:p>
    <w:p w14:paraId="0DA46AB9" w14:textId="220ACEED" w:rsidR="00EB1C36" w:rsidRPr="00D73C98" w:rsidRDefault="00D16AB6" w:rsidP="00F07534">
      <w:pPr>
        <w:pStyle w:val="Title1"/>
      </w:pPr>
      <w:r>
        <w:t xml:space="preserve">Communications Directorate </w:t>
      </w:r>
      <w:r w:rsidR="00EB1C36" w:rsidRPr="00D73C98">
        <w:t>progress report</w:t>
      </w:r>
    </w:p>
    <w:p w14:paraId="28A1B0F4" w14:textId="77777777" w:rsidR="00EB1C36" w:rsidRDefault="00EB1C36" w:rsidP="00EB1C36">
      <w:pPr>
        <w:pStyle w:val="Heading1boardreport"/>
      </w:pPr>
      <w:r>
        <w:t>Summary of activity</w:t>
      </w:r>
    </w:p>
    <w:p w14:paraId="7DA45C63" w14:textId="71BDC250" w:rsidR="00B529FF" w:rsidRPr="00B529FF" w:rsidRDefault="00B529FF" w:rsidP="00B529FF">
      <w:pPr>
        <w:pStyle w:val="NICEnormalnumbered"/>
      </w:pPr>
      <w:r w:rsidRPr="00B529FF">
        <w:t xml:space="preserve">This report provides an update on key issues and developments in the Communications Directorate in the period </w:t>
      </w:r>
      <w:r w:rsidR="00891525">
        <w:t>March</w:t>
      </w:r>
      <w:r w:rsidRPr="00B529FF">
        <w:t xml:space="preserve"> - </w:t>
      </w:r>
      <w:r w:rsidR="00891525">
        <w:t>April</w:t>
      </w:r>
      <w:r w:rsidRPr="00B529FF">
        <w:t xml:space="preserve"> 2021.  </w:t>
      </w:r>
      <w:r>
        <w:t>Communication</w:t>
      </w:r>
      <w:r w:rsidR="00891525">
        <w:t>s to enable</w:t>
      </w:r>
      <w:r>
        <w:t xml:space="preserve"> the </w:t>
      </w:r>
      <w:r w:rsidR="00891525">
        <w:t xml:space="preserve">successful </w:t>
      </w:r>
      <w:r>
        <w:t>launch of the new 5-year strategy</w:t>
      </w:r>
      <w:r w:rsidR="00891525">
        <w:t xml:space="preserve"> represent </w:t>
      </w:r>
      <w:r>
        <w:t xml:space="preserve">the </w:t>
      </w:r>
      <w:r w:rsidR="00891525">
        <w:t>most significant</w:t>
      </w:r>
      <w:r>
        <w:t xml:space="preserve"> area of work during this period. </w:t>
      </w:r>
    </w:p>
    <w:p w14:paraId="005F1DC4" w14:textId="0B84CD05" w:rsidR="00391F59" w:rsidRDefault="00EB1C36" w:rsidP="00391F59">
      <w:pPr>
        <w:pStyle w:val="Heading1boardreport"/>
      </w:pPr>
      <w:r>
        <w:t xml:space="preserve">Notable </w:t>
      </w:r>
      <w:r w:rsidRPr="00D959FE">
        <w:t>issues</w:t>
      </w:r>
      <w:r>
        <w:t xml:space="preserve"> and developments </w:t>
      </w:r>
    </w:p>
    <w:p w14:paraId="61180A95" w14:textId="2487DDCD" w:rsidR="00891525" w:rsidRDefault="00891525" w:rsidP="00891525">
      <w:pPr>
        <w:pStyle w:val="Heading2boardreport"/>
      </w:pPr>
      <w:bookmarkStart w:id="0" w:name="_Hlk61014538"/>
      <w:r>
        <w:t>5-year strategy launch</w:t>
      </w:r>
    </w:p>
    <w:p w14:paraId="6B6C486C" w14:textId="314284DE" w:rsidR="00780B41" w:rsidRDefault="00B53F24" w:rsidP="00722B41">
      <w:pPr>
        <w:pStyle w:val="NICEnormalnumbered"/>
        <w:rPr>
          <w:rFonts w:eastAsiaTheme="minorEastAsia"/>
        </w:rPr>
      </w:pPr>
      <w:r w:rsidRPr="00722B41">
        <w:rPr>
          <w:rFonts w:eastAsiaTheme="minorEastAsia"/>
        </w:rPr>
        <w:t xml:space="preserve">More than </w:t>
      </w:r>
      <w:r w:rsidR="00210343" w:rsidRPr="00722B41">
        <w:rPr>
          <w:rFonts w:eastAsiaTheme="minorEastAsia"/>
        </w:rPr>
        <w:t xml:space="preserve">3,332 people </w:t>
      </w:r>
      <w:r w:rsidRPr="00722B41">
        <w:rPr>
          <w:rFonts w:eastAsiaTheme="minorEastAsia"/>
        </w:rPr>
        <w:t>from 53 countries registered in advance for the</w:t>
      </w:r>
      <w:r w:rsidR="00210972">
        <w:rPr>
          <w:rFonts w:eastAsiaTheme="minorEastAsia"/>
        </w:rPr>
        <w:t xml:space="preserve"> </w:t>
      </w:r>
      <w:r w:rsidRPr="00722B41">
        <w:rPr>
          <w:rFonts w:eastAsiaTheme="minorEastAsia"/>
        </w:rPr>
        <w:t>e</w:t>
      </w:r>
      <w:r w:rsidR="00780B41" w:rsidRPr="00722B41">
        <w:rPr>
          <w:rFonts w:eastAsiaTheme="minorEastAsia"/>
        </w:rPr>
        <w:t>v</w:t>
      </w:r>
      <w:r w:rsidRPr="00722B41">
        <w:rPr>
          <w:rFonts w:eastAsiaTheme="minorEastAsia"/>
        </w:rPr>
        <w:t>ent.  The registered delegate breakdown is as follows:</w:t>
      </w:r>
    </w:p>
    <w:p w14:paraId="506381E9" w14:textId="718883D0" w:rsidR="00722B41" w:rsidRDefault="000054A7" w:rsidP="000054A7">
      <w:pPr>
        <w:pStyle w:val="NICEnormalnumbered"/>
        <w:numPr>
          <w:ilvl w:val="0"/>
          <w:numId w:val="0"/>
        </w:numPr>
        <w:ind w:left="644" w:hanging="360"/>
      </w:pPr>
      <w:r w:rsidRPr="000054A7">
        <w:rPr>
          <w:noProof/>
        </w:rPr>
        <w:drawing>
          <wp:inline distT="0" distB="0" distL="0" distR="0" wp14:anchorId="371D8787" wp14:editId="0CD9F7C6">
            <wp:extent cx="5610225" cy="4095750"/>
            <wp:effectExtent l="0" t="0" r="9525" b="0"/>
            <wp:docPr id="2" name="Chart 2" descr="Sector breakdown chart for the registered delegates for the NICE's 5 year strategy launch event on 19 April 2021. The percentages fluctuate between 1% from social care, consultancy, private clinicians, press and journals and members of the public and 30% from pharma and medtech."/>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21E8ED" w14:textId="68A9AD20" w:rsidR="001E72A2" w:rsidRPr="001E72A2" w:rsidRDefault="001E72A2" w:rsidP="00722B41">
      <w:pPr>
        <w:pStyle w:val="NICEnormalnumbered"/>
      </w:pPr>
      <w:r w:rsidRPr="001E72A2">
        <w:lastRenderedPageBreak/>
        <w:t xml:space="preserve">An on-demand version of the event was also uploaded to NICE’s YouTube channel on the same day, this has </w:t>
      </w:r>
      <w:r>
        <w:t xml:space="preserve">been viewed 979 </w:t>
      </w:r>
      <w:r w:rsidRPr="001E72A2">
        <w:t>times</w:t>
      </w:r>
      <w:r>
        <w:t xml:space="preserve"> (as of 28 April)</w:t>
      </w:r>
      <w:r w:rsidRPr="001E72A2">
        <w:t xml:space="preserve">. </w:t>
      </w:r>
    </w:p>
    <w:p w14:paraId="74D5692F" w14:textId="2E6E333A" w:rsidR="001E72A2" w:rsidRDefault="006C648F" w:rsidP="001E72A2">
      <w:pPr>
        <w:pStyle w:val="NICEnormalnumbered"/>
      </w:pPr>
      <w:r>
        <w:t>W</w:t>
      </w:r>
      <w:r w:rsidR="001E72A2" w:rsidRPr="001E72A2">
        <w:t xml:space="preserve">e received 174 questions/comments from the audience, some of which were answered </w:t>
      </w:r>
      <w:r>
        <w:t>during the event</w:t>
      </w:r>
      <w:r w:rsidR="001E72A2" w:rsidRPr="001E72A2">
        <w:t xml:space="preserve">. </w:t>
      </w:r>
      <w:r>
        <w:t xml:space="preserve">We are </w:t>
      </w:r>
      <w:r w:rsidR="001E72A2">
        <w:t>analysing and grouping the questions</w:t>
      </w:r>
      <w:r w:rsidR="001E72A2" w:rsidRPr="001E72A2">
        <w:t xml:space="preserve"> </w:t>
      </w:r>
      <w:r w:rsidR="001E72A2">
        <w:t xml:space="preserve">into themes, and alongside responses to a post-event survey, these will be used </w:t>
      </w:r>
      <w:r w:rsidR="001E72A2" w:rsidRPr="001E72A2">
        <w:t>to inform future communication activities</w:t>
      </w:r>
      <w:r w:rsidR="001E72A2">
        <w:t xml:space="preserve"> about our new strategic priorities. </w:t>
      </w:r>
      <w:r w:rsidR="001E72A2" w:rsidRPr="001E72A2">
        <w:t xml:space="preserve"> </w:t>
      </w:r>
    </w:p>
    <w:p w14:paraId="1A982E7C" w14:textId="04F56B1A" w:rsidR="00813C5B" w:rsidRDefault="00813C5B" w:rsidP="009D34B1">
      <w:pPr>
        <w:pStyle w:val="NICEnormalnumbered"/>
      </w:pPr>
      <w:r>
        <w:t xml:space="preserve">In the weeks before the event </w:t>
      </w:r>
      <w:r w:rsidRPr="00AA5C96">
        <w:t>we launched a paid digital marketing campaign, consisting of advertising on social media channels, Google search, re-marketing (web banners served to those who visited specific pages on the NICE website) and display banners on publication sites. The post-launch</w:t>
      </w:r>
      <w:r>
        <w:t xml:space="preserve"> awareness-raising</w:t>
      </w:r>
      <w:r w:rsidRPr="00AA5C96">
        <w:t xml:space="preserve"> phase </w:t>
      </w:r>
      <w:r>
        <w:t>of the campa</w:t>
      </w:r>
      <w:r w:rsidRPr="00AA5C96">
        <w:t>i</w:t>
      </w:r>
      <w:r>
        <w:t xml:space="preserve">gn </w:t>
      </w:r>
      <w:r w:rsidRPr="00AA5C96">
        <w:t>will run until Sunday 16 May.</w:t>
      </w:r>
    </w:p>
    <w:p w14:paraId="63971656" w14:textId="0EA0314E" w:rsidR="00780B41" w:rsidRDefault="006C648F" w:rsidP="00722B41">
      <w:pPr>
        <w:pStyle w:val="NICEnormalnumbered"/>
      </w:pPr>
      <w:r>
        <w:t>In support of the launch, t</w:t>
      </w:r>
      <w:r w:rsidR="00FC5C81">
        <w:t xml:space="preserve">he web team produced a number of new </w:t>
      </w:r>
      <w:r w:rsidR="00813C5B">
        <w:t xml:space="preserve">landing </w:t>
      </w:r>
      <w:r w:rsidR="00FC5C81">
        <w:t xml:space="preserve">pages </w:t>
      </w:r>
      <w:r w:rsidR="00722B41">
        <w:t>including</w:t>
      </w:r>
      <w:r w:rsidR="00FC5C81">
        <w:t xml:space="preserve"> a revamped events page, a new strategy launch pag</w:t>
      </w:r>
      <w:r w:rsidR="004539EE">
        <w:t xml:space="preserve">e </w:t>
      </w:r>
      <w:r w:rsidR="00817286">
        <w:t>a</w:t>
      </w:r>
      <w:r w:rsidR="00FC5C81">
        <w:t>nd a significantly redesigned and refreshed h</w:t>
      </w:r>
      <w:r w:rsidR="00780B41">
        <w:t>omepage.</w:t>
      </w:r>
      <w:r w:rsidR="004539EE" w:rsidRPr="00780B41">
        <w:rPr>
          <w:noProof/>
        </w:rPr>
        <w:drawing>
          <wp:anchor distT="0" distB="0" distL="114300" distR="114300" simplePos="0" relativeHeight="251660288" behindDoc="0" locked="0" layoutInCell="1" allowOverlap="1" wp14:anchorId="24D8801D" wp14:editId="12E5342F">
            <wp:simplePos x="0" y="0"/>
            <wp:positionH relativeFrom="column">
              <wp:posOffset>2173605</wp:posOffset>
            </wp:positionH>
            <wp:positionV relativeFrom="paragraph">
              <wp:posOffset>1137920</wp:posOffset>
            </wp:positionV>
            <wp:extent cx="2597150" cy="2904359"/>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7150" cy="29043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41" w:rsidRPr="00780B41">
        <w:rPr>
          <w:noProof/>
        </w:rPr>
        <w:drawing>
          <wp:inline distT="0" distB="0" distL="0" distR="0" wp14:anchorId="15CE4B37" wp14:editId="5C742B5E">
            <wp:extent cx="2837815" cy="3648075"/>
            <wp:effectExtent l="0" t="0" r="635" b="9525"/>
            <wp:docPr id="5" name="Picture 5" descr="Image of refreshed NICE website home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refreshed NICE website homepag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2937" cy="3693225"/>
                    </a:xfrm>
                    <a:prstGeom prst="rect">
                      <a:avLst/>
                    </a:prstGeom>
                    <a:noFill/>
                    <a:ln>
                      <a:noFill/>
                    </a:ln>
                  </pic:spPr>
                </pic:pic>
              </a:graphicData>
            </a:graphic>
          </wp:inline>
        </w:drawing>
      </w:r>
      <w:r w:rsidR="00780B41" w:rsidRPr="00780B41">
        <w:t xml:space="preserve">   </w:t>
      </w:r>
    </w:p>
    <w:p w14:paraId="6854D08A" w14:textId="3640D3CF" w:rsidR="00981FF5" w:rsidRDefault="00981FF5" w:rsidP="001E72A2">
      <w:pPr>
        <w:pStyle w:val="NICEnormalnumbered"/>
      </w:pPr>
      <w:r>
        <w:lastRenderedPageBreak/>
        <w:t>One week after the launch</w:t>
      </w:r>
      <w:r w:rsidR="006C648F">
        <w:t>,</w:t>
      </w:r>
      <w:r>
        <w:t xml:space="preserve"> the strategy page had received 9,245 unique page views with users, from </w:t>
      </w:r>
      <w:r w:rsidR="00B14B34">
        <w:t>51 countries,</w:t>
      </w:r>
      <w:r>
        <w:t xml:space="preserve"> spending an average of over 4 minutes on the page. The strategy document was downloaded by over 1500 unique users.</w:t>
      </w:r>
    </w:p>
    <w:p w14:paraId="441C7098" w14:textId="77E48BDE" w:rsidR="00B14B34" w:rsidRDefault="00B14B34" w:rsidP="001E72A2">
      <w:pPr>
        <w:pStyle w:val="NICEnormalnumbered"/>
      </w:pPr>
      <w:r>
        <w:t xml:space="preserve">In </w:t>
      </w:r>
      <w:r w:rsidR="00722B41">
        <w:t>addition,</w:t>
      </w:r>
      <w:r>
        <w:t xml:space="preserve"> we created a new strategy hub for our intranet NICE</w:t>
      </w:r>
      <w:r w:rsidR="000054A7">
        <w:t xml:space="preserve"> </w:t>
      </w:r>
      <w:r>
        <w:t xml:space="preserve">Space. This provides staff with the opportunity to re-watch the launch event as well as with resources such as a presentation, </w:t>
      </w:r>
      <w:proofErr w:type="gramStart"/>
      <w:r>
        <w:t>graphics</w:t>
      </w:r>
      <w:proofErr w:type="gramEnd"/>
      <w:r>
        <w:t xml:space="preserve"> and an email banner. This hub will continue to grow to encourage further engagement with</w:t>
      </w:r>
      <w:r w:rsidR="006C648F">
        <w:t xml:space="preserve"> </w:t>
      </w:r>
      <w:r>
        <w:t xml:space="preserve">the strategy. </w:t>
      </w:r>
    </w:p>
    <w:p w14:paraId="6479DE1E" w14:textId="1F8A030A" w:rsidR="00891525" w:rsidRDefault="00891525" w:rsidP="006C648F">
      <w:pPr>
        <w:pStyle w:val="NICEnormalnumbered"/>
      </w:pPr>
      <w:r w:rsidRPr="00891525">
        <w:t xml:space="preserve">The publication of our strategy launch gained widespread trade media coverage, and the reaction on social media has been broadly positive with several key stakeholders engaging with the posts put out on the day to support the launch, including Lord Bethell, who retweeted about his own involvement in the launch event. The story </w:t>
      </w:r>
      <w:r>
        <w:t>wa</w:t>
      </w:r>
      <w:r w:rsidRPr="00891525">
        <w:t>s covered in </w:t>
      </w:r>
      <w:hyperlink r:id="rId11" w:tgtFrame="_blank" w:tooltip="https://www.nationalhealthexecutive.com/articles/nice-strategy-quicker-access-treatments-innovations" w:history="1">
        <w:r w:rsidRPr="00891525">
          <w:rPr>
            <w:rStyle w:val="Hyperlink"/>
          </w:rPr>
          <w:t>National Health Executive</w:t>
        </w:r>
      </w:hyperlink>
      <w:r w:rsidRPr="00891525">
        <w:t>, </w:t>
      </w:r>
      <w:hyperlink r:id="rId12" w:tgtFrame="_blank" w:tooltip="https://htn.co.uk/2021/04/19/nice-launches-5-year-strategy-with-focus-on-data-technologies-and-innovations/" w:history="1">
        <w:r w:rsidRPr="00891525">
          <w:rPr>
            <w:rStyle w:val="Hyperlink"/>
          </w:rPr>
          <w:t>Health Tech Newspaper</w:t>
        </w:r>
      </w:hyperlink>
      <w:r w:rsidRPr="00891525">
        <w:t>, </w:t>
      </w:r>
      <w:hyperlink r:id="rId13" w:tgtFrame="_blank" w:tooltip="https://pharmafield.co.uk/pharma_news/nice-launches-ambitious-5-year-strategy/" w:history="1">
        <w:r w:rsidRPr="00891525">
          <w:rPr>
            <w:rStyle w:val="Hyperlink"/>
          </w:rPr>
          <w:t>Pharma Field</w:t>
        </w:r>
      </w:hyperlink>
      <w:r w:rsidRPr="00891525">
        <w:t>, </w:t>
      </w:r>
      <w:hyperlink r:id="rId14" w:tgtFrame="_blank" w:tooltip="https://www.pharmacymagazine.co.uk/nice-new-strategy-new-approach" w:history="1">
        <w:r w:rsidRPr="00891525">
          <w:rPr>
            <w:rStyle w:val="Hyperlink"/>
          </w:rPr>
          <w:t>Pharmacy Magazine</w:t>
        </w:r>
      </w:hyperlink>
      <w:r w:rsidRPr="00891525">
        <w:t>, </w:t>
      </w:r>
      <w:proofErr w:type="spellStart"/>
      <w:r w:rsidR="00DF7C36">
        <w:fldChar w:fldCharType="begin"/>
      </w:r>
      <w:r w:rsidR="00DF7C36">
        <w:instrText xml:space="preserve"> HYPERLINK "http://www.pharmatimes.com/news/nice_unveils_new_strategy_to_improve_patient_access_to_innovative_treatments_1367404" \t "_blank" \o "http://www.pharmatimes.com/news/nice_unveils_new_strategy_to_improve_patient_access_to_innovative_treatments_1367404" </w:instrText>
      </w:r>
      <w:r w:rsidR="00DF7C36">
        <w:fldChar w:fldCharType="separate"/>
      </w:r>
      <w:r w:rsidRPr="00891525">
        <w:rPr>
          <w:rStyle w:val="Hyperlink"/>
        </w:rPr>
        <w:t>PharmaTimes</w:t>
      </w:r>
      <w:proofErr w:type="spellEnd"/>
      <w:r w:rsidR="00DF7C36">
        <w:rPr>
          <w:rStyle w:val="Hyperlink"/>
        </w:rPr>
        <w:fldChar w:fldCharType="end"/>
      </w:r>
      <w:r w:rsidRPr="00891525">
        <w:t>, </w:t>
      </w:r>
      <w:hyperlink r:id="rId15" w:tgtFrame="_blank" w:tooltip="https://www.bioindustry.org/news-listing/ceo-update-monday-19-april.html" w:history="1">
        <w:r w:rsidRPr="00891525">
          <w:rPr>
            <w:rStyle w:val="Hyperlink"/>
          </w:rPr>
          <w:t xml:space="preserve">The </w:t>
        </w:r>
        <w:proofErr w:type="spellStart"/>
        <w:r w:rsidRPr="00891525">
          <w:rPr>
            <w:rStyle w:val="Hyperlink"/>
          </w:rPr>
          <w:t>BioIndustry</w:t>
        </w:r>
        <w:proofErr w:type="spellEnd"/>
        <w:r w:rsidRPr="00891525">
          <w:rPr>
            <w:rStyle w:val="Hyperlink"/>
          </w:rPr>
          <w:t xml:space="preserve"> Association </w:t>
        </w:r>
      </w:hyperlink>
      <w:r w:rsidRPr="00891525">
        <w:t>and </w:t>
      </w:r>
      <w:hyperlink r:id="rId16" w:tgtFrame="_blank" w:tooltip="https://www.bivda.org.uk/news-events/news-policy-media/articleid/550/nice-publishes-five-year-plan" w:history="1">
        <w:r w:rsidRPr="00891525">
          <w:rPr>
            <w:rStyle w:val="Hyperlink"/>
          </w:rPr>
          <w:t>BIVDA</w:t>
        </w:r>
      </w:hyperlink>
      <w:r w:rsidRPr="00891525">
        <w:t>. </w:t>
      </w:r>
      <w:hyperlink r:id="rId17" w:tgtFrame="_blank" w:history="1">
        <w:r w:rsidRPr="00891525">
          <w:rPr>
            <w:rStyle w:val="Hyperlink"/>
          </w:rPr>
          <w:t>The Pharma Times</w:t>
        </w:r>
      </w:hyperlink>
      <w:r w:rsidRPr="00891525">
        <w:t> also published a piece from NICE Chairman Sharmila Nebhrajani,</w:t>
      </w:r>
      <w:r>
        <w:t xml:space="preserve"> looking</w:t>
      </w:r>
      <w:r w:rsidRPr="00891525">
        <w:t xml:space="preserve"> at the strategy launch and why it is a necessary for NICE to evolve, particularly against the backdrop of the COVID-19 pandemic.</w:t>
      </w:r>
    </w:p>
    <w:p w14:paraId="7113D22F" w14:textId="5CAA15FF" w:rsidR="00830F6F" w:rsidRPr="00830F6F" w:rsidRDefault="006C648F" w:rsidP="006C648F">
      <w:pPr>
        <w:pStyle w:val="NICEnormalnumbered"/>
      </w:pPr>
      <w:r>
        <w:t xml:space="preserve">On </w:t>
      </w:r>
      <w:r w:rsidR="002F4421">
        <w:t>28 April,</w:t>
      </w:r>
      <w:r>
        <w:t xml:space="preserve"> </w:t>
      </w:r>
      <w:r w:rsidR="00830F6F" w:rsidRPr="00830F6F">
        <w:t xml:space="preserve">the </w:t>
      </w:r>
      <w:r>
        <w:t>NICE c</w:t>
      </w:r>
      <w:r w:rsidR="00830F6F" w:rsidRPr="00830F6F">
        <w:t xml:space="preserve">hairman and chief executive presented our new 5-year strategy to an interested group of MPs and peers, </w:t>
      </w:r>
      <w:r>
        <w:t xml:space="preserve">in a special session of the </w:t>
      </w:r>
      <w:r w:rsidR="002F4421" w:rsidRPr="00830F6F">
        <w:t>All-Party</w:t>
      </w:r>
      <w:r w:rsidRPr="00830F6F">
        <w:t xml:space="preserve"> Parliamentary Health Group</w:t>
      </w:r>
      <w:r>
        <w:t xml:space="preserve">, </w:t>
      </w:r>
      <w:r w:rsidR="00830F6F" w:rsidRPr="00830F6F">
        <w:t xml:space="preserve">chaired by Baroness Walmsley. </w:t>
      </w:r>
    </w:p>
    <w:p w14:paraId="15249354" w14:textId="414C92EC" w:rsidR="00F414EC" w:rsidRDefault="00F414EC" w:rsidP="00F414EC">
      <w:pPr>
        <w:pStyle w:val="Heading2boardreport"/>
      </w:pPr>
      <w:bookmarkStart w:id="1" w:name="_Hlk65849307"/>
      <w:bookmarkEnd w:id="0"/>
      <w:r w:rsidRPr="00F414EC">
        <w:t>Marketing communications</w:t>
      </w:r>
    </w:p>
    <w:p w14:paraId="2497B10C" w14:textId="12C89087" w:rsidR="00312CE0" w:rsidRPr="00312CE0" w:rsidRDefault="00312CE0" w:rsidP="00312CE0">
      <w:pPr>
        <w:pStyle w:val="NICEnormalnumbered"/>
      </w:pPr>
      <w:r w:rsidRPr="00312CE0">
        <w:t xml:space="preserve">Based on user insights research we launched a refreshed section of the website for NICE International in April. In the first 3 weeks, page views were up over 450% compared to April 2020. In May, we will add additional content including a series of case studies and an interactive </w:t>
      </w:r>
      <w:r w:rsidRPr="00312CE0">
        <w:lastRenderedPageBreak/>
        <w:t>world map providing further information on NICE International engagements by country.</w:t>
      </w:r>
    </w:p>
    <w:p w14:paraId="31AD4C37" w14:textId="2A32AB45" w:rsidR="00AA5C96" w:rsidRPr="00AA5C96" w:rsidRDefault="00AA5C96" w:rsidP="00AA5C96">
      <w:pPr>
        <w:pStyle w:val="NICEnormalnumbered"/>
      </w:pPr>
      <w:r>
        <w:t xml:space="preserve">During the reporting period </w:t>
      </w:r>
      <w:r w:rsidR="00813C5B">
        <w:t>we</w:t>
      </w:r>
      <w:r w:rsidRPr="00AA5C96">
        <w:t xml:space="preserve"> made further progress with improving the content and data management of our corporate newsletters. </w:t>
      </w:r>
      <w:r>
        <w:t xml:space="preserve">We </w:t>
      </w:r>
      <w:r w:rsidR="009712DE">
        <w:t xml:space="preserve">intend to </w:t>
      </w:r>
      <w:r w:rsidRPr="00AA5C96">
        <w:t>standardis</w:t>
      </w:r>
      <w:r>
        <w:t>e</w:t>
      </w:r>
      <w:r w:rsidRPr="00AA5C96">
        <w:t xml:space="preserve"> our newsletter data capture forms and </w:t>
      </w:r>
      <w:r>
        <w:t xml:space="preserve">are </w:t>
      </w:r>
      <w:r w:rsidRPr="00AA5C96">
        <w:t>reviewing opt</w:t>
      </w:r>
      <w:r w:rsidR="00813C5B">
        <w:t>-</w:t>
      </w:r>
      <w:r w:rsidRPr="00AA5C96">
        <w:t>ins</w:t>
      </w:r>
      <w:r w:rsidR="00813C5B">
        <w:t xml:space="preserve"> with the aim of delivering </w:t>
      </w:r>
      <w:r w:rsidR="009712DE">
        <w:t xml:space="preserve">data-driven marketing communications in the future.  </w:t>
      </w:r>
    </w:p>
    <w:p w14:paraId="02D34852" w14:textId="528044BA" w:rsidR="005B7D85" w:rsidRDefault="009712DE" w:rsidP="00E37278">
      <w:pPr>
        <w:pStyle w:val="Heading2boardreport"/>
      </w:pPr>
      <w:r>
        <w:t>Stakeholder e</w:t>
      </w:r>
      <w:r w:rsidR="00E37278">
        <w:t>vents and speaking engagements</w:t>
      </w:r>
    </w:p>
    <w:bookmarkEnd w:id="1"/>
    <w:p w14:paraId="5AC8C927" w14:textId="1DD97DD2" w:rsidR="0072098D" w:rsidRDefault="009712DE" w:rsidP="0072098D">
      <w:pPr>
        <w:pStyle w:val="NICEnormalnumbered"/>
      </w:pPr>
      <w:r>
        <w:t>T</w:t>
      </w:r>
      <w:r w:rsidR="0072098D" w:rsidRPr="0072098D">
        <w:t>he chief executive took part in a plenary panel discussion at the ABPI's annual conference alongside senior colleagues from the MHRA and NHS England; the deputy chief executive chaired a plenary session at the World EPA (Evidence, Pricing and Access) Congress</w:t>
      </w:r>
      <w:r w:rsidR="0072098D">
        <w:t>;</w:t>
      </w:r>
      <w:r w:rsidR="0072098D" w:rsidRPr="0072098D">
        <w:t xml:space="preserve"> </w:t>
      </w:r>
      <w:r w:rsidR="004C27D9" w:rsidRPr="004C27D9">
        <w:t xml:space="preserve">Paul Chrisp, </w:t>
      </w:r>
      <w:r w:rsidR="004C27D9">
        <w:t>d</w:t>
      </w:r>
      <w:r w:rsidR="004C27D9" w:rsidRPr="004C27D9">
        <w:t>irector of the Centre for Guidelines</w:t>
      </w:r>
      <w:r w:rsidR="0099347B">
        <w:t>,</w:t>
      </w:r>
      <w:r w:rsidR="004C27D9" w:rsidRPr="004C27D9">
        <w:t xml:space="preserve"> took part in a debate </w:t>
      </w:r>
      <w:r w:rsidR="004C27D9">
        <w:t>about</w:t>
      </w:r>
      <w:r w:rsidR="004C27D9" w:rsidRPr="004C27D9">
        <w:t xml:space="preserve"> chronic pain hosted by the British Pain Society</w:t>
      </w:r>
      <w:r w:rsidR="004C27D9">
        <w:t xml:space="preserve">; </w:t>
      </w:r>
      <w:r w:rsidR="0072098D" w:rsidRPr="0072098D">
        <w:t>and Jeanette Kusel, director, NICE Scientific Advice</w:t>
      </w:r>
      <w:r w:rsidR="004C27D9">
        <w:t>,</w:t>
      </w:r>
      <w:r w:rsidR="0072098D" w:rsidRPr="0072098D">
        <w:t xml:space="preserve"> gave a keynote speech at </w:t>
      </w:r>
      <w:r w:rsidR="004C27D9">
        <w:t xml:space="preserve">a </w:t>
      </w:r>
      <w:r w:rsidR="0072098D" w:rsidRPr="0072098D">
        <w:t xml:space="preserve">Spanish Health Economics </w:t>
      </w:r>
      <w:r w:rsidR="004C27D9">
        <w:t>A</w:t>
      </w:r>
      <w:r w:rsidR="0072098D" w:rsidRPr="0072098D">
        <w:t xml:space="preserve">ssociation </w:t>
      </w:r>
      <w:r w:rsidR="004C27D9">
        <w:t xml:space="preserve">event </w:t>
      </w:r>
      <w:r w:rsidR="0072098D" w:rsidRPr="0072098D">
        <w:t>about the evaluation of AI technolog</w:t>
      </w:r>
      <w:r w:rsidR="004C27D9">
        <w:t>ies</w:t>
      </w:r>
      <w:r w:rsidR="0072098D" w:rsidRPr="0072098D">
        <w:t xml:space="preserve">. </w:t>
      </w:r>
    </w:p>
    <w:p w14:paraId="4FE58F5F" w14:textId="77777777" w:rsidR="009712DE" w:rsidRPr="000211F8" w:rsidRDefault="009712DE" w:rsidP="009712DE">
      <w:pPr>
        <w:pStyle w:val="NICEnormalnumbered"/>
      </w:pPr>
      <w:r w:rsidRPr="000211F8">
        <w:t xml:space="preserve">We </w:t>
      </w:r>
      <w:r>
        <w:t>prepared briefings for the chairman's meetings with the Association of British Pharmaceutical Industries (ABPI), the American Pharmaceutical Group, MSD, the Early Cancer Diagnostics Treatment Programme Board, Genomics plc and University College London</w:t>
      </w:r>
      <w:r w:rsidRPr="000211F8">
        <w:t>.</w:t>
      </w:r>
    </w:p>
    <w:p w14:paraId="34BA030F" w14:textId="77777777" w:rsidR="009712DE" w:rsidRPr="000211F8" w:rsidRDefault="009712DE" w:rsidP="009712DE">
      <w:pPr>
        <w:pStyle w:val="NICEnormalnumbered"/>
      </w:pPr>
      <w:r w:rsidRPr="000211F8">
        <w:t xml:space="preserve">We </w:t>
      </w:r>
      <w:r>
        <w:t>responded to two stages</w:t>
      </w:r>
      <w:r w:rsidRPr="000211F8">
        <w:t xml:space="preserve"> </w:t>
      </w:r>
      <w:r>
        <w:t xml:space="preserve">of </w:t>
      </w:r>
      <w:r w:rsidRPr="000211F8">
        <w:t>the All</w:t>
      </w:r>
      <w:r>
        <w:t>-</w:t>
      </w:r>
      <w:r w:rsidRPr="000211F8">
        <w:t xml:space="preserve">Party Parliamentary Group (APPG) </w:t>
      </w:r>
      <w:r>
        <w:t>on Access to Medicines and Medical Devices' call for written evidence on 'Post Brexit and post COVID reviews and consultations.'</w:t>
      </w:r>
    </w:p>
    <w:p w14:paraId="07EFC119" w14:textId="49A65EA6" w:rsidR="00555B4B" w:rsidRDefault="00555B4B" w:rsidP="00555B4B">
      <w:pPr>
        <w:pStyle w:val="Heading2boardreport"/>
      </w:pPr>
      <w:r>
        <w:t>Enquiries</w:t>
      </w:r>
    </w:p>
    <w:p w14:paraId="62635B89" w14:textId="72C5EC2F" w:rsidR="009712DE" w:rsidRDefault="00A77BD3" w:rsidP="009956D1">
      <w:pPr>
        <w:pStyle w:val="NICEnormalnumbered"/>
      </w:pPr>
      <w:r>
        <w:t>W</w:t>
      </w:r>
      <w:r w:rsidR="00DF0CD2" w:rsidRPr="00DF0CD2">
        <w:t xml:space="preserve">e responded to </w:t>
      </w:r>
      <w:r w:rsidR="0034558E">
        <w:t>1221</w:t>
      </w:r>
      <w:r w:rsidR="00DF0CD2" w:rsidRPr="00DF0CD2">
        <w:t xml:space="preserve"> enquiries</w:t>
      </w:r>
      <w:r>
        <w:t xml:space="preserve"> during this period</w:t>
      </w:r>
      <w:r w:rsidR="00DF0CD2" w:rsidRPr="00DF0CD2">
        <w:t>. 9</w:t>
      </w:r>
      <w:r w:rsidR="0034558E">
        <w:t>3</w:t>
      </w:r>
      <w:r w:rsidR="00DF0CD2" w:rsidRPr="00DF0CD2">
        <w:t>% were answered within 18 days</w:t>
      </w:r>
      <w:r w:rsidR="0034558E">
        <w:t>, including</w:t>
      </w:r>
      <w:r w:rsidR="00DF0CD2" w:rsidRPr="00DF0CD2">
        <w:t xml:space="preserve"> </w:t>
      </w:r>
      <w:r w:rsidR="0034558E">
        <w:t>37</w:t>
      </w:r>
      <w:r w:rsidR="00DF0CD2" w:rsidRPr="00DF0CD2">
        <w:t xml:space="preserve"> requests for information under the Freedom of Information Act, </w:t>
      </w:r>
      <w:r w:rsidR="0034558E">
        <w:t>24</w:t>
      </w:r>
      <w:r w:rsidR="00DF0CD2" w:rsidRPr="00DF0CD2">
        <w:t xml:space="preserve"> MP letters, </w:t>
      </w:r>
      <w:r w:rsidR="009712DE">
        <w:t xml:space="preserve">and </w:t>
      </w:r>
      <w:r w:rsidR="00DF0CD2" w:rsidRPr="00DF0CD2">
        <w:t>13 parliamentary questions</w:t>
      </w:r>
      <w:r w:rsidR="009712DE">
        <w:t xml:space="preserve">. </w:t>
      </w:r>
    </w:p>
    <w:p w14:paraId="2E02C987" w14:textId="77777777" w:rsidR="00817286" w:rsidRDefault="00817286" w:rsidP="00817286">
      <w:pPr>
        <w:pStyle w:val="NICEnormalnumbered"/>
        <w:numPr>
          <w:ilvl w:val="0"/>
          <w:numId w:val="0"/>
        </w:numPr>
        <w:ind w:left="501"/>
      </w:pPr>
    </w:p>
    <w:p w14:paraId="33916EAF" w14:textId="18BB8165" w:rsidR="00610288" w:rsidRDefault="009712DE" w:rsidP="009956D1">
      <w:pPr>
        <w:pStyle w:val="NICEnormalnumbered"/>
      </w:pPr>
      <w:r>
        <w:lastRenderedPageBreak/>
        <w:t xml:space="preserve">We responded to </w:t>
      </w:r>
      <w:r w:rsidR="0034558E">
        <w:t>3</w:t>
      </w:r>
      <w:r w:rsidR="00DF0CD2" w:rsidRPr="00DF0CD2">
        <w:t xml:space="preserve"> coroner’s report</w:t>
      </w:r>
      <w:r w:rsidR="0034558E">
        <w:t>s</w:t>
      </w:r>
      <w:r>
        <w:t>:</w:t>
      </w:r>
    </w:p>
    <w:p w14:paraId="53BD3575" w14:textId="2E1CEB2B" w:rsidR="001504F4" w:rsidRDefault="00210972" w:rsidP="00D57B12">
      <w:pPr>
        <w:pStyle w:val="Bulletindent2"/>
      </w:pPr>
      <w:r>
        <w:t>A c</w:t>
      </w:r>
      <w:r w:rsidR="008D1B42" w:rsidRPr="00D121C1">
        <w:t>o</w:t>
      </w:r>
      <w:r w:rsidR="008D1B42" w:rsidRPr="008D1B42">
        <w:t xml:space="preserve">roner’s report </w:t>
      </w:r>
      <w:r w:rsidR="00070A1E">
        <w:t xml:space="preserve">following the death of a </w:t>
      </w:r>
      <w:r w:rsidR="00B07BDC">
        <w:t>3-month-old</w:t>
      </w:r>
      <w:r w:rsidR="00070A1E">
        <w:t xml:space="preserve"> child which was associated with severe vitamin D deficiency. </w:t>
      </w:r>
    </w:p>
    <w:p w14:paraId="04B47DD7" w14:textId="31D11068" w:rsidR="00607C6B" w:rsidRDefault="00607C6B" w:rsidP="00D57B12">
      <w:pPr>
        <w:pStyle w:val="Bulletindent2"/>
      </w:pPr>
      <w:r w:rsidRPr="00607C6B">
        <w:t xml:space="preserve">In response to a coroner's report relating to the death of a </w:t>
      </w:r>
      <w:r w:rsidR="002F4421" w:rsidRPr="00607C6B">
        <w:t>9-year-old</w:t>
      </w:r>
      <w:r w:rsidRPr="00607C6B">
        <w:t xml:space="preserve"> boy, </w:t>
      </w:r>
      <w:r w:rsidR="001504F4" w:rsidRPr="00607C6B">
        <w:t>DHSC</w:t>
      </w:r>
      <w:r w:rsidR="001504F4">
        <w:t xml:space="preserve"> asked for our contribution </w:t>
      </w:r>
      <w:r w:rsidR="00B07BDC">
        <w:t xml:space="preserve">on </w:t>
      </w:r>
      <w:r w:rsidR="001504F4" w:rsidRPr="001504F4">
        <w:t xml:space="preserve">the recognition of total body potassium depletion in children with myopathies (diseases of muscle tissue). </w:t>
      </w:r>
    </w:p>
    <w:p w14:paraId="76E2FB09" w14:textId="29B49F54" w:rsidR="00722B41" w:rsidRPr="00722B41" w:rsidRDefault="0037607A" w:rsidP="00B06FFA">
      <w:pPr>
        <w:pStyle w:val="Bulletindent2last"/>
      </w:pPr>
      <w:r w:rsidRPr="00607C6B">
        <w:t xml:space="preserve">DHSC also asked for input in the case of a </w:t>
      </w:r>
      <w:r w:rsidR="00E106A6" w:rsidRPr="00607C6B">
        <w:t xml:space="preserve">psychiatric inpatient whose cause of death was bilateral pulmonary embolism and deep vein thrombosis. </w:t>
      </w:r>
    </w:p>
    <w:p w14:paraId="4C9EB879" w14:textId="63BFECE1" w:rsidR="00264CE4" w:rsidRDefault="00264CE4" w:rsidP="00264CE4">
      <w:pPr>
        <w:pStyle w:val="Heading2boardreport"/>
      </w:pPr>
      <w:r>
        <w:t>Media</w:t>
      </w:r>
    </w:p>
    <w:p w14:paraId="6D3510C9" w14:textId="17D881F5" w:rsidR="00B64657" w:rsidRDefault="00B64657" w:rsidP="001C3967">
      <w:pPr>
        <w:pStyle w:val="NICEnormalnumbered"/>
      </w:pPr>
      <w:r w:rsidRPr="00B64657">
        <w:t xml:space="preserve">Sentiment percentages for media coverage in </w:t>
      </w:r>
      <w:r w:rsidR="00607C6B">
        <w:t>March</w:t>
      </w:r>
      <w:r w:rsidRPr="00B64657">
        <w:t xml:space="preserve"> and </w:t>
      </w:r>
      <w:r w:rsidR="00607C6B">
        <w:t>April</w:t>
      </w:r>
      <w:r w:rsidRPr="00B64657">
        <w:t xml:space="preserve"> were as follows</w:t>
      </w:r>
      <w:r w:rsidR="00B529FF">
        <w:t xml:space="preserve">:  </w:t>
      </w:r>
      <w:r w:rsidR="00607C6B">
        <w:t>p</w:t>
      </w:r>
      <w:r w:rsidRPr="00B64657">
        <w:t xml:space="preserve">ositive </w:t>
      </w:r>
      <w:r w:rsidR="00D11FFE">
        <w:t>79</w:t>
      </w:r>
      <w:r w:rsidRPr="00B64657">
        <w:t>%</w:t>
      </w:r>
      <w:r w:rsidR="00B529FF">
        <w:t xml:space="preserve">; </w:t>
      </w:r>
      <w:r w:rsidR="00607C6B">
        <w:t>n</w:t>
      </w:r>
      <w:r w:rsidRPr="00B64657">
        <w:t xml:space="preserve">eutral </w:t>
      </w:r>
      <w:r>
        <w:t>9</w:t>
      </w:r>
      <w:r w:rsidRPr="00B64657">
        <w:t>%</w:t>
      </w:r>
      <w:r w:rsidR="00B529FF">
        <w:t xml:space="preserve">; </w:t>
      </w:r>
      <w:r w:rsidR="00607C6B">
        <w:t>n</w:t>
      </w:r>
      <w:r w:rsidRPr="00B64657">
        <w:t>egative</w:t>
      </w:r>
      <w:r w:rsidR="00817286">
        <w:t xml:space="preserve"> </w:t>
      </w:r>
      <w:r w:rsidR="00D11FFE">
        <w:t>12</w:t>
      </w:r>
      <w:r w:rsidRPr="00B64657">
        <w:t>%</w:t>
      </w:r>
      <w:r w:rsidR="00722B41">
        <w:t>.</w:t>
      </w:r>
    </w:p>
    <w:p w14:paraId="1967EA56" w14:textId="58D75EC1" w:rsidR="003E2FE3" w:rsidRDefault="00D11FFE" w:rsidP="006A5186">
      <w:pPr>
        <w:pStyle w:val="NICEnormalnumbered"/>
      </w:pPr>
      <w:r w:rsidRPr="00D11FFE">
        <w:t>In April, we issued a press release and published a news story on NICE’s final guidance on chronic pain management. This received widespread coverage, including articles in the </w:t>
      </w:r>
      <w:hyperlink r:id="rId18" w:tgtFrame="_blank" w:history="1">
        <w:r w:rsidRPr="00D11FFE">
          <w:rPr>
            <w:rStyle w:val="Hyperlink"/>
          </w:rPr>
          <w:t>BMJ</w:t>
        </w:r>
      </w:hyperlink>
      <w:r w:rsidRPr="00D11FFE">
        <w:t>, </w:t>
      </w:r>
      <w:hyperlink r:id="rId19" w:tgtFrame="_blank" w:history="1">
        <w:r w:rsidRPr="00D11FFE">
          <w:rPr>
            <w:rStyle w:val="Hyperlink"/>
          </w:rPr>
          <w:t>Telegraph</w:t>
        </w:r>
      </w:hyperlink>
      <w:r w:rsidRPr="00D11FFE">
        <w:t>, </w:t>
      </w:r>
      <w:hyperlink r:id="rId20" w:tgtFrame="_blank" w:history="1">
        <w:r w:rsidRPr="00D11FFE">
          <w:rPr>
            <w:rStyle w:val="Hyperlink"/>
          </w:rPr>
          <w:t>the Times</w:t>
        </w:r>
      </w:hyperlink>
      <w:r w:rsidRPr="00D11FFE">
        <w:t> the </w:t>
      </w:r>
      <w:proofErr w:type="spellStart"/>
      <w:r w:rsidR="00DF7C36">
        <w:fldChar w:fldCharType="begin"/>
      </w:r>
      <w:r w:rsidR="00DF7C36">
        <w:instrText xml:space="preserve"> HYPERLINK "file:///\\\\nice.nhs.uk\\Data\\Communications\\Press%20and%20Media\\Coverage%20reports\\Sarah%20Graham%2008042021.pdf" \t "_blank" </w:instrText>
      </w:r>
      <w:r w:rsidR="00DF7C36">
        <w:fldChar w:fldCharType="separate"/>
      </w:r>
      <w:r w:rsidRPr="00D11FFE">
        <w:rPr>
          <w:rStyle w:val="Hyperlink"/>
        </w:rPr>
        <w:t>i</w:t>
      </w:r>
      <w:proofErr w:type="spellEnd"/>
      <w:r w:rsidR="00DF7C36">
        <w:rPr>
          <w:rStyle w:val="Hyperlink"/>
        </w:rPr>
        <w:fldChar w:fldCharType="end"/>
      </w:r>
      <w:r w:rsidRPr="00D11FFE">
        <w:t>, the </w:t>
      </w:r>
      <w:hyperlink r:id="rId21" w:tgtFrame="_blank" w:history="1">
        <w:r w:rsidRPr="00D11FFE">
          <w:rPr>
            <w:rStyle w:val="Hyperlink"/>
          </w:rPr>
          <w:t>Sun</w:t>
        </w:r>
      </w:hyperlink>
      <w:r w:rsidRPr="00D11FFE">
        <w:t>, </w:t>
      </w:r>
      <w:hyperlink r:id="rId22" w:tgtFrame="_blank" w:history="1">
        <w:r w:rsidRPr="00D11FFE">
          <w:rPr>
            <w:rStyle w:val="Hyperlink"/>
          </w:rPr>
          <w:t>Pharmaceutical Journal</w:t>
        </w:r>
      </w:hyperlink>
      <w:r w:rsidRPr="00D11FFE">
        <w:t>, </w:t>
      </w:r>
      <w:proofErr w:type="spellStart"/>
      <w:r w:rsidR="00DF7C36">
        <w:fldChar w:fldCharType="begin"/>
      </w:r>
      <w:r w:rsidR="00DF7C36">
        <w:instrText xml:space="preserve"> HYPERLINK "https://www.onmedica.com/posts/don-t-start-people-with-chronic-primary-pain-on-commonly-used-drugs-including-paracetamol-nsaids-benzodiazepines-or-opioids-says-nice-guideline?channel_id=2320-news" \t "_blank" </w:instrText>
      </w:r>
      <w:r w:rsidR="00DF7C36">
        <w:fldChar w:fldCharType="separate"/>
      </w:r>
      <w:r w:rsidRPr="00D11FFE">
        <w:rPr>
          <w:rStyle w:val="Hyperlink"/>
        </w:rPr>
        <w:t>OnMedica</w:t>
      </w:r>
      <w:proofErr w:type="spellEnd"/>
      <w:r w:rsidR="00DF7C36">
        <w:rPr>
          <w:rStyle w:val="Hyperlink"/>
        </w:rPr>
        <w:fldChar w:fldCharType="end"/>
      </w:r>
      <w:r w:rsidRPr="00D11FFE">
        <w:t>, </w:t>
      </w:r>
      <w:hyperlink r:id="rId23" w:tgtFrame="_blank" w:history="1">
        <w:r w:rsidRPr="00D11FFE">
          <w:rPr>
            <w:rStyle w:val="Hyperlink"/>
          </w:rPr>
          <w:t>Health Business</w:t>
        </w:r>
      </w:hyperlink>
      <w:r w:rsidRPr="00D11FFE">
        <w:t>, </w:t>
      </w:r>
      <w:hyperlink r:id="rId24" w:tgtFrame="_blank" w:history="1">
        <w:r w:rsidRPr="00D11FFE">
          <w:rPr>
            <w:rStyle w:val="Hyperlink"/>
          </w:rPr>
          <w:t>GM Journal</w:t>
        </w:r>
      </w:hyperlink>
      <w:r w:rsidRPr="00D11FFE">
        <w:t>, </w:t>
      </w:r>
      <w:proofErr w:type="spellStart"/>
      <w:r w:rsidR="00DF7C36">
        <w:fldChar w:fldCharType="begin"/>
      </w:r>
      <w:r w:rsidR="00DF7C36">
        <w:instrText xml:space="preserve"> HYPERLINK "https://www.pharmacy.biz/nice-issues-new-guidance-on-chronic-pain/" \t "_blank" </w:instrText>
      </w:r>
      <w:r w:rsidR="00DF7C36">
        <w:fldChar w:fldCharType="separate"/>
      </w:r>
      <w:r w:rsidRPr="00D11FFE">
        <w:rPr>
          <w:rStyle w:val="Hyperlink"/>
        </w:rPr>
        <w:t>Pharmacy.Biz</w:t>
      </w:r>
      <w:proofErr w:type="spellEnd"/>
      <w:r w:rsidR="00DF7C36">
        <w:rPr>
          <w:rStyle w:val="Hyperlink"/>
        </w:rPr>
        <w:fldChar w:fldCharType="end"/>
      </w:r>
      <w:r w:rsidRPr="00D11FFE">
        <w:t>, </w:t>
      </w:r>
      <w:hyperlink r:id="rId25" w:tgtFrame="_blank" w:history="1">
        <w:r w:rsidRPr="00D11FFE">
          <w:rPr>
            <w:rStyle w:val="Hyperlink"/>
          </w:rPr>
          <w:t>Drink and Drugs News</w:t>
        </w:r>
      </w:hyperlink>
      <w:r w:rsidRPr="00D11FFE">
        <w:t>, </w:t>
      </w:r>
      <w:hyperlink r:id="rId26" w:tgtFrame="_blank" w:history="1">
        <w:r w:rsidRPr="00D11FFE">
          <w:rPr>
            <w:rStyle w:val="Hyperlink"/>
          </w:rPr>
          <w:t>Health Club Management</w:t>
        </w:r>
      </w:hyperlink>
      <w:r w:rsidRPr="00D11FFE">
        <w:t>, </w:t>
      </w:r>
      <w:hyperlink r:id="rId27" w:tgtFrame="_blank" w:history="1">
        <w:r w:rsidRPr="00D11FFE">
          <w:rPr>
            <w:rStyle w:val="Hyperlink"/>
          </w:rPr>
          <w:t>Training Matters Magazine</w:t>
        </w:r>
      </w:hyperlink>
      <w:r w:rsidRPr="00D11FFE">
        <w:t xml:space="preserve">, and </w:t>
      </w:r>
      <w:proofErr w:type="spellStart"/>
      <w:r w:rsidRPr="00D11FFE">
        <w:t>Pharmafile</w:t>
      </w:r>
      <w:proofErr w:type="spellEnd"/>
      <w:r w:rsidRPr="00D11FFE">
        <w:t xml:space="preserve"> (no link). The </w:t>
      </w:r>
      <w:hyperlink r:id="rId28" w:tgtFrame="_blank" w:history="1">
        <w:r w:rsidRPr="00D11FFE">
          <w:rPr>
            <w:rStyle w:val="Hyperlink"/>
          </w:rPr>
          <w:t>Independent</w:t>
        </w:r>
      </w:hyperlink>
      <w:r w:rsidRPr="00D11FFE">
        <w:t> highlight</w:t>
      </w:r>
      <w:r>
        <w:t>ed</w:t>
      </w:r>
      <w:r w:rsidRPr="00D11FFE">
        <w:t xml:space="preserve"> the concerns of people currently receiving painkillers for their chronic primary pain who are critical of the decision not to prescribe these. </w:t>
      </w:r>
      <w:r>
        <w:t>A</w:t>
      </w:r>
      <w:r w:rsidRPr="00D11FFE">
        <w:t xml:space="preserve"> separate article</w:t>
      </w:r>
      <w:r>
        <w:t xml:space="preserve"> in</w:t>
      </w:r>
      <w:r w:rsidRPr="00D11FFE">
        <w:t xml:space="preserve"> the </w:t>
      </w:r>
      <w:hyperlink r:id="rId29" w:tgtFrame="_blank" w:history="1">
        <w:r w:rsidRPr="00D11FFE">
          <w:rPr>
            <w:rStyle w:val="Hyperlink"/>
          </w:rPr>
          <w:t>Independent</w:t>
        </w:r>
      </w:hyperlink>
      <w:r w:rsidRPr="00D11FFE">
        <w:t> also highlights the guideline’s main recommendations</w:t>
      </w:r>
      <w:r w:rsidR="000B2F6A">
        <w:t xml:space="preserve">. </w:t>
      </w:r>
    </w:p>
    <w:p w14:paraId="7D7B51B8" w14:textId="61ABF2C8" w:rsidR="00FE139B" w:rsidRDefault="00FE139B" w:rsidP="00FE139B">
      <w:pPr>
        <w:pStyle w:val="Heading2boardreport"/>
      </w:pPr>
      <w:r>
        <w:t>Audience ins</w:t>
      </w:r>
      <w:r w:rsidRPr="0096266C">
        <w:t>ight</w:t>
      </w:r>
      <w:r>
        <w:t>s</w:t>
      </w:r>
    </w:p>
    <w:p w14:paraId="5ACBCD0A" w14:textId="487A5C6D" w:rsidR="00E01291" w:rsidRDefault="00E01291" w:rsidP="000B2F6A">
      <w:pPr>
        <w:pStyle w:val="NICEnormalnumbered"/>
      </w:pPr>
      <w:r w:rsidRPr="00E01291">
        <w:t xml:space="preserve">We have </w:t>
      </w:r>
      <w:r w:rsidR="00BA052E">
        <w:t xml:space="preserve">now </w:t>
      </w:r>
      <w:r w:rsidRPr="00E01291">
        <w:t xml:space="preserve">commissioned an agency to run the reputation research (scheduled for </w:t>
      </w:r>
      <w:r>
        <w:t>Q</w:t>
      </w:r>
      <w:r w:rsidRPr="00E01291">
        <w:t>2 2021)</w:t>
      </w:r>
      <w:r>
        <w:t xml:space="preserve">. This is a biennial </w:t>
      </w:r>
      <w:r w:rsidR="002F4421">
        <w:t>review,</w:t>
      </w:r>
      <w:r>
        <w:t xml:space="preserve"> and our new contract provides us with three waves that will help measure </w:t>
      </w:r>
      <w:r w:rsidR="00BA052E">
        <w:t>perception and progress</w:t>
      </w:r>
      <w:r>
        <w:t xml:space="preserve"> across the 5-year strategy period. </w:t>
      </w:r>
    </w:p>
    <w:p w14:paraId="5DA3D3DB" w14:textId="3F5EB6DD" w:rsidR="007F353A" w:rsidRDefault="00E01291" w:rsidP="00722B41">
      <w:pPr>
        <w:pStyle w:val="NICEnormalnumbered"/>
        <w:ind w:left="644"/>
      </w:pPr>
      <w:r w:rsidRPr="00E01291">
        <w:lastRenderedPageBreak/>
        <w:t xml:space="preserve">We are </w:t>
      </w:r>
      <w:r w:rsidR="00BA052E">
        <w:t xml:space="preserve">also </w:t>
      </w:r>
      <w:r w:rsidRPr="00E01291">
        <w:t xml:space="preserve">refreshing and growing the insight community (our panel of </w:t>
      </w:r>
      <w:r w:rsidR="00D574CD">
        <w:t>approximately</w:t>
      </w:r>
      <w:r w:rsidR="00817286">
        <w:t xml:space="preserve"> </w:t>
      </w:r>
      <w:r w:rsidRPr="00E01291">
        <w:t xml:space="preserve">1,800 users from across the health and care system) to enable us to </w:t>
      </w:r>
      <w:proofErr w:type="gramStart"/>
      <w:r w:rsidRPr="00E01291">
        <w:t>quick</w:t>
      </w:r>
      <w:r w:rsidR="00BA052E">
        <w:t>ly</w:t>
      </w:r>
      <w:r w:rsidRPr="00E01291">
        <w:t xml:space="preserve"> and effectively conduct research</w:t>
      </w:r>
      <w:proofErr w:type="gramEnd"/>
      <w:r w:rsidR="00722B41">
        <w:t xml:space="preserve"> on specific activities or projects</w:t>
      </w:r>
      <w:r w:rsidR="00BA052E">
        <w:t>.</w:t>
      </w:r>
      <w:bookmarkStart w:id="2" w:name="_Hlk61455345"/>
    </w:p>
    <w:p w14:paraId="0A6FF3C7" w14:textId="77777777" w:rsidR="00684008" w:rsidRPr="00684008" w:rsidRDefault="00684008" w:rsidP="00684008">
      <w:pPr>
        <w:pStyle w:val="Heading2boardreport"/>
      </w:pPr>
      <w:r>
        <w:t>Risks</w:t>
      </w:r>
    </w:p>
    <w:p w14:paraId="03E7DFCE" w14:textId="5D65D976" w:rsidR="00684008" w:rsidRDefault="000B2F6A" w:rsidP="00684008">
      <w:pPr>
        <w:pStyle w:val="NICEnormalnumbered"/>
      </w:pPr>
      <w:r>
        <w:t xml:space="preserve">The main risk to the </w:t>
      </w:r>
      <w:r w:rsidR="00684008" w:rsidRPr="00684008">
        <w:t xml:space="preserve">Communications Directorate </w:t>
      </w:r>
      <w:r>
        <w:t xml:space="preserve">continues to </w:t>
      </w:r>
      <w:r w:rsidR="002F4421">
        <w:t xml:space="preserve">be </w:t>
      </w:r>
      <w:r>
        <w:t xml:space="preserve">one </w:t>
      </w:r>
      <w:r w:rsidR="002F4421">
        <w:t>of</w:t>
      </w:r>
      <w:r>
        <w:t xml:space="preserve"> insufficient capacity </w:t>
      </w:r>
      <w:r w:rsidR="00684008" w:rsidRPr="00684008">
        <w:t>to fully support the implementation of the 5-year strategic plan</w:t>
      </w:r>
      <w:r>
        <w:t>. W</w:t>
      </w:r>
      <w:r w:rsidR="00684008" w:rsidRPr="00684008">
        <w:t>e are addressing this risk with changes to the way we work across the directorate and recruiting a</w:t>
      </w:r>
      <w:r>
        <w:t>n additional</w:t>
      </w:r>
      <w:r w:rsidR="00684008" w:rsidRPr="00684008">
        <w:t xml:space="preserve"> senior post in Q1 of 2021-22. </w:t>
      </w:r>
    </w:p>
    <w:p w14:paraId="27545C36" w14:textId="77777777" w:rsidR="00353D3A" w:rsidRDefault="00353D3A" w:rsidP="00353D3A">
      <w:pPr>
        <w:pStyle w:val="NICEnormalnumbered"/>
        <w:numPr>
          <w:ilvl w:val="0"/>
          <w:numId w:val="0"/>
        </w:numPr>
        <w:ind w:left="501"/>
      </w:pPr>
    </w:p>
    <w:bookmarkEnd w:id="2"/>
    <w:p w14:paraId="7837505D" w14:textId="5432A2E9" w:rsidR="00EB1C36" w:rsidRDefault="00EB1C36" w:rsidP="008A6557">
      <w:pPr>
        <w:pStyle w:val="NICEnormal"/>
      </w:pPr>
      <w:r w:rsidRPr="00070124">
        <w:t xml:space="preserve">NICE </w:t>
      </w:r>
      <w:r w:rsidR="00467D92">
        <w:t>202</w:t>
      </w:r>
      <w:r w:rsidR="004F176A">
        <w:t>1</w:t>
      </w:r>
      <w:r w:rsidRPr="00070124">
        <w:t xml:space="preserve">. All rights reserved. </w:t>
      </w:r>
      <w:hyperlink r:id="rId30" w:anchor="notice-of-rights" w:history="1">
        <w:r w:rsidRPr="00070124">
          <w:rPr>
            <w:rStyle w:val="Hyperlink"/>
          </w:rPr>
          <w:t>Subject to Notice of rights</w:t>
        </w:r>
      </w:hyperlink>
      <w:r w:rsidRPr="00070124">
        <w:t>.</w:t>
      </w:r>
    </w:p>
    <w:p w14:paraId="35A0AB4C" w14:textId="1B2E9184" w:rsidR="00722B41" w:rsidRPr="00070124" w:rsidRDefault="00722B41" w:rsidP="008A6557">
      <w:pPr>
        <w:pStyle w:val="NICEnormal"/>
      </w:pPr>
      <w:r>
        <w:t>May 2021</w:t>
      </w:r>
    </w:p>
    <w:sectPr w:rsidR="00722B41" w:rsidRPr="00070124" w:rsidSect="00617519">
      <w:headerReference w:type="default" r:id="rId31"/>
      <w:footerReference w:type="default" r:id="rId32"/>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4F82" w14:textId="77777777" w:rsidR="00DF7C36" w:rsidRDefault="00DF7C36">
      <w:r>
        <w:separator/>
      </w:r>
    </w:p>
  </w:endnote>
  <w:endnote w:type="continuationSeparator" w:id="0">
    <w:p w14:paraId="78AA79E0" w14:textId="77777777" w:rsidR="00DF7C36" w:rsidRDefault="00DF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EE61" w14:textId="77777777" w:rsidR="00EB1C36" w:rsidRPr="00BA589F" w:rsidRDefault="00EB1C36" w:rsidP="00C30FD9">
    <w:pPr>
      <w:pStyle w:val="Footer"/>
    </w:pPr>
  </w:p>
  <w:p w14:paraId="06C7B2A5"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353D3A">
      <w:fldChar w:fldCharType="begin"/>
    </w:r>
    <w:r w:rsidR="00353D3A">
      <w:instrText xml:space="preserve"> NUMPAGES  \* Arabic  \* MERGEFORMAT </w:instrText>
    </w:r>
    <w:r w:rsidR="00353D3A">
      <w:fldChar w:fldCharType="separate"/>
    </w:r>
    <w:r w:rsidRPr="00BA589F">
      <w:t>7</w:t>
    </w:r>
    <w:r w:rsidR="00353D3A">
      <w:fldChar w:fldCharType="end"/>
    </w:r>
  </w:p>
  <w:p w14:paraId="361D13C9" w14:textId="1C710CAF" w:rsidR="00EB1C36" w:rsidRPr="00353D3A" w:rsidRDefault="00353D3A" w:rsidP="00CF7AE3">
    <w:pPr>
      <w:pStyle w:val="Footer"/>
    </w:pPr>
    <w:r w:rsidRPr="00353D3A">
      <w:t xml:space="preserve">Communications Directorate progress report </w:t>
    </w:r>
  </w:p>
  <w:p w14:paraId="148CCBD1" w14:textId="5C3CCDD4" w:rsidR="00EB1C36" w:rsidRPr="00353D3A" w:rsidRDefault="00353D3A" w:rsidP="00DD58F8">
    <w:pPr>
      <w:pStyle w:val="Footer"/>
    </w:pPr>
    <w:r w:rsidRPr="00353D3A">
      <w:t>Date: 19 May 2021</w:t>
    </w:r>
  </w:p>
  <w:p w14:paraId="7873DF26" w14:textId="36296139" w:rsidR="00EB1C36" w:rsidRPr="00BA589F" w:rsidRDefault="00EB1C36" w:rsidP="00DD58F8">
    <w:pPr>
      <w:pStyle w:val="Footer"/>
    </w:pPr>
    <w:r w:rsidRPr="00353D3A">
      <w:t>Reference</w:t>
    </w:r>
    <w:r w:rsidR="00353D3A" w:rsidRPr="00353D3A">
      <w:t>: 21/047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C28D" w14:textId="77777777" w:rsidR="00DF7C36" w:rsidRDefault="00DF7C36">
      <w:r>
        <w:separator/>
      </w:r>
    </w:p>
  </w:footnote>
  <w:footnote w:type="continuationSeparator" w:id="0">
    <w:p w14:paraId="49C6D557" w14:textId="77777777" w:rsidR="00DF7C36" w:rsidRDefault="00DF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2EA1" w14:textId="1509A7F2" w:rsidR="00EB1C36" w:rsidRPr="002F15CF" w:rsidRDefault="002F15CF" w:rsidP="002F15CF">
    <w:pPr>
      <w:pStyle w:val="Header"/>
      <w:ind w:left="0"/>
      <w:jc w:val="right"/>
    </w:pPr>
    <w:r w:rsidRPr="00F07534">
      <w:t xml:space="preserve">Item </w:t>
    </w:r>
    <w:r w:rsidR="00EA544B">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50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6C9514E"/>
    <w:multiLevelType w:val="hybridMultilevel"/>
    <w:tmpl w:val="BA2A6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F571B1"/>
    <w:multiLevelType w:val="hybridMultilevel"/>
    <w:tmpl w:val="AC364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C43D4"/>
    <w:multiLevelType w:val="hybridMultilevel"/>
    <w:tmpl w:val="A1326EB2"/>
    <w:lvl w:ilvl="0" w:tplc="2586D94E">
      <w:start w:val="1"/>
      <w:numFmt w:val="bullet"/>
      <w:lvlText w:val=""/>
      <w:lvlJc w:val="left"/>
      <w:pPr>
        <w:tabs>
          <w:tab w:val="num" w:pos="720"/>
        </w:tabs>
        <w:ind w:left="720" w:hanging="360"/>
      </w:pPr>
      <w:rPr>
        <w:rFonts w:ascii="Symbol" w:hAnsi="Symbol" w:hint="default"/>
      </w:rPr>
    </w:lvl>
    <w:lvl w:ilvl="1" w:tplc="3B86024A" w:tentative="1">
      <w:start w:val="1"/>
      <w:numFmt w:val="bullet"/>
      <w:lvlText w:val=""/>
      <w:lvlJc w:val="left"/>
      <w:pPr>
        <w:tabs>
          <w:tab w:val="num" w:pos="1440"/>
        </w:tabs>
        <w:ind w:left="1440" w:hanging="360"/>
      </w:pPr>
      <w:rPr>
        <w:rFonts w:ascii="Symbol" w:hAnsi="Symbol" w:hint="default"/>
      </w:rPr>
    </w:lvl>
    <w:lvl w:ilvl="2" w:tplc="39E21654" w:tentative="1">
      <w:start w:val="1"/>
      <w:numFmt w:val="bullet"/>
      <w:lvlText w:val=""/>
      <w:lvlJc w:val="left"/>
      <w:pPr>
        <w:tabs>
          <w:tab w:val="num" w:pos="2160"/>
        </w:tabs>
        <w:ind w:left="2160" w:hanging="360"/>
      </w:pPr>
      <w:rPr>
        <w:rFonts w:ascii="Symbol" w:hAnsi="Symbol" w:hint="default"/>
      </w:rPr>
    </w:lvl>
    <w:lvl w:ilvl="3" w:tplc="D59C752E" w:tentative="1">
      <w:start w:val="1"/>
      <w:numFmt w:val="bullet"/>
      <w:lvlText w:val=""/>
      <w:lvlJc w:val="left"/>
      <w:pPr>
        <w:tabs>
          <w:tab w:val="num" w:pos="2880"/>
        </w:tabs>
        <w:ind w:left="2880" w:hanging="360"/>
      </w:pPr>
      <w:rPr>
        <w:rFonts w:ascii="Symbol" w:hAnsi="Symbol" w:hint="default"/>
      </w:rPr>
    </w:lvl>
    <w:lvl w:ilvl="4" w:tplc="C276B59E" w:tentative="1">
      <w:start w:val="1"/>
      <w:numFmt w:val="bullet"/>
      <w:lvlText w:val=""/>
      <w:lvlJc w:val="left"/>
      <w:pPr>
        <w:tabs>
          <w:tab w:val="num" w:pos="3600"/>
        </w:tabs>
        <w:ind w:left="3600" w:hanging="360"/>
      </w:pPr>
      <w:rPr>
        <w:rFonts w:ascii="Symbol" w:hAnsi="Symbol" w:hint="default"/>
      </w:rPr>
    </w:lvl>
    <w:lvl w:ilvl="5" w:tplc="EAAC699E" w:tentative="1">
      <w:start w:val="1"/>
      <w:numFmt w:val="bullet"/>
      <w:lvlText w:val=""/>
      <w:lvlJc w:val="left"/>
      <w:pPr>
        <w:tabs>
          <w:tab w:val="num" w:pos="4320"/>
        </w:tabs>
        <w:ind w:left="4320" w:hanging="360"/>
      </w:pPr>
      <w:rPr>
        <w:rFonts w:ascii="Symbol" w:hAnsi="Symbol" w:hint="default"/>
      </w:rPr>
    </w:lvl>
    <w:lvl w:ilvl="6" w:tplc="47088FC0" w:tentative="1">
      <w:start w:val="1"/>
      <w:numFmt w:val="bullet"/>
      <w:lvlText w:val=""/>
      <w:lvlJc w:val="left"/>
      <w:pPr>
        <w:tabs>
          <w:tab w:val="num" w:pos="5040"/>
        </w:tabs>
        <w:ind w:left="5040" w:hanging="360"/>
      </w:pPr>
      <w:rPr>
        <w:rFonts w:ascii="Symbol" w:hAnsi="Symbol" w:hint="default"/>
      </w:rPr>
    </w:lvl>
    <w:lvl w:ilvl="7" w:tplc="23363A30" w:tentative="1">
      <w:start w:val="1"/>
      <w:numFmt w:val="bullet"/>
      <w:lvlText w:val=""/>
      <w:lvlJc w:val="left"/>
      <w:pPr>
        <w:tabs>
          <w:tab w:val="num" w:pos="5760"/>
        </w:tabs>
        <w:ind w:left="5760" w:hanging="360"/>
      </w:pPr>
      <w:rPr>
        <w:rFonts w:ascii="Symbol" w:hAnsi="Symbol" w:hint="default"/>
      </w:rPr>
    </w:lvl>
    <w:lvl w:ilvl="8" w:tplc="A2EA884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AD0721"/>
    <w:multiLevelType w:val="hybridMultilevel"/>
    <w:tmpl w:val="7B7CD0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100C5"/>
    <w:multiLevelType w:val="hybridMultilevel"/>
    <w:tmpl w:val="6A5CC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2D7B7A"/>
    <w:multiLevelType w:val="hybridMultilevel"/>
    <w:tmpl w:val="BA38A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D1606FE"/>
    <w:multiLevelType w:val="hybridMultilevel"/>
    <w:tmpl w:val="C6704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9"/>
  </w:num>
  <w:num w:numId="3">
    <w:abstractNumId w:val="18"/>
  </w:num>
  <w:num w:numId="4">
    <w:abstractNumId w:val="19"/>
  </w:num>
  <w:num w:numId="5">
    <w:abstractNumId w:val="5"/>
  </w:num>
  <w:num w:numId="6">
    <w:abstractNumId w:val="9"/>
  </w:num>
  <w:num w:numId="7">
    <w:abstractNumId w:val="14"/>
  </w:num>
  <w:num w:numId="8">
    <w:abstractNumId w:val="16"/>
  </w:num>
  <w:num w:numId="9">
    <w:abstractNumId w:val="21"/>
  </w:num>
  <w:num w:numId="10">
    <w:abstractNumId w:val="8"/>
  </w:num>
  <w:num w:numId="11">
    <w:abstractNumId w:val="26"/>
  </w:num>
  <w:num w:numId="12">
    <w:abstractNumId w:val="12"/>
  </w:num>
  <w:num w:numId="13">
    <w:abstractNumId w:val="20"/>
  </w:num>
  <w:num w:numId="14">
    <w:abstractNumId w:val="24"/>
  </w:num>
  <w:num w:numId="15">
    <w:abstractNumId w:val="13"/>
  </w:num>
  <w:num w:numId="16">
    <w:abstractNumId w:val="1"/>
  </w:num>
  <w:num w:numId="17">
    <w:abstractNumId w:val="2"/>
  </w:num>
  <w:num w:numId="18">
    <w:abstractNumId w:val="10"/>
  </w:num>
  <w:num w:numId="19">
    <w:abstractNumId w:val="15"/>
  </w:num>
  <w:num w:numId="20">
    <w:abstractNumId w:val="7"/>
  </w:num>
  <w:num w:numId="21">
    <w:abstractNumId w:val="28"/>
  </w:num>
  <w:num w:numId="22">
    <w:abstractNumId w:val="25"/>
  </w:num>
  <w:num w:numId="23">
    <w:abstractNumId w:val="30"/>
  </w:num>
  <w:num w:numId="24">
    <w:abstractNumId w:val="11"/>
  </w:num>
  <w:num w:numId="25">
    <w:abstractNumId w:val="4"/>
  </w:num>
  <w:num w:numId="26">
    <w:abstractNumId w:val="4"/>
    <w:lvlOverride w:ilvl="0">
      <w:startOverride w:val="1"/>
    </w:lvlOverride>
  </w:num>
  <w:num w:numId="27">
    <w:abstractNumId w:val="17"/>
  </w:num>
  <w:num w:numId="28">
    <w:abstractNumId w:val="30"/>
    <w:lvlOverride w:ilvl="0">
      <w:startOverride w:val="1"/>
    </w:lvlOverride>
  </w:num>
  <w:num w:numId="29">
    <w:abstractNumId w:val="4"/>
    <w:lvlOverride w:ilvl="0">
      <w:startOverride w:val="1"/>
    </w:lvlOverride>
  </w:num>
  <w:num w:numId="30">
    <w:abstractNumId w:val="25"/>
  </w:num>
  <w:num w:numId="31">
    <w:abstractNumId w:val="33"/>
  </w:num>
  <w:num w:numId="32">
    <w:abstractNumId w:val="0"/>
  </w:num>
  <w:num w:numId="33">
    <w:abstractNumId w:val="4"/>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27"/>
  </w:num>
  <w:num w:numId="47">
    <w:abstractNumId w:val="32"/>
  </w:num>
  <w:num w:numId="48">
    <w:abstractNumId w:val="31"/>
  </w:num>
  <w:num w:numId="4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74"/>
    <w:rsid w:val="000054A7"/>
    <w:rsid w:val="000119FB"/>
    <w:rsid w:val="000211F8"/>
    <w:rsid w:val="000242AA"/>
    <w:rsid w:val="00037192"/>
    <w:rsid w:val="00040615"/>
    <w:rsid w:val="000530C9"/>
    <w:rsid w:val="00055F84"/>
    <w:rsid w:val="000562E9"/>
    <w:rsid w:val="00070A1E"/>
    <w:rsid w:val="0008102D"/>
    <w:rsid w:val="00092789"/>
    <w:rsid w:val="00095B5D"/>
    <w:rsid w:val="000A12AB"/>
    <w:rsid w:val="000A1EC0"/>
    <w:rsid w:val="000B2F6A"/>
    <w:rsid w:val="000B3B17"/>
    <w:rsid w:val="000B6290"/>
    <w:rsid w:val="000B64FE"/>
    <w:rsid w:val="000C4168"/>
    <w:rsid w:val="000C6870"/>
    <w:rsid w:val="000D528A"/>
    <w:rsid w:val="000E0DD8"/>
    <w:rsid w:val="000E6C5F"/>
    <w:rsid w:val="00101F34"/>
    <w:rsid w:val="001172E1"/>
    <w:rsid w:val="00120CA0"/>
    <w:rsid w:val="001219F1"/>
    <w:rsid w:val="001234A1"/>
    <w:rsid w:val="00123D3F"/>
    <w:rsid w:val="00131EB8"/>
    <w:rsid w:val="00145277"/>
    <w:rsid w:val="00145664"/>
    <w:rsid w:val="001504F4"/>
    <w:rsid w:val="00160097"/>
    <w:rsid w:val="00161AA0"/>
    <w:rsid w:val="0017363C"/>
    <w:rsid w:val="00176516"/>
    <w:rsid w:val="0018040E"/>
    <w:rsid w:val="001B0506"/>
    <w:rsid w:val="001C032E"/>
    <w:rsid w:val="001E0513"/>
    <w:rsid w:val="001E20F3"/>
    <w:rsid w:val="001E72A2"/>
    <w:rsid w:val="00207659"/>
    <w:rsid w:val="00210343"/>
    <w:rsid w:val="00210972"/>
    <w:rsid w:val="002169E7"/>
    <w:rsid w:val="00235CAB"/>
    <w:rsid w:val="00244B1A"/>
    <w:rsid w:val="00247EE5"/>
    <w:rsid w:val="0025146D"/>
    <w:rsid w:val="002516F0"/>
    <w:rsid w:val="00251D56"/>
    <w:rsid w:val="002526E6"/>
    <w:rsid w:val="002535B1"/>
    <w:rsid w:val="002643A2"/>
    <w:rsid w:val="00264CE4"/>
    <w:rsid w:val="00267EFF"/>
    <w:rsid w:val="002A08E0"/>
    <w:rsid w:val="002A15A9"/>
    <w:rsid w:val="002A3712"/>
    <w:rsid w:val="002C30B4"/>
    <w:rsid w:val="002C3FAA"/>
    <w:rsid w:val="002F0ABF"/>
    <w:rsid w:val="002F15CF"/>
    <w:rsid w:val="002F4421"/>
    <w:rsid w:val="00306D34"/>
    <w:rsid w:val="00311A7B"/>
    <w:rsid w:val="00312CE0"/>
    <w:rsid w:val="0031664C"/>
    <w:rsid w:val="00322374"/>
    <w:rsid w:val="00331FD0"/>
    <w:rsid w:val="003330E6"/>
    <w:rsid w:val="00335E56"/>
    <w:rsid w:val="003410B8"/>
    <w:rsid w:val="0034558E"/>
    <w:rsid w:val="003469A4"/>
    <w:rsid w:val="00353D3A"/>
    <w:rsid w:val="00353D3E"/>
    <w:rsid w:val="00362226"/>
    <w:rsid w:val="00370B5F"/>
    <w:rsid w:val="0037607A"/>
    <w:rsid w:val="00377251"/>
    <w:rsid w:val="00377E36"/>
    <w:rsid w:val="00384C75"/>
    <w:rsid w:val="00390174"/>
    <w:rsid w:val="00391F59"/>
    <w:rsid w:val="003A7F7A"/>
    <w:rsid w:val="003B0A90"/>
    <w:rsid w:val="003B1379"/>
    <w:rsid w:val="003B27FE"/>
    <w:rsid w:val="003C36AC"/>
    <w:rsid w:val="003D6E4D"/>
    <w:rsid w:val="003E2FE3"/>
    <w:rsid w:val="003E54F6"/>
    <w:rsid w:val="004146EE"/>
    <w:rsid w:val="0041474B"/>
    <w:rsid w:val="0043118D"/>
    <w:rsid w:val="004322D2"/>
    <w:rsid w:val="004519B2"/>
    <w:rsid w:val="004539EE"/>
    <w:rsid w:val="00461997"/>
    <w:rsid w:val="0046488C"/>
    <w:rsid w:val="00467D92"/>
    <w:rsid w:val="00473E4F"/>
    <w:rsid w:val="004820E9"/>
    <w:rsid w:val="0048361F"/>
    <w:rsid w:val="00484FE9"/>
    <w:rsid w:val="00485B88"/>
    <w:rsid w:val="0048757B"/>
    <w:rsid w:val="004914C0"/>
    <w:rsid w:val="004A3699"/>
    <w:rsid w:val="004B3050"/>
    <w:rsid w:val="004B514C"/>
    <w:rsid w:val="004C27D9"/>
    <w:rsid w:val="004D232A"/>
    <w:rsid w:val="004D4274"/>
    <w:rsid w:val="004E72E7"/>
    <w:rsid w:val="004F176A"/>
    <w:rsid w:val="004F470C"/>
    <w:rsid w:val="00526C07"/>
    <w:rsid w:val="005333F5"/>
    <w:rsid w:val="0053387C"/>
    <w:rsid w:val="00555B4B"/>
    <w:rsid w:val="00572113"/>
    <w:rsid w:val="005829F1"/>
    <w:rsid w:val="00584808"/>
    <w:rsid w:val="005860F4"/>
    <w:rsid w:val="005866B1"/>
    <w:rsid w:val="00592A53"/>
    <w:rsid w:val="00597E8B"/>
    <w:rsid w:val="005A5E10"/>
    <w:rsid w:val="005B46B0"/>
    <w:rsid w:val="005B7D85"/>
    <w:rsid w:val="005C051F"/>
    <w:rsid w:val="005C762E"/>
    <w:rsid w:val="005D098C"/>
    <w:rsid w:val="005D67F5"/>
    <w:rsid w:val="005E5ABA"/>
    <w:rsid w:val="005F08B4"/>
    <w:rsid w:val="005F24B3"/>
    <w:rsid w:val="00601691"/>
    <w:rsid w:val="00603E56"/>
    <w:rsid w:val="00605DC0"/>
    <w:rsid w:val="00605F4B"/>
    <w:rsid w:val="0060662A"/>
    <w:rsid w:val="00607C6B"/>
    <w:rsid w:val="00610288"/>
    <w:rsid w:val="00614BDA"/>
    <w:rsid w:val="00617519"/>
    <w:rsid w:val="00617A90"/>
    <w:rsid w:val="006210DA"/>
    <w:rsid w:val="00622EAA"/>
    <w:rsid w:val="006331B4"/>
    <w:rsid w:val="006343F3"/>
    <w:rsid w:val="00642906"/>
    <w:rsid w:val="006571D4"/>
    <w:rsid w:val="0066205C"/>
    <w:rsid w:val="00665A82"/>
    <w:rsid w:val="006718E8"/>
    <w:rsid w:val="00674993"/>
    <w:rsid w:val="00680B94"/>
    <w:rsid w:val="00682B93"/>
    <w:rsid w:val="00684008"/>
    <w:rsid w:val="006A5186"/>
    <w:rsid w:val="006A721F"/>
    <w:rsid w:val="006B038E"/>
    <w:rsid w:val="006B319B"/>
    <w:rsid w:val="006C06EA"/>
    <w:rsid w:val="006C2BEE"/>
    <w:rsid w:val="006C648F"/>
    <w:rsid w:val="006D4AE9"/>
    <w:rsid w:val="006D73F1"/>
    <w:rsid w:val="006F6701"/>
    <w:rsid w:val="0072098D"/>
    <w:rsid w:val="00720B8A"/>
    <w:rsid w:val="00722B41"/>
    <w:rsid w:val="007277C3"/>
    <w:rsid w:val="00732519"/>
    <w:rsid w:val="007371F9"/>
    <w:rsid w:val="00737F9C"/>
    <w:rsid w:val="00740DC0"/>
    <w:rsid w:val="007449ED"/>
    <w:rsid w:val="007739BF"/>
    <w:rsid w:val="00780B41"/>
    <w:rsid w:val="00782647"/>
    <w:rsid w:val="007829EA"/>
    <w:rsid w:val="00792A40"/>
    <w:rsid w:val="007A174B"/>
    <w:rsid w:val="007A4EEE"/>
    <w:rsid w:val="007B1CC8"/>
    <w:rsid w:val="007B6772"/>
    <w:rsid w:val="007F287E"/>
    <w:rsid w:val="007F353A"/>
    <w:rsid w:val="00813C5B"/>
    <w:rsid w:val="00817286"/>
    <w:rsid w:val="008279E4"/>
    <w:rsid w:val="00830F6F"/>
    <w:rsid w:val="00833A1D"/>
    <w:rsid w:val="00845374"/>
    <w:rsid w:val="008505C3"/>
    <w:rsid w:val="00862C0C"/>
    <w:rsid w:val="0086608E"/>
    <w:rsid w:val="008853CB"/>
    <w:rsid w:val="00886FFB"/>
    <w:rsid w:val="00891525"/>
    <w:rsid w:val="00891D22"/>
    <w:rsid w:val="00893BE1"/>
    <w:rsid w:val="008A233F"/>
    <w:rsid w:val="008A3CB5"/>
    <w:rsid w:val="008A6557"/>
    <w:rsid w:val="008C782E"/>
    <w:rsid w:val="008D1B42"/>
    <w:rsid w:val="008D6069"/>
    <w:rsid w:val="008E357A"/>
    <w:rsid w:val="008E7585"/>
    <w:rsid w:val="00904853"/>
    <w:rsid w:val="00904AB0"/>
    <w:rsid w:val="00910F3E"/>
    <w:rsid w:val="009126EC"/>
    <w:rsid w:val="00921354"/>
    <w:rsid w:val="0093435F"/>
    <w:rsid w:val="0094366C"/>
    <w:rsid w:val="009447D1"/>
    <w:rsid w:val="00947D34"/>
    <w:rsid w:val="00950B27"/>
    <w:rsid w:val="00950D21"/>
    <w:rsid w:val="0095223F"/>
    <w:rsid w:val="00953ADF"/>
    <w:rsid w:val="00967167"/>
    <w:rsid w:val="00971131"/>
    <w:rsid w:val="009712DE"/>
    <w:rsid w:val="0097304F"/>
    <w:rsid w:val="00981FF5"/>
    <w:rsid w:val="009820CA"/>
    <w:rsid w:val="00984EF4"/>
    <w:rsid w:val="009871F3"/>
    <w:rsid w:val="0099347B"/>
    <w:rsid w:val="009A0289"/>
    <w:rsid w:val="009B621A"/>
    <w:rsid w:val="009C3387"/>
    <w:rsid w:val="009C45D9"/>
    <w:rsid w:val="009D407F"/>
    <w:rsid w:val="00A06657"/>
    <w:rsid w:val="00A11C9B"/>
    <w:rsid w:val="00A13363"/>
    <w:rsid w:val="00A24C1C"/>
    <w:rsid w:val="00A254C1"/>
    <w:rsid w:val="00A36575"/>
    <w:rsid w:val="00A40375"/>
    <w:rsid w:val="00A663FB"/>
    <w:rsid w:val="00A71CCE"/>
    <w:rsid w:val="00A75F8A"/>
    <w:rsid w:val="00A77BD3"/>
    <w:rsid w:val="00A86D3D"/>
    <w:rsid w:val="00A87807"/>
    <w:rsid w:val="00A956DE"/>
    <w:rsid w:val="00A96141"/>
    <w:rsid w:val="00A96ECD"/>
    <w:rsid w:val="00AA5C96"/>
    <w:rsid w:val="00AB1805"/>
    <w:rsid w:val="00AB2948"/>
    <w:rsid w:val="00AB39FA"/>
    <w:rsid w:val="00AB4FA2"/>
    <w:rsid w:val="00AC03D0"/>
    <w:rsid w:val="00AD1A50"/>
    <w:rsid w:val="00AD5CB7"/>
    <w:rsid w:val="00AD5E0B"/>
    <w:rsid w:val="00AD6933"/>
    <w:rsid w:val="00AD6B7B"/>
    <w:rsid w:val="00AE5EC0"/>
    <w:rsid w:val="00AF4F63"/>
    <w:rsid w:val="00AF718A"/>
    <w:rsid w:val="00B041E7"/>
    <w:rsid w:val="00B07BDC"/>
    <w:rsid w:val="00B14B34"/>
    <w:rsid w:val="00B15262"/>
    <w:rsid w:val="00B23934"/>
    <w:rsid w:val="00B25839"/>
    <w:rsid w:val="00B44330"/>
    <w:rsid w:val="00B529FF"/>
    <w:rsid w:val="00B53F24"/>
    <w:rsid w:val="00B60D70"/>
    <w:rsid w:val="00B64657"/>
    <w:rsid w:val="00B7066C"/>
    <w:rsid w:val="00B84BC1"/>
    <w:rsid w:val="00BA0179"/>
    <w:rsid w:val="00BA052E"/>
    <w:rsid w:val="00BA51EA"/>
    <w:rsid w:val="00BA589F"/>
    <w:rsid w:val="00BB047B"/>
    <w:rsid w:val="00BB6398"/>
    <w:rsid w:val="00BC0E86"/>
    <w:rsid w:val="00BD0372"/>
    <w:rsid w:val="00BD246E"/>
    <w:rsid w:val="00BE1932"/>
    <w:rsid w:val="00BF4768"/>
    <w:rsid w:val="00C04D56"/>
    <w:rsid w:val="00C139CA"/>
    <w:rsid w:val="00C169B8"/>
    <w:rsid w:val="00C433C5"/>
    <w:rsid w:val="00C50B81"/>
    <w:rsid w:val="00C51429"/>
    <w:rsid w:val="00C5387C"/>
    <w:rsid w:val="00C81BC1"/>
    <w:rsid w:val="00C83F69"/>
    <w:rsid w:val="00C940E5"/>
    <w:rsid w:val="00CA3397"/>
    <w:rsid w:val="00CA33E1"/>
    <w:rsid w:val="00CA5FD0"/>
    <w:rsid w:val="00CB6BEB"/>
    <w:rsid w:val="00CC292F"/>
    <w:rsid w:val="00CC3D51"/>
    <w:rsid w:val="00CD46AD"/>
    <w:rsid w:val="00CE6B2C"/>
    <w:rsid w:val="00CE7855"/>
    <w:rsid w:val="00CF5C23"/>
    <w:rsid w:val="00D11FFE"/>
    <w:rsid w:val="00D121C1"/>
    <w:rsid w:val="00D16AB6"/>
    <w:rsid w:val="00D3023A"/>
    <w:rsid w:val="00D3612A"/>
    <w:rsid w:val="00D36A44"/>
    <w:rsid w:val="00D37703"/>
    <w:rsid w:val="00D37F25"/>
    <w:rsid w:val="00D453F6"/>
    <w:rsid w:val="00D574CD"/>
    <w:rsid w:val="00D57B12"/>
    <w:rsid w:val="00D60D8D"/>
    <w:rsid w:val="00D67B81"/>
    <w:rsid w:val="00D70F31"/>
    <w:rsid w:val="00D7127A"/>
    <w:rsid w:val="00D72BE6"/>
    <w:rsid w:val="00D73C98"/>
    <w:rsid w:val="00D878C9"/>
    <w:rsid w:val="00D933B0"/>
    <w:rsid w:val="00D96220"/>
    <w:rsid w:val="00DA11DD"/>
    <w:rsid w:val="00DC0120"/>
    <w:rsid w:val="00DD3F86"/>
    <w:rsid w:val="00DE4019"/>
    <w:rsid w:val="00DE643F"/>
    <w:rsid w:val="00DF0CD2"/>
    <w:rsid w:val="00DF12C9"/>
    <w:rsid w:val="00DF7C36"/>
    <w:rsid w:val="00E01291"/>
    <w:rsid w:val="00E106A6"/>
    <w:rsid w:val="00E15983"/>
    <w:rsid w:val="00E2509B"/>
    <w:rsid w:val="00E37278"/>
    <w:rsid w:val="00E44913"/>
    <w:rsid w:val="00E4622C"/>
    <w:rsid w:val="00E46571"/>
    <w:rsid w:val="00E5082A"/>
    <w:rsid w:val="00E51FFB"/>
    <w:rsid w:val="00E568A6"/>
    <w:rsid w:val="00E608D3"/>
    <w:rsid w:val="00E63855"/>
    <w:rsid w:val="00E760BE"/>
    <w:rsid w:val="00EA544B"/>
    <w:rsid w:val="00EB03BB"/>
    <w:rsid w:val="00EB1C36"/>
    <w:rsid w:val="00EC1784"/>
    <w:rsid w:val="00EC6E2A"/>
    <w:rsid w:val="00ED7DF6"/>
    <w:rsid w:val="00EE0EE8"/>
    <w:rsid w:val="00EE2EB2"/>
    <w:rsid w:val="00EE406C"/>
    <w:rsid w:val="00F044E9"/>
    <w:rsid w:val="00F07534"/>
    <w:rsid w:val="00F07789"/>
    <w:rsid w:val="00F15178"/>
    <w:rsid w:val="00F26A9F"/>
    <w:rsid w:val="00F26E68"/>
    <w:rsid w:val="00F33119"/>
    <w:rsid w:val="00F414EC"/>
    <w:rsid w:val="00F525AA"/>
    <w:rsid w:val="00F7241B"/>
    <w:rsid w:val="00F73C47"/>
    <w:rsid w:val="00F81F2C"/>
    <w:rsid w:val="00F83280"/>
    <w:rsid w:val="00F90DAD"/>
    <w:rsid w:val="00F90E63"/>
    <w:rsid w:val="00FA66A6"/>
    <w:rsid w:val="00FA6EE7"/>
    <w:rsid w:val="00FB233B"/>
    <w:rsid w:val="00FB47DD"/>
    <w:rsid w:val="00FB5222"/>
    <w:rsid w:val="00FB73D3"/>
    <w:rsid w:val="00FC5C81"/>
    <w:rsid w:val="00FD4756"/>
    <w:rsid w:val="00FD5E3F"/>
    <w:rsid w:val="00FE139B"/>
    <w:rsid w:val="00FE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7D0D9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D96220"/>
    <w:rPr>
      <w:rFonts w:ascii="Calibri" w:eastAsiaTheme="minorHAnsi" w:hAnsi="Calibri" w:cs="Calibri"/>
      <w:sz w:val="22"/>
      <w:szCs w:val="22"/>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eastAsia="Times New Roman"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eastAsia="Times New Roman"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eastAsia="Times New Roman"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eastAsia="Times New Roman" w:hAnsi="Arial"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eastAsia="Times New Roman"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eastAsia="Times New Roman" w:hAnsi="Arial" w:cs="Times New Roman"/>
      <w:sz w:val="24"/>
      <w:szCs w:val="24"/>
    </w:rPr>
  </w:style>
  <w:style w:type="paragraph" w:styleId="TOC2">
    <w:name w:val="toc 2"/>
    <w:basedOn w:val="Normal"/>
    <w:next w:val="Normal"/>
    <w:locked/>
    <w:rsid w:val="00F26E68"/>
    <w:pPr>
      <w:ind w:left="240"/>
    </w:pPr>
    <w:rPr>
      <w:rFonts w:ascii="Arial" w:eastAsia="Times New Roman" w:hAnsi="Arial" w:cs="Times New Roman"/>
      <w:sz w:val="24"/>
      <w:szCs w:val="24"/>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eastAsia="Times New Roman" w:hAnsi="Arial" w:cs="Times New Roman"/>
      <w:sz w:val="24"/>
      <w:szCs w:val="24"/>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rPr>
      <w:rFonts w:ascii="Times New Roman" w:eastAsia="Times New Roman" w:hAnsi="Times New Roman" w:cs="Times New Roman"/>
      <w:sz w:val="24"/>
      <w:szCs w:val="24"/>
    </w:r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eastAsia="Times New Roman"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eastAsia="Times New Roman" w:hAnsi="Arial" w:cs="Times New Roman"/>
      <w:sz w:val="24"/>
      <w:szCs w:val="24"/>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eastAsia="Times New Roman" w:hAnsi="Arial" w:cs="Times New Roman"/>
      <w:sz w:val="24"/>
      <w:szCs w:val="24"/>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244B1A"/>
    <w:rPr>
      <w:b/>
      <w:bCs/>
      <w:lang w:eastAsia="en-US"/>
    </w:rPr>
  </w:style>
  <w:style w:type="character" w:customStyle="1" w:styleId="CommentSubjectChar">
    <w:name w:val="Comment Subject Char"/>
    <w:basedOn w:val="CommentTextChar"/>
    <w:link w:val="CommentSubject"/>
    <w:rsid w:val="00244B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85">
      <w:bodyDiv w:val="1"/>
      <w:marLeft w:val="0"/>
      <w:marRight w:val="0"/>
      <w:marTop w:val="0"/>
      <w:marBottom w:val="0"/>
      <w:divBdr>
        <w:top w:val="none" w:sz="0" w:space="0" w:color="auto"/>
        <w:left w:val="none" w:sz="0" w:space="0" w:color="auto"/>
        <w:bottom w:val="none" w:sz="0" w:space="0" w:color="auto"/>
        <w:right w:val="none" w:sz="0" w:space="0" w:color="auto"/>
      </w:divBdr>
    </w:div>
    <w:div w:id="161940861">
      <w:bodyDiv w:val="1"/>
      <w:marLeft w:val="0"/>
      <w:marRight w:val="0"/>
      <w:marTop w:val="0"/>
      <w:marBottom w:val="0"/>
      <w:divBdr>
        <w:top w:val="none" w:sz="0" w:space="0" w:color="auto"/>
        <w:left w:val="none" w:sz="0" w:space="0" w:color="auto"/>
        <w:bottom w:val="none" w:sz="0" w:space="0" w:color="auto"/>
        <w:right w:val="none" w:sz="0" w:space="0" w:color="auto"/>
      </w:divBdr>
    </w:div>
    <w:div w:id="168257114">
      <w:bodyDiv w:val="1"/>
      <w:marLeft w:val="0"/>
      <w:marRight w:val="0"/>
      <w:marTop w:val="0"/>
      <w:marBottom w:val="0"/>
      <w:divBdr>
        <w:top w:val="none" w:sz="0" w:space="0" w:color="auto"/>
        <w:left w:val="none" w:sz="0" w:space="0" w:color="auto"/>
        <w:bottom w:val="none" w:sz="0" w:space="0" w:color="auto"/>
        <w:right w:val="none" w:sz="0" w:space="0" w:color="auto"/>
      </w:divBdr>
    </w:div>
    <w:div w:id="184364974">
      <w:bodyDiv w:val="1"/>
      <w:marLeft w:val="0"/>
      <w:marRight w:val="0"/>
      <w:marTop w:val="0"/>
      <w:marBottom w:val="0"/>
      <w:divBdr>
        <w:top w:val="none" w:sz="0" w:space="0" w:color="auto"/>
        <w:left w:val="none" w:sz="0" w:space="0" w:color="auto"/>
        <w:bottom w:val="none" w:sz="0" w:space="0" w:color="auto"/>
        <w:right w:val="none" w:sz="0" w:space="0" w:color="auto"/>
      </w:divBdr>
      <w:divsChild>
        <w:div w:id="46338367">
          <w:marLeft w:val="0"/>
          <w:marRight w:val="0"/>
          <w:marTop w:val="0"/>
          <w:marBottom w:val="0"/>
          <w:divBdr>
            <w:top w:val="none" w:sz="0" w:space="0" w:color="auto"/>
            <w:left w:val="none" w:sz="0" w:space="0" w:color="auto"/>
            <w:bottom w:val="none" w:sz="0" w:space="0" w:color="auto"/>
            <w:right w:val="none" w:sz="0" w:space="0" w:color="auto"/>
          </w:divBdr>
        </w:div>
      </w:divsChild>
    </w:div>
    <w:div w:id="216625172">
      <w:bodyDiv w:val="1"/>
      <w:marLeft w:val="0"/>
      <w:marRight w:val="0"/>
      <w:marTop w:val="0"/>
      <w:marBottom w:val="0"/>
      <w:divBdr>
        <w:top w:val="none" w:sz="0" w:space="0" w:color="auto"/>
        <w:left w:val="none" w:sz="0" w:space="0" w:color="auto"/>
        <w:bottom w:val="none" w:sz="0" w:space="0" w:color="auto"/>
        <w:right w:val="none" w:sz="0" w:space="0" w:color="auto"/>
      </w:divBdr>
    </w:div>
    <w:div w:id="237910957">
      <w:bodyDiv w:val="1"/>
      <w:marLeft w:val="0"/>
      <w:marRight w:val="0"/>
      <w:marTop w:val="0"/>
      <w:marBottom w:val="0"/>
      <w:divBdr>
        <w:top w:val="none" w:sz="0" w:space="0" w:color="auto"/>
        <w:left w:val="none" w:sz="0" w:space="0" w:color="auto"/>
        <w:bottom w:val="none" w:sz="0" w:space="0" w:color="auto"/>
        <w:right w:val="none" w:sz="0" w:space="0" w:color="auto"/>
      </w:divBdr>
    </w:div>
    <w:div w:id="244462945">
      <w:bodyDiv w:val="1"/>
      <w:marLeft w:val="0"/>
      <w:marRight w:val="0"/>
      <w:marTop w:val="0"/>
      <w:marBottom w:val="0"/>
      <w:divBdr>
        <w:top w:val="none" w:sz="0" w:space="0" w:color="auto"/>
        <w:left w:val="none" w:sz="0" w:space="0" w:color="auto"/>
        <w:bottom w:val="none" w:sz="0" w:space="0" w:color="auto"/>
        <w:right w:val="none" w:sz="0" w:space="0" w:color="auto"/>
      </w:divBdr>
    </w:div>
    <w:div w:id="282881160">
      <w:bodyDiv w:val="1"/>
      <w:marLeft w:val="0"/>
      <w:marRight w:val="0"/>
      <w:marTop w:val="0"/>
      <w:marBottom w:val="0"/>
      <w:divBdr>
        <w:top w:val="none" w:sz="0" w:space="0" w:color="auto"/>
        <w:left w:val="none" w:sz="0" w:space="0" w:color="auto"/>
        <w:bottom w:val="none" w:sz="0" w:space="0" w:color="auto"/>
        <w:right w:val="none" w:sz="0" w:space="0" w:color="auto"/>
      </w:divBdr>
    </w:div>
    <w:div w:id="416833115">
      <w:bodyDiv w:val="1"/>
      <w:marLeft w:val="0"/>
      <w:marRight w:val="0"/>
      <w:marTop w:val="0"/>
      <w:marBottom w:val="0"/>
      <w:divBdr>
        <w:top w:val="none" w:sz="0" w:space="0" w:color="auto"/>
        <w:left w:val="none" w:sz="0" w:space="0" w:color="auto"/>
        <w:bottom w:val="none" w:sz="0" w:space="0" w:color="auto"/>
        <w:right w:val="none" w:sz="0" w:space="0" w:color="auto"/>
      </w:divBdr>
      <w:divsChild>
        <w:div w:id="1145245244">
          <w:marLeft w:val="547"/>
          <w:marRight w:val="0"/>
          <w:marTop w:val="0"/>
          <w:marBottom w:val="0"/>
          <w:divBdr>
            <w:top w:val="none" w:sz="0" w:space="0" w:color="auto"/>
            <w:left w:val="none" w:sz="0" w:space="0" w:color="auto"/>
            <w:bottom w:val="none" w:sz="0" w:space="0" w:color="auto"/>
            <w:right w:val="none" w:sz="0" w:space="0" w:color="auto"/>
          </w:divBdr>
        </w:div>
        <w:div w:id="636372718">
          <w:marLeft w:val="547"/>
          <w:marRight w:val="0"/>
          <w:marTop w:val="0"/>
          <w:marBottom w:val="0"/>
          <w:divBdr>
            <w:top w:val="none" w:sz="0" w:space="0" w:color="auto"/>
            <w:left w:val="none" w:sz="0" w:space="0" w:color="auto"/>
            <w:bottom w:val="none" w:sz="0" w:space="0" w:color="auto"/>
            <w:right w:val="none" w:sz="0" w:space="0" w:color="auto"/>
          </w:divBdr>
        </w:div>
        <w:div w:id="1318143209">
          <w:marLeft w:val="547"/>
          <w:marRight w:val="0"/>
          <w:marTop w:val="0"/>
          <w:marBottom w:val="0"/>
          <w:divBdr>
            <w:top w:val="none" w:sz="0" w:space="0" w:color="auto"/>
            <w:left w:val="none" w:sz="0" w:space="0" w:color="auto"/>
            <w:bottom w:val="none" w:sz="0" w:space="0" w:color="auto"/>
            <w:right w:val="none" w:sz="0" w:space="0" w:color="auto"/>
          </w:divBdr>
        </w:div>
        <w:div w:id="674654367">
          <w:marLeft w:val="547"/>
          <w:marRight w:val="0"/>
          <w:marTop w:val="0"/>
          <w:marBottom w:val="0"/>
          <w:divBdr>
            <w:top w:val="none" w:sz="0" w:space="0" w:color="auto"/>
            <w:left w:val="none" w:sz="0" w:space="0" w:color="auto"/>
            <w:bottom w:val="none" w:sz="0" w:space="0" w:color="auto"/>
            <w:right w:val="none" w:sz="0" w:space="0" w:color="auto"/>
          </w:divBdr>
        </w:div>
        <w:div w:id="1792279376">
          <w:marLeft w:val="547"/>
          <w:marRight w:val="0"/>
          <w:marTop w:val="0"/>
          <w:marBottom w:val="0"/>
          <w:divBdr>
            <w:top w:val="none" w:sz="0" w:space="0" w:color="auto"/>
            <w:left w:val="none" w:sz="0" w:space="0" w:color="auto"/>
            <w:bottom w:val="none" w:sz="0" w:space="0" w:color="auto"/>
            <w:right w:val="none" w:sz="0" w:space="0" w:color="auto"/>
          </w:divBdr>
        </w:div>
      </w:divsChild>
    </w:div>
    <w:div w:id="427578942">
      <w:bodyDiv w:val="1"/>
      <w:marLeft w:val="0"/>
      <w:marRight w:val="0"/>
      <w:marTop w:val="0"/>
      <w:marBottom w:val="0"/>
      <w:divBdr>
        <w:top w:val="none" w:sz="0" w:space="0" w:color="auto"/>
        <w:left w:val="none" w:sz="0" w:space="0" w:color="auto"/>
        <w:bottom w:val="none" w:sz="0" w:space="0" w:color="auto"/>
        <w:right w:val="none" w:sz="0" w:space="0" w:color="auto"/>
      </w:divBdr>
    </w:div>
    <w:div w:id="566302849">
      <w:bodyDiv w:val="1"/>
      <w:marLeft w:val="0"/>
      <w:marRight w:val="0"/>
      <w:marTop w:val="0"/>
      <w:marBottom w:val="0"/>
      <w:divBdr>
        <w:top w:val="none" w:sz="0" w:space="0" w:color="auto"/>
        <w:left w:val="none" w:sz="0" w:space="0" w:color="auto"/>
        <w:bottom w:val="none" w:sz="0" w:space="0" w:color="auto"/>
        <w:right w:val="none" w:sz="0" w:space="0" w:color="auto"/>
      </w:divBdr>
      <w:divsChild>
        <w:div w:id="392630284">
          <w:marLeft w:val="0"/>
          <w:marRight w:val="0"/>
          <w:marTop w:val="0"/>
          <w:marBottom w:val="0"/>
          <w:divBdr>
            <w:top w:val="none" w:sz="0" w:space="0" w:color="auto"/>
            <w:left w:val="none" w:sz="0" w:space="0" w:color="auto"/>
            <w:bottom w:val="none" w:sz="0" w:space="0" w:color="auto"/>
            <w:right w:val="none" w:sz="0" w:space="0" w:color="auto"/>
          </w:divBdr>
        </w:div>
        <w:div w:id="900942474">
          <w:marLeft w:val="0"/>
          <w:marRight w:val="0"/>
          <w:marTop w:val="0"/>
          <w:marBottom w:val="0"/>
          <w:divBdr>
            <w:top w:val="none" w:sz="0" w:space="0" w:color="auto"/>
            <w:left w:val="none" w:sz="0" w:space="0" w:color="auto"/>
            <w:bottom w:val="none" w:sz="0" w:space="0" w:color="auto"/>
            <w:right w:val="none" w:sz="0" w:space="0" w:color="auto"/>
          </w:divBdr>
        </w:div>
        <w:div w:id="636498508">
          <w:marLeft w:val="0"/>
          <w:marRight w:val="0"/>
          <w:marTop w:val="0"/>
          <w:marBottom w:val="0"/>
          <w:divBdr>
            <w:top w:val="none" w:sz="0" w:space="0" w:color="auto"/>
            <w:left w:val="none" w:sz="0" w:space="0" w:color="auto"/>
            <w:bottom w:val="none" w:sz="0" w:space="0" w:color="auto"/>
            <w:right w:val="none" w:sz="0" w:space="0" w:color="auto"/>
          </w:divBdr>
        </w:div>
        <w:div w:id="526023426">
          <w:marLeft w:val="0"/>
          <w:marRight w:val="0"/>
          <w:marTop w:val="0"/>
          <w:marBottom w:val="0"/>
          <w:divBdr>
            <w:top w:val="none" w:sz="0" w:space="0" w:color="auto"/>
            <w:left w:val="none" w:sz="0" w:space="0" w:color="auto"/>
            <w:bottom w:val="none" w:sz="0" w:space="0" w:color="auto"/>
            <w:right w:val="none" w:sz="0" w:space="0" w:color="auto"/>
          </w:divBdr>
        </w:div>
        <w:div w:id="516119494">
          <w:marLeft w:val="0"/>
          <w:marRight w:val="0"/>
          <w:marTop w:val="0"/>
          <w:marBottom w:val="0"/>
          <w:divBdr>
            <w:top w:val="none" w:sz="0" w:space="0" w:color="auto"/>
            <w:left w:val="none" w:sz="0" w:space="0" w:color="auto"/>
            <w:bottom w:val="none" w:sz="0" w:space="0" w:color="auto"/>
            <w:right w:val="none" w:sz="0" w:space="0" w:color="auto"/>
          </w:divBdr>
        </w:div>
      </w:divsChild>
    </w:div>
    <w:div w:id="595596906">
      <w:bodyDiv w:val="1"/>
      <w:marLeft w:val="0"/>
      <w:marRight w:val="0"/>
      <w:marTop w:val="0"/>
      <w:marBottom w:val="0"/>
      <w:divBdr>
        <w:top w:val="none" w:sz="0" w:space="0" w:color="auto"/>
        <w:left w:val="none" w:sz="0" w:space="0" w:color="auto"/>
        <w:bottom w:val="none" w:sz="0" w:space="0" w:color="auto"/>
        <w:right w:val="none" w:sz="0" w:space="0" w:color="auto"/>
      </w:divBdr>
    </w:div>
    <w:div w:id="612710445">
      <w:bodyDiv w:val="1"/>
      <w:marLeft w:val="0"/>
      <w:marRight w:val="0"/>
      <w:marTop w:val="0"/>
      <w:marBottom w:val="0"/>
      <w:divBdr>
        <w:top w:val="none" w:sz="0" w:space="0" w:color="auto"/>
        <w:left w:val="none" w:sz="0" w:space="0" w:color="auto"/>
        <w:bottom w:val="none" w:sz="0" w:space="0" w:color="auto"/>
        <w:right w:val="none" w:sz="0" w:space="0" w:color="auto"/>
      </w:divBdr>
    </w:div>
    <w:div w:id="653606118">
      <w:bodyDiv w:val="1"/>
      <w:marLeft w:val="0"/>
      <w:marRight w:val="0"/>
      <w:marTop w:val="0"/>
      <w:marBottom w:val="0"/>
      <w:divBdr>
        <w:top w:val="none" w:sz="0" w:space="0" w:color="auto"/>
        <w:left w:val="none" w:sz="0" w:space="0" w:color="auto"/>
        <w:bottom w:val="none" w:sz="0" w:space="0" w:color="auto"/>
        <w:right w:val="none" w:sz="0" w:space="0" w:color="auto"/>
      </w:divBdr>
      <w:divsChild>
        <w:div w:id="1212352196">
          <w:marLeft w:val="0"/>
          <w:marRight w:val="0"/>
          <w:marTop w:val="0"/>
          <w:marBottom w:val="0"/>
          <w:divBdr>
            <w:top w:val="none" w:sz="0" w:space="0" w:color="auto"/>
            <w:left w:val="none" w:sz="0" w:space="0" w:color="auto"/>
            <w:bottom w:val="none" w:sz="0" w:space="0" w:color="auto"/>
            <w:right w:val="none" w:sz="0" w:space="0" w:color="auto"/>
          </w:divBdr>
          <w:divsChild>
            <w:div w:id="1699311535">
              <w:marLeft w:val="0"/>
              <w:marRight w:val="0"/>
              <w:marTop w:val="0"/>
              <w:marBottom w:val="0"/>
              <w:divBdr>
                <w:top w:val="none" w:sz="0" w:space="0" w:color="auto"/>
                <w:left w:val="none" w:sz="0" w:space="0" w:color="auto"/>
                <w:bottom w:val="none" w:sz="0" w:space="0" w:color="auto"/>
                <w:right w:val="none" w:sz="0" w:space="0" w:color="auto"/>
              </w:divBdr>
              <w:divsChild>
                <w:div w:id="1041442257">
                  <w:marLeft w:val="0"/>
                  <w:marRight w:val="0"/>
                  <w:marTop w:val="0"/>
                  <w:marBottom w:val="0"/>
                  <w:divBdr>
                    <w:top w:val="none" w:sz="0" w:space="0" w:color="auto"/>
                    <w:left w:val="none" w:sz="0" w:space="0" w:color="auto"/>
                    <w:bottom w:val="none" w:sz="0" w:space="0" w:color="auto"/>
                    <w:right w:val="none" w:sz="0" w:space="0" w:color="auto"/>
                  </w:divBdr>
                  <w:divsChild>
                    <w:div w:id="1464958316">
                      <w:marLeft w:val="0"/>
                      <w:marRight w:val="0"/>
                      <w:marTop w:val="0"/>
                      <w:marBottom w:val="0"/>
                      <w:divBdr>
                        <w:top w:val="none" w:sz="0" w:space="0" w:color="auto"/>
                        <w:left w:val="none" w:sz="0" w:space="0" w:color="auto"/>
                        <w:bottom w:val="none" w:sz="0" w:space="0" w:color="auto"/>
                        <w:right w:val="none" w:sz="0" w:space="0" w:color="auto"/>
                      </w:divBdr>
                      <w:divsChild>
                        <w:div w:id="415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515642">
      <w:bodyDiv w:val="1"/>
      <w:marLeft w:val="0"/>
      <w:marRight w:val="0"/>
      <w:marTop w:val="0"/>
      <w:marBottom w:val="0"/>
      <w:divBdr>
        <w:top w:val="none" w:sz="0" w:space="0" w:color="auto"/>
        <w:left w:val="none" w:sz="0" w:space="0" w:color="auto"/>
        <w:bottom w:val="none" w:sz="0" w:space="0" w:color="auto"/>
        <w:right w:val="none" w:sz="0" w:space="0" w:color="auto"/>
      </w:divBdr>
    </w:div>
    <w:div w:id="713232043">
      <w:bodyDiv w:val="1"/>
      <w:marLeft w:val="0"/>
      <w:marRight w:val="0"/>
      <w:marTop w:val="0"/>
      <w:marBottom w:val="0"/>
      <w:divBdr>
        <w:top w:val="none" w:sz="0" w:space="0" w:color="auto"/>
        <w:left w:val="none" w:sz="0" w:space="0" w:color="auto"/>
        <w:bottom w:val="none" w:sz="0" w:space="0" w:color="auto"/>
        <w:right w:val="none" w:sz="0" w:space="0" w:color="auto"/>
      </w:divBdr>
    </w:div>
    <w:div w:id="957103183">
      <w:bodyDiv w:val="1"/>
      <w:marLeft w:val="0"/>
      <w:marRight w:val="0"/>
      <w:marTop w:val="0"/>
      <w:marBottom w:val="0"/>
      <w:divBdr>
        <w:top w:val="none" w:sz="0" w:space="0" w:color="auto"/>
        <w:left w:val="none" w:sz="0" w:space="0" w:color="auto"/>
        <w:bottom w:val="none" w:sz="0" w:space="0" w:color="auto"/>
        <w:right w:val="none" w:sz="0" w:space="0" w:color="auto"/>
      </w:divBdr>
    </w:div>
    <w:div w:id="963802808">
      <w:bodyDiv w:val="1"/>
      <w:marLeft w:val="0"/>
      <w:marRight w:val="0"/>
      <w:marTop w:val="0"/>
      <w:marBottom w:val="0"/>
      <w:divBdr>
        <w:top w:val="none" w:sz="0" w:space="0" w:color="auto"/>
        <w:left w:val="none" w:sz="0" w:space="0" w:color="auto"/>
        <w:bottom w:val="none" w:sz="0" w:space="0" w:color="auto"/>
        <w:right w:val="none" w:sz="0" w:space="0" w:color="auto"/>
      </w:divBdr>
    </w:div>
    <w:div w:id="1044141298">
      <w:bodyDiv w:val="1"/>
      <w:marLeft w:val="0"/>
      <w:marRight w:val="0"/>
      <w:marTop w:val="0"/>
      <w:marBottom w:val="0"/>
      <w:divBdr>
        <w:top w:val="none" w:sz="0" w:space="0" w:color="auto"/>
        <w:left w:val="none" w:sz="0" w:space="0" w:color="auto"/>
        <w:bottom w:val="none" w:sz="0" w:space="0" w:color="auto"/>
        <w:right w:val="none" w:sz="0" w:space="0" w:color="auto"/>
      </w:divBdr>
    </w:div>
    <w:div w:id="1163357156">
      <w:bodyDiv w:val="1"/>
      <w:marLeft w:val="0"/>
      <w:marRight w:val="0"/>
      <w:marTop w:val="0"/>
      <w:marBottom w:val="0"/>
      <w:divBdr>
        <w:top w:val="none" w:sz="0" w:space="0" w:color="auto"/>
        <w:left w:val="none" w:sz="0" w:space="0" w:color="auto"/>
        <w:bottom w:val="none" w:sz="0" w:space="0" w:color="auto"/>
        <w:right w:val="none" w:sz="0" w:space="0" w:color="auto"/>
      </w:divBdr>
    </w:div>
    <w:div w:id="1241913025">
      <w:bodyDiv w:val="1"/>
      <w:marLeft w:val="0"/>
      <w:marRight w:val="0"/>
      <w:marTop w:val="0"/>
      <w:marBottom w:val="0"/>
      <w:divBdr>
        <w:top w:val="none" w:sz="0" w:space="0" w:color="auto"/>
        <w:left w:val="none" w:sz="0" w:space="0" w:color="auto"/>
        <w:bottom w:val="none" w:sz="0" w:space="0" w:color="auto"/>
        <w:right w:val="none" w:sz="0" w:space="0" w:color="auto"/>
      </w:divBdr>
      <w:divsChild>
        <w:div w:id="554508534">
          <w:marLeft w:val="0"/>
          <w:marRight w:val="0"/>
          <w:marTop w:val="0"/>
          <w:marBottom w:val="0"/>
          <w:divBdr>
            <w:top w:val="none" w:sz="0" w:space="0" w:color="auto"/>
            <w:left w:val="none" w:sz="0" w:space="0" w:color="auto"/>
            <w:bottom w:val="none" w:sz="0" w:space="0" w:color="auto"/>
            <w:right w:val="none" w:sz="0" w:space="0" w:color="auto"/>
          </w:divBdr>
        </w:div>
        <w:div w:id="409549006">
          <w:marLeft w:val="0"/>
          <w:marRight w:val="0"/>
          <w:marTop w:val="0"/>
          <w:marBottom w:val="0"/>
          <w:divBdr>
            <w:top w:val="none" w:sz="0" w:space="0" w:color="auto"/>
            <w:left w:val="none" w:sz="0" w:space="0" w:color="auto"/>
            <w:bottom w:val="none" w:sz="0" w:space="0" w:color="auto"/>
            <w:right w:val="none" w:sz="0" w:space="0" w:color="auto"/>
          </w:divBdr>
        </w:div>
        <w:div w:id="1658728508">
          <w:marLeft w:val="0"/>
          <w:marRight w:val="0"/>
          <w:marTop w:val="0"/>
          <w:marBottom w:val="0"/>
          <w:divBdr>
            <w:top w:val="none" w:sz="0" w:space="0" w:color="auto"/>
            <w:left w:val="none" w:sz="0" w:space="0" w:color="auto"/>
            <w:bottom w:val="none" w:sz="0" w:space="0" w:color="auto"/>
            <w:right w:val="none" w:sz="0" w:space="0" w:color="auto"/>
          </w:divBdr>
        </w:div>
        <w:div w:id="314257819">
          <w:marLeft w:val="0"/>
          <w:marRight w:val="0"/>
          <w:marTop w:val="0"/>
          <w:marBottom w:val="0"/>
          <w:divBdr>
            <w:top w:val="none" w:sz="0" w:space="0" w:color="auto"/>
            <w:left w:val="none" w:sz="0" w:space="0" w:color="auto"/>
            <w:bottom w:val="none" w:sz="0" w:space="0" w:color="auto"/>
            <w:right w:val="none" w:sz="0" w:space="0" w:color="auto"/>
          </w:divBdr>
        </w:div>
        <w:div w:id="767430687">
          <w:marLeft w:val="0"/>
          <w:marRight w:val="0"/>
          <w:marTop w:val="0"/>
          <w:marBottom w:val="0"/>
          <w:divBdr>
            <w:top w:val="none" w:sz="0" w:space="0" w:color="auto"/>
            <w:left w:val="none" w:sz="0" w:space="0" w:color="auto"/>
            <w:bottom w:val="none" w:sz="0" w:space="0" w:color="auto"/>
            <w:right w:val="none" w:sz="0" w:space="0" w:color="auto"/>
          </w:divBdr>
        </w:div>
      </w:divsChild>
    </w:div>
    <w:div w:id="1496146149">
      <w:bodyDiv w:val="1"/>
      <w:marLeft w:val="0"/>
      <w:marRight w:val="0"/>
      <w:marTop w:val="0"/>
      <w:marBottom w:val="0"/>
      <w:divBdr>
        <w:top w:val="none" w:sz="0" w:space="0" w:color="auto"/>
        <w:left w:val="none" w:sz="0" w:space="0" w:color="auto"/>
        <w:bottom w:val="none" w:sz="0" w:space="0" w:color="auto"/>
        <w:right w:val="none" w:sz="0" w:space="0" w:color="auto"/>
      </w:divBdr>
    </w:div>
    <w:div w:id="1513036072">
      <w:bodyDiv w:val="1"/>
      <w:marLeft w:val="0"/>
      <w:marRight w:val="0"/>
      <w:marTop w:val="0"/>
      <w:marBottom w:val="0"/>
      <w:divBdr>
        <w:top w:val="none" w:sz="0" w:space="0" w:color="auto"/>
        <w:left w:val="none" w:sz="0" w:space="0" w:color="auto"/>
        <w:bottom w:val="none" w:sz="0" w:space="0" w:color="auto"/>
        <w:right w:val="none" w:sz="0" w:space="0" w:color="auto"/>
      </w:divBdr>
    </w:div>
    <w:div w:id="1537498504">
      <w:bodyDiv w:val="1"/>
      <w:marLeft w:val="0"/>
      <w:marRight w:val="0"/>
      <w:marTop w:val="0"/>
      <w:marBottom w:val="0"/>
      <w:divBdr>
        <w:top w:val="none" w:sz="0" w:space="0" w:color="auto"/>
        <w:left w:val="none" w:sz="0" w:space="0" w:color="auto"/>
        <w:bottom w:val="none" w:sz="0" w:space="0" w:color="auto"/>
        <w:right w:val="none" w:sz="0" w:space="0" w:color="auto"/>
      </w:divBdr>
    </w:div>
    <w:div w:id="1597786716">
      <w:bodyDiv w:val="1"/>
      <w:marLeft w:val="0"/>
      <w:marRight w:val="0"/>
      <w:marTop w:val="0"/>
      <w:marBottom w:val="0"/>
      <w:divBdr>
        <w:top w:val="none" w:sz="0" w:space="0" w:color="auto"/>
        <w:left w:val="none" w:sz="0" w:space="0" w:color="auto"/>
        <w:bottom w:val="none" w:sz="0" w:space="0" w:color="auto"/>
        <w:right w:val="none" w:sz="0" w:space="0" w:color="auto"/>
      </w:divBdr>
    </w:div>
    <w:div w:id="1657100425">
      <w:bodyDiv w:val="1"/>
      <w:marLeft w:val="0"/>
      <w:marRight w:val="0"/>
      <w:marTop w:val="0"/>
      <w:marBottom w:val="0"/>
      <w:divBdr>
        <w:top w:val="none" w:sz="0" w:space="0" w:color="auto"/>
        <w:left w:val="none" w:sz="0" w:space="0" w:color="auto"/>
        <w:bottom w:val="none" w:sz="0" w:space="0" w:color="auto"/>
        <w:right w:val="none" w:sz="0" w:space="0" w:color="auto"/>
      </w:divBdr>
    </w:div>
    <w:div w:id="1965038412">
      <w:bodyDiv w:val="1"/>
      <w:marLeft w:val="0"/>
      <w:marRight w:val="0"/>
      <w:marTop w:val="0"/>
      <w:marBottom w:val="0"/>
      <w:divBdr>
        <w:top w:val="none" w:sz="0" w:space="0" w:color="auto"/>
        <w:left w:val="none" w:sz="0" w:space="0" w:color="auto"/>
        <w:bottom w:val="none" w:sz="0" w:space="0" w:color="auto"/>
        <w:right w:val="none" w:sz="0" w:space="0" w:color="auto"/>
      </w:divBdr>
    </w:div>
    <w:div w:id="1965689833">
      <w:bodyDiv w:val="1"/>
      <w:marLeft w:val="0"/>
      <w:marRight w:val="0"/>
      <w:marTop w:val="0"/>
      <w:marBottom w:val="0"/>
      <w:divBdr>
        <w:top w:val="none" w:sz="0" w:space="0" w:color="auto"/>
        <w:left w:val="none" w:sz="0" w:space="0" w:color="auto"/>
        <w:bottom w:val="none" w:sz="0" w:space="0" w:color="auto"/>
        <w:right w:val="none" w:sz="0" w:space="0" w:color="auto"/>
      </w:divBdr>
    </w:div>
    <w:div w:id="2024742664">
      <w:bodyDiv w:val="1"/>
      <w:marLeft w:val="0"/>
      <w:marRight w:val="0"/>
      <w:marTop w:val="0"/>
      <w:marBottom w:val="0"/>
      <w:divBdr>
        <w:top w:val="none" w:sz="0" w:space="0" w:color="auto"/>
        <w:left w:val="none" w:sz="0" w:space="0" w:color="auto"/>
        <w:bottom w:val="none" w:sz="0" w:space="0" w:color="auto"/>
        <w:right w:val="none" w:sz="0" w:space="0" w:color="auto"/>
      </w:divBdr>
    </w:div>
    <w:div w:id="20518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harmafield.co.uk/pharma_news/nice-launches-ambitious-5-year-strategy/" TargetMode="External"/><Relationship Id="rId18" Type="http://schemas.openxmlformats.org/officeDocument/2006/relationships/hyperlink" Target="https://www.bmj.com/content/373/bmj.n942" TargetMode="External"/><Relationship Id="rId26" Type="http://schemas.openxmlformats.org/officeDocument/2006/relationships/hyperlink" Target="https://www.healthclubmanagement.co.uk/health-club-management-news/Groundbreaking-NICE-guidance-prescribe-exercise-not-painkillers-to-chronic-pain-sufferers/347494" TargetMode="External"/><Relationship Id="rId3" Type="http://schemas.openxmlformats.org/officeDocument/2006/relationships/styles" Target="styles.xml"/><Relationship Id="rId21" Type="http://schemas.openxmlformats.org/officeDocument/2006/relationships/hyperlink" Target="file:///\\nice.nhs.uk\Data\Communications\Press%20and%20Media\Coverage%20reports\Sun0804202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tn.co.uk/2021/04/19/nice-launches-5-year-strategy-with-focus-on-data-technologies-and-innovations/" TargetMode="External"/><Relationship Id="rId17" Type="http://schemas.openxmlformats.org/officeDocument/2006/relationships/hyperlink" Target="http://www.pharmatimes.com/web_exclusives/NICE_steps_into_the_future_1367689" TargetMode="External"/><Relationship Id="rId25" Type="http://schemas.openxmlformats.org/officeDocument/2006/relationships/hyperlink" Target="https://www.drinkanddrugsnews.com/prescribe-exercise-instead-of-pills-for-chronic-pain-says-ni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vda.org.uk/News-Events/News-Policy-Media/ArticleID/550/NICE-publishes-Five-Year-Plan" TargetMode="External"/><Relationship Id="rId20" Type="http://schemas.openxmlformats.org/officeDocument/2006/relationships/hyperlink" Target="https://www.thetimes.co.uk/article/can-you-really-cure-chronic-pain-without-taking-pills-zp2tfnbw6" TargetMode="External"/><Relationship Id="rId29" Type="http://schemas.openxmlformats.org/officeDocument/2006/relationships/hyperlink" Target="https://www.independent.co.uk/life-style/health-and-families/national-institute-for-health-and-care-excellence-counselling-cbt-one-b182791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healthexecutive.com/articles/nice-strategy-quicker-access-treatments-innovations" TargetMode="External"/><Relationship Id="rId24" Type="http://schemas.openxmlformats.org/officeDocument/2006/relationships/hyperlink" Target="https://www.gmjournal.co.uk/new-nice-guidance-on-chronic-pain-does-not-recommend-commonly-used-drug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oindustry.org/news-listing/ceo-update-monday-19-april.html" TargetMode="External"/><Relationship Id="rId23" Type="http://schemas.openxmlformats.org/officeDocument/2006/relationships/hyperlink" Target="https://healthbusinessuk.net/news/07042021/exercise-programs-can-help-treat-chronic-pain" TargetMode="External"/><Relationship Id="rId28" Type="http://schemas.openxmlformats.org/officeDocument/2006/relationships/hyperlink" Target="https://www.independent.co.uk/news/health/nice-guidance-chronic-pain-painkillers-b1827968.html" TargetMode="External"/><Relationship Id="rId10" Type="http://schemas.openxmlformats.org/officeDocument/2006/relationships/image" Target="media/image2.png"/><Relationship Id="rId19" Type="http://schemas.openxmlformats.org/officeDocument/2006/relationships/hyperlink" Target="file:///\\nice.nhs.uk\Data\Communications\Press%20and%20Media\Coverage%20reports\DTelegraph08042021.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harmacymagazine.co.uk/nice-new-strategy-new-approach" TargetMode="External"/><Relationship Id="rId22" Type="http://schemas.openxmlformats.org/officeDocument/2006/relationships/hyperlink" Target="https://pharmaceutical-journal.com/article/news/antidepressants-and-non-drug-therapy-should-be-considered-for-treatment-of-chronic-primary-pain-says-nice" TargetMode="External"/><Relationship Id="rId27" Type="http://schemas.openxmlformats.org/officeDocument/2006/relationships/hyperlink" Target="https://www.tmmagazine.co.uk/new-guidance-for-chronic-primary-pain" TargetMode="External"/><Relationship Id="rId30" Type="http://schemas.openxmlformats.org/officeDocument/2006/relationships/hyperlink" Target="https://www.nice.org.uk/terms-and-conditions" TargetMode="Externa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Sector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Sector</c:v>
                </c:pt>
              </c:strCache>
            </c:strRef>
          </c:tx>
          <c:dPt>
            <c:idx val="0"/>
            <c:bubble3D val="0"/>
            <c:spPr>
              <a:solidFill>
                <a:srgbClr val="ADADAD"/>
              </a:solidFill>
              <a:ln w="19050">
                <a:solidFill>
                  <a:schemeClr val="lt1"/>
                </a:solidFill>
              </a:ln>
              <a:effectLst/>
            </c:spPr>
            <c:extLst>
              <c:ext xmlns:c16="http://schemas.microsoft.com/office/drawing/2014/chart" uri="{C3380CC4-5D6E-409C-BE32-E72D297353CC}">
                <c16:uniqueId val="{00000001-729F-4E13-A2E3-24E024F8F5AC}"/>
              </c:ext>
            </c:extLst>
          </c:dPt>
          <c:dPt>
            <c:idx val="1"/>
            <c:bubble3D val="0"/>
            <c:spPr>
              <a:solidFill>
                <a:srgbClr val="517489"/>
              </a:solidFill>
              <a:ln w="19050">
                <a:solidFill>
                  <a:schemeClr val="lt1"/>
                </a:solidFill>
              </a:ln>
              <a:effectLst/>
            </c:spPr>
            <c:extLst>
              <c:ext xmlns:c16="http://schemas.microsoft.com/office/drawing/2014/chart" uri="{C3380CC4-5D6E-409C-BE32-E72D297353CC}">
                <c16:uniqueId val="{00000003-729F-4E13-A2E3-24E024F8F5AC}"/>
              </c:ext>
            </c:extLst>
          </c:dPt>
          <c:dPt>
            <c:idx val="2"/>
            <c:bubble3D val="0"/>
            <c:spPr>
              <a:solidFill>
                <a:srgbClr val="393939"/>
              </a:solidFill>
              <a:ln w="19050">
                <a:solidFill>
                  <a:schemeClr val="lt1"/>
                </a:solidFill>
              </a:ln>
              <a:effectLst/>
            </c:spPr>
            <c:extLst>
              <c:ext xmlns:c16="http://schemas.microsoft.com/office/drawing/2014/chart" uri="{C3380CC4-5D6E-409C-BE32-E72D297353CC}">
                <c16:uniqueId val="{00000005-729F-4E13-A2E3-24E024F8F5AC}"/>
              </c:ext>
            </c:extLst>
          </c:dPt>
          <c:dPt>
            <c:idx val="3"/>
            <c:bubble3D val="0"/>
            <c:spPr>
              <a:solidFill>
                <a:srgbClr val="00506A"/>
              </a:solidFill>
              <a:ln w="19050">
                <a:solidFill>
                  <a:schemeClr val="lt1"/>
                </a:solidFill>
              </a:ln>
              <a:effectLst/>
            </c:spPr>
            <c:extLst>
              <c:ext xmlns:c16="http://schemas.microsoft.com/office/drawing/2014/chart" uri="{C3380CC4-5D6E-409C-BE32-E72D297353CC}">
                <c16:uniqueId val="{00000007-729F-4E13-A2E3-24E024F8F5AC}"/>
              </c:ext>
            </c:extLst>
          </c:dPt>
          <c:dPt>
            <c:idx val="4"/>
            <c:bubble3D val="0"/>
            <c:spPr>
              <a:solidFill>
                <a:srgbClr val="451551"/>
              </a:solidFill>
              <a:ln w="19050">
                <a:solidFill>
                  <a:schemeClr val="lt1"/>
                </a:solidFill>
              </a:ln>
              <a:effectLst/>
            </c:spPr>
            <c:extLst>
              <c:ext xmlns:c16="http://schemas.microsoft.com/office/drawing/2014/chart" uri="{C3380CC4-5D6E-409C-BE32-E72D297353CC}">
                <c16:uniqueId val="{00000009-729F-4E13-A2E3-24E024F8F5AC}"/>
              </c:ext>
            </c:extLst>
          </c:dPt>
          <c:dPt>
            <c:idx val="5"/>
            <c:bubble3D val="0"/>
            <c:spPr>
              <a:solidFill>
                <a:srgbClr val="004650"/>
              </a:solidFill>
              <a:ln w="19050">
                <a:solidFill>
                  <a:schemeClr val="lt1"/>
                </a:solidFill>
              </a:ln>
              <a:effectLst/>
            </c:spPr>
            <c:extLst>
              <c:ext xmlns:c16="http://schemas.microsoft.com/office/drawing/2014/chart" uri="{C3380CC4-5D6E-409C-BE32-E72D297353CC}">
                <c16:uniqueId val="{0000000B-729F-4E13-A2E3-24E024F8F5AC}"/>
              </c:ext>
            </c:extLst>
          </c:dPt>
          <c:dPt>
            <c:idx val="6"/>
            <c:bubble3D val="0"/>
            <c:spPr>
              <a:solidFill>
                <a:srgbClr val="A2BDC1"/>
              </a:solidFill>
              <a:ln w="19050">
                <a:solidFill>
                  <a:schemeClr val="lt1"/>
                </a:solidFill>
              </a:ln>
              <a:effectLst/>
            </c:spPr>
            <c:extLst>
              <c:ext xmlns:c16="http://schemas.microsoft.com/office/drawing/2014/chart" uri="{C3380CC4-5D6E-409C-BE32-E72D297353CC}">
                <c16:uniqueId val="{0000000D-729F-4E13-A2E3-24E024F8F5AC}"/>
              </c:ext>
            </c:extLst>
          </c:dPt>
          <c:dPt>
            <c:idx val="7"/>
            <c:bubble3D val="0"/>
            <c:spPr>
              <a:solidFill>
                <a:srgbClr val="D6D6D6"/>
              </a:solidFill>
              <a:ln w="19050">
                <a:solidFill>
                  <a:schemeClr val="lt1"/>
                </a:solidFill>
              </a:ln>
              <a:effectLst/>
            </c:spPr>
            <c:extLst>
              <c:ext xmlns:c16="http://schemas.microsoft.com/office/drawing/2014/chart" uri="{C3380CC4-5D6E-409C-BE32-E72D297353CC}">
                <c16:uniqueId val="{0000000F-729F-4E13-A2E3-24E024F8F5AC}"/>
              </c:ext>
            </c:extLst>
          </c:dPt>
          <c:dPt>
            <c:idx val="8"/>
            <c:bubble3D val="0"/>
            <c:spPr>
              <a:solidFill>
                <a:srgbClr val="4F7D83"/>
              </a:solidFill>
              <a:ln w="19050">
                <a:solidFill>
                  <a:schemeClr val="lt1"/>
                </a:solidFill>
              </a:ln>
              <a:effectLst/>
            </c:spPr>
            <c:extLst>
              <c:ext xmlns:c16="http://schemas.microsoft.com/office/drawing/2014/chart" uri="{C3380CC4-5D6E-409C-BE32-E72D297353CC}">
                <c16:uniqueId val="{00000011-729F-4E13-A2E3-24E024F8F5A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29F-4E13-A2E3-24E024F8F5A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729F-4E13-A2E3-24E024F8F5A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729F-4E13-A2E3-24E024F8F5A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729F-4E13-A2E3-24E024F8F5A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729F-4E13-A2E3-24E024F8F5AC}"/>
              </c:ext>
            </c:extLst>
          </c:dPt>
          <c:dLbls>
            <c:dLbl>
              <c:idx val="0"/>
              <c:layout>
                <c:manualLayout>
                  <c:x val="-5.6387875296075869E-2"/>
                  <c:y val="0.1450682865434422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29F-4E13-A2E3-24E024F8F5AC}"/>
                </c:ext>
              </c:extLst>
            </c:dLbl>
            <c:dLbl>
              <c:idx val="2"/>
              <c:layout>
                <c:manualLayout>
                  <c:x val="-0.15509362396773582"/>
                  <c:y val="9.3353789825148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9F-4E13-A2E3-24E024F8F5AC}"/>
                </c:ext>
              </c:extLst>
            </c:dLbl>
            <c:dLbl>
              <c:idx val="3"/>
              <c:layout>
                <c:manualLayout>
                  <c:x val="-0.20281256001536394"/>
                  <c:y val="-0.127758765953463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29F-4E13-A2E3-24E024F8F5AC}"/>
                </c:ext>
              </c:extLst>
            </c:dLbl>
            <c:dLbl>
              <c:idx val="5"/>
              <c:layout>
                <c:manualLayout>
                  <c:x val="7.8336854234684079E-3"/>
                  <c:y val="-0.1297585787245550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29F-4E13-A2E3-24E024F8F5AC}"/>
                </c:ext>
              </c:extLst>
            </c:dLbl>
            <c:dLbl>
              <c:idx val="6"/>
              <c:layout>
                <c:manualLayout>
                  <c:x val="0.10330964726970097"/>
                  <c:y val="-0.1434169275736175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29F-4E13-A2E3-24E024F8F5AC}"/>
                </c:ext>
              </c:extLst>
            </c:dLbl>
            <c:dLbl>
              <c:idx val="7"/>
              <c:layout>
                <c:manualLayout>
                  <c:x val="0.19019845080340567"/>
                  <c:y val="0.1248895869522254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29F-4E13-A2E3-24E024F8F5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Sheet1!$A$2:$A$15</c:f>
              <c:strCache>
                <c:ptCount val="14"/>
                <c:pt idx="0">
                  <c:v>Academia</c:v>
                </c:pt>
                <c:pt idx="1">
                  <c:v>Government</c:v>
                </c:pt>
                <c:pt idx="2">
                  <c:v>International</c:v>
                </c:pt>
                <c:pt idx="3">
                  <c:v>NHS/Health and Social Care Northern Ireland/ALBs</c:v>
                </c:pt>
                <c:pt idx="4">
                  <c:v>NICE family (F&amp;S, committee members)</c:v>
                </c:pt>
                <c:pt idx="5">
                  <c:v>NICE staff</c:v>
                </c:pt>
                <c:pt idx="6">
                  <c:v>Other </c:v>
                </c:pt>
                <c:pt idx="7">
                  <c:v>Pharma/medtech</c:v>
                </c:pt>
                <c:pt idx="8">
                  <c:v>Social care</c:v>
                </c:pt>
                <c:pt idx="9">
                  <c:v>Charity</c:v>
                </c:pt>
                <c:pt idx="10">
                  <c:v>Consultancy</c:v>
                </c:pt>
                <c:pt idx="11">
                  <c:v>Private Clinicians</c:v>
                </c:pt>
                <c:pt idx="12">
                  <c:v>Press/Journals</c:v>
                </c:pt>
                <c:pt idx="13">
                  <c:v>Members of the public</c:v>
                </c:pt>
              </c:strCache>
            </c:strRef>
          </c:cat>
          <c:val>
            <c:numRef>
              <c:f>Sheet1!$B$2:$B$15</c:f>
              <c:numCache>
                <c:formatCode>General</c:formatCode>
                <c:ptCount val="14"/>
                <c:pt idx="0">
                  <c:v>240</c:v>
                </c:pt>
                <c:pt idx="1">
                  <c:v>70</c:v>
                </c:pt>
                <c:pt idx="2">
                  <c:v>344</c:v>
                </c:pt>
                <c:pt idx="3">
                  <c:v>706</c:v>
                </c:pt>
                <c:pt idx="4">
                  <c:v>43</c:v>
                </c:pt>
                <c:pt idx="5">
                  <c:v>258</c:v>
                </c:pt>
                <c:pt idx="6">
                  <c:v>179</c:v>
                </c:pt>
                <c:pt idx="7">
                  <c:v>862</c:v>
                </c:pt>
                <c:pt idx="8">
                  <c:v>39</c:v>
                </c:pt>
                <c:pt idx="9">
                  <c:v>59</c:v>
                </c:pt>
                <c:pt idx="10">
                  <c:v>32</c:v>
                </c:pt>
                <c:pt idx="11">
                  <c:v>36</c:v>
                </c:pt>
                <c:pt idx="12">
                  <c:v>30</c:v>
                </c:pt>
                <c:pt idx="13">
                  <c:v>23</c:v>
                </c:pt>
              </c:numCache>
            </c:numRef>
          </c:val>
          <c:extLst>
            <c:ext xmlns:c16="http://schemas.microsoft.com/office/drawing/2014/chart" uri="{C3380CC4-5D6E-409C-BE32-E72D297353CC}">
              <c16:uniqueId val="{0000001C-729F-4E13-A2E3-24E024F8F5A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9819</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2021-05-06T18:49:00Z</dcterms:created>
  <dcterms:modified xsi:type="dcterms:W3CDTF">2021-05-06T18:54:00Z</dcterms:modified>
</cp:coreProperties>
</file>