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C515" w14:textId="77777777" w:rsidR="001A4DC5" w:rsidRPr="001A4DC5" w:rsidRDefault="001A4DC5" w:rsidP="00E22EDB">
      <w:pPr>
        <w:pStyle w:val="Title20"/>
      </w:pPr>
      <w:r w:rsidRPr="001A4DC5">
        <w:t>National Institute for Health and Care Excellence</w:t>
      </w:r>
    </w:p>
    <w:p w14:paraId="6DEF94A9" w14:textId="3E00A764" w:rsidR="001A4DC5" w:rsidRPr="001A4DC5" w:rsidRDefault="00E80E3F" w:rsidP="00AE7D6B">
      <w:pPr>
        <w:pStyle w:val="Title1"/>
        <w:rPr>
          <w:lang w:eastAsia="en-GB"/>
        </w:rPr>
      </w:pPr>
      <w:r>
        <w:t xml:space="preserve">Health and </w:t>
      </w:r>
      <w:r w:rsidRPr="00AE7D6B">
        <w:t>Social</w:t>
      </w:r>
      <w:r>
        <w:t xml:space="preserve"> Care Directorate</w:t>
      </w:r>
      <w:r w:rsidR="001A4DC5" w:rsidRPr="001A4DC5">
        <w:rPr>
          <w:lang w:eastAsia="en-GB"/>
        </w:rPr>
        <w:t xml:space="preserve"> progress report</w:t>
      </w:r>
    </w:p>
    <w:p w14:paraId="1087A574" w14:textId="07D7B12A" w:rsidR="00E80E3F" w:rsidRPr="0001465D" w:rsidRDefault="0065494D" w:rsidP="00E80E3F">
      <w:pPr>
        <w:pStyle w:val="NICEnormalnumbered"/>
        <w:rPr>
          <w:sz w:val="24"/>
          <w:szCs w:val="24"/>
        </w:rPr>
      </w:pPr>
      <w:r w:rsidRPr="0001465D">
        <w:rPr>
          <w:sz w:val="24"/>
          <w:szCs w:val="24"/>
        </w:rPr>
        <w:t xml:space="preserve">This report </w:t>
      </w:r>
      <w:r w:rsidR="004E3EC5" w:rsidRPr="0001465D">
        <w:rPr>
          <w:sz w:val="24"/>
          <w:szCs w:val="24"/>
        </w:rPr>
        <w:t>summarises</w:t>
      </w:r>
      <w:r w:rsidRPr="0001465D">
        <w:rPr>
          <w:sz w:val="24"/>
          <w:szCs w:val="24"/>
        </w:rPr>
        <w:t xml:space="preserve"> the</w:t>
      </w:r>
      <w:r w:rsidR="004E3EC5" w:rsidRPr="0001465D">
        <w:rPr>
          <w:sz w:val="24"/>
          <w:szCs w:val="24"/>
        </w:rPr>
        <w:t xml:space="preserve"> activities, key issues and developments </w:t>
      </w:r>
      <w:r w:rsidRPr="0001465D">
        <w:rPr>
          <w:sz w:val="24"/>
          <w:szCs w:val="24"/>
        </w:rPr>
        <w:t>of the Health and Social Care Directorate for the financial year April 2020 to March</w:t>
      </w:r>
      <w:r w:rsidR="00BC3174" w:rsidRPr="0001465D">
        <w:rPr>
          <w:sz w:val="24"/>
          <w:szCs w:val="24"/>
        </w:rPr>
        <w:t xml:space="preserve"> 2021</w:t>
      </w:r>
      <w:r w:rsidR="00E80E3F" w:rsidRPr="0001465D">
        <w:rPr>
          <w:sz w:val="24"/>
          <w:szCs w:val="24"/>
        </w:rPr>
        <w:t xml:space="preserve">. </w:t>
      </w:r>
    </w:p>
    <w:p w14:paraId="03F18CAE" w14:textId="0270671A" w:rsidR="00E80E3F" w:rsidRPr="0001465D" w:rsidRDefault="00E80E3F" w:rsidP="00E80E3F">
      <w:pPr>
        <w:pStyle w:val="NICEnormalnumbered"/>
        <w:rPr>
          <w:sz w:val="24"/>
          <w:szCs w:val="24"/>
        </w:rPr>
      </w:pPr>
      <w:r w:rsidRPr="0001465D">
        <w:rPr>
          <w:sz w:val="24"/>
          <w:szCs w:val="24"/>
        </w:rPr>
        <w:t>The Chief Executive’s Report details the delivery of quality standards</w:t>
      </w:r>
      <w:r w:rsidR="00C56559" w:rsidRPr="0001465D">
        <w:rPr>
          <w:sz w:val="24"/>
          <w:szCs w:val="24"/>
        </w:rPr>
        <w:t xml:space="preserve"> (QS)</w:t>
      </w:r>
      <w:r w:rsidRPr="0001465D">
        <w:rPr>
          <w:sz w:val="24"/>
          <w:szCs w:val="24"/>
        </w:rPr>
        <w:t>, endorsement statements and shared learning examples.</w:t>
      </w:r>
    </w:p>
    <w:p w14:paraId="3009A45E" w14:textId="20D3E416" w:rsidR="00EB1C36" w:rsidRDefault="00EB1C36" w:rsidP="00EB1C36">
      <w:pPr>
        <w:pStyle w:val="Heading1boardreport"/>
      </w:pPr>
      <w:r>
        <w:t>Summary of activity</w:t>
      </w:r>
    </w:p>
    <w:p w14:paraId="43D199EC" w14:textId="7918BF84" w:rsidR="00DD2014" w:rsidRPr="0001465D" w:rsidRDefault="00DD2014" w:rsidP="00DD2014">
      <w:pPr>
        <w:pStyle w:val="NICEnormalnumbered"/>
        <w:rPr>
          <w:sz w:val="24"/>
          <w:szCs w:val="24"/>
        </w:rPr>
      </w:pPr>
      <w:r w:rsidRPr="0001465D">
        <w:rPr>
          <w:sz w:val="24"/>
          <w:szCs w:val="24"/>
        </w:rPr>
        <w:t>Over the past year, the directorate redirected resources to support NICE's response to the COVID-19 pandemic. The medicines and prescribing team transferred to the Centre for Guidelines to better align functions and 16 members of staff were seconded to work on programmes outside of the directorate, including development of COVID-19 guidance, NICE Connect and to support the work of the Department of Health and Social Care.</w:t>
      </w:r>
    </w:p>
    <w:p w14:paraId="1B3140DE" w14:textId="5E56568D" w:rsidR="006F1284" w:rsidRPr="0001465D" w:rsidRDefault="002E70DC" w:rsidP="00A20F78">
      <w:pPr>
        <w:pStyle w:val="NICEnormalnumbered"/>
        <w:rPr>
          <w:sz w:val="24"/>
          <w:szCs w:val="24"/>
        </w:rPr>
      </w:pPr>
      <w:r w:rsidRPr="0001465D">
        <w:rPr>
          <w:sz w:val="24"/>
          <w:szCs w:val="24"/>
        </w:rPr>
        <w:t xml:space="preserve">The changing external landscape, for example the move </w:t>
      </w:r>
      <w:r w:rsidR="00A20F78" w:rsidRPr="0001465D">
        <w:rPr>
          <w:sz w:val="24"/>
          <w:szCs w:val="24"/>
        </w:rPr>
        <w:t xml:space="preserve">towards Integrated Care Systems (ICSs), required us to </w:t>
      </w:r>
      <w:r w:rsidR="004E3050" w:rsidRPr="0001465D">
        <w:rPr>
          <w:sz w:val="24"/>
          <w:szCs w:val="24"/>
        </w:rPr>
        <w:t>work differently</w:t>
      </w:r>
      <w:r w:rsidR="00A20F78" w:rsidRPr="0001465D">
        <w:rPr>
          <w:sz w:val="24"/>
          <w:szCs w:val="24"/>
        </w:rPr>
        <w:t xml:space="preserve"> and </w:t>
      </w:r>
      <w:r w:rsidRPr="0001465D">
        <w:rPr>
          <w:sz w:val="24"/>
          <w:szCs w:val="24"/>
        </w:rPr>
        <w:t>reflect on our internal processes to ensure that they are efficient and in line with the new NICE 5-year strategy.</w:t>
      </w:r>
    </w:p>
    <w:p w14:paraId="2886343A" w14:textId="77777777" w:rsidR="00EB1C36" w:rsidRPr="00C30FD9" w:rsidRDefault="00EB1C36" w:rsidP="00EB1C36">
      <w:pPr>
        <w:pStyle w:val="Heading1boardreport"/>
      </w:pPr>
      <w:r>
        <w:t xml:space="preserve">Notable </w:t>
      </w:r>
      <w:r w:rsidRPr="00D959FE">
        <w:t>issues</w:t>
      </w:r>
      <w:r>
        <w:t xml:space="preserve"> and developments </w:t>
      </w:r>
    </w:p>
    <w:p w14:paraId="75F5BA95" w14:textId="77777777" w:rsidR="004E3EC5" w:rsidRPr="004E3EC5" w:rsidRDefault="004E3EC5" w:rsidP="004E3EC5">
      <w:pPr>
        <w:pStyle w:val="Heading2boardreport"/>
      </w:pPr>
      <w:r w:rsidRPr="004E3EC5">
        <w:t>Supporting NICE's response to COVID-19</w:t>
      </w:r>
    </w:p>
    <w:p w14:paraId="51C5FA32" w14:textId="396A9AA3" w:rsidR="0065494D" w:rsidRPr="0001465D" w:rsidRDefault="002E7018" w:rsidP="002E7018">
      <w:pPr>
        <w:pStyle w:val="NICEnormalnumbered"/>
        <w:rPr>
          <w:sz w:val="24"/>
          <w:szCs w:val="24"/>
        </w:rPr>
      </w:pPr>
      <w:r w:rsidRPr="0001465D">
        <w:rPr>
          <w:sz w:val="24"/>
          <w:szCs w:val="24"/>
        </w:rPr>
        <w:t>Throughout the year, we worked flexibly to support NICE’s response to COVID-19</w:t>
      </w:r>
      <w:r w:rsidR="00AF5440" w:rsidRPr="0001465D">
        <w:rPr>
          <w:sz w:val="24"/>
          <w:szCs w:val="24"/>
        </w:rPr>
        <w:t xml:space="preserve"> by:</w:t>
      </w:r>
      <w:r w:rsidRPr="0001465D">
        <w:rPr>
          <w:sz w:val="24"/>
          <w:szCs w:val="24"/>
        </w:rPr>
        <w:t xml:space="preserve"> </w:t>
      </w:r>
    </w:p>
    <w:p w14:paraId="1289E50C" w14:textId="77777777" w:rsidR="00DD2014" w:rsidRPr="0001465D" w:rsidRDefault="00DD2014" w:rsidP="00C97A7D">
      <w:pPr>
        <w:pStyle w:val="NICEnormalnumbered"/>
        <w:numPr>
          <w:ilvl w:val="1"/>
          <w:numId w:val="25"/>
        </w:numPr>
        <w:rPr>
          <w:sz w:val="24"/>
          <w:szCs w:val="24"/>
        </w:rPr>
      </w:pPr>
      <w:r w:rsidRPr="0001465D">
        <w:rPr>
          <w:sz w:val="24"/>
          <w:szCs w:val="24"/>
        </w:rPr>
        <w:t>Developing a rapid endorsement process and prioritising COVID-19 Shared Learning examples to support implementation of NICE’s COVID-19 guidelines.</w:t>
      </w:r>
    </w:p>
    <w:p w14:paraId="2C7D057F" w14:textId="77777777" w:rsidR="00DD2014" w:rsidRPr="0001465D" w:rsidRDefault="00DD2014" w:rsidP="00762F5A">
      <w:pPr>
        <w:pStyle w:val="NICEnormalnumbered"/>
        <w:numPr>
          <w:ilvl w:val="1"/>
          <w:numId w:val="25"/>
        </w:numPr>
        <w:rPr>
          <w:sz w:val="24"/>
          <w:szCs w:val="24"/>
        </w:rPr>
      </w:pPr>
      <w:r w:rsidRPr="0001465D">
        <w:rPr>
          <w:sz w:val="24"/>
          <w:szCs w:val="24"/>
        </w:rPr>
        <w:lastRenderedPageBreak/>
        <w:t>Updating outputs such as quality standards, social care quick guides and NICE impact reports to ensure that they aligned with newly published rapid guidelines.</w:t>
      </w:r>
    </w:p>
    <w:p w14:paraId="2D867EE0" w14:textId="77777777" w:rsidR="00DD2014" w:rsidRPr="0001465D" w:rsidRDefault="00DD2014" w:rsidP="002111CE">
      <w:pPr>
        <w:pStyle w:val="NICEnormalnumbered"/>
        <w:numPr>
          <w:ilvl w:val="1"/>
          <w:numId w:val="25"/>
        </w:numPr>
        <w:rPr>
          <w:sz w:val="24"/>
          <w:szCs w:val="24"/>
        </w:rPr>
      </w:pPr>
      <w:r w:rsidRPr="0001465D">
        <w:rPr>
          <w:sz w:val="24"/>
          <w:szCs w:val="24"/>
        </w:rPr>
        <w:t>Developing stakeholder intelligence reports on the status of the external environment, use of COVID-19 guidelines and the challenges facing the health and care system.</w:t>
      </w:r>
    </w:p>
    <w:p w14:paraId="7A44F187" w14:textId="4D3CB8B3" w:rsidR="00DD2014" w:rsidRPr="0001465D" w:rsidRDefault="00DD2014" w:rsidP="002111CE">
      <w:pPr>
        <w:pStyle w:val="NICEnormalnumbered"/>
        <w:numPr>
          <w:ilvl w:val="1"/>
          <w:numId w:val="25"/>
        </w:numPr>
        <w:rPr>
          <w:sz w:val="24"/>
          <w:szCs w:val="24"/>
        </w:rPr>
      </w:pPr>
      <w:r w:rsidRPr="0001465D">
        <w:rPr>
          <w:sz w:val="24"/>
          <w:szCs w:val="24"/>
        </w:rPr>
        <w:t xml:space="preserve">Establishing, with Evidence Resources, the digital marketplace for staff and leading on the development of a cross-organisation COVID-19 </w:t>
      </w:r>
      <w:proofErr w:type="spellStart"/>
      <w:r w:rsidRPr="0001465D">
        <w:rPr>
          <w:sz w:val="24"/>
          <w:szCs w:val="24"/>
        </w:rPr>
        <w:t>SitRep</w:t>
      </w:r>
      <w:proofErr w:type="spellEnd"/>
      <w:r w:rsidRPr="0001465D">
        <w:rPr>
          <w:sz w:val="24"/>
          <w:szCs w:val="24"/>
        </w:rPr>
        <w:t>.</w:t>
      </w:r>
    </w:p>
    <w:p w14:paraId="4CD2E383" w14:textId="2FEE5049" w:rsidR="00FE7BB3" w:rsidRDefault="00FE7BB3" w:rsidP="001B0BDF">
      <w:pPr>
        <w:pStyle w:val="Heading2boardreport"/>
      </w:pPr>
      <w:bookmarkStart w:id="0" w:name="_Hlk71211169"/>
      <w:r>
        <w:t>Emerging themes from our impact reports</w:t>
      </w:r>
    </w:p>
    <w:p w14:paraId="70632547" w14:textId="76420121" w:rsidR="00FE7BB3" w:rsidRPr="0001465D" w:rsidRDefault="00FE7BB3" w:rsidP="00FE7BB3">
      <w:pPr>
        <w:pStyle w:val="NICEnormalnumbered"/>
        <w:rPr>
          <w:sz w:val="24"/>
          <w:szCs w:val="24"/>
        </w:rPr>
      </w:pPr>
      <w:bookmarkStart w:id="1" w:name="_Hlk71197051"/>
      <w:bookmarkEnd w:id="0"/>
      <w:r w:rsidRPr="0001465D">
        <w:rPr>
          <w:sz w:val="24"/>
          <w:szCs w:val="24"/>
        </w:rPr>
        <w:t xml:space="preserve">In response to a request from the NICE Board, the 18 previously published NICE impact reports were analysed to identify common themes. Nearly 200 data points relating to the uptake of NICE guidance were extracted. One factor influencing the selection of topics is the availability of published data such as national audits, </w:t>
      </w:r>
      <w:proofErr w:type="gramStart"/>
      <w:r w:rsidRPr="0001465D">
        <w:rPr>
          <w:sz w:val="24"/>
          <w:szCs w:val="24"/>
        </w:rPr>
        <w:t>reports</w:t>
      </w:r>
      <w:proofErr w:type="gramEnd"/>
      <w:r w:rsidRPr="0001465D">
        <w:rPr>
          <w:sz w:val="24"/>
          <w:szCs w:val="24"/>
        </w:rPr>
        <w:t xml:space="preserve"> and surveys</w:t>
      </w:r>
      <w:r w:rsidR="00D94F7F" w:rsidRPr="0001465D">
        <w:rPr>
          <w:sz w:val="24"/>
          <w:szCs w:val="24"/>
        </w:rPr>
        <w:t>. A</w:t>
      </w:r>
      <w:r w:rsidRPr="0001465D">
        <w:rPr>
          <w:sz w:val="24"/>
          <w:szCs w:val="24"/>
        </w:rPr>
        <w:t xml:space="preserve">s a result, most of the data points (177) relate to uptake of our recommendations in healthcare, with very few data points giving us information about the uptake of our public health or social care recommendations. </w:t>
      </w:r>
    </w:p>
    <w:p w14:paraId="2699FB26" w14:textId="71753C89" w:rsidR="00FE7BB3" w:rsidRPr="0001465D" w:rsidRDefault="00FE7BB3" w:rsidP="00FE7BB3">
      <w:pPr>
        <w:pStyle w:val="NICEnormalnumbered"/>
        <w:rPr>
          <w:sz w:val="24"/>
          <w:szCs w:val="24"/>
        </w:rPr>
      </w:pPr>
      <w:r w:rsidRPr="0001465D">
        <w:rPr>
          <w:sz w:val="24"/>
          <w:szCs w:val="24"/>
        </w:rPr>
        <w:t xml:space="preserve">We extracted 111 data points showing low uptake, and areas associated with this across multiple reports were identified. We have reported on 36 instances where commissioning of services in line with NICE recommendations showed low uptake, such as vocational rehabilitation for stroke which we found was commissioned by only 27% of CCGs. In 19 instances, recommendations about user involvement in decisions about their own care showed low uptake, such as less than 10% of people receiving end of life care having an advanced care plan agreed before their final hospital admission. We identified 16 instances of low uptake during transition between services, such as just over a </w:t>
      </w:r>
      <w:r w:rsidRPr="0001465D">
        <w:rPr>
          <w:sz w:val="24"/>
          <w:szCs w:val="24"/>
        </w:rPr>
        <w:lastRenderedPageBreak/>
        <w:t xml:space="preserve">third of people with a respiratory condition being followed up for a review within 2 days of being discharged from emergency care. </w:t>
      </w:r>
    </w:p>
    <w:p w14:paraId="7C449913" w14:textId="77777777" w:rsidR="00FE7BB3" w:rsidRPr="0001465D" w:rsidRDefault="00FE7BB3" w:rsidP="00FE7BB3">
      <w:pPr>
        <w:pStyle w:val="NICEnormalnumbered"/>
        <w:rPr>
          <w:sz w:val="24"/>
          <w:szCs w:val="24"/>
        </w:rPr>
      </w:pPr>
      <w:r w:rsidRPr="0001465D">
        <w:rPr>
          <w:sz w:val="24"/>
          <w:szCs w:val="24"/>
        </w:rPr>
        <w:t xml:space="preserve">While almost every report included examples of health inequalities in outcomes, we reported on just 8 examples of variable uptake of our recommendations in different populations. To support NICE's strategic ambition to contribute to reducing inequalities, we are exploring how we can improve reporting in this area and will maintain a focus on inequalities in forthcoming reports. We identified several examples where the reported user experience of care was not in line with NICE guidance, despite organisational audits reporting that our recommendations had been implemented. This will encourage us to continue seeking information on patient or service user experience to inform future reports.  </w:t>
      </w:r>
    </w:p>
    <w:p w14:paraId="6EB1578C" w14:textId="77777777" w:rsidR="00FE7BB3" w:rsidRPr="0001465D" w:rsidRDefault="00FE7BB3" w:rsidP="00FE7BB3">
      <w:pPr>
        <w:pStyle w:val="NICEnormalnumbered"/>
        <w:rPr>
          <w:sz w:val="24"/>
          <w:szCs w:val="24"/>
        </w:rPr>
      </w:pPr>
      <w:r w:rsidRPr="0001465D">
        <w:rPr>
          <w:sz w:val="24"/>
          <w:szCs w:val="24"/>
        </w:rPr>
        <w:t>The findings of the analysis will be considered during development of the updated implementation strategy, which includes a workstream exploring how we can use data to drive our implementation offer and measure our impact.</w:t>
      </w:r>
      <w:bookmarkEnd w:id="1"/>
    </w:p>
    <w:p w14:paraId="57A7A8C3" w14:textId="071507A4" w:rsidR="001B0BDF" w:rsidRDefault="001D5BDD" w:rsidP="001B0BDF">
      <w:pPr>
        <w:pStyle w:val="Heading2boardreport"/>
      </w:pPr>
      <w:r>
        <w:t>Moving online</w:t>
      </w:r>
    </w:p>
    <w:p w14:paraId="702E794B" w14:textId="00C8687D" w:rsidR="00FE7BB3" w:rsidRPr="0001465D" w:rsidRDefault="00FE7BB3" w:rsidP="00FE7BB3">
      <w:pPr>
        <w:pStyle w:val="NICEnormalnumbered"/>
        <w:rPr>
          <w:sz w:val="24"/>
          <w:szCs w:val="24"/>
        </w:rPr>
      </w:pPr>
      <w:r w:rsidRPr="0001465D">
        <w:rPr>
          <w:sz w:val="24"/>
          <w:szCs w:val="24"/>
        </w:rPr>
        <w:t>During 2020/21</w:t>
      </w:r>
      <w:r w:rsidR="00D94F7F" w:rsidRPr="0001465D">
        <w:rPr>
          <w:sz w:val="24"/>
          <w:szCs w:val="24"/>
        </w:rPr>
        <w:t>,</w:t>
      </w:r>
      <w:r w:rsidRPr="0001465D">
        <w:rPr>
          <w:sz w:val="24"/>
          <w:szCs w:val="24"/>
        </w:rPr>
        <w:t xml:space="preserve"> we implemented new ways of working which are expected to bring long term benefits to operational productivity and reduction in costs. Examples of meetings and events that moved online include: Q</w:t>
      </w:r>
      <w:r w:rsidR="00E22EDB" w:rsidRPr="0001465D">
        <w:rPr>
          <w:sz w:val="24"/>
          <w:szCs w:val="24"/>
        </w:rPr>
        <w:t xml:space="preserve">uality </w:t>
      </w:r>
      <w:r w:rsidRPr="0001465D">
        <w:rPr>
          <w:sz w:val="24"/>
          <w:szCs w:val="24"/>
        </w:rPr>
        <w:t>S</w:t>
      </w:r>
      <w:r w:rsidR="00E22EDB" w:rsidRPr="0001465D">
        <w:rPr>
          <w:sz w:val="24"/>
          <w:szCs w:val="24"/>
        </w:rPr>
        <w:t>tandards</w:t>
      </w:r>
      <w:r w:rsidRPr="0001465D">
        <w:rPr>
          <w:sz w:val="24"/>
          <w:szCs w:val="24"/>
        </w:rPr>
        <w:t xml:space="preserve"> and indicator committee meetings; Shared Learning Awards; Evidence Search workshops; 'Learning about NICE' events and Fellows and Scholars events. </w:t>
      </w:r>
      <w:r w:rsidR="00D94F7F" w:rsidRPr="0001465D">
        <w:rPr>
          <w:sz w:val="24"/>
          <w:szCs w:val="24"/>
        </w:rPr>
        <w:t>Other areas which moved to virtual working include:</w:t>
      </w:r>
    </w:p>
    <w:p w14:paraId="775E560F" w14:textId="77777777" w:rsidR="00FE7BB3" w:rsidRPr="0001465D" w:rsidRDefault="00FE7BB3" w:rsidP="0079583E">
      <w:pPr>
        <w:pStyle w:val="NICEnormalnumbered"/>
        <w:numPr>
          <w:ilvl w:val="1"/>
          <w:numId w:val="25"/>
        </w:numPr>
        <w:rPr>
          <w:sz w:val="24"/>
          <w:szCs w:val="24"/>
        </w:rPr>
      </w:pPr>
      <w:r w:rsidRPr="0001465D">
        <w:rPr>
          <w:sz w:val="24"/>
          <w:szCs w:val="24"/>
        </w:rPr>
        <w:t>Continuing Field team engagements using digital platforms, such as webinars, which have been well attended and positively evaluated. The move to virtual meetings has allowed the team to contribute to more events. However, the absence of informal conversations which are part of face-to-</w:t>
      </w:r>
      <w:r w:rsidRPr="0001465D">
        <w:rPr>
          <w:sz w:val="24"/>
          <w:szCs w:val="24"/>
        </w:rPr>
        <w:lastRenderedPageBreak/>
        <w:t>face meetings, can make it harder to develop new relationships and obtain 'softer' intelligence.</w:t>
      </w:r>
    </w:p>
    <w:p w14:paraId="6FB2D4AF" w14:textId="77777777" w:rsidR="00FE7BB3" w:rsidRPr="0001465D" w:rsidRDefault="00FE7BB3" w:rsidP="00384EE5">
      <w:pPr>
        <w:pStyle w:val="NICEnormalnumbered"/>
        <w:numPr>
          <w:ilvl w:val="1"/>
          <w:numId w:val="25"/>
        </w:numPr>
        <w:rPr>
          <w:sz w:val="24"/>
          <w:szCs w:val="24"/>
        </w:rPr>
      </w:pPr>
      <w:r w:rsidRPr="0001465D">
        <w:rPr>
          <w:sz w:val="24"/>
          <w:szCs w:val="24"/>
        </w:rPr>
        <w:t xml:space="preserve">Supporting lay members and patient experts at virtual committee meetings and seeking feedback on people’s experiences to enable improvements to be made. Virtual meetings have made it easier for PIP to support patient experts and exit survey data show that 92% of lay members and 88% of patient experts rated their overall experience of being on a NICE committee as good or excellent. </w:t>
      </w:r>
    </w:p>
    <w:p w14:paraId="360D3FE8" w14:textId="611EA528" w:rsidR="00FE7BB3" w:rsidRPr="0001465D" w:rsidRDefault="00FE7BB3" w:rsidP="00384EE5">
      <w:pPr>
        <w:pStyle w:val="NICEnormalnumbered"/>
        <w:numPr>
          <w:ilvl w:val="1"/>
          <w:numId w:val="25"/>
        </w:numPr>
        <w:rPr>
          <w:sz w:val="24"/>
          <w:szCs w:val="24"/>
        </w:rPr>
      </w:pPr>
      <w:r w:rsidRPr="0001465D">
        <w:rPr>
          <w:sz w:val="24"/>
          <w:szCs w:val="24"/>
        </w:rPr>
        <w:t>Introducing monthly virtual induction sessions for patient organisations working with us on technology appraisals (TAs). The sessions have replaced individual phone calls and the use of Zoom has allowed for better relationship building.</w:t>
      </w:r>
    </w:p>
    <w:p w14:paraId="514196E8" w14:textId="515CDCDD" w:rsidR="001D5BDD" w:rsidRDefault="001D5BDD" w:rsidP="004E3EC5">
      <w:pPr>
        <w:pStyle w:val="Heading2boardreport"/>
      </w:pPr>
      <w:r>
        <w:t>Streamlining our processes</w:t>
      </w:r>
    </w:p>
    <w:p w14:paraId="7291F01C" w14:textId="14D961AF" w:rsidR="001D5BDD" w:rsidRPr="0001465D" w:rsidRDefault="003041A3" w:rsidP="001D5BDD">
      <w:pPr>
        <w:pStyle w:val="NICEnormalnumbered"/>
        <w:rPr>
          <w:sz w:val="24"/>
          <w:szCs w:val="24"/>
        </w:rPr>
      </w:pPr>
      <w:r w:rsidRPr="0001465D">
        <w:rPr>
          <w:sz w:val="24"/>
          <w:szCs w:val="24"/>
        </w:rPr>
        <w:t>As a result of the new priorities emerging from the NICE 5-year strategy and external system changes w</w:t>
      </w:r>
      <w:r w:rsidR="008704FC" w:rsidRPr="0001465D">
        <w:rPr>
          <w:sz w:val="24"/>
          <w:szCs w:val="24"/>
        </w:rPr>
        <w:t xml:space="preserve">e spent time reviewing our </w:t>
      </w:r>
      <w:r w:rsidRPr="0001465D">
        <w:rPr>
          <w:sz w:val="24"/>
          <w:szCs w:val="24"/>
        </w:rPr>
        <w:t xml:space="preserve">internal </w:t>
      </w:r>
      <w:r w:rsidR="008704FC" w:rsidRPr="0001465D">
        <w:rPr>
          <w:sz w:val="24"/>
          <w:szCs w:val="24"/>
        </w:rPr>
        <w:t>processes</w:t>
      </w:r>
      <w:r w:rsidRPr="0001465D">
        <w:rPr>
          <w:sz w:val="24"/>
          <w:szCs w:val="24"/>
        </w:rPr>
        <w:t>.</w:t>
      </w:r>
    </w:p>
    <w:p w14:paraId="5F4353B7" w14:textId="3DEFA04A" w:rsidR="008704FC" w:rsidRPr="0001465D" w:rsidRDefault="003041A3" w:rsidP="009E64DC">
      <w:pPr>
        <w:pStyle w:val="NICEnormalnumbered"/>
        <w:numPr>
          <w:ilvl w:val="1"/>
          <w:numId w:val="25"/>
        </w:numPr>
        <w:rPr>
          <w:sz w:val="24"/>
          <w:szCs w:val="24"/>
        </w:rPr>
      </w:pPr>
      <w:r w:rsidRPr="0001465D">
        <w:rPr>
          <w:sz w:val="24"/>
          <w:szCs w:val="24"/>
        </w:rPr>
        <w:t>A</w:t>
      </w:r>
      <w:r w:rsidR="008704FC" w:rsidRPr="0001465D">
        <w:rPr>
          <w:sz w:val="24"/>
          <w:szCs w:val="24"/>
        </w:rPr>
        <w:t xml:space="preserve"> streamlined resource impact assessment process manual </w:t>
      </w:r>
      <w:r w:rsidRPr="0001465D">
        <w:rPr>
          <w:sz w:val="24"/>
          <w:szCs w:val="24"/>
        </w:rPr>
        <w:t xml:space="preserve">was </w:t>
      </w:r>
      <w:r w:rsidR="00223B96" w:rsidRPr="0001465D">
        <w:rPr>
          <w:sz w:val="24"/>
          <w:szCs w:val="24"/>
        </w:rPr>
        <w:t>published</w:t>
      </w:r>
      <w:r w:rsidR="00325E2F" w:rsidRPr="0001465D">
        <w:rPr>
          <w:sz w:val="24"/>
          <w:szCs w:val="24"/>
        </w:rPr>
        <w:t>. C</w:t>
      </w:r>
      <w:r w:rsidR="00F150A8" w:rsidRPr="0001465D">
        <w:rPr>
          <w:sz w:val="24"/>
          <w:szCs w:val="24"/>
        </w:rPr>
        <w:t xml:space="preserve">hanges </w:t>
      </w:r>
      <w:r w:rsidRPr="0001465D">
        <w:rPr>
          <w:sz w:val="24"/>
          <w:szCs w:val="24"/>
        </w:rPr>
        <w:t xml:space="preserve">were made </w:t>
      </w:r>
      <w:r w:rsidR="00F150A8" w:rsidRPr="0001465D">
        <w:rPr>
          <w:sz w:val="24"/>
          <w:szCs w:val="24"/>
        </w:rPr>
        <w:t xml:space="preserve">to how the </w:t>
      </w:r>
      <w:r w:rsidR="008704FC" w:rsidRPr="0001465D">
        <w:rPr>
          <w:sz w:val="24"/>
          <w:szCs w:val="24"/>
        </w:rPr>
        <w:t>Guideline Resource Implementation Panel (GRIP) works</w:t>
      </w:r>
      <w:r w:rsidRPr="0001465D">
        <w:rPr>
          <w:sz w:val="24"/>
          <w:szCs w:val="24"/>
        </w:rPr>
        <w:t>,</w:t>
      </w:r>
      <w:r w:rsidR="008704FC" w:rsidRPr="0001465D">
        <w:rPr>
          <w:sz w:val="24"/>
          <w:szCs w:val="24"/>
        </w:rPr>
        <w:t xml:space="preserve"> to bring forward discussions about implementation issues.</w:t>
      </w:r>
      <w:r w:rsidR="00F150A8" w:rsidRPr="0001465D">
        <w:rPr>
          <w:sz w:val="24"/>
          <w:szCs w:val="24"/>
        </w:rPr>
        <w:t xml:space="preserve"> </w:t>
      </w:r>
      <w:r w:rsidRPr="0001465D">
        <w:rPr>
          <w:sz w:val="24"/>
          <w:szCs w:val="24"/>
        </w:rPr>
        <w:t xml:space="preserve">Our </w:t>
      </w:r>
      <w:r w:rsidR="008704FC" w:rsidRPr="0001465D">
        <w:rPr>
          <w:sz w:val="24"/>
          <w:szCs w:val="24"/>
        </w:rPr>
        <w:t>resource impact assessment tools</w:t>
      </w:r>
      <w:r w:rsidRPr="0001465D">
        <w:rPr>
          <w:sz w:val="24"/>
          <w:szCs w:val="24"/>
        </w:rPr>
        <w:t xml:space="preserve"> were also updated</w:t>
      </w:r>
      <w:r w:rsidR="008704FC" w:rsidRPr="0001465D">
        <w:rPr>
          <w:sz w:val="24"/>
          <w:szCs w:val="24"/>
        </w:rPr>
        <w:t xml:space="preserve"> to look at the impact to the </w:t>
      </w:r>
      <w:r w:rsidR="00D94F7F" w:rsidRPr="0001465D">
        <w:rPr>
          <w:sz w:val="24"/>
          <w:szCs w:val="24"/>
        </w:rPr>
        <w:t xml:space="preserve">whole </w:t>
      </w:r>
      <w:r w:rsidR="008704FC" w:rsidRPr="0001465D">
        <w:rPr>
          <w:sz w:val="24"/>
          <w:szCs w:val="24"/>
        </w:rPr>
        <w:t>system</w:t>
      </w:r>
      <w:r w:rsidR="00D94F7F" w:rsidRPr="0001465D">
        <w:rPr>
          <w:sz w:val="24"/>
          <w:szCs w:val="24"/>
        </w:rPr>
        <w:t>.</w:t>
      </w:r>
      <w:r w:rsidR="008704FC" w:rsidRPr="0001465D">
        <w:rPr>
          <w:sz w:val="24"/>
          <w:szCs w:val="24"/>
        </w:rPr>
        <w:t xml:space="preserve"> </w:t>
      </w:r>
    </w:p>
    <w:p w14:paraId="515F5311" w14:textId="57D35CFE" w:rsidR="00F150A8" w:rsidRPr="0001465D" w:rsidRDefault="00D67E7F" w:rsidP="009E64DC">
      <w:pPr>
        <w:pStyle w:val="NICEnormalnumbered"/>
        <w:numPr>
          <w:ilvl w:val="1"/>
          <w:numId w:val="25"/>
        </w:numPr>
        <w:rPr>
          <w:sz w:val="24"/>
          <w:szCs w:val="24"/>
        </w:rPr>
      </w:pPr>
      <w:r w:rsidRPr="0001465D">
        <w:rPr>
          <w:sz w:val="24"/>
          <w:szCs w:val="24"/>
        </w:rPr>
        <w:t>NICE</w:t>
      </w:r>
      <w:r w:rsidR="00F150A8" w:rsidRPr="0001465D">
        <w:rPr>
          <w:sz w:val="24"/>
          <w:szCs w:val="24"/>
        </w:rPr>
        <w:t xml:space="preserve"> impact reports </w:t>
      </w:r>
      <w:r w:rsidR="002E4B7C" w:rsidRPr="0001465D">
        <w:rPr>
          <w:sz w:val="24"/>
          <w:szCs w:val="24"/>
        </w:rPr>
        <w:t xml:space="preserve">now </w:t>
      </w:r>
      <w:r w:rsidR="007767B7" w:rsidRPr="0001465D">
        <w:rPr>
          <w:sz w:val="24"/>
          <w:szCs w:val="24"/>
        </w:rPr>
        <w:t xml:space="preserve">identify implementation challenges </w:t>
      </w:r>
      <w:r w:rsidR="00F150A8" w:rsidRPr="0001465D">
        <w:rPr>
          <w:sz w:val="24"/>
          <w:szCs w:val="24"/>
        </w:rPr>
        <w:t xml:space="preserve">and available support across the healthcare system. A 'what's next?' section identifies priority areas of low or variable uptake and sets out how </w:t>
      </w:r>
      <w:r w:rsidR="00987DCE" w:rsidRPr="0001465D">
        <w:rPr>
          <w:sz w:val="24"/>
          <w:szCs w:val="24"/>
        </w:rPr>
        <w:t xml:space="preserve">we </w:t>
      </w:r>
      <w:r w:rsidR="00F150A8" w:rsidRPr="0001465D">
        <w:rPr>
          <w:sz w:val="24"/>
          <w:szCs w:val="24"/>
        </w:rPr>
        <w:t xml:space="preserve">will work with partners to help support implementation. </w:t>
      </w:r>
    </w:p>
    <w:p w14:paraId="5A9ADAC6" w14:textId="779DA4C3" w:rsidR="00D67E7F" w:rsidRPr="0001465D" w:rsidRDefault="002E4B7C" w:rsidP="00D67E7F">
      <w:pPr>
        <w:pStyle w:val="NICEnormalnumbered"/>
        <w:numPr>
          <w:ilvl w:val="1"/>
          <w:numId w:val="25"/>
        </w:numPr>
        <w:rPr>
          <w:sz w:val="24"/>
          <w:szCs w:val="24"/>
        </w:rPr>
      </w:pPr>
      <w:r w:rsidRPr="0001465D">
        <w:rPr>
          <w:sz w:val="24"/>
          <w:szCs w:val="24"/>
        </w:rPr>
        <w:lastRenderedPageBreak/>
        <w:t>A</w:t>
      </w:r>
      <w:r w:rsidR="00D67E7F" w:rsidRPr="0001465D">
        <w:rPr>
          <w:sz w:val="24"/>
          <w:szCs w:val="24"/>
        </w:rPr>
        <w:t xml:space="preserve"> review of the </w:t>
      </w:r>
      <w:r w:rsidRPr="0001465D">
        <w:rPr>
          <w:sz w:val="24"/>
          <w:szCs w:val="24"/>
        </w:rPr>
        <w:t xml:space="preserve">QS </w:t>
      </w:r>
      <w:r w:rsidR="00D67E7F" w:rsidRPr="0001465D">
        <w:rPr>
          <w:sz w:val="24"/>
          <w:szCs w:val="24"/>
        </w:rPr>
        <w:t xml:space="preserve">programme </w:t>
      </w:r>
      <w:r w:rsidRPr="0001465D">
        <w:rPr>
          <w:sz w:val="24"/>
          <w:szCs w:val="24"/>
        </w:rPr>
        <w:t>looked at</w:t>
      </w:r>
      <w:r w:rsidR="00D67E7F" w:rsidRPr="0001465D">
        <w:rPr>
          <w:sz w:val="24"/>
          <w:szCs w:val="24"/>
        </w:rPr>
        <w:t xml:space="preserve"> local perceptions of QS</w:t>
      </w:r>
      <w:r w:rsidRPr="0001465D">
        <w:rPr>
          <w:sz w:val="24"/>
          <w:szCs w:val="24"/>
        </w:rPr>
        <w:t xml:space="preserve"> and the</w:t>
      </w:r>
      <w:r w:rsidR="00D67E7F" w:rsidRPr="0001465D">
        <w:rPr>
          <w:sz w:val="24"/>
          <w:szCs w:val="24"/>
        </w:rPr>
        <w:t xml:space="preserve"> methods used to develop</w:t>
      </w:r>
      <w:r w:rsidRPr="0001465D">
        <w:rPr>
          <w:sz w:val="24"/>
          <w:szCs w:val="24"/>
        </w:rPr>
        <w:t xml:space="preserve"> and update</w:t>
      </w:r>
      <w:r w:rsidR="00D67E7F" w:rsidRPr="0001465D">
        <w:rPr>
          <w:sz w:val="24"/>
          <w:szCs w:val="24"/>
        </w:rPr>
        <w:t xml:space="preserve"> </w:t>
      </w:r>
      <w:r w:rsidRPr="0001465D">
        <w:rPr>
          <w:sz w:val="24"/>
          <w:szCs w:val="24"/>
        </w:rPr>
        <w:t>them</w:t>
      </w:r>
      <w:r w:rsidR="00D67E7F" w:rsidRPr="0001465D">
        <w:rPr>
          <w:sz w:val="24"/>
          <w:szCs w:val="24"/>
        </w:rPr>
        <w:t xml:space="preserve">. </w:t>
      </w:r>
      <w:r w:rsidR="00223B96" w:rsidRPr="0001465D">
        <w:rPr>
          <w:sz w:val="24"/>
          <w:szCs w:val="24"/>
        </w:rPr>
        <w:t>C</w:t>
      </w:r>
      <w:r w:rsidR="00D67E7F" w:rsidRPr="0001465D">
        <w:rPr>
          <w:sz w:val="24"/>
          <w:szCs w:val="24"/>
        </w:rPr>
        <w:t xml:space="preserve">hanges implemented following the review will ensure </w:t>
      </w:r>
      <w:r w:rsidR="00235028" w:rsidRPr="0001465D">
        <w:rPr>
          <w:sz w:val="24"/>
          <w:szCs w:val="24"/>
        </w:rPr>
        <w:t xml:space="preserve">that outputs are aligned with stakeholders’ needs and </w:t>
      </w:r>
      <w:r w:rsidR="001961D2" w:rsidRPr="0001465D">
        <w:rPr>
          <w:sz w:val="24"/>
          <w:szCs w:val="24"/>
        </w:rPr>
        <w:t xml:space="preserve">that </w:t>
      </w:r>
      <w:r w:rsidR="007767B7" w:rsidRPr="0001465D">
        <w:rPr>
          <w:sz w:val="24"/>
          <w:szCs w:val="24"/>
        </w:rPr>
        <w:t>processes</w:t>
      </w:r>
      <w:r w:rsidR="00D67E7F" w:rsidRPr="0001465D">
        <w:rPr>
          <w:sz w:val="24"/>
          <w:szCs w:val="24"/>
        </w:rPr>
        <w:t xml:space="preserve"> are faster, </w:t>
      </w:r>
      <w:r w:rsidR="00223B96" w:rsidRPr="0001465D">
        <w:rPr>
          <w:sz w:val="24"/>
          <w:szCs w:val="24"/>
        </w:rPr>
        <w:t>flexible,</w:t>
      </w:r>
      <w:r w:rsidR="00D67E7F" w:rsidRPr="0001465D">
        <w:rPr>
          <w:sz w:val="24"/>
          <w:szCs w:val="24"/>
        </w:rPr>
        <w:t xml:space="preserve"> and more efficient.</w:t>
      </w:r>
    </w:p>
    <w:p w14:paraId="1D49ACE8" w14:textId="5AFA2BAF" w:rsidR="00D67E7F" w:rsidRPr="0001465D" w:rsidRDefault="00F913FF" w:rsidP="009E64DC">
      <w:pPr>
        <w:pStyle w:val="NICEnormalnumbered"/>
        <w:numPr>
          <w:ilvl w:val="1"/>
          <w:numId w:val="25"/>
        </w:numPr>
        <w:rPr>
          <w:sz w:val="24"/>
          <w:szCs w:val="24"/>
        </w:rPr>
      </w:pPr>
      <w:r w:rsidRPr="0001465D">
        <w:rPr>
          <w:sz w:val="24"/>
          <w:szCs w:val="24"/>
        </w:rPr>
        <w:t>R</w:t>
      </w:r>
      <w:r w:rsidR="00D67E7F" w:rsidRPr="0001465D">
        <w:rPr>
          <w:sz w:val="24"/>
          <w:szCs w:val="24"/>
        </w:rPr>
        <w:t>eview</w:t>
      </w:r>
      <w:r w:rsidRPr="0001465D">
        <w:rPr>
          <w:sz w:val="24"/>
          <w:szCs w:val="24"/>
        </w:rPr>
        <w:t>s</w:t>
      </w:r>
      <w:r w:rsidR="00D67E7F" w:rsidRPr="0001465D">
        <w:rPr>
          <w:sz w:val="24"/>
          <w:szCs w:val="24"/>
        </w:rPr>
        <w:t xml:space="preserve"> of our current approaches to</w:t>
      </w:r>
      <w:r w:rsidR="002E4B7C" w:rsidRPr="0001465D">
        <w:rPr>
          <w:sz w:val="24"/>
          <w:szCs w:val="24"/>
        </w:rPr>
        <w:t xml:space="preserve"> </w:t>
      </w:r>
      <w:r w:rsidRPr="0001465D">
        <w:rPr>
          <w:sz w:val="24"/>
          <w:szCs w:val="24"/>
        </w:rPr>
        <w:t xml:space="preserve">strategic </w:t>
      </w:r>
      <w:r w:rsidR="00D67E7F" w:rsidRPr="0001465D">
        <w:rPr>
          <w:sz w:val="24"/>
          <w:szCs w:val="24"/>
        </w:rPr>
        <w:t>engagement</w:t>
      </w:r>
      <w:r w:rsidRPr="0001465D">
        <w:rPr>
          <w:sz w:val="24"/>
          <w:szCs w:val="24"/>
        </w:rPr>
        <w:t>, influencing</w:t>
      </w:r>
      <w:r w:rsidR="00D67E7F" w:rsidRPr="0001465D">
        <w:rPr>
          <w:sz w:val="24"/>
          <w:szCs w:val="24"/>
        </w:rPr>
        <w:t xml:space="preserve"> and implementation </w:t>
      </w:r>
      <w:r w:rsidRPr="0001465D">
        <w:rPr>
          <w:sz w:val="24"/>
          <w:szCs w:val="24"/>
        </w:rPr>
        <w:t>are</w:t>
      </w:r>
      <w:r w:rsidR="00D67E7F" w:rsidRPr="0001465D">
        <w:rPr>
          <w:sz w:val="24"/>
          <w:szCs w:val="24"/>
        </w:rPr>
        <w:t xml:space="preserve"> underway to support delivery of the new strategy.</w:t>
      </w:r>
      <w:r w:rsidR="00325E2F" w:rsidRPr="0001465D">
        <w:rPr>
          <w:sz w:val="24"/>
          <w:szCs w:val="24"/>
        </w:rPr>
        <w:t xml:space="preserve"> </w:t>
      </w:r>
      <w:r w:rsidR="00235028" w:rsidRPr="0001465D">
        <w:rPr>
          <w:sz w:val="24"/>
          <w:szCs w:val="24"/>
        </w:rPr>
        <w:t xml:space="preserve"> </w:t>
      </w:r>
    </w:p>
    <w:p w14:paraId="29086814" w14:textId="1106E9BC" w:rsidR="004E3EC5" w:rsidRPr="004E3EC5" w:rsidRDefault="004E3EC5" w:rsidP="004E3EC5">
      <w:pPr>
        <w:pStyle w:val="Heading2boardreport"/>
      </w:pPr>
      <w:bookmarkStart w:id="2" w:name="_Hlk70515493"/>
      <w:r w:rsidRPr="004E3EC5">
        <w:t>Partnership working</w:t>
      </w:r>
    </w:p>
    <w:bookmarkEnd w:id="2"/>
    <w:p w14:paraId="544E6A5B" w14:textId="7DEA9871" w:rsidR="006C63BF" w:rsidRPr="0001465D" w:rsidRDefault="002E4B7C" w:rsidP="0011545F">
      <w:pPr>
        <w:pStyle w:val="NICEnormalnumbered"/>
        <w:rPr>
          <w:sz w:val="24"/>
          <w:szCs w:val="24"/>
        </w:rPr>
      </w:pPr>
      <w:r w:rsidRPr="0001465D">
        <w:rPr>
          <w:sz w:val="24"/>
          <w:szCs w:val="24"/>
        </w:rPr>
        <w:t>W</w:t>
      </w:r>
      <w:r w:rsidR="002C20D3" w:rsidRPr="0001465D">
        <w:rPr>
          <w:sz w:val="24"/>
          <w:szCs w:val="24"/>
        </w:rPr>
        <w:t xml:space="preserve">e </w:t>
      </w:r>
      <w:r w:rsidR="0011545F" w:rsidRPr="0001465D">
        <w:rPr>
          <w:sz w:val="24"/>
          <w:szCs w:val="24"/>
        </w:rPr>
        <w:t>aligned our engagement efforts to reflect the priorities of COVID-19, external system changes and the NICE 5-year strategy</w:t>
      </w:r>
      <w:r w:rsidR="00D67E7F" w:rsidRPr="0001465D">
        <w:rPr>
          <w:sz w:val="24"/>
          <w:szCs w:val="24"/>
        </w:rPr>
        <w:t>. Examples include:</w:t>
      </w:r>
    </w:p>
    <w:p w14:paraId="599E4461" w14:textId="3C7E73B5" w:rsidR="0065494D" w:rsidRPr="0001465D" w:rsidRDefault="00F85FCD" w:rsidP="00D67E7F">
      <w:pPr>
        <w:pStyle w:val="NICEnormalnumbered"/>
        <w:numPr>
          <w:ilvl w:val="1"/>
          <w:numId w:val="25"/>
        </w:numPr>
        <w:rPr>
          <w:sz w:val="24"/>
          <w:szCs w:val="24"/>
        </w:rPr>
      </w:pPr>
      <w:r w:rsidRPr="0001465D">
        <w:rPr>
          <w:sz w:val="24"/>
          <w:szCs w:val="24"/>
        </w:rPr>
        <w:t>M</w:t>
      </w:r>
      <w:r w:rsidR="002E4B7C" w:rsidRPr="0001465D">
        <w:rPr>
          <w:sz w:val="24"/>
          <w:szCs w:val="24"/>
        </w:rPr>
        <w:t>aintain</w:t>
      </w:r>
      <w:r w:rsidRPr="0001465D">
        <w:rPr>
          <w:sz w:val="24"/>
          <w:szCs w:val="24"/>
        </w:rPr>
        <w:t xml:space="preserve">ing </w:t>
      </w:r>
      <w:r w:rsidR="002E4B7C" w:rsidRPr="0001465D">
        <w:rPr>
          <w:sz w:val="24"/>
          <w:szCs w:val="24"/>
        </w:rPr>
        <w:t xml:space="preserve">close working relationships </w:t>
      </w:r>
      <w:r w:rsidR="00113D26" w:rsidRPr="0001465D">
        <w:rPr>
          <w:sz w:val="24"/>
          <w:szCs w:val="24"/>
        </w:rPr>
        <w:t xml:space="preserve">with key colleagues from </w:t>
      </w:r>
      <w:r w:rsidRPr="0001465D">
        <w:rPr>
          <w:sz w:val="24"/>
          <w:szCs w:val="24"/>
        </w:rPr>
        <w:t xml:space="preserve">the Care Quality Commission (CQC) </w:t>
      </w:r>
      <w:r w:rsidR="00113D26" w:rsidRPr="0001465D">
        <w:rPr>
          <w:sz w:val="24"/>
          <w:szCs w:val="24"/>
        </w:rPr>
        <w:t>to set the direction of joint work</w:t>
      </w:r>
      <w:r w:rsidR="00235028" w:rsidRPr="0001465D">
        <w:rPr>
          <w:sz w:val="24"/>
          <w:szCs w:val="24"/>
        </w:rPr>
        <w:t xml:space="preserve"> </w:t>
      </w:r>
      <w:proofErr w:type="gramStart"/>
      <w:r w:rsidR="00235028" w:rsidRPr="0001465D">
        <w:rPr>
          <w:sz w:val="24"/>
          <w:szCs w:val="24"/>
        </w:rPr>
        <w:t>in light of</w:t>
      </w:r>
      <w:proofErr w:type="gramEnd"/>
      <w:r w:rsidR="00235028" w:rsidRPr="0001465D">
        <w:rPr>
          <w:sz w:val="24"/>
          <w:szCs w:val="24"/>
        </w:rPr>
        <w:t xml:space="preserve"> both organisations' new strategies</w:t>
      </w:r>
      <w:r w:rsidR="00113D26" w:rsidRPr="0001465D">
        <w:rPr>
          <w:sz w:val="24"/>
          <w:szCs w:val="24"/>
        </w:rPr>
        <w:t>. We have updated our Memorandum of Understanding and identified new priority areas of joint work for 2021/22.</w:t>
      </w:r>
    </w:p>
    <w:p w14:paraId="054AE772" w14:textId="68332CC3" w:rsidR="00C52DC3" w:rsidRPr="0001465D" w:rsidRDefault="00235028" w:rsidP="00C52DC3">
      <w:pPr>
        <w:pStyle w:val="NICEnormalnumbered"/>
        <w:numPr>
          <w:ilvl w:val="1"/>
          <w:numId w:val="25"/>
        </w:numPr>
        <w:rPr>
          <w:sz w:val="24"/>
          <w:szCs w:val="24"/>
        </w:rPr>
      </w:pPr>
      <w:r w:rsidRPr="0001465D">
        <w:rPr>
          <w:sz w:val="24"/>
          <w:szCs w:val="24"/>
        </w:rPr>
        <w:t>Refreshing the</w:t>
      </w:r>
      <w:r w:rsidR="00F85FCD" w:rsidRPr="0001465D">
        <w:rPr>
          <w:sz w:val="24"/>
          <w:szCs w:val="24"/>
        </w:rPr>
        <w:t xml:space="preserve"> relationship management meeting with</w:t>
      </w:r>
      <w:r w:rsidR="00C52DC3" w:rsidRPr="0001465D">
        <w:rPr>
          <w:sz w:val="24"/>
          <w:szCs w:val="24"/>
        </w:rPr>
        <w:t xml:space="preserve"> </w:t>
      </w:r>
      <w:r w:rsidR="00F85FCD" w:rsidRPr="0001465D">
        <w:rPr>
          <w:sz w:val="24"/>
          <w:szCs w:val="24"/>
        </w:rPr>
        <w:t>NHS England and NHS Improvement (NHS</w:t>
      </w:r>
      <w:r w:rsidR="00E22EDB" w:rsidRPr="0001465D">
        <w:rPr>
          <w:sz w:val="24"/>
          <w:szCs w:val="24"/>
        </w:rPr>
        <w:t xml:space="preserve"> </w:t>
      </w:r>
      <w:r w:rsidR="00F85FCD" w:rsidRPr="0001465D">
        <w:rPr>
          <w:sz w:val="24"/>
          <w:szCs w:val="24"/>
        </w:rPr>
        <w:t xml:space="preserve">E&amp;I) </w:t>
      </w:r>
      <w:r w:rsidR="00C52DC3" w:rsidRPr="0001465D">
        <w:rPr>
          <w:sz w:val="24"/>
          <w:szCs w:val="24"/>
        </w:rPr>
        <w:t>to identify opportunities to work collaboratively within the evolving strategic landscape, for example</w:t>
      </w:r>
      <w:r w:rsidR="00987DCE" w:rsidRPr="0001465D">
        <w:rPr>
          <w:sz w:val="24"/>
          <w:szCs w:val="24"/>
        </w:rPr>
        <w:t>,</w:t>
      </w:r>
      <w:r w:rsidR="00C52DC3" w:rsidRPr="0001465D">
        <w:rPr>
          <w:sz w:val="24"/>
          <w:szCs w:val="24"/>
        </w:rPr>
        <w:t xml:space="preserve"> on health inequalities</w:t>
      </w:r>
      <w:r w:rsidR="00F85FCD" w:rsidRPr="0001465D">
        <w:rPr>
          <w:sz w:val="24"/>
          <w:szCs w:val="24"/>
        </w:rPr>
        <w:t xml:space="preserve"> and finalising a </w:t>
      </w:r>
      <w:r w:rsidR="00193164" w:rsidRPr="0001465D">
        <w:rPr>
          <w:sz w:val="24"/>
          <w:szCs w:val="24"/>
        </w:rPr>
        <w:t>collaboration</w:t>
      </w:r>
      <w:r w:rsidR="00F85FCD" w:rsidRPr="0001465D">
        <w:rPr>
          <w:sz w:val="24"/>
          <w:szCs w:val="24"/>
        </w:rPr>
        <w:t xml:space="preserve"> agreement.</w:t>
      </w:r>
    </w:p>
    <w:p w14:paraId="63C51642" w14:textId="18F30830" w:rsidR="00D67E7F" w:rsidRPr="0001465D" w:rsidRDefault="00F85FCD" w:rsidP="00D67E7F">
      <w:pPr>
        <w:pStyle w:val="NICEnormalnumbered"/>
        <w:numPr>
          <w:ilvl w:val="1"/>
          <w:numId w:val="25"/>
        </w:numPr>
        <w:rPr>
          <w:sz w:val="24"/>
          <w:szCs w:val="24"/>
        </w:rPr>
      </w:pPr>
      <w:r w:rsidRPr="0001465D">
        <w:rPr>
          <w:sz w:val="24"/>
          <w:szCs w:val="24"/>
        </w:rPr>
        <w:t xml:space="preserve">Continuing </w:t>
      </w:r>
      <w:r w:rsidR="00113D26" w:rsidRPr="0001465D">
        <w:rPr>
          <w:sz w:val="24"/>
          <w:szCs w:val="24"/>
        </w:rPr>
        <w:t xml:space="preserve">to meet regularly with </w:t>
      </w:r>
      <w:r w:rsidR="002E4B7C" w:rsidRPr="0001465D">
        <w:rPr>
          <w:sz w:val="24"/>
          <w:szCs w:val="24"/>
        </w:rPr>
        <w:t xml:space="preserve">key </w:t>
      </w:r>
      <w:r w:rsidR="00113D26" w:rsidRPr="0001465D">
        <w:rPr>
          <w:sz w:val="24"/>
          <w:szCs w:val="24"/>
        </w:rPr>
        <w:t>Royal Colleges to discuss joint priority areas of work</w:t>
      </w:r>
      <w:r w:rsidRPr="0001465D">
        <w:rPr>
          <w:sz w:val="24"/>
          <w:szCs w:val="24"/>
        </w:rPr>
        <w:t xml:space="preserve"> and</w:t>
      </w:r>
      <w:r w:rsidR="00113D26" w:rsidRPr="0001465D">
        <w:rPr>
          <w:sz w:val="24"/>
          <w:szCs w:val="24"/>
        </w:rPr>
        <w:t xml:space="preserve"> developing collaboration agreements with </w:t>
      </w:r>
      <w:r w:rsidR="007767B7" w:rsidRPr="0001465D">
        <w:rPr>
          <w:sz w:val="24"/>
          <w:szCs w:val="24"/>
        </w:rPr>
        <w:t xml:space="preserve">the </w:t>
      </w:r>
      <w:r w:rsidR="00113D26" w:rsidRPr="0001465D">
        <w:rPr>
          <w:sz w:val="24"/>
          <w:szCs w:val="24"/>
        </w:rPr>
        <w:t xml:space="preserve">Royal College of Obstetricians and Gynaecologists (RCOG), </w:t>
      </w:r>
      <w:r w:rsidR="007767B7" w:rsidRPr="0001465D">
        <w:rPr>
          <w:sz w:val="24"/>
          <w:szCs w:val="24"/>
        </w:rPr>
        <w:t xml:space="preserve">the </w:t>
      </w:r>
      <w:r w:rsidR="00113D26" w:rsidRPr="0001465D">
        <w:rPr>
          <w:sz w:val="24"/>
          <w:szCs w:val="24"/>
        </w:rPr>
        <w:t>Royal College of General Practitioners (RCGP) and the Royal College of Physicians (RCP).</w:t>
      </w:r>
    </w:p>
    <w:p w14:paraId="26F5690A" w14:textId="5A29B68D" w:rsidR="004D0AFF" w:rsidRPr="0001465D" w:rsidRDefault="00F85FCD" w:rsidP="005C4989">
      <w:pPr>
        <w:pStyle w:val="NICEnormalnumbered"/>
        <w:numPr>
          <w:ilvl w:val="1"/>
          <w:numId w:val="25"/>
        </w:numPr>
        <w:rPr>
          <w:sz w:val="24"/>
          <w:szCs w:val="24"/>
        </w:rPr>
      </w:pPr>
      <w:r w:rsidRPr="0001465D">
        <w:rPr>
          <w:sz w:val="24"/>
          <w:szCs w:val="24"/>
        </w:rPr>
        <w:lastRenderedPageBreak/>
        <w:t>A</w:t>
      </w:r>
      <w:r w:rsidR="004D0AFF" w:rsidRPr="0001465D">
        <w:rPr>
          <w:sz w:val="24"/>
          <w:szCs w:val="24"/>
        </w:rPr>
        <w:t xml:space="preserve">dapting our </w:t>
      </w:r>
      <w:r w:rsidR="0038236B" w:rsidRPr="0001465D">
        <w:rPr>
          <w:sz w:val="24"/>
          <w:szCs w:val="24"/>
        </w:rPr>
        <w:t>engagement</w:t>
      </w:r>
      <w:r w:rsidR="004D0AFF" w:rsidRPr="0001465D">
        <w:rPr>
          <w:sz w:val="24"/>
          <w:szCs w:val="24"/>
        </w:rPr>
        <w:t xml:space="preserve"> </w:t>
      </w:r>
      <w:r w:rsidRPr="0001465D">
        <w:rPr>
          <w:sz w:val="24"/>
          <w:szCs w:val="24"/>
        </w:rPr>
        <w:t xml:space="preserve">with key national social care partners </w:t>
      </w:r>
      <w:r w:rsidR="0038236B" w:rsidRPr="0001465D">
        <w:rPr>
          <w:sz w:val="24"/>
          <w:szCs w:val="24"/>
        </w:rPr>
        <w:t xml:space="preserve">such as Skills for Care, Social Care Institute for Excellence (SCIE), and the Association of Directors of Adult Social Services in England (ADASS) </w:t>
      </w:r>
      <w:r w:rsidR="004D0AFF" w:rsidRPr="0001465D">
        <w:rPr>
          <w:sz w:val="24"/>
          <w:szCs w:val="24"/>
        </w:rPr>
        <w:t xml:space="preserve">to align with the challenges faced </w:t>
      </w:r>
      <w:r w:rsidR="00F913FF" w:rsidRPr="0001465D">
        <w:rPr>
          <w:sz w:val="24"/>
          <w:szCs w:val="24"/>
        </w:rPr>
        <w:t>by</w:t>
      </w:r>
      <w:r w:rsidR="004D0AFF" w:rsidRPr="0001465D">
        <w:rPr>
          <w:sz w:val="24"/>
          <w:szCs w:val="24"/>
        </w:rPr>
        <w:t xml:space="preserve"> the sector. </w:t>
      </w:r>
      <w:r w:rsidRPr="0001465D">
        <w:rPr>
          <w:sz w:val="24"/>
          <w:szCs w:val="24"/>
        </w:rPr>
        <w:t>Key themes have been</w:t>
      </w:r>
      <w:r w:rsidR="007C5D39" w:rsidRPr="0001465D">
        <w:rPr>
          <w:sz w:val="24"/>
          <w:szCs w:val="24"/>
        </w:rPr>
        <w:t xml:space="preserve"> our new strategic direction,</w:t>
      </w:r>
      <w:r w:rsidRPr="0001465D">
        <w:rPr>
          <w:sz w:val="24"/>
          <w:szCs w:val="24"/>
        </w:rPr>
        <w:t xml:space="preserve"> addressing </w:t>
      </w:r>
      <w:r w:rsidR="004D0AFF" w:rsidRPr="0001465D">
        <w:rPr>
          <w:sz w:val="24"/>
          <w:szCs w:val="24"/>
        </w:rPr>
        <w:t xml:space="preserve">the negative impact of the pandemic on the </w:t>
      </w:r>
      <w:r w:rsidR="007B4E05" w:rsidRPr="0001465D">
        <w:rPr>
          <w:sz w:val="24"/>
          <w:szCs w:val="24"/>
        </w:rPr>
        <w:t xml:space="preserve">mental health and wellbeing of the </w:t>
      </w:r>
      <w:r w:rsidR="004D0AFF" w:rsidRPr="0001465D">
        <w:rPr>
          <w:sz w:val="24"/>
          <w:szCs w:val="24"/>
        </w:rPr>
        <w:t>social care workforce</w:t>
      </w:r>
      <w:r w:rsidR="0038236B" w:rsidRPr="0001465D">
        <w:rPr>
          <w:sz w:val="24"/>
          <w:szCs w:val="24"/>
        </w:rPr>
        <w:t xml:space="preserve"> and</w:t>
      </w:r>
      <w:r w:rsidRPr="0001465D">
        <w:rPr>
          <w:sz w:val="24"/>
          <w:szCs w:val="24"/>
        </w:rPr>
        <w:t xml:space="preserve"> </w:t>
      </w:r>
      <w:r w:rsidR="004D0AFF" w:rsidRPr="0001465D">
        <w:rPr>
          <w:sz w:val="24"/>
          <w:szCs w:val="24"/>
        </w:rPr>
        <w:t>the use of evidence in social work practice</w:t>
      </w:r>
      <w:r w:rsidR="0038236B" w:rsidRPr="0001465D">
        <w:rPr>
          <w:sz w:val="24"/>
          <w:szCs w:val="24"/>
        </w:rPr>
        <w:t>.</w:t>
      </w:r>
    </w:p>
    <w:p w14:paraId="100393A4" w14:textId="12B6F49A" w:rsidR="00D67E7F" w:rsidRPr="0001465D" w:rsidRDefault="00F85FCD" w:rsidP="00AA45EF">
      <w:pPr>
        <w:pStyle w:val="NICEnormalnumbered"/>
        <w:numPr>
          <w:ilvl w:val="1"/>
          <w:numId w:val="25"/>
        </w:numPr>
        <w:rPr>
          <w:rFonts w:eastAsia="Arial"/>
          <w:sz w:val="24"/>
          <w:szCs w:val="24"/>
        </w:rPr>
      </w:pPr>
      <w:r w:rsidRPr="0001465D">
        <w:rPr>
          <w:sz w:val="24"/>
          <w:szCs w:val="24"/>
        </w:rPr>
        <w:t>Aligning strategic ambitions with t</w:t>
      </w:r>
      <w:r w:rsidR="00A213BD" w:rsidRPr="0001465D">
        <w:rPr>
          <w:sz w:val="24"/>
          <w:szCs w:val="24"/>
        </w:rPr>
        <w:t>he AHSN Networ</w:t>
      </w:r>
      <w:r w:rsidR="0038236B" w:rsidRPr="0001465D">
        <w:rPr>
          <w:sz w:val="24"/>
          <w:szCs w:val="24"/>
        </w:rPr>
        <w:t xml:space="preserve">k </w:t>
      </w:r>
      <w:r w:rsidRPr="0001465D">
        <w:rPr>
          <w:sz w:val="24"/>
          <w:szCs w:val="24"/>
        </w:rPr>
        <w:t>and establishing a</w:t>
      </w:r>
      <w:r w:rsidR="00C52DC3" w:rsidRPr="0001465D">
        <w:rPr>
          <w:sz w:val="24"/>
          <w:szCs w:val="24"/>
        </w:rPr>
        <w:t xml:space="preserve"> joint Working Group</w:t>
      </w:r>
      <w:r w:rsidR="00F913FF" w:rsidRPr="0001465D">
        <w:rPr>
          <w:sz w:val="24"/>
          <w:szCs w:val="24"/>
        </w:rPr>
        <w:t>.</w:t>
      </w:r>
      <w:r w:rsidR="00C52DC3" w:rsidRPr="0001465D">
        <w:rPr>
          <w:sz w:val="24"/>
          <w:szCs w:val="24"/>
        </w:rPr>
        <w:t xml:space="preserve"> </w:t>
      </w:r>
      <w:r w:rsidRPr="0001465D">
        <w:rPr>
          <w:sz w:val="24"/>
          <w:szCs w:val="24"/>
        </w:rPr>
        <w:t>A</w:t>
      </w:r>
      <w:r w:rsidR="00C52DC3" w:rsidRPr="0001465D">
        <w:rPr>
          <w:sz w:val="24"/>
          <w:szCs w:val="24"/>
        </w:rPr>
        <w:t xml:space="preserve"> </w:t>
      </w:r>
      <w:r w:rsidRPr="0001465D">
        <w:rPr>
          <w:sz w:val="24"/>
          <w:szCs w:val="24"/>
        </w:rPr>
        <w:t>c</w:t>
      </w:r>
      <w:r w:rsidR="00C52DC3" w:rsidRPr="0001465D">
        <w:rPr>
          <w:sz w:val="24"/>
          <w:szCs w:val="24"/>
        </w:rPr>
        <w:t xml:space="preserve">ollaboration </w:t>
      </w:r>
      <w:r w:rsidRPr="0001465D">
        <w:rPr>
          <w:sz w:val="24"/>
          <w:szCs w:val="24"/>
        </w:rPr>
        <w:t>a</w:t>
      </w:r>
      <w:r w:rsidR="00C52DC3" w:rsidRPr="0001465D">
        <w:rPr>
          <w:sz w:val="24"/>
          <w:szCs w:val="24"/>
        </w:rPr>
        <w:t>greement</w:t>
      </w:r>
      <w:r w:rsidRPr="0001465D">
        <w:rPr>
          <w:sz w:val="24"/>
          <w:szCs w:val="24"/>
        </w:rPr>
        <w:t xml:space="preserve"> has also been developed </w:t>
      </w:r>
      <w:r w:rsidR="0038236B" w:rsidRPr="0001465D">
        <w:rPr>
          <w:sz w:val="24"/>
          <w:szCs w:val="24"/>
        </w:rPr>
        <w:t xml:space="preserve">to set out a </w:t>
      </w:r>
      <w:r w:rsidR="00C52DC3" w:rsidRPr="0001465D">
        <w:rPr>
          <w:sz w:val="24"/>
          <w:szCs w:val="24"/>
        </w:rPr>
        <w:t>mutually supportive joint programme of work.</w:t>
      </w:r>
    </w:p>
    <w:p w14:paraId="3EF762F2" w14:textId="222FF9AC" w:rsidR="00F85FCD" w:rsidRPr="0001465D" w:rsidRDefault="007C5D39" w:rsidP="006725E3">
      <w:pPr>
        <w:pStyle w:val="NICEnormalnumbered"/>
        <w:numPr>
          <w:ilvl w:val="1"/>
          <w:numId w:val="25"/>
        </w:numPr>
        <w:rPr>
          <w:rFonts w:eastAsia="Arial"/>
          <w:sz w:val="24"/>
          <w:szCs w:val="24"/>
        </w:rPr>
      </w:pPr>
      <w:r w:rsidRPr="0001465D">
        <w:rPr>
          <w:sz w:val="24"/>
          <w:szCs w:val="24"/>
        </w:rPr>
        <w:t xml:space="preserve">Strengthening </w:t>
      </w:r>
      <w:r w:rsidR="00F85FCD" w:rsidRPr="0001465D">
        <w:rPr>
          <w:sz w:val="24"/>
          <w:szCs w:val="24"/>
        </w:rPr>
        <w:t xml:space="preserve">local relationships with ICSs </w:t>
      </w:r>
      <w:r w:rsidR="00302D24" w:rsidRPr="0001465D">
        <w:rPr>
          <w:sz w:val="24"/>
          <w:szCs w:val="24"/>
        </w:rPr>
        <w:t>following</w:t>
      </w:r>
      <w:r w:rsidR="00F85FCD" w:rsidRPr="0001465D">
        <w:rPr>
          <w:sz w:val="24"/>
          <w:szCs w:val="24"/>
        </w:rPr>
        <w:t xml:space="preserve"> </w:t>
      </w:r>
      <w:r w:rsidR="009D5193" w:rsidRPr="0001465D">
        <w:rPr>
          <w:sz w:val="24"/>
          <w:szCs w:val="24"/>
        </w:rPr>
        <w:t xml:space="preserve">local engagement </w:t>
      </w:r>
      <w:r w:rsidR="00302D24" w:rsidRPr="0001465D">
        <w:rPr>
          <w:sz w:val="24"/>
          <w:szCs w:val="24"/>
        </w:rPr>
        <w:t>programme disruption as many senior level contacts were redeployed into pandemic response roles. Despite this</w:t>
      </w:r>
      <w:r w:rsidR="00F85FCD" w:rsidRPr="0001465D">
        <w:rPr>
          <w:sz w:val="24"/>
          <w:szCs w:val="24"/>
        </w:rPr>
        <w:t>, we were able to deliver a significant amount of engagement with ICSs throughout the year</w:t>
      </w:r>
      <w:r w:rsidR="00223B96" w:rsidRPr="0001465D">
        <w:rPr>
          <w:sz w:val="24"/>
          <w:szCs w:val="24"/>
        </w:rPr>
        <w:t xml:space="preserve"> and</w:t>
      </w:r>
      <w:r w:rsidR="00F85FCD" w:rsidRPr="0001465D">
        <w:rPr>
          <w:sz w:val="24"/>
          <w:szCs w:val="24"/>
        </w:rPr>
        <w:t xml:space="preserve"> </w:t>
      </w:r>
      <w:r w:rsidR="009D5193" w:rsidRPr="0001465D">
        <w:rPr>
          <w:sz w:val="24"/>
          <w:szCs w:val="24"/>
        </w:rPr>
        <w:t>met</w:t>
      </w:r>
      <w:r w:rsidR="00F85FCD" w:rsidRPr="0001465D">
        <w:rPr>
          <w:sz w:val="24"/>
          <w:szCs w:val="24"/>
        </w:rPr>
        <w:t xml:space="preserve"> with </w:t>
      </w:r>
      <w:r w:rsidR="00223B96" w:rsidRPr="0001465D">
        <w:rPr>
          <w:sz w:val="24"/>
          <w:szCs w:val="24"/>
        </w:rPr>
        <w:t xml:space="preserve">50% of </w:t>
      </w:r>
      <w:r w:rsidR="00F85FCD" w:rsidRPr="0001465D">
        <w:rPr>
          <w:sz w:val="24"/>
          <w:szCs w:val="24"/>
        </w:rPr>
        <w:t xml:space="preserve">heads of primary care to understand the changing primary care landscape and evolution of primary care networks. </w:t>
      </w:r>
    </w:p>
    <w:p w14:paraId="6EB4917D" w14:textId="7EC57F9C" w:rsidR="001E5C17" w:rsidRPr="0001465D" w:rsidRDefault="00113D26" w:rsidP="00113D26">
      <w:pPr>
        <w:pStyle w:val="NICEnormalnumbered"/>
        <w:rPr>
          <w:sz w:val="24"/>
          <w:szCs w:val="24"/>
        </w:rPr>
      </w:pPr>
      <w:r w:rsidRPr="0001465D">
        <w:rPr>
          <w:sz w:val="24"/>
          <w:szCs w:val="24"/>
        </w:rPr>
        <w:t>In some instances, the COVID-19 pandemic has made engagement challenging</w:t>
      </w:r>
      <w:r w:rsidR="00F85FCD" w:rsidRPr="0001465D">
        <w:rPr>
          <w:sz w:val="24"/>
          <w:szCs w:val="24"/>
        </w:rPr>
        <w:t xml:space="preserve"> and</w:t>
      </w:r>
      <w:r w:rsidRPr="0001465D">
        <w:rPr>
          <w:sz w:val="24"/>
          <w:szCs w:val="24"/>
        </w:rPr>
        <w:t xml:space="preserve"> PIP </w:t>
      </w:r>
      <w:r w:rsidR="00F85FCD" w:rsidRPr="0001465D">
        <w:rPr>
          <w:sz w:val="24"/>
          <w:szCs w:val="24"/>
        </w:rPr>
        <w:t>has worked with the Audience Insight team to consider the impact on voluntary and community sector organisations an</w:t>
      </w:r>
      <w:r w:rsidR="009D5193" w:rsidRPr="0001465D">
        <w:rPr>
          <w:sz w:val="24"/>
          <w:szCs w:val="24"/>
        </w:rPr>
        <w:t xml:space="preserve">d </w:t>
      </w:r>
      <w:r w:rsidR="00F85FCD" w:rsidRPr="0001465D">
        <w:rPr>
          <w:sz w:val="24"/>
          <w:szCs w:val="24"/>
        </w:rPr>
        <w:t xml:space="preserve">their ability to contribute to our work. Findings will allow us to better support these organisations. </w:t>
      </w:r>
    </w:p>
    <w:p w14:paraId="06C7D629" w14:textId="379125BC" w:rsidR="004E3050" w:rsidRPr="004E3EC5" w:rsidRDefault="004E3050" w:rsidP="004E3050">
      <w:pPr>
        <w:pStyle w:val="Heading2boardreport"/>
      </w:pPr>
      <w:r>
        <w:t>Developing products and tools</w:t>
      </w:r>
    </w:p>
    <w:p w14:paraId="46760A7D" w14:textId="2C0DE529" w:rsidR="004E3050" w:rsidRPr="0001465D" w:rsidRDefault="004E3050" w:rsidP="004E3050">
      <w:pPr>
        <w:pStyle w:val="NICEnormalnumbered"/>
        <w:rPr>
          <w:sz w:val="24"/>
          <w:szCs w:val="24"/>
        </w:rPr>
      </w:pPr>
      <w:r w:rsidRPr="0001465D">
        <w:rPr>
          <w:sz w:val="24"/>
          <w:szCs w:val="24"/>
        </w:rPr>
        <w:t xml:space="preserve">Despite an uncertain year, the directorate continued to operate a wide range of important functions to support the health and care system. </w:t>
      </w:r>
    </w:p>
    <w:p w14:paraId="397D2E1C" w14:textId="3434C9EC" w:rsidR="004E3050" w:rsidRPr="0001465D" w:rsidRDefault="004E3050" w:rsidP="004E3050">
      <w:pPr>
        <w:pStyle w:val="NICEnormalnumbered"/>
        <w:numPr>
          <w:ilvl w:val="1"/>
          <w:numId w:val="25"/>
        </w:numPr>
        <w:rPr>
          <w:sz w:val="24"/>
          <w:szCs w:val="24"/>
        </w:rPr>
      </w:pPr>
      <w:r w:rsidRPr="0001465D">
        <w:rPr>
          <w:sz w:val="24"/>
          <w:szCs w:val="24"/>
        </w:rPr>
        <w:lastRenderedPageBreak/>
        <w:t xml:space="preserve">NICE in partnership with NHS </w:t>
      </w:r>
      <w:r w:rsidR="00E22EDB" w:rsidRPr="0001465D">
        <w:rPr>
          <w:sz w:val="24"/>
          <w:szCs w:val="24"/>
        </w:rPr>
        <w:t>D</w:t>
      </w:r>
      <w:r w:rsidRPr="0001465D">
        <w:rPr>
          <w:sz w:val="24"/>
          <w:szCs w:val="24"/>
        </w:rPr>
        <w:t>igital became responsible for the national library of quality assured indicator</w:t>
      </w:r>
      <w:r w:rsidR="00302D24" w:rsidRPr="0001465D">
        <w:rPr>
          <w:sz w:val="24"/>
          <w:szCs w:val="24"/>
        </w:rPr>
        <w:t xml:space="preserve">s, helping </w:t>
      </w:r>
      <w:r w:rsidRPr="0001465D">
        <w:rPr>
          <w:sz w:val="24"/>
          <w:szCs w:val="24"/>
        </w:rPr>
        <w:t xml:space="preserve">position NICE as a system leader in the development and assurance of quality indicators. </w:t>
      </w:r>
    </w:p>
    <w:p w14:paraId="125EB3B4" w14:textId="281F8EFC" w:rsidR="004E3050" w:rsidRPr="0001465D" w:rsidRDefault="00302D24" w:rsidP="004E3050">
      <w:pPr>
        <w:pStyle w:val="NICEnormalnumbered"/>
        <w:numPr>
          <w:ilvl w:val="1"/>
          <w:numId w:val="25"/>
        </w:numPr>
        <w:rPr>
          <w:sz w:val="24"/>
          <w:szCs w:val="24"/>
        </w:rPr>
      </w:pPr>
      <w:r w:rsidRPr="0001465D">
        <w:rPr>
          <w:sz w:val="24"/>
          <w:szCs w:val="24"/>
        </w:rPr>
        <w:t>Nine</w:t>
      </w:r>
      <w:r w:rsidR="004E3050" w:rsidRPr="0001465D">
        <w:rPr>
          <w:sz w:val="24"/>
          <w:szCs w:val="24"/>
        </w:rPr>
        <w:t xml:space="preserve"> new indicators developed by NICE </w:t>
      </w:r>
      <w:r w:rsidRPr="0001465D">
        <w:rPr>
          <w:sz w:val="24"/>
          <w:szCs w:val="24"/>
        </w:rPr>
        <w:t xml:space="preserve">were </w:t>
      </w:r>
      <w:r w:rsidR="004E3050" w:rsidRPr="0001465D">
        <w:rPr>
          <w:sz w:val="24"/>
          <w:szCs w:val="24"/>
        </w:rPr>
        <w:t>included in the 2021/22 Quality Outcomes Framework (QOF). The new indicators cover vaccination and immunisation, mental health and cancer and are underpinned by around £131 million of financial incentives.</w:t>
      </w:r>
    </w:p>
    <w:p w14:paraId="5CBC2BDB" w14:textId="7B65CBA6" w:rsidR="00DB4297" w:rsidRPr="0001465D" w:rsidRDefault="00235028" w:rsidP="00CE2DAC">
      <w:pPr>
        <w:pStyle w:val="NICEnormalnumbered"/>
        <w:numPr>
          <w:ilvl w:val="1"/>
          <w:numId w:val="25"/>
        </w:numPr>
        <w:rPr>
          <w:sz w:val="24"/>
          <w:szCs w:val="24"/>
        </w:rPr>
      </w:pPr>
      <w:r w:rsidRPr="0001465D">
        <w:rPr>
          <w:sz w:val="24"/>
          <w:szCs w:val="24"/>
        </w:rPr>
        <w:t xml:space="preserve">As recognised experts in the field, </w:t>
      </w:r>
      <w:r w:rsidR="00302D24" w:rsidRPr="0001465D">
        <w:rPr>
          <w:sz w:val="24"/>
          <w:szCs w:val="24"/>
        </w:rPr>
        <w:t>PIP</w:t>
      </w:r>
      <w:r w:rsidR="004E3050" w:rsidRPr="0001465D">
        <w:rPr>
          <w:sz w:val="24"/>
          <w:szCs w:val="24"/>
        </w:rPr>
        <w:t xml:space="preserve"> </w:t>
      </w:r>
      <w:r w:rsidRPr="0001465D">
        <w:rPr>
          <w:sz w:val="24"/>
          <w:szCs w:val="24"/>
        </w:rPr>
        <w:t>w</w:t>
      </w:r>
      <w:r w:rsidR="009D5193" w:rsidRPr="0001465D">
        <w:rPr>
          <w:sz w:val="24"/>
          <w:szCs w:val="24"/>
        </w:rPr>
        <w:t>as</w:t>
      </w:r>
      <w:r w:rsidRPr="0001465D">
        <w:rPr>
          <w:sz w:val="24"/>
          <w:szCs w:val="24"/>
        </w:rPr>
        <w:t xml:space="preserve"> commissioned by NHS E&amp;I to develop a</w:t>
      </w:r>
      <w:r w:rsidR="004E3050" w:rsidRPr="0001465D">
        <w:rPr>
          <w:sz w:val="24"/>
          <w:szCs w:val="24"/>
        </w:rPr>
        <w:t xml:space="preserve"> minimum standards framework for patient decision aids (PDAs) to help</w:t>
      </w:r>
      <w:r w:rsidR="00C67A44" w:rsidRPr="0001465D">
        <w:rPr>
          <w:sz w:val="24"/>
          <w:szCs w:val="24"/>
        </w:rPr>
        <w:t xml:space="preserve"> </w:t>
      </w:r>
      <w:r w:rsidR="004E3050" w:rsidRPr="0001465D">
        <w:rPr>
          <w:sz w:val="24"/>
          <w:szCs w:val="24"/>
        </w:rPr>
        <w:t>users and developers understand the essential standards a decision aid should meet</w:t>
      </w:r>
      <w:r w:rsidRPr="0001465D">
        <w:rPr>
          <w:sz w:val="24"/>
          <w:szCs w:val="24"/>
        </w:rPr>
        <w:t>. Th</w:t>
      </w:r>
      <w:r w:rsidR="008A7AA8" w:rsidRPr="0001465D">
        <w:rPr>
          <w:sz w:val="24"/>
          <w:szCs w:val="24"/>
        </w:rPr>
        <w:t xml:space="preserve">is will </w:t>
      </w:r>
      <w:r w:rsidR="004E3050" w:rsidRPr="0001465D">
        <w:rPr>
          <w:sz w:val="24"/>
          <w:szCs w:val="24"/>
        </w:rPr>
        <w:t xml:space="preserve">publish alongside the NICE shared </w:t>
      </w:r>
      <w:proofErr w:type="gramStart"/>
      <w:r w:rsidR="004E3050" w:rsidRPr="0001465D">
        <w:rPr>
          <w:sz w:val="24"/>
          <w:szCs w:val="24"/>
        </w:rPr>
        <w:t>decision making</w:t>
      </w:r>
      <w:proofErr w:type="gramEnd"/>
      <w:r w:rsidR="004E3050" w:rsidRPr="0001465D">
        <w:rPr>
          <w:sz w:val="24"/>
          <w:szCs w:val="24"/>
        </w:rPr>
        <w:t xml:space="preserve"> guideline in June.</w:t>
      </w:r>
    </w:p>
    <w:p w14:paraId="4B5F4051" w14:textId="754D6AAA" w:rsidR="004E3050" w:rsidRPr="0001465D" w:rsidRDefault="00235028" w:rsidP="002C57AB">
      <w:pPr>
        <w:pStyle w:val="NICEnormalnumbered"/>
        <w:numPr>
          <w:ilvl w:val="1"/>
          <w:numId w:val="25"/>
        </w:numPr>
        <w:rPr>
          <w:sz w:val="24"/>
          <w:szCs w:val="24"/>
        </w:rPr>
      </w:pPr>
      <w:r w:rsidRPr="0001465D">
        <w:rPr>
          <w:sz w:val="24"/>
          <w:szCs w:val="24"/>
        </w:rPr>
        <w:t>Prompted by the widening of health inequalities exposed by the COVI</w:t>
      </w:r>
      <w:r w:rsidR="009729D9" w:rsidRPr="0001465D">
        <w:rPr>
          <w:sz w:val="24"/>
          <w:szCs w:val="24"/>
        </w:rPr>
        <w:t>D</w:t>
      </w:r>
      <w:r w:rsidRPr="0001465D">
        <w:rPr>
          <w:sz w:val="24"/>
          <w:szCs w:val="24"/>
        </w:rPr>
        <w:t xml:space="preserve">-19 pandemic, we began a </w:t>
      </w:r>
      <w:r w:rsidR="009D5193" w:rsidRPr="0001465D">
        <w:rPr>
          <w:sz w:val="24"/>
          <w:szCs w:val="24"/>
        </w:rPr>
        <w:t xml:space="preserve">comprehensive </w:t>
      </w:r>
      <w:r w:rsidRPr="0001465D">
        <w:rPr>
          <w:sz w:val="24"/>
          <w:szCs w:val="24"/>
        </w:rPr>
        <w:t>review of our role in this area</w:t>
      </w:r>
      <w:r w:rsidR="004E3050" w:rsidRPr="0001465D">
        <w:rPr>
          <w:sz w:val="24"/>
          <w:szCs w:val="24"/>
        </w:rPr>
        <w:t xml:space="preserve"> with leadership provided by the Health and Social </w:t>
      </w:r>
      <w:r w:rsidR="00E22EDB" w:rsidRPr="0001465D">
        <w:rPr>
          <w:sz w:val="24"/>
          <w:szCs w:val="24"/>
        </w:rPr>
        <w:t>Care D</w:t>
      </w:r>
      <w:r w:rsidR="004E3050" w:rsidRPr="0001465D">
        <w:rPr>
          <w:sz w:val="24"/>
          <w:szCs w:val="24"/>
        </w:rPr>
        <w:t xml:space="preserve">irectorate. </w:t>
      </w:r>
      <w:r w:rsidR="007C5D39" w:rsidRPr="0001465D">
        <w:rPr>
          <w:sz w:val="24"/>
          <w:szCs w:val="24"/>
        </w:rPr>
        <w:t>Co</w:t>
      </w:r>
      <w:r w:rsidR="004E3050" w:rsidRPr="0001465D">
        <w:rPr>
          <w:sz w:val="24"/>
          <w:szCs w:val="24"/>
        </w:rPr>
        <w:t xml:space="preserve">nsideration </w:t>
      </w:r>
      <w:r w:rsidR="007C5D39" w:rsidRPr="0001465D">
        <w:rPr>
          <w:sz w:val="24"/>
          <w:szCs w:val="24"/>
        </w:rPr>
        <w:t>is being given to</w:t>
      </w:r>
      <w:r w:rsidR="004E3050" w:rsidRPr="0001465D">
        <w:rPr>
          <w:sz w:val="24"/>
          <w:szCs w:val="24"/>
        </w:rPr>
        <w:t xml:space="preserve"> where NICE can best add value to the system’s efforts to tackle health inequalities and projects are underway to explore the usefulness of NICE products in addressing health inequalities at a local level. </w:t>
      </w:r>
    </w:p>
    <w:p w14:paraId="6D70C865" w14:textId="35CAFD90" w:rsidR="00986AB6" w:rsidRDefault="00986AB6" w:rsidP="00986AB6">
      <w:pPr>
        <w:pStyle w:val="Heading3boardreport"/>
      </w:pPr>
      <w:bookmarkStart w:id="3" w:name="_Hlk70674294"/>
      <w:r>
        <w:t>Key risks</w:t>
      </w:r>
    </w:p>
    <w:bookmarkEnd w:id="3"/>
    <w:p w14:paraId="14EBBE52" w14:textId="05C15765" w:rsidR="0065494D" w:rsidRPr="0001465D" w:rsidRDefault="00A9474F" w:rsidP="00A9474F">
      <w:pPr>
        <w:pStyle w:val="NICEnormalnumbered"/>
        <w:rPr>
          <w:sz w:val="24"/>
          <w:szCs w:val="24"/>
        </w:rPr>
      </w:pPr>
      <w:r w:rsidRPr="0001465D">
        <w:rPr>
          <w:sz w:val="24"/>
          <w:szCs w:val="24"/>
        </w:rPr>
        <w:t xml:space="preserve">A lack of stability across the Health and Social Care </w:t>
      </w:r>
      <w:r w:rsidR="00E22EDB" w:rsidRPr="0001465D">
        <w:rPr>
          <w:sz w:val="24"/>
          <w:szCs w:val="24"/>
        </w:rPr>
        <w:t>D</w:t>
      </w:r>
      <w:r w:rsidRPr="0001465D">
        <w:rPr>
          <w:sz w:val="24"/>
          <w:szCs w:val="24"/>
        </w:rPr>
        <w:t xml:space="preserve">irectorate </w:t>
      </w:r>
      <w:r w:rsidR="007767B7" w:rsidRPr="0001465D">
        <w:rPr>
          <w:sz w:val="24"/>
          <w:szCs w:val="24"/>
        </w:rPr>
        <w:t xml:space="preserve">has been </w:t>
      </w:r>
      <w:r w:rsidR="009D778D" w:rsidRPr="0001465D">
        <w:rPr>
          <w:sz w:val="24"/>
          <w:szCs w:val="24"/>
        </w:rPr>
        <w:t>the</w:t>
      </w:r>
      <w:r w:rsidRPr="0001465D">
        <w:rPr>
          <w:sz w:val="24"/>
          <w:szCs w:val="24"/>
        </w:rPr>
        <w:t xml:space="preserve"> key risk</w:t>
      </w:r>
      <w:r w:rsidR="007767B7" w:rsidRPr="0001465D">
        <w:rPr>
          <w:sz w:val="24"/>
          <w:szCs w:val="24"/>
        </w:rPr>
        <w:t xml:space="preserve"> during this period</w:t>
      </w:r>
      <w:r w:rsidRPr="0001465D">
        <w:rPr>
          <w:sz w:val="24"/>
          <w:szCs w:val="24"/>
        </w:rPr>
        <w:t xml:space="preserve">, with several senior level posts continuing to be filled temporarily and </w:t>
      </w:r>
      <w:proofErr w:type="gramStart"/>
      <w:r w:rsidRPr="0001465D">
        <w:rPr>
          <w:sz w:val="24"/>
          <w:szCs w:val="24"/>
        </w:rPr>
        <w:t>a number of</w:t>
      </w:r>
      <w:proofErr w:type="gramEnd"/>
      <w:r w:rsidRPr="0001465D">
        <w:rPr>
          <w:sz w:val="24"/>
          <w:szCs w:val="24"/>
        </w:rPr>
        <w:t xml:space="preserve"> staff covering vacancies and secondments.</w:t>
      </w:r>
      <w:r w:rsidR="007767B7" w:rsidRPr="0001465D">
        <w:rPr>
          <w:sz w:val="24"/>
          <w:szCs w:val="24"/>
        </w:rPr>
        <w:t xml:space="preserve"> </w:t>
      </w:r>
      <w:r w:rsidR="00987DCE" w:rsidRPr="0001465D">
        <w:rPr>
          <w:sz w:val="24"/>
          <w:szCs w:val="24"/>
        </w:rPr>
        <w:t>R</w:t>
      </w:r>
      <w:r w:rsidR="007767B7" w:rsidRPr="0001465D">
        <w:rPr>
          <w:sz w:val="24"/>
          <w:szCs w:val="24"/>
        </w:rPr>
        <w:t xml:space="preserve">ecruitment is currently underway for a permanent System Support and Evaluation Programme Director. </w:t>
      </w:r>
    </w:p>
    <w:p w14:paraId="39E30CE4" w14:textId="20022CBA" w:rsidR="00EB1C36" w:rsidRPr="0001465D" w:rsidRDefault="00EB1C36" w:rsidP="0000327C">
      <w:pPr>
        <w:pStyle w:val="NICEnormalnumbered"/>
        <w:numPr>
          <w:ilvl w:val="0"/>
          <w:numId w:val="0"/>
        </w:numPr>
        <w:rPr>
          <w:sz w:val="24"/>
          <w:szCs w:val="24"/>
        </w:rPr>
      </w:pPr>
      <w:r w:rsidRPr="0001465D">
        <w:rPr>
          <w:sz w:val="24"/>
          <w:szCs w:val="24"/>
        </w:rPr>
        <w:t>© NICE</w:t>
      </w:r>
      <w:r w:rsidR="0000327C" w:rsidRPr="0001465D">
        <w:rPr>
          <w:sz w:val="24"/>
          <w:szCs w:val="24"/>
        </w:rPr>
        <w:t xml:space="preserve"> 202</w:t>
      </w:r>
      <w:r w:rsidR="00704546" w:rsidRPr="0001465D">
        <w:rPr>
          <w:sz w:val="24"/>
          <w:szCs w:val="24"/>
        </w:rPr>
        <w:t>1</w:t>
      </w:r>
      <w:r w:rsidRPr="0001465D">
        <w:rPr>
          <w:sz w:val="24"/>
          <w:szCs w:val="24"/>
        </w:rPr>
        <w:t xml:space="preserve">. All rights reserved. </w:t>
      </w:r>
      <w:hyperlink r:id="rId8" w:anchor="notice-of-rights" w:history="1">
        <w:r w:rsidRPr="0001465D">
          <w:rPr>
            <w:rStyle w:val="Hyperlink"/>
            <w:sz w:val="24"/>
            <w:szCs w:val="24"/>
          </w:rPr>
          <w:t>Subject to Notice of rights</w:t>
        </w:r>
      </w:hyperlink>
      <w:r w:rsidRPr="0001465D">
        <w:rPr>
          <w:sz w:val="24"/>
          <w:szCs w:val="24"/>
        </w:rPr>
        <w:t>.</w:t>
      </w:r>
    </w:p>
    <w:p w14:paraId="6A190024" w14:textId="3D403543" w:rsidR="00600A8E" w:rsidRPr="0001465D" w:rsidRDefault="0065494D" w:rsidP="008A6557">
      <w:pPr>
        <w:pStyle w:val="NICEnormal"/>
      </w:pPr>
      <w:r w:rsidRPr="0001465D">
        <w:lastRenderedPageBreak/>
        <w:t xml:space="preserve">May </w:t>
      </w:r>
      <w:r w:rsidR="009969CB" w:rsidRPr="0001465D">
        <w:t>2021</w:t>
      </w:r>
    </w:p>
    <w:sectPr w:rsidR="00600A8E" w:rsidRPr="0001465D" w:rsidSect="00617519">
      <w:headerReference w:type="default" r:id="rId9"/>
      <w:footerReference w:type="default" r:id="rId10"/>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FC6B" w14:textId="77777777" w:rsidR="00680152" w:rsidRDefault="00680152">
      <w:r>
        <w:separator/>
      </w:r>
    </w:p>
  </w:endnote>
  <w:endnote w:type="continuationSeparator" w:id="0">
    <w:p w14:paraId="7ED748ED" w14:textId="77777777" w:rsidR="00680152" w:rsidRDefault="0068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FC91" w14:textId="77777777" w:rsidR="00EB1C36" w:rsidRPr="00BA589F" w:rsidRDefault="00EB1C36" w:rsidP="00C30FD9">
    <w:pPr>
      <w:pStyle w:val="Footer"/>
    </w:pPr>
  </w:p>
  <w:p w14:paraId="4F762EFA"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r w:rsidR="0001465D">
      <w:fldChar w:fldCharType="begin"/>
    </w:r>
    <w:r w:rsidR="0001465D">
      <w:instrText xml:space="preserve"> NUMPAGES  \* Arabic  \* MERGEFORMAT </w:instrText>
    </w:r>
    <w:r w:rsidR="0001465D">
      <w:fldChar w:fldCharType="separate"/>
    </w:r>
    <w:r w:rsidRPr="00BA589F">
      <w:t>7</w:t>
    </w:r>
    <w:r w:rsidR="0001465D">
      <w:fldChar w:fldCharType="end"/>
    </w:r>
  </w:p>
  <w:p w14:paraId="727B19F5" w14:textId="77777777" w:rsidR="00F610BF" w:rsidRPr="00F610BF" w:rsidRDefault="00F610BF" w:rsidP="00CF7AE3">
    <w:pPr>
      <w:pStyle w:val="Footer"/>
    </w:pPr>
    <w:r w:rsidRPr="00F610BF">
      <w:t>Health and Social Care Directorate progress report</w:t>
    </w:r>
  </w:p>
  <w:p w14:paraId="03F500AB" w14:textId="7D0CE35B" w:rsidR="00EB1C36" w:rsidRPr="00F610BF" w:rsidRDefault="00F610BF" w:rsidP="00CF7AE3">
    <w:pPr>
      <w:pStyle w:val="Footer"/>
    </w:pPr>
    <w:r w:rsidRPr="00F610BF">
      <w:t xml:space="preserve">Date: 19 May 2021 </w:t>
    </w:r>
  </w:p>
  <w:p w14:paraId="25EC228E" w14:textId="299E6588" w:rsidR="00F610BF" w:rsidRPr="00BA589F" w:rsidRDefault="00F610BF" w:rsidP="00DD58F8">
    <w:pPr>
      <w:pStyle w:val="Footer"/>
    </w:pPr>
    <w:r>
      <w:t>Reference: 21/045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62DE" w14:textId="77777777" w:rsidR="00680152" w:rsidRDefault="00680152">
      <w:r>
        <w:separator/>
      </w:r>
    </w:p>
  </w:footnote>
  <w:footnote w:type="continuationSeparator" w:id="0">
    <w:p w14:paraId="6B840EFB" w14:textId="77777777" w:rsidR="00680152" w:rsidRDefault="0068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4363" w14:textId="76557829" w:rsidR="00EB1C36" w:rsidRPr="002F15CF" w:rsidRDefault="002F15CF" w:rsidP="002F15CF">
    <w:pPr>
      <w:pStyle w:val="Header"/>
      <w:ind w:left="0"/>
      <w:jc w:val="right"/>
    </w:pPr>
    <w:r w:rsidRPr="00F07534">
      <w:t xml:space="preserve">Item </w:t>
    </w:r>
    <w:r w:rsidR="00F610BF">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231E92E8"/>
    <w:lvl w:ilvl="0" w:tplc="72A45DF0">
      <w:start w:val="1"/>
      <w:numFmt w:val="decimal"/>
      <w:pStyle w:val="Paragraph"/>
      <w:lvlText w:val="%1."/>
      <w:lvlJc w:val="left"/>
      <w:pPr>
        <w:ind w:left="644" w:hanging="360"/>
      </w:pPr>
      <w:rPr>
        <w:sz w:val="24"/>
        <w:szCs w:val="24"/>
      </w:rPr>
    </w:lvl>
    <w:lvl w:ilvl="1" w:tplc="08090019">
      <w:start w:val="1"/>
      <w:numFmt w:val="lowerLetter"/>
      <w:lvlText w:val="%2."/>
      <w:lvlJc w:val="left"/>
      <w:pPr>
        <w:ind w:left="177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5B4917"/>
    <w:multiLevelType w:val="hybridMultilevel"/>
    <w:tmpl w:val="63704C6E"/>
    <w:lvl w:ilvl="0" w:tplc="7AF6D3EA">
      <w:start w:val="1"/>
      <w:numFmt w:val="bullet"/>
      <w:lvlText w:val=""/>
      <w:lvlJc w:val="left"/>
      <w:pPr>
        <w:ind w:left="720" w:hanging="360"/>
      </w:pPr>
      <w:rPr>
        <w:rFonts w:ascii="Symbol" w:hAnsi="Symbol" w:hint="default"/>
      </w:rPr>
    </w:lvl>
    <w:lvl w:ilvl="1" w:tplc="4134FBCA">
      <w:start w:val="1"/>
      <w:numFmt w:val="bullet"/>
      <w:lvlText w:val="o"/>
      <w:lvlJc w:val="left"/>
      <w:pPr>
        <w:ind w:left="1440" w:hanging="360"/>
      </w:pPr>
      <w:rPr>
        <w:rFonts w:ascii="Courier New" w:hAnsi="Courier New" w:hint="default"/>
      </w:rPr>
    </w:lvl>
    <w:lvl w:ilvl="2" w:tplc="35D8132E">
      <w:start w:val="1"/>
      <w:numFmt w:val="bullet"/>
      <w:lvlText w:val=""/>
      <w:lvlJc w:val="left"/>
      <w:pPr>
        <w:ind w:left="2160" w:hanging="360"/>
      </w:pPr>
      <w:rPr>
        <w:rFonts w:ascii="Wingdings" w:hAnsi="Wingdings" w:hint="default"/>
      </w:rPr>
    </w:lvl>
    <w:lvl w:ilvl="3" w:tplc="356CCCE6">
      <w:start w:val="1"/>
      <w:numFmt w:val="bullet"/>
      <w:lvlText w:val=""/>
      <w:lvlJc w:val="left"/>
      <w:pPr>
        <w:ind w:left="2880" w:hanging="360"/>
      </w:pPr>
      <w:rPr>
        <w:rFonts w:ascii="Symbol" w:hAnsi="Symbol" w:hint="default"/>
      </w:rPr>
    </w:lvl>
    <w:lvl w:ilvl="4" w:tplc="4BB4C896">
      <w:start w:val="1"/>
      <w:numFmt w:val="bullet"/>
      <w:lvlText w:val="o"/>
      <w:lvlJc w:val="left"/>
      <w:pPr>
        <w:ind w:left="3600" w:hanging="360"/>
      </w:pPr>
      <w:rPr>
        <w:rFonts w:ascii="Courier New" w:hAnsi="Courier New" w:hint="default"/>
      </w:rPr>
    </w:lvl>
    <w:lvl w:ilvl="5" w:tplc="BBCAB39E">
      <w:start w:val="1"/>
      <w:numFmt w:val="bullet"/>
      <w:lvlText w:val=""/>
      <w:lvlJc w:val="left"/>
      <w:pPr>
        <w:ind w:left="4320" w:hanging="360"/>
      </w:pPr>
      <w:rPr>
        <w:rFonts w:ascii="Wingdings" w:hAnsi="Wingdings" w:hint="default"/>
      </w:rPr>
    </w:lvl>
    <w:lvl w:ilvl="6" w:tplc="546051D4">
      <w:start w:val="1"/>
      <w:numFmt w:val="bullet"/>
      <w:lvlText w:val=""/>
      <w:lvlJc w:val="left"/>
      <w:pPr>
        <w:ind w:left="5040" w:hanging="360"/>
      </w:pPr>
      <w:rPr>
        <w:rFonts w:ascii="Symbol" w:hAnsi="Symbol" w:hint="default"/>
      </w:rPr>
    </w:lvl>
    <w:lvl w:ilvl="7" w:tplc="AA1EC53A">
      <w:start w:val="1"/>
      <w:numFmt w:val="bullet"/>
      <w:lvlText w:val="o"/>
      <w:lvlJc w:val="left"/>
      <w:pPr>
        <w:ind w:left="5760" w:hanging="360"/>
      </w:pPr>
      <w:rPr>
        <w:rFonts w:ascii="Courier New" w:hAnsi="Courier New" w:hint="default"/>
      </w:rPr>
    </w:lvl>
    <w:lvl w:ilvl="8" w:tplc="ECBEE5D2">
      <w:start w:val="1"/>
      <w:numFmt w:val="bullet"/>
      <w:lvlText w:val=""/>
      <w:lvlJc w:val="left"/>
      <w:pPr>
        <w:ind w:left="6480" w:hanging="360"/>
      </w:pPr>
      <w:rPr>
        <w:rFonts w:ascii="Wingdings" w:hAnsi="Wingdings" w:hint="default"/>
      </w:r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EB0CEF"/>
    <w:multiLevelType w:val="hybridMultilevel"/>
    <w:tmpl w:val="C71E851E"/>
    <w:lvl w:ilvl="0" w:tplc="08090019">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6"/>
  </w:num>
  <w:num w:numId="3">
    <w:abstractNumId w:val="16"/>
  </w:num>
  <w:num w:numId="4">
    <w:abstractNumId w:val="17"/>
  </w:num>
  <w:num w:numId="5">
    <w:abstractNumId w:val="4"/>
  </w:num>
  <w:num w:numId="6">
    <w:abstractNumId w:val="7"/>
  </w:num>
  <w:num w:numId="7">
    <w:abstractNumId w:val="12"/>
  </w:num>
  <w:num w:numId="8">
    <w:abstractNumId w:val="15"/>
  </w:num>
  <w:num w:numId="9">
    <w:abstractNumId w:val="20"/>
  </w:num>
  <w:num w:numId="10">
    <w:abstractNumId w:val="6"/>
  </w:num>
  <w:num w:numId="11">
    <w:abstractNumId w:val="24"/>
  </w:num>
  <w:num w:numId="12">
    <w:abstractNumId w:val="10"/>
  </w:num>
  <w:num w:numId="13">
    <w:abstractNumId w:val="18"/>
  </w:num>
  <w:num w:numId="14">
    <w:abstractNumId w:val="22"/>
  </w:num>
  <w:num w:numId="15">
    <w:abstractNumId w:val="11"/>
  </w:num>
  <w:num w:numId="16">
    <w:abstractNumId w:val="0"/>
  </w:num>
  <w:num w:numId="17">
    <w:abstractNumId w:val="1"/>
  </w:num>
  <w:num w:numId="18">
    <w:abstractNumId w:val="8"/>
  </w:num>
  <w:num w:numId="19">
    <w:abstractNumId w:val="14"/>
  </w:num>
  <w:num w:numId="20">
    <w:abstractNumId w:val="5"/>
  </w:num>
  <w:num w:numId="21">
    <w:abstractNumId w:val="25"/>
  </w:num>
  <w:num w:numId="22">
    <w:abstractNumId w:val="23"/>
  </w:num>
  <w:num w:numId="23">
    <w:abstractNumId w:val="27"/>
  </w:num>
  <w:num w:numId="24">
    <w:abstractNumId w:val="9"/>
  </w:num>
  <w:num w:numId="25">
    <w:abstractNumId w:val="3"/>
  </w:num>
  <w:num w:numId="26">
    <w:abstractNumId w:val="13"/>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6145">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52"/>
    <w:rsid w:val="0000327C"/>
    <w:rsid w:val="000119FB"/>
    <w:rsid w:val="0001465D"/>
    <w:rsid w:val="000242AA"/>
    <w:rsid w:val="000246FC"/>
    <w:rsid w:val="000309B2"/>
    <w:rsid w:val="000312F1"/>
    <w:rsid w:val="00036666"/>
    <w:rsid w:val="000370A1"/>
    <w:rsid w:val="000470BC"/>
    <w:rsid w:val="00053D31"/>
    <w:rsid w:val="000651DE"/>
    <w:rsid w:val="00077FED"/>
    <w:rsid w:val="00093076"/>
    <w:rsid w:val="000A1EC0"/>
    <w:rsid w:val="000C4168"/>
    <w:rsid w:val="000E6C5F"/>
    <w:rsid w:val="000F7810"/>
    <w:rsid w:val="00101F34"/>
    <w:rsid w:val="00106DFD"/>
    <w:rsid w:val="00113D26"/>
    <w:rsid w:val="0011545F"/>
    <w:rsid w:val="001172E1"/>
    <w:rsid w:val="00120F6D"/>
    <w:rsid w:val="001219F1"/>
    <w:rsid w:val="00123D3F"/>
    <w:rsid w:val="00131EB8"/>
    <w:rsid w:val="00137533"/>
    <w:rsid w:val="001406DB"/>
    <w:rsid w:val="00161AA0"/>
    <w:rsid w:val="00163159"/>
    <w:rsid w:val="001738A5"/>
    <w:rsid w:val="00180120"/>
    <w:rsid w:val="00191DB9"/>
    <w:rsid w:val="00193164"/>
    <w:rsid w:val="001961D2"/>
    <w:rsid w:val="001973C7"/>
    <w:rsid w:val="001A4DC5"/>
    <w:rsid w:val="001A7ED9"/>
    <w:rsid w:val="001B0506"/>
    <w:rsid w:val="001B0BDF"/>
    <w:rsid w:val="001B277D"/>
    <w:rsid w:val="001C032E"/>
    <w:rsid w:val="001D1A80"/>
    <w:rsid w:val="001D5BDD"/>
    <w:rsid w:val="001E5C17"/>
    <w:rsid w:val="001F0144"/>
    <w:rsid w:val="001F12AE"/>
    <w:rsid w:val="002169E7"/>
    <w:rsid w:val="002231C4"/>
    <w:rsid w:val="00223B96"/>
    <w:rsid w:val="00225022"/>
    <w:rsid w:val="0023047A"/>
    <w:rsid w:val="0023207E"/>
    <w:rsid w:val="002342E9"/>
    <w:rsid w:val="00235028"/>
    <w:rsid w:val="00235CAB"/>
    <w:rsid w:val="00251D56"/>
    <w:rsid w:val="002526E6"/>
    <w:rsid w:val="002535B1"/>
    <w:rsid w:val="00253674"/>
    <w:rsid w:val="002660EC"/>
    <w:rsid w:val="00282F9C"/>
    <w:rsid w:val="00284A68"/>
    <w:rsid w:val="002A3712"/>
    <w:rsid w:val="002C20D3"/>
    <w:rsid w:val="002C3FAA"/>
    <w:rsid w:val="002D46EE"/>
    <w:rsid w:val="002E4B7C"/>
    <w:rsid w:val="002E7018"/>
    <w:rsid w:val="002E70DC"/>
    <w:rsid w:val="002F15CF"/>
    <w:rsid w:val="00302D24"/>
    <w:rsid w:val="003041A3"/>
    <w:rsid w:val="0031664C"/>
    <w:rsid w:val="00325E2F"/>
    <w:rsid w:val="003330E6"/>
    <w:rsid w:val="00351083"/>
    <w:rsid w:val="00353D3E"/>
    <w:rsid w:val="00354598"/>
    <w:rsid w:val="00362226"/>
    <w:rsid w:val="00377E36"/>
    <w:rsid w:val="0038236B"/>
    <w:rsid w:val="00395942"/>
    <w:rsid w:val="003B1379"/>
    <w:rsid w:val="003C36AC"/>
    <w:rsid w:val="003C75A4"/>
    <w:rsid w:val="003D3C45"/>
    <w:rsid w:val="003E4A30"/>
    <w:rsid w:val="003E7F55"/>
    <w:rsid w:val="0040351F"/>
    <w:rsid w:val="00406481"/>
    <w:rsid w:val="00407278"/>
    <w:rsid w:val="00410FCD"/>
    <w:rsid w:val="00414627"/>
    <w:rsid w:val="004513D6"/>
    <w:rsid w:val="004519B2"/>
    <w:rsid w:val="00461997"/>
    <w:rsid w:val="0046239A"/>
    <w:rsid w:val="004751F3"/>
    <w:rsid w:val="004820E9"/>
    <w:rsid w:val="004831FF"/>
    <w:rsid w:val="0048361F"/>
    <w:rsid w:val="00484FE9"/>
    <w:rsid w:val="00485B88"/>
    <w:rsid w:val="00490CF8"/>
    <w:rsid w:val="004914C0"/>
    <w:rsid w:val="004B514C"/>
    <w:rsid w:val="004D0AFF"/>
    <w:rsid w:val="004E2D92"/>
    <w:rsid w:val="004E3050"/>
    <w:rsid w:val="004E3EC5"/>
    <w:rsid w:val="004E612B"/>
    <w:rsid w:val="00500E19"/>
    <w:rsid w:val="00510054"/>
    <w:rsid w:val="00511D73"/>
    <w:rsid w:val="00526898"/>
    <w:rsid w:val="00526C07"/>
    <w:rsid w:val="0053387C"/>
    <w:rsid w:val="005401BA"/>
    <w:rsid w:val="00547E11"/>
    <w:rsid w:val="0056234F"/>
    <w:rsid w:val="00563B05"/>
    <w:rsid w:val="00582AE2"/>
    <w:rsid w:val="005860F4"/>
    <w:rsid w:val="005866B1"/>
    <w:rsid w:val="005A5E10"/>
    <w:rsid w:val="005C051F"/>
    <w:rsid w:val="005C18FA"/>
    <w:rsid w:val="005C5CD2"/>
    <w:rsid w:val="005C6C2E"/>
    <w:rsid w:val="005C762E"/>
    <w:rsid w:val="005C7B8E"/>
    <w:rsid w:val="005D098C"/>
    <w:rsid w:val="005E07C1"/>
    <w:rsid w:val="005F135D"/>
    <w:rsid w:val="00600A8E"/>
    <w:rsid w:val="00603657"/>
    <w:rsid w:val="00603E56"/>
    <w:rsid w:val="00604EAA"/>
    <w:rsid w:val="0060662A"/>
    <w:rsid w:val="00614BDA"/>
    <w:rsid w:val="00617519"/>
    <w:rsid w:val="00623951"/>
    <w:rsid w:val="00631163"/>
    <w:rsid w:val="006331B4"/>
    <w:rsid w:val="006343F3"/>
    <w:rsid w:val="00642906"/>
    <w:rsid w:val="006435A4"/>
    <w:rsid w:val="00645D91"/>
    <w:rsid w:val="0065494D"/>
    <w:rsid w:val="00655596"/>
    <w:rsid w:val="006571D4"/>
    <w:rsid w:val="006707A4"/>
    <w:rsid w:val="00680152"/>
    <w:rsid w:val="00680B94"/>
    <w:rsid w:val="006A721F"/>
    <w:rsid w:val="006C2127"/>
    <w:rsid w:val="006C3D07"/>
    <w:rsid w:val="006C63BF"/>
    <w:rsid w:val="006D73F1"/>
    <w:rsid w:val="006E5598"/>
    <w:rsid w:val="006F1284"/>
    <w:rsid w:val="00704546"/>
    <w:rsid w:val="00711DFC"/>
    <w:rsid w:val="00725D9D"/>
    <w:rsid w:val="00726430"/>
    <w:rsid w:val="007277C3"/>
    <w:rsid w:val="00727AF8"/>
    <w:rsid w:val="00727EFB"/>
    <w:rsid w:val="00732519"/>
    <w:rsid w:val="00737F9C"/>
    <w:rsid w:val="00744CC9"/>
    <w:rsid w:val="00762FB0"/>
    <w:rsid w:val="00771AAE"/>
    <w:rsid w:val="007726B5"/>
    <w:rsid w:val="00772B3D"/>
    <w:rsid w:val="0077385B"/>
    <w:rsid w:val="00775BD6"/>
    <w:rsid w:val="007767B7"/>
    <w:rsid w:val="007768D6"/>
    <w:rsid w:val="00792CE7"/>
    <w:rsid w:val="007A174B"/>
    <w:rsid w:val="007A4EEE"/>
    <w:rsid w:val="007B4E05"/>
    <w:rsid w:val="007C5D39"/>
    <w:rsid w:val="007E1ADE"/>
    <w:rsid w:val="007E20C4"/>
    <w:rsid w:val="007E7AB9"/>
    <w:rsid w:val="00805666"/>
    <w:rsid w:val="008070AD"/>
    <w:rsid w:val="00834A58"/>
    <w:rsid w:val="00842453"/>
    <w:rsid w:val="008505C3"/>
    <w:rsid w:val="00862C0C"/>
    <w:rsid w:val="008704FC"/>
    <w:rsid w:val="00871D3C"/>
    <w:rsid w:val="008853CB"/>
    <w:rsid w:val="008A3CB5"/>
    <w:rsid w:val="008A6557"/>
    <w:rsid w:val="008A7AA8"/>
    <w:rsid w:val="008C754C"/>
    <w:rsid w:val="008C782E"/>
    <w:rsid w:val="008D6069"/>
    <w:rsid w:val="008E36A0"/>
    <w:rsid w:val="008E7585"/>
    <w:rsid w:val="008F3AC3"/>
    <w:rsid w:val="00900711"/>
    <w:rsid w:val="0091585A"/>
    <w:rsid w:val="00921354"/>
    <w:rsid w:val="00932813"/>
    <w:rsid w:val="009336A1"/>
    <w:rsid w:val="0094366C"/>
    <w:rsid w:val="00943D98"/>
    <w:rsid w:val="009503C9"/>
    <w:rsid w:val="00953ADF"/>
    <w:rsid w:val="00971131"/>
    <w:rsid w:val="009729D9"/>
    <w:rsid w:val="00986AB6"/>
    <w:rsid w:val="009871F3"/>
    <w:rsid w:val="00987DCE"/>
    <w:rsid w:val="00996072"/>
    <w:rsid w:val="009969CB"/>
    <w:rsid w:val="009A0289"/>
    <w:rsid w:val="009A30EF"/>
    <w:rsid w:val="009A4174"/>
    <w:rsid w:val="009B621A"/>
    <w:rsid w:val="009C45D9"/>
    <w:rsid w:val="009D18A8"/>
    <w:rsid w:val="009D5193"/>
    <w:rsid w:val="009D778D"/>
    <w:rsid w:val="009E3431"/>
    <w:rsid w:val="00A06657"/>
    <w:rsid w:val="00A20F78"/>
    <w:rsid w:val="00A213BD"/>
    <w:rsid w:val="00A24C1C"/>
    <w:rsid w:val="00A320EE"/>
    <w:rsid w:val="00A36575"/>
    <w:rsid w:val="00A43FAF"/>
    <w:rsid w:val="00A522E1"/>
    <w:rsid w:val="00A579B7"/>
    <w:rsid w:val="00A61630"/>
    <w:rsid w:val="00A66E7E"/>
    <w:rsid w:val="00A82A1C"/>
    <w:rsid w:val="00A85B67"/>
    <w:rsid w:val="00A86D3D"/>
    <w:rsid w:val="00A91186"/>
    <w:rsid w:val="00A9474F"/>
    <w:rsid w:val="00A956DE"/>
    <w:rsid w:val="00AA45EF"/>
    <w:rsid w:val="00AB2948"/>
    <w:rsid w:val="00AB39FA"/>
    <w:rsid w:val="00AB4AF5"/>
    <w:rsid w:val="00AB525D"/>
    <w:rsid w:val="00AB7A16"/>
    <w:rsid w:val="00AD4019"/>
    <w:rsid w:val="00AD5CB7"/>
    <w:rsid w:val="00AD5E0B"/>
    <w:rsid w:val="00AD6933"/>
    <w:rsid w:val="00AD6B7B"/>
    <w:rsid w:val="00AE556B"/>
    <w:rsid w:val="00AE7D6B"/>
    <w:rsid w:val="00AF3F6F"/>
    <w:rsid w:val="00AF42BC"/>
    <w:rsid w:val="00AF5440"/>
    <w:rsid w:val="00B06A35"/>
    <w:rsid w:val="00B11B6E"/>
    <w:rsid w:val="00B15262"/>
    <w:rsid w:val="00B31A3C"/>
    <w:rsid w:val="00B445AA"/>
    <w:rsid w:val="00B54206"/>
    <w:rsid w:val="00B5507C"/>
    <w:rsid w:val="00B60D70"/>
    <w:rsid w:val="00B771F9"/>
    <w:rsid w:val="00B844AC"/>
    <w:rsid w:val="00B84BC1"/>
    <w:rsid w:val="00B879B2"/>
    <w:rsid w:val="00B90206"/>
    <w:rsid w:val="00BA0179"/>
    <w:rsid w:val="00BA51EA"/>
    <w:rsid w:val="00BA589F"/>
    <w:rsid w:val="00BB047B"/>
    <w:rsid w:val="00BB6398"/>
    <w:rsid w:val="00BC0E86"/>
    <w:rsid w:val="00BC3174"/>
    <w:rsid w:val="00BD0372"/>
    <w:rsid w:val="00BD246E"/>
    <w:rsid w:val="00BD3E84"/>
    <w:rsid w:val="00BF4768"/>
    <w:rsid w:val="00C139CA"/>
    <w:rsid w:val="00C152F5"/>
    <w:rsid w:val="00C3245F"/>
    <w:rsid w:val="00C35491"/>
    <w:rsid w:val="00C433C5"/>
    <w:rsid w:val="00C4382A"/>
    <w:rsid w:val="00C51429"/>
    <w:rsid w:val="00C52DC3"/>
    <w:rsid w:val="00C56559"/>
    <w:rsid w:val="00C567B5"/>
    <w:rsid w:val="00C67A44"/>
    <w:rsid w:val="00C707BB"/>
    <w:rsid w:val="00C70B42"/>
    <w:rsid w:val="00C71A33"/>
    <w:rsid w:val="00C72CFF"/>
    <w:rsid w:val="00C831CC"/>
    <w:rsid w:val="00C97A9C"/>
    <w:rsid w:val="00CA3397"/>
    <w:rsid w:val="00CA33E1"/>
    <w:rsid w:val="00CA4831"/>
    <w:rsid w:val="00CB2711"/>
    <w:rsid w:val="00CB6BEB"/>
    <w:rsid w:val="00CC3B43"/>
    <w:rsid w:val="00CE05C1"/>
    <w:rsid w:val="00CE334C"/>
    <w:rsid w:val="00CE6EC7"/>
    <w:rsid w:val="00CE7855"/>
    <w:rsid w:val="00D15B7E"/>
    <w:rsid w:val="00D211C9"/>
    <w:rsid w:val="00D3612A"/>
    <w:rsid w:val="00D37703"/>
    <w:rsid w:val="00D37F25"/>
    <w:rsid w:val="00D453F6"/>
    <w:rsid w:val="00D60D8D"/>
    <w:rsid w:val="00D644E3"/>
    <w:rsid w:val="00D66B38"/>
    <w:rsid w:val="00D67E7F"/>
    <w:rsid w:val="00D73C98"/>
    <w:rsid w:val="00D76FCB"/>
    <w:rsid w:val="00D933B0"/>
    <w:rsid w:val="00D94F7F"/>
    <w:rsid w:val="00DA11DD"/>
    <w:rsid w:val="00DB1CFB"/>
    <w:rsid w:val="00DB4297"/>
    <w:rsid w:val="00DC0120"/>
    <w:rsid w:val="00DD0799"/>
    <w:rsid w:val="00DD2014"/>
    <w:rsid w:val="00DE077D"/>
    <w:rsid w:val="00DE3547"/>
    <w:rsid w:val="00DE643F"/>
    <w:rsid w:val="00DF5BA8"/>
    <w:rsid w:val="00E0093E"/>
    <w:rsid w:val="00E015D7"/>
    <w:rsid w:val="00E22EDB"/>
    <w:rsid w:val="00E2509B"/>
    <w:rsid w:val="00E271FE"/>
    <w:rsid w:val="00E45014"/>
    <w:rsid w:val="00E4622C"/>
    <w:rsid w:val="00E46571"/>
    <w:rsid w:val="00E51FFB"/>
    <w:rsid w:val="00E54939"/>
    <w:rsid w:val="00E5744B"/>
    <w:rsid w:val="00E63855"/>
    <w:rsid w:val="00E80E3F"/>
    <w:rsid w:val="00EA2EE3"/>
    <w:rsid w:val="00EA529B"/>
    <w:rsid w:val="00EB03BB"/>
    <w:rsid w:val="00EB1C36"/>
    <w:rsid w:val="00ED3FC5"/>
    <w:rsid w:val="00EE2EB2"/>
    <w:rsid w:val="00EE406C"/>
    <w:rsid w:val="00F07534"/>
    <w:rsid w:val="00F150A8"/>
    <w:rsid w:val="00F236A1"/>
    <w:rsid w:val="00F26A9F"/>
    <w:rsid w:val="00F26E68"/>
    <w:rsid w:val="00F326B7"/>
    <w:rsid w:val="00F33119"/>
    <w:rsid w:val="00F47820"/>
    <w:rsid w:val="00F53AE9"/>
    <w:rsid w:val="00F610BF"/>
    <w:rsid w:val="00F73C47"/>
    <w:rsid w:val="00F81F2C"/>
    <w:rsid w:val="00F85FCD"/>
    <w:rsid w:val="00F90E63"/>
    <w:rsid w:val="00F913FF"/>
    <w:rsid w:val="00F919C1"/>
    <w:rsid w:val="00F97893"/>
    <w:rsid w:val="00FA38B6"/>
    <w:rsid w:val="00FA66A6"/>
    <w:rsid w:val="00FA6EE7"/>
    <w:rsid w:val="00FB47DD"/>
    <w:rsid w:val="00FB73D3"/>
    <w:rsid w:val="00FD3351"/>
    <w:rsid w:val="00FD4756"/>
    <w:rsid w:val="00FE068F"/>
    <w:rsid w:val="00FE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06"/>
    </o:shapedefaults>
    <o:shapelayout v:ext="edit">
      <o:idmap v:ext="edit" data="1"/>
    </o:shapelayout>
  </w:shapeDefaults>
  <w:decimalSymbol w:val="."/>
  <w:listSeparator w:val=","/>
  <w14:docId w14:val="38BBA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C52DC3"/>
    <w:rPr>
      <w:rFonts w:ascii="Calibri" w:eastAsiaTheme="minorHAnsi" w:hAnsi="Calibri" w:cs="Calibri"/>
      <w:sz w:val="22"/>
      <w:szCs w:val="22"/>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603657"/>
    <w:rPr>
      <w:b/>
      <w:bCs/>
      <w:lang w:eastAsia="en-US"/>
    </w:rPr>
  </w:style>
  <w:style w:type="character" w:customStyle="1" w:styleId="CommentSubjectChar">
    <w:name w:val="Comment Subject Char"/>
    <w:basedOn w:val="CommentTextChar"/>
    <w:link w:val="CommentSubject"/>
    <w:rsid w:val="00603657"/>
    <w:rPr>
      <w:b/>
      <w:bCs/>
      <w:lang w:eastAsia="en-US"/>
    </w:rPr>
  </w:style>
  <w:style w:type="paragraph" w:styleId="NormalWeb">
    <w:name w:val="Normal (Web)"/>
    <w:basedOn w:val="Normal"/>
    <w:locked/>
    <w:rsid w:val="00B11B6E"/>
  </w:style>
  <w:style w:type="paragraph" w:styleId="Revision">
    <w:name w:val="Revision"/>
    <w:hidden/>
    <w:uiPriority w:val="99"/>
    <w:semiHidden/>
    <w:rsid w:val="00510054"/>
    <w:rPr>
      <w:sz w:val="24"/>
      <w:szCs w:val="24"/>
      <w:lang w:eastAsia="en-US"/>
    </w:rPr>
  </w:style>
  <w:style w:type="character" w:styleId="Strong">
    <w:name w:val="Strong"/>
    <w:basedOn w:val="DefaultParagraphFont"/>
    <w:qFormat/>
    <w:locked/>
    <w:rsid w:val="004D0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7456">
      <w:bodyDiv w:val="1"/>
      <w:marLeft w:val="0"/>
      <w:marRight w:val="0"/>
      <w:marTop w:val="0"/>
      <w:marBottom w:val="0"/>
      <w:divBdr>
        <w:top w:val="none" w:sz="0" w:space="0" w:color="auto"/>
        <w:left w:val="none" w:sz="0" w:space="0" w:color="auto"/>
        <w:bottom w:val="none" w:sz="0" w:space="0" w:color="auto"/>
        <w:right w:val="none" w:sz="0" w:space="0" w:color="auto"/>
      </w:divBdr>
    </w:div>
    <w:div w:id="335042635">
      <w:bodyDiv w:val="1"/>
      <w:marLeft w:val="0"/>
      <w:marRight w:val="0"/>
      <w:marTop w:val="0"/>
      <w:marBottom w:val="0"/>
      <w:divBdr>
        <w:top w:val="none" w:sz="0" w:space="0" w:color="auto"/>
        <w:left w:val="none" w:sz="0" w:space="0" w:color="auto"/>
        <w:bottom w:val="none" w:sz="0" w:space="0" w:color="auto"/>
        <w:right w:val="none" w:sz="0" w:space="0" w:color="auto"/>
      </w:divBdr>
    </w:div>
    <w:div w:id="398476129">
      <w:bodyDiv w:val="1"/>
      <w:marLeft w:val="0"/>
      <w:marRight w:val="0"/>
      <w:marTop w:val="0"/>
      <w:marBottom w:val="0"/>
      <w:divBdr>
        <w:top w:val="none" w:sz="0" w:space="0" w:color="auto"/>
        <w:left w:val="none" w:sz="0" w:space="0" w:color="auto"/>
        <w:bottom w:val="none" w:sz="0" w:space="0" w:color="auto"/>
        <w:right w:val="none" w:sz="0" w:space="0" w:color="auto"/>
      </w:divBdr>
    </w:div>
    <w:div w:id="481898050">
      <w:bodyDiv w:val="1"/>
      <w:marLeft w:val="0"/>
      <w:marRight w:val="0"/>
      <w:marTop w:val="0"/>
      <w:marBottom w:val="0"/>
      <w:divBdr>
        <w:top w:val="none" w:sz="0" w:space="0" w:color="auto"/>
        <w:left w:val="none" w:sz="0" w:space="0" w:color="auto"/>
        <w:bottom w:val="none" w:sz="0" w:space="0" w:color="auto"/>
        <w:right w:val="none" w:sz="0" w:space="0" w:color="auto"/>
      </w:divBdr>
    </w:div>
    <w:div w:id="499664118">
      <w:bodyDiv w:val="1"/>
      <w:marLeft w:val="0"/>
      <w:marRight w:val="0"/>
      <w:marTop w:val="0"/>
      <w:marBottom w:val="0"/>
      <w:divBdr>
        <w:top w:val="none" w:sz="0" w:space="0" w:color="auto"/>
        <w:left w:val="none" w:sz="0" w:space="0" w:color="auto"/>
        <w:bottom w:val="none" w:sz="0" w:space="0" w:color="auto"/>
        <w:right w:val="none" w:sz="0" w:space="0" w:color="auto"/>
      </w:divBdr>
    </w:div>
    <w:div w:id="679241279">
      <w:bodyDiv w:val="1"/>
      <w:marLeft w:val="0"/>
      <w:marRight w:val="0"/>
      <w:marTop w:val="0"/>
      <w:marBottom w:val="0"/>
      <w:divBdr>
        <w:top w:val="none" w:sz="0" w:space="0" w:color="auto"/>
        <w:left w:val="none" w:sz="0" w:space="0" w:color="auto"/>
        <w:bottom w:val="none" w:sz="0" w:space="0" w:color="auto"/>
        <w:right w:val="none" w:sz="0" w:space="0" w:color="auto"/>
      </w:divBdr>
    </w:div>
    <w:div w:id="787629671">
      <w:bodyDiv w:val="1"/>
      <w:marLeft w:val="0"/>
      <w:marRight w:val="0"/>
      <w:marTop w:val="0"/>
      <w:marBottom w:val="0"/>
      <w:divBdr>
        <w:top w:val="none" w:sz="0" w:space="0" w:color="auto"/>
        <w:left w:val="none" w:sz="0" w:space="0" w:color="auto"/>
        <w:bottom w:val="none" w:sz="0" w:space="0" w:color="auto"/>
        <w:right w:val="none" w:sz="0" w:space="0" w:color="auto"/>
      </w:divBdr>
    </w:div>
    <w:div w:id="1039010395">
      <w:bodyDiv w:val="1"/>
      <w:marLeft w:val="0"/>
      <w:marRight w:val="0"/>
      <w:marTop w:val="0"/>
      <w:marBottom w:val="0"/>
      <w:divBdr>
        <w:top w:val="none" w:sz="0" w:space="0" w:color="auto"/>
        <w:left w:val="none" w:sz="0" w:space="0" w:color="auto"/>
        <w:bottom w:val="none" w:sz="0" w:space="0" w:color="auto"/>
        <w:right w:val="none" w:sz="0" w:space="0" w:color="auto"/>
      </w:divBdr>
    </w:div>
    <w:div w:id="1417483613">
      <w:bodyDiv w:val="1"/>
      <w:marLeft w:val="0"/>
      <w:marRight w:val="0"/>
      <w:marTop w:val="0"/>
      <w:marBottom w:val="0"/>
      <w:divBdr>
        <w:top w:val="none" w:sz="0" w:space="0" w:color="auto"/>
        <w:left w:val="none" w:sz="0" w:space="0" w:color="auto"/>
        <w:bottom w:val="none" w:sz="0" w:space="0" w:color="auto"/>
        <w:right w:val="none" w:sz="0" w:space="0" w:color="auto"/>
      </w:divBdr>
    </w:div>
    <w:div w:id="1611089930">
      <w:bodyDiv w:val="1"/>
      <w:marLeft w:val="0"/>
      <w:marRight w:val="0"/>
      <w:marTop w:val="0"/>
      <w:marBottom w:val="0"/>
      <w:divBdr>
        <w:top w:val="none" w:sz="0" w:space="0" w:color="auto"/>
        <w:left w:val="none" w:sz="0" w:space="0" w:color="auto"/>
        <w:bottom w:val="none" w:sz="0" w:space="0" w:color="auto"/>
        <w:right w:val="none" w:sz="0" w:space="0" w:color="auto"/>
      </w:divBdr>
    </w:div>
    <w:div w:id="1688676564">
      <w:bodyDiv w:val="1"/>
      <w:marLeft w:val="0"/>
      <w:marRight w:val="0"/>
      <w:marTop w:val="0"/>
      <w:marBottom w:val="0"/>
      <w:divBdr>
        <w:top w:val="none" w:sz="0" w:space="0" w:color="auto"/>
        <w:left w:val="none" w:sz="0" w:space="0" w:color="auto"/>
        <w:bottom w:val="none" w:sz="0" w:space="0" w:color="auto"/>
        <w:right w:val="none" w:sz="0" w:space="0" w:color="auto"/>
      </w:divBdr>
      <w:divsChild>
        <w:div w:id="81221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1694</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2021-05-06T19:04:00Z</dcterms:created>
  <dcterms:modified xsi:type="dcterms:W3CDTF">2021-05-07T16:00:00Z</dcterms:modified>
</cp:coreProperties>
</file>