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6DCD" w14:textId="77777777" w:rsidR="00EB1C36" w:rsidRPr="00140366" w:rsidRDefault="00EB1C36" w:rsidP="006F120C">
      <w:pPr>
        <w:pStyle w:val="Title20"/>
      </w:pPr>
      <w:r w:rsidRPr="00140366">
        <w:t>National Institute for Health and Care Excellence</w:t>
      </w:r>
    </w:p>
    <w:p w14:paraId="4D6F5472" w14:textId="063F3F33" w:rsidR="00EB1C36" w:rsidRPr="00140366" w:rsidRDefault="00445D8B" w:rsidP="00F07534">
      <w:pPr>
        <w:pStyle w:val="Title1"/>
      </w:pPr>
      <w:r w:rsidRPr="00140366">
        <w:t xml:space="preserve">People and </w:t>
      </w:r>
      <w:r w:rsidR="00FA05A6" w:rsidRPr="00140366">
        <w:t>Resources</w:t>
      </w:r>
      <w:r w:rsidR="00EB1C36" w:rsidRPr="00140366">
        <w:t xml:space="preserve"> report</w:t>
      </w:r>
    </w:p>
    <w:p w14:paraId="12C8B4AA" w14:textId="4472CD71" w:rsidR="00EB1C36" w:rsidRPr="00140366" w:rsidRDefault="00FA6C4F" w:rsidP="005F6CE3">
      <w:pPr>
        <w:pStyle w:val="NICEnormalnumbered"/>
      </w:pPr>
      <w:r w:rsidRPr="00140366">
        <w:t>This report gives details of the</w:t>
      </w:r>
      <w:r w:rsidR="00140366" w:rsidRPr="00140366">
        <w:t xml:space="preserve"> year-end</w:t>
      </w:r>
      <w:r w:rsidRPr="00140366">
        <w:t xml:space="preserve"> financial position as </w:t>
      </w:r>
      <w:proofErr w:type="gramStart"/>
      <w:r w:rsidRPr="00140366">
        <w:t>at</w:t>
      </w:r>
      <w:proofErr w:type="gramEnd"/>
      <w:r w:rsidRPr="00140366">
        <w:t xml:space="preserve"> </w:t>
      </w:r>
      <w:r w:rsidR="00140366" w:rsidRPr="00140366">
        <w:t xml:space="preserve">31 March </w:t>
      </w:r>
      <w:r w:rsidRPr="00140366">
        <w:t>202</w:t>
      </w:r>
      <w:r w:rsidR="00F406A6" w:rsidRPr="00140366">
        <w:t>1</w:t>
      </w:r>
      <w:r w:rsidR="005F6CE3" w:rsidRPr="00140366">
        <w:t>, an</w:t>
      </w:r>
      <w:r w:rsidR="009573A0" w:rsidRPr="00140366">
        <w:t xml:space="preserve"> </w:t>
      </w:r>
      <w:r w:rsidR="005F6CE3" w:rsidRPr="00140366">
        <w:t>update on Human Resources &amp; Organisational Development and an update on the NICE Connect transformation programme.</w:t>
      </w:r>
    </w:p>
    <w:p w14:paraId="34C349B4" w14:textId="38B3E05D" w:rsidR="00EB1C36" w:rsidRPr="00140366" w:rsidRDefault="00FA6C4F" w:rsidP="00EB1C36">
      <w:pPr>
        <w:pStyle w:val="Heading1boardreport"/>
      </w:pPr>
      <w:r w:rsidRPr="00140366">
        <w:t xml:space="preserve">Financial </w:t>
      </w:r>
      <w:r w:rsidR="008B31CD">
        <w:t>p</w:t>
      </w:r>
      <w:r w:rsidRPr="00140366">
        <w:t>osition</w:t>
      </w:r>
    </w:p>
    <w:p w14:paraId="6252447C" w14:textId="0319380A" w:rsidR="000B6695" w:rsidRPr="00140366" w:rsidRDefault="00FA6C4F" w:rsidP="000B6695">
      <w:pPr>
        <w:pStyle w:val="NICEnormalnumbered"/>
      </w:pPr>
      <w:r w:rsidRPr="00140366">
        <w:t>Table 1 summarises</w:t>
      </w:r>
      <w:r w:rsidR="008E3BCF" w:rsidRPr="00140366">
        <w:t xml:space="preserve"> year</w:t>
      </w:r>
      <w:r w:rsidR="00140366" w:rsidRPr="00140366">
        <w:t>-end</w:t>
      </w:r>
      <w:r w:rsidRPr="00140366">
        <w:t xml:space="preserve"> financial position as </w:t>
      </w:r>
      <w:proofErr w:type="gramStart"/>
      <w:r w:rsidRPr="00140366">
        <w:t>at</w:t>
      </w:r>
      <w:proofErr w:type="gramEnd"/>
      <w:r w:rsidRPr="00140366">
        <w:t xml:space="preserve"> </w:t>
      </w:r>
      <w:r w:rsidR="00140366" w:rsidRPr="00140366">
        <w:t>31</w:t>
      </w:r>
      <w:r w:rsidR="00197358" w:rsidRPr="00140366">
        <w:t xml:space="preserve"> </w:t>
      </w:r>
      <w:r w:rsidR="00140366" w:rsidRPr="00140366">
        <w:t>March</w:t>
      </w:r>
      <w:r w:rsidR="00F406A6" w:rsidRPr="00140366">
        <w:t xml:space="preserve"> 2021</w:t>
      </w:r>
      <w:r w:rsidRPr="00140366">
        <w:t>. There is a full breakdown in Appendix A.</w:t>
      </w:r>
    </w:p>
    <w:p w14:paraId="55A3E91C" w14:textId="0EAA0C3E" w:rsidR="00691AAE" w:rsidRPr="00140366" w:rsidRDefault="00691AAE" w:rsidP="00A554D7">
      <w:pPr>
        <w:pStyle w:val="Tableheadingboardreport"/>
      </w:pPr>
      <w:r w:rsidRPr="00140366">
        <w:t xml:space="preserve">Table 1: Financial position as </w:t>
      </w:r>
      <w:proofErr w:type="gramStart"/>
      <w:r w:rsidRPr="00140366">
        <w:t>at</w:t>
      </w:r>
      <w:proofErr w:type="gramEnd"/>
      <w:r w:rsidRPr="00140366">
        <w:t xml:space="preserve"> </w:t>
      </w:r>
      <w:r w:rsidR="00140366" w:rsidRPr="00140366">
        <w:t>31</w:t>
      </w:r>
      <w:r w:rsidR="00197358" w:rsidRPr="00140366">
        <w:t xml:space="preserve"> </w:t>
      </w:r>
      <w:r w:rsidR="00140366" w:rsidRPr="00140366">
        <w:t>March</w:t>
      </w:r>
      <w:r w:rsidR="00F406A6" w:rsidRPr="00140366">
        <w:t xml:space="preserve"> 2021</w:t>
      </w:r>
    </w:p>
    <w:p w14:paraId="5576FD84" w14:textId="77777777" w:rsidR="00734E7B" w:rsidRPr="00140366" w:rsidRDefault="00734E7B" w:rsidP="00A554D7">
      <w:pPr>
        <w:pStyle w:val="Tableheadingboardreport"/>
      </w:pPr>
    </w:p>
    <w:tbl>
      <w:tblPr>
        <w:tblpPr w:leftFromText="180" w:rightFromText="180" w:vertAnchor="text" w:horzAnchor="margin" w:tblpXSpec="center" w:tblpY="54"/>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inancial position as at 31 March 2021"/>
        <w:tblDescription w:val="Table1: year-end financial position, annual budget, actual and variance, April 2020 to March 2021. "/>
      </w:tblPr>
      <w:tblGrid>
        <w:gridCol w:w="3471"/>
        <w:gridCol w:w="1662"/>
        <w:gridCol w:w="1662"/>
        <w:gridCol w:w="1662"/>
      </w:tblGrid>
      <w:tr w:rsidR="003A2933" w:rsidRPr="00A77784" w14:paraId="1AA1FB09" w14:textId="23ACE910" w:rsidTr="003A2933">
        <w:trPr>
          <w:trHeight w:val="698"/>
          <w:tblHeader/>
        </w:trPr>
        <w:tc>
          <w:tcPr>
            <w:tcW w:w="3471" w:type="dxa"/>
            <w:vAlign w:val="center"/>
          </w:tcPr>
          <w:p w14:paraId="1EBB6B0C" w14:textId="405E5A5C" w:rsidR="003A2933" w:rsidRPr="00140366" w:rsidRDefault="003A2933" w:rsidP="007649D3">
            <w:pPr>
              <w:pStyle w:val="Tableheadingboardreport"/>
            </w:pPr>
            <w:bookmarkStart w:id="0" w:name="OLE_LINK1"/>
            <w:r w:rsidRPr="00140366">
              <w:t>Spend Category</w:t>
            </w:r>
          </w:p>
        </w:tc>
        <w:tc>
          <w:tcPr>
            <w:tcW w:w="1662" w:type="dxa"/>
          </w:tcPr>
          <w:p w14:paraId="7DCDC583" w14:textId="294DD1A9" w:rsidR="003A2933" w:rsidRPr="00140366" w:rsidRDefault="003A2933" w:rsidP="007649D3">
            <w:pPr>
              <w:pStyle w:val="Tableheadingboardreport"/>
            </w:pPr>
            <w:r w:rsidRPr="00140366">
              <w:t>Annual Budget £m</w:t>
            </w:r>
          </w:p>
        </w:tc>
        <w:tc>
          <w:tcPr>
            <w:tcW w:w="1662" w:type="dxa"/>
          </w:tcPr>
          <w:p w14:paraId="33E55A39" w14:textId="35382B24" w:rsidR="003A2933" w:rsidRPr="00140366" w:rsidRDefault="003A2933" w:rsidP="007649D3">
            <w:pPr>
              <w:pStyle w:val="Tableheadingboardreport"/>
            </w:pPr>
            <w:r w:rsidRPr="00140366">
              <w:t>Outturn £m</w:t>
            </w:r>
          </w:p>
        </w:tc>
        <w:tc>
          <w:tcPr>
            <w:tcW w:w="1662" w:type="dxa"/>
          </w:tcPr>
          <w:p w14:paraId="00C31BDF" w14:textId="6C4B3A0B" w:rsidR="003A2933" w:rsidRPr="00140366" w:rsidRDefault="003A2933" w:rsidP="007649D3">
            <w:pPr>
              <w:pStyle w:val="Tableheadingboardreport"/>
            </w:pPr>
            <w:r w:rsidRPr="00140366">
              <w:t>Outturn Variance £m</w:t>
            </w:r>
          </w:p>
        </w:tc>
      </w:tr>
      <w:tr w:rsidR="003A2933" w:rsidRPr="00A77784" w14:paraId="554FCACD" w14:textId="3402B5A7" w:rsidTr="003A2933">
        <w:trPr>
          <w:trHeight w:val="206"/>
        </w:trPr>
        <w:tc>
          <w:tcPr>
            <w:tcW w:w="3471" w:type="dxa"/>
            <w:vAlign w:val="center"/>
          </w:tcPr>
          <w:p w14:paraId="6AC74588" w14:textId="7EBD4AC4" w:rsidR="003A2933" w:rsidRPr="00140366" w:rsidRDefault="003A2933" w:rsidP="008B31CD">
            <w:pPr>
              <w:pStyle w:val="Tabletext"/>
            </w:pPr>
            <w:r w:rsidRPr="00140366">
              <w:rPr>
                <w:bCs/>
              </w:rPr>
              <w:t>Pay</w:t>
            </w:r>
          </w:p>
        </w:tc>
        <w:tc>
          <w:tcPr>
            <w:tcW w:w="1662" w:type="dxa"/>
          </w:tcPr>
          <w:p w14:paraId="7A0086A9" w14:textId="31169D75" w:rsidR="003A2933" w:rsidRPr="00A77784" w:rsidRDefault="003A2933" w:rsidP="008B31CD">
            <w:pPr>
              <w:pStyle w:val="Tabletext"/>
              <w:jc w:val="right"/>
              <w:rPr>
                <w:highlight w:val="yellow"/>
              </w:rPr>
            </w:pPr>
            <w:r w:rsidRPr="00140366">
              <w:t>46.2</w:t>
            </w:r>
          </w:p>
        </w:tc>
        <w:tc>
          <w:tcPr>
            <w:tcW w:w="1662" w:type="dxa"/>
          </w:tcPr>
          <w:p w14:paraId="32207C3E" w14:textId="63D311D3" w:rsidR="003A2933" w:rsidRPr="00A77784" w:rsidRDefault="003A2933" w:rsidP="008B31CD">
            <w:pPr>
              <w:pStyle w:val="Tabletext"/>
              <w:jc w:val="right"/>
              <w:rPr>
                <w:highlight w:val="yellow"/>
              </w:rPr>
            </w:pPr>
            <w:r w:rsidRPr="00140366">
              <w:t>42.</w:t>
            </w:r>
            <w:r>
              <w:t>9</w:t>
            </w:r>
          </w:p>
        </w:tc>
        <w:tc>
          <w:tcPr>
            <w:tcW w:w="1662" w:type="dxa"/>
          </w:tcPr>
          <w:p w14:paraId="234B35E9" w14:textId="3BA195AA" w:rsidR="003A2933" w:rsidRPr="00A77784" w:rsidRDefault="003A2933" w:rsidP="008B31CD">
            <w:pPr>
              <w:pStyle w:val="Tabletext"/>
              <w:jc w:val="right"/>
              <w:rPr>
                <w:highlight w:val="yellow"/>
              </w:rPr>
            </w:pPr>
            <w:r w:rsidRPr="00140366">
              <w:t>(3.</w:t>
            </w:r>
            <w:r>
              <w:t>3</w:t>
            </w:r>
            <w:r w:rsidRPr="00140366">
              <w:t>)</w:t>
            </w:r>
          </w:p>
        </w:tc>
      </w:tr>
      <w:tr w:rsidR="003A2933" w:rsidRPr="00A77784" w14:paraId="329E6428" w14:textId="764B9C42" w:rsidTr="003A2933">
        <w:trPr>
          <w:trHeight w:val="195"/>
        </w:trPr>
        <w:tc>
          <w:tcPr>
            <w:tcW w:w="3471" w:type="dxa"/>
            <w:vAlign w:val="center"/>
          </w:tcPr>
          <w:p w14:paraId="58B7ABF0" w14:textId="7758B289" w:rsidR="003A2933" w:rsidRPr="00140366" w:rsidRDefault="003A2933" w:rsidP="008B31CD">
            <w:pPr>
              <w:pStyle w:val="Tabletext"/>
            </w:pPr>
            <w:r w:rsidRPr="00140366">
              <w:rPr>
                <w:bCs/>
              </w:rPr>
              <w:t>Non</w:t>
            </w:r>
            <w:r>
              <w:rPr>
                <w:bCs/>
              </w:rPr>
              <w:t>-</w:t>
            </w:r>
            <w:r w:rsidRPr="00140366">
              <w:rPr>
                <w:bCs/>
              </w:rPr>
              <w:t>pay</w:t>
            </w:r>
          </w:p>
        </w:tc>
        <w:tc>
          <w:tcPr>
            <w:tcW w:w="1662" w:type="dxa"/>
          </w:tcPr>
          <w:p w14:paraId="4D6BD6EA" w14:textId="1A67DAEA" w:rsidR="003A2933" w:rsidRPr="00A77784" w:rsidRDefault="003A2933" w:rsidP="008B31CD">
            <w:pPr>
              <w:pStyle w:val="Tabletext"/>
              <w:jc w:val="right"/>
              <w:rPr>
                <w:highlight w:val="yellow"/>
              </w:rPr>
            </w:pPr>
            <w:r w:rsidRPr="00140366">
              <w:t>2</w:t>
            </w:r>
            <w:r>
              <w:t>8</w:t>
            </w:r>
            <w:r w:rsidRPr="00140366">
              <w:t>.</w:t>
            </w:r>
            <w:r>
              <w:t>6</w:t>
            </w:r>
          </w:p>
        </w:tc>
        <w:tc>
          <w:tcPr>
            <w:tcW w:w="1662" w:type="dxa"/>
          </w:tcPr>
          <w:p w14:paraId="2B415E41" w14:textId="41F33B44" w:rsidR="003A2933" w:rsidRPr="00A77784" w:rsidRDefault="003A2933" w:rsidP="008B31CD">
            <w:pPr>
              <w:pStyle w:val="Tabletext"/>
              <w:jc w:val="right"/>
              <w:rPr>
                <w:highlight w:val="yellow"/>
              </w:rPr>
            </w:pPr>
            <w:r w:rsidRPr="00140366">
              <w:t>2</w:t>
            </w:r>
            <w:r>
              <w:t>5.9</w:t>
            </w:r>
          </w:p>
        </w:tc>
        <w:tc>
          <w:tcPr>
            <w:tcW w:w="1662" w:type="dxa"/>
          </w:tcPr>
          <w:p w14:paraId="05C9BCA2" w14:textId="590256ED" w:rsidR="003A2933" w:rsidRPr="00A77784" w:rsidRDefault="003A2933" w:rsidP="008B31CD">
            <w:pPr>
              <w:pStyle w:val="Tabletext"/>
              <w:jc w:val="right"/>
              <w:rPr>
                <w:highlight w:val="yellow"/>
              </w:rPr>
            </w:pPr>
            <w:r w:rsidRPr="00140366">
              <w:t>(</w:t>
            </w:r>
            <w:r>
              <w:t>2</w:t>
            </w:r>
            <w:r w:rsidRPr="00140366">
              <w:t>.</w:t>
            </w:r>
            <w:r>
              <w:t>7</w:t>
            </w:r>
            <w:r w:rsidRPr="00140366">
              <w:t>)</w:t>
            </w:r>
          </w:p>
        </w:tc>
      </w:tr>
      <w:tr w:rsidR="003A2933" w:rsidRPr="00A77784" w14:paraId="3F6FE829" w14:textId="712A766B" w:rsidTr="003A2933">
        <w:trPr>
          <w:trHeight w:val="206"/>
        </w:trPr>
        <w:tc>
          <w:tcPr>
            <w:tcW w:w="3471" w:type="dxa"/>
            <w:vAlign w:val="center"/>
          </w:tcPr>
          <w:p w14:paraId="11A00A14" w14:textId="3DEA0CF0" w:rsidR="003A2933" w:rsidRPr="00140366" w:rsidRDefault="003A2933" w:rsidP="008B31CD">
            <w:pPr>
              <w:pStyle w:val="Tabletext"/>
            </w:pPr>
            <w:r w:rsidRPr="00140366">
              <w:rPr>
                <w:bCs/>
              </w:rPr>
              <w:t>Income</w:t>
            </w:r>
          </w:p>
        </w:tc>
        <w:tc>
          <w:tcPr>
            <w:tcW w:w="1662" w:type="dxa"/>
          </w:tcPr>
          <w:p w14:paraId="2B1F7145" w14:textId="10F70A73" w:rsidR="003A2933" w:rsidRPr="00A77784" w:rsidRDefault="003A2933" w:rsidP="008B31CD">
            <w:pPr>
              <w:pStyle w:val="Tabletext"/>
              <w:jc w:val="right"/>
              <w:rPr>
                <w:highlight w:val="yellow"/>
              </w:rPr>
            </w:pPr>
            <w:r w:rsidRPr="00140366">
              <w:t>(22.1)</w:t>
            </w:r>
          </w:p>
        </w:tc>
        <w:tc>
          <w:tcPr>
            <w:tcW w:w="1662" w:type="dxa"/>
          </w:tcPr>
          <w:p w14:paraId="7CB4A96C" w14:textId="05103317" w:rsidR="003A2933" w:rsidRPr="00A77784" w:rsidRDefault="003A2933" w:rsidP="008B31CD">
            <w:pPr>
              <w:pStyle w:val="Tabletext"/>
              <w:jc w:val="right"/>
              <w:rPr>
                <w:highlight w:val="yellow"/>
              </w:rPr>
            </w:pPr>
            <w:r w:rsidRPr="00140366">
              <w:t>(19.3)</w:t>
            </w:r>
          </w:p>
        </w:tc>
        <w:tc>
          <w:tcPr>
            <w:tcW w:w="1662" w:type="dxa"/>
          </w:tcPr>
          <w:p w14:paraId="39D4925F" w14:textId="39D8AA7C" w:rsidR="003A2933" w:rsidRPr="00A77784" w:rsidRDefault="003A2933" w:rsidP="008B31CD">
            <w:pPr>
              <w:pStyle w:val="Tabletext"/>
              <w:jc w:val="right"/>
              <w:rPr>
                <w:highlight w:val="yellow"/>
              </w:rPr>
            </w:pPr>
            <w:r w:rsidRPr="00140366">
              <w:t>2.8</w:t>
            </w:r>
          </w:p>
        </w:tc>
      </w:tr>
      <w:tr w:rsidR="003A2933" w:rsidRPr="00A77784" w14:paraId="14DF071A" w14:textId="00893FB0" w:rsidTr="003A2933">
        <w:trPr>
          <w:trHeight w:val="195"/>
        </w:trPr>
        <w:tc>
          <w:tcPr>
            <w:tcW w:w="3471" w:type="dxa"/>
            <w:vAlign w:val="center"/>
          </w:tcPr>
          <w:p w14:paraId="3B7D6A3A" w14:textId="361C3D6B" w:rsidR="003A2933" w:rsidRPr="00140366" w:rsidRDefault="003A2933" w:rsidP="008B31CD">
            <w:pPr>
              <w:pStyle w:val="Tabletext"/>
              <w:rPr>
                <w:b/>
                <w:bCs/>
              </w:rPr>
            </w:pPr>
            <w:r>
              <w:rPr>
                <w:b/>
                <w:bCs/>
              </w:rPr>
              <w:t>Operational cost sub-t</w:t>
            </w:r>
            <w:r w:rsidRPr="00140366">
              <w:rPr>
                <w:b/>
                <w:bCs/>
              </w:rPr>
              <w:t>otal</w:t>
            </w:r>
            <w:r>
              <w:rPr>
                <w:b/>
                <w:bCs/>
              </w:rPr>
              <w:t xml:space="preserve"> </w:t>
            </w:r>
          </w:p>
        </w:tc>
        <w:tc>
          <w:tcPr>
            <w:tcW w:w="1662" w:type="dxa"/>
          </w:tcPr>
          <w:p w14:paraId="409A2FD7" w14:textId="2F5DFBC4" w:rsidR="003A2933" w:rsidRPr="00A77784" w:rsidRDefault="003A2933" w:rsidP="008B31CD">
            <w:pPr>
              <w:pStyle w:val="Tabletext"/>
              <w:jc w:val="right"/>
              <w:rPr>
                <w:b/>
                <w:bCs/>
                <w:highlight w:val="yellow"/>
              </w:rPr>
            </w:pPr>
            <w:r>
              <w:rPr>
                <w:b/>
                <w:bCs/>
              </w:rPr>
              <w:t>52.7</w:t>
            </w:r>
          </w:p>
        </w:tc>
        <w:tc>
          <w:tcPr>
            <w:tcW w:w="1662" w:type="dxa"/>
          </w:tcPr>
          <w:p w14:paraId="2EDB4FE3" w14:textId="016A864B" w:rsidR="003A2933" w:rsidRPr="00A77784" w:rsidRDefault="003A2933" w:rsidP="008B31CD">
            <w:pPr>
              <w:pStyle w:val="Tabletext"/>
              <w:jc w:val="right"/>
              <w:rPr>
                <w:b/>
                <w:bCs/>
                <w:highlight w:val="yellow"/>
              </w:rPr>
            </w:pPr>
            <w:r w:rsidRPr="00140366">
              <w:rPr>
                <w:b/>
                <w:bCs/>
              </w:rPr>
              <w:t>49.</w:t>
            </w:r>
            <w:r>
              <w:rPr>
                <w:b/>
                <w:bCs/>
              </w:rPr>
              <w:t>5</w:t>
            </w:r>
          </w:p>
        </w:tc>
        <w:tc>
          <w:tcPr>
            <w:tcW w:w="1662" w:type="dxa"/>
          </w:tcPr>
          <w:p w14:paraId="2E948BD6" w14:textId="14E76060" w:rsidR="003A2933" w:rsidRPr="00A77784" w:rsidRDefault="003A2933" w:rsidP="008B31CD">
            <w:pPr>
              <w:pStyle w:val="Tabletext"/>
              <w:jc w:val="right"/>
              <w:rPr>
                <w:b/>
                <w:bCs/>
                <w:highlight w:val="yellow"/>
              </w:rPr>
            </w:pPr>
            <w:r w:rsidRPr="00140366">
              <w:rPr>
                <w:b/>
                <w:bCs/>
              </w:rPr>
              <w:t>(3.</w:t>
            </w:r>
            <w:r>
              <w:rPr>
                <w:b/>
                <w:bCs/>
              </w:rPr>
              <w:t>2</w:t>
            </w:r>
            <w:r w:rsidRPr="00140366">
              <w:rPr>
                <w:b/>
                <w:bCs/>
              </w:rPr>
              <w:t>)</w:t>
            </w:r>
          </w:p>
        </w:tc>
      </w:tr>
      <w:tr w:rsidR="003A2933" w:rsidRPr="00A77784" w14:paraId="3B9F3F88" w14:textId="77777777" w:rsidTr="003A2933">
        <w:trPr>
          <w:trHeight w:val="195"/>
        </w:trPr>
        <w:tc>
          <w:tcPr>
            <w:tcW w:w="3471" w:type="dxa"/>
            <w:vAlign w:val="center"/>
          </w:tcPr>
          <w:p w14:paraId="6B81EA73" w14:textId="77777777" w:rsidR="003A2933" w:rsidRPr="00F60409" w:rsidRDefault="003A2933" w:rsidP="008B31CD">
            <w:pPr>
              <w:pStyle w:val="Tabletext"/>
            </w:pPr>
            <w:r w:rsidRPr="00F60409">
              <w:t xml:space="preserve">Non-cash adjustments </w:t>
            </w:r>
          </w:p>
          <w:p w14:paraId="533C206B" w14:textId="007D1906" w:rsidR="003A2933" w:rsidRPr="00162D7B" w:rsidRDefault="003A2933" w:rsidP="008B31CD">
            <w:pPr>
              <w:pStyle w:val="Tabletext"/>
            </w:pPr>
            <w:r w:rsidRPr="00162D7B">
              <w:t>(Depreciation / provisions)</w:t>
            </w:r>
          </w:p>
        </w:tc>
        <w:tc>
          <w:tcPr>
            <w:tcW w:w="1662" w:type="dxa"/>
          </w:tcPr>
          <w:p w14:paraId="44B4876E" w14:textId="5B0DA074" w:rsidR="003A2933" w:rsidRPr="00F60409" w:rsidRDefault="003A2933" w:rsidP="008B31CD">
            <w:pPr>
              <w:pStyle w:val="Tabletext"/>
              <w:jc w:val="right"/>
            </w:pPr>
            <w:r w:rsidRPr="00F60409">
              <w:t>1.0</w:t>
            </w:r>
          </w:p>
        </w:tc>
        <w:tc>
          <w:tcPr>
            <w:tcW w:w="1662" w:type="dxa"/>
          </w:tcPr>
          <w:p w14:paraId="5CBC69A4" w14:textId="79F78670" w:rsidR="003A2933" w:rsidRPr="00F60409" w:rsidRDefault="003A2933" w:rsidP="008B31CD">
            <w:pPr>
              <w:pStyle w:val="Tabletext"/>
              <w:jc w:val="right"/>
            </w:pPr>
            <w:r w:rsidRPr="00F60409">
              <w:t>0.2</w:t>
            </w:r>
          </w:p>
        </w:tc>
        <w:tc>
          <w:tcPr>
            <w:tcW w:w="1662" w:type="dxa"/>
          </w:tcPr>
          <w:p w14:paraId="432D9AE2" w14:textId="7AFEFF33" w:rsidR="003A2933" w:rsidRPr="00F60409" w:rsidRDefault="003A2933" w:rsidP="008B31CD">
            <w:pPr>
              <w:pStyle w:val="Tabletext"/>
              <w:jc w:val="right"/>
            </w:pPr>
            <w:r w:rsidRPr="00F60409">
              <w:t>(0.8)</w:t>
            </w:r>
          </w:p>
        </w:tc>
      </w:tr>
      <w:tr w:rsidR="003A2933" w:rsidRPr="00A77784" w14:paraId="329B4BF5" w14:textId="77777777" w:rsidTr="003A2933">
        <w:trPr>
          <w:trHeight w:val="195"/>
        </w:trPr>
        <w:tc>
          <w:tcPr>
            <w:tcW w:w="3471" w:type="dxa"/>
            <w:vAlign w:val="center"/>
          </w:tcPr>
          <w:p w14:paraId="3E7290F2" w14:textId="23A0DD92" w:rsidR="003A2933" w:rsidRDefault="003A2933" w:rsidP="008B31CD">
            <w:pPr>
              <w:pStyle w:val="Tabletext"/>
              <w:rPr>
                <w:b/>
                <w:bCs/>
              </w:rPr>
            </w:pPr>
            <w:r>
              <w:rPr>
                <w:b/>
                <w:bCs/>
              </w:rPr>
              <w:t>Total</w:t>
            </w:r>
          </w:p>
        </w:tc>
        <w:tc>
          <w:tcPr>
            <w:tcW w:w="1662" w:type="dxa"/>
          </w:tcPr>
          <w:p w14:paraId="4C2F7C83" w14:textId="2F07BED7" w:rsidR="003A2933" w:rsidRPr="00140366" w:rsidRDefault="003A2933" w:rsidP="008B31CD">
            <w:pPr>
              <w:pStyle w:val="Tabletext"/>
              <w:jc w:val="right"/>
              <w:rPr>
                <w:b/>
                <w:bCs/>
              </w:rPr>
            </w:pPr>
            <w:r>
              <w:rPr>
                <w:b/>
                <w:bCs/>
              </w:rPr>
              <w:t>53.7</w:t>
            </w:r>
          </w:p>
        </w:tc>
        <w:tc>
          <w:tcPr>
            <w:tcW w:w="1662" w:type="dxa"/>
          </w:tcPr>
          <w:p w14:paraId="54C89D4F" w14:textId="514501A6" w:rsidR="003A2933" w:rsidRPr="00140366" w:rsidRDefault="003A2933" w:rsidP="008B31CD">
            <w:pPr>
              <w:pStyle w:val="Tabletext"/>
              <w:jc w:val="right"/>
              <w:rPr>
                <w:b/>
                <w:bCs/>
              </w:rPr>
            </w:pPr>
            <w:r>
              <w:rPr>
                <w:b/>
                <w:bCs/>
              </w:rPr>
              <w:t>49.7</w:t>
            </w:r>
          </w:p>
        </w:tc>
        <w:tc>
          <w:tcPr>
            <w:tcW w:w="1662" w:type="dxa"/>
          </w:tcPr>
          <w:p w14:paraId="2F47B2DF" w14:textId="00591728" w:rsidR="003A2933" w:rsidRPr="00140366" w:rsidRDefault="003A2933" w:rsidP="008B31CD">
            <w:pPr>
              <w:pStyle w:val="Tabletext"/>
              <w:jc w:val="right"/>
              <w:rPr>
                <w:b/>
                <w:bCs/>
              </w:rPr>
            </w:pPr>
            <w:r>
              <w:rPr>
                <w:b/>
                <w:bCs/>
              </w:rPr>
              <w:t>(4.0)</w:t>
            </w:r>
          </w:p>
        </w:tc>
      </w:tr>
      <w:bookmarkEnd w:id="0"/>
    </w:tbl>
    <w:p w14:paraId="3A70D4BC" w14:textId="7D69E0AC" w:rsidR="008E3BCF" w:rsidRDefault="008E3BCF" w:rsidP="00243C65">
      <w:pPr>
        <w:pStyle w:val="Header"/>
      </w:pPr>
    </w:p>
    <w:p w14:paraId="21D7465D" w14:textId="608D8D01" w:rsidR="00782EB3" w:rsidRDefault="008E3BCF" w:rsidP="00782EB3">
      <w:pPr>
        <w:pStyle w:val="NICEnormalnumbered"/>
      </w:pPr>
      <w:r w:rsidRPr="00782EB3">
        <w:t xml:space="preserve">Overall, the </w:t>
      </w:r>
      <w:r w:rsidR="003A2933">
        <w:t>financial</w:t>
      </w:r>
      <w:r w:rsidR="008B31CD" w:rsidRPr="00782EB3">
        <w:t xml:space="preserve"> position</w:t>
      </w:r>
      <w:r w:rsidR="009A74B2">
        <w:t xml:space="preserve"> for 2020</w:t>
      </w:r>
      <w:r w:rsidR="00415E62">
        <w:t>-</w:t>
      </w:r>
      <w:r w:rsidR="009A74B2">
        <w:t xml:space="preserve">21 </w:t>
      </w:r>
      <w:r w:rsidRPr="00782EB3">
        <w:t>was an underspend of £</w:t>
      </w:r>
      <w:r w:rsidR="00F60409">
        <w:t>4.0m</w:t>
      </w:r>
      <w:r w:rsidRPr="00782EB3">
        <w:t xml:space="preserve"> (</w:t>
      </w:r>
      <w:r w:rsidR="0069638A" w:rsidRPr="00782EB3">
        <w:t>7</w:t>
      </w:r>
      <w:r w:rsidRPr="00782EB3">
        <w:t xml:space="preserve">%) as shown in Table 1 </w:t>
      </w:r>
      <w:r w:rsidR="0027431A" w:rsidRPr="00782EB3">
        <w:t>above.</w:t>
      </w:r>
      <w:r w:rsidR="00782EB3" w:rsidRPr="00782EB3">
        <w:t xml:space="preserve"> This satisfies our statutory duty to breakeven or </w:t>
      </w:r>
      <w:r w:rsidR="00782EB3" w:rsidRPr="00415E62">
        <w:t>better.</w:t>
      </w:r>
      <w:r w:rsidR="0067697D">
        <w:t xml:space="preserve"> However, the year-end financial position remains subject to </w:t>
      </w:r>
      <w:r w:rsidR="006F120C">
        <w:t xml:space="preserve">external </w:t>
      </w:r>
      <w:r w:rsidR="0067697D">
        <w:t>audit which will take place in May 2021.</w:t>
      </w:r>
    </w:p>
    <w:p w14:paraId="6361A2C8" w14:textId="7CA4C200" w:rsidR="004926D2" w:rsidRDefault="004926D2" w:rsidP="00243C65">
      <w:pPr>
        <w:pStyle w:val="Heading2boardreport"/>
      </w:pPr>
      <w:r>
        <w:t>Pay</w:t>
      </w:r>
    </w:p>
    <w:p w14:paraId="5379DF50" w14:textId="2B4CD31F" w:rsidR="000A74D6" w:rsidRDefault="000A74D6" w:rsidP="000F686C">
      <w:pPr>
        <w:pStyle w:val="NICEnormalnumbered"/>
      </w:pPr>
      <w:r>
        <w:t>There</w:t>
      </w:r>
      <w:r w:rsidR="007A5B01">
        <w:t xml:space="preserve"> was a </w:t>
      </w:r>
      <w:r w:rsidR="00F91C6C" w:rsidRPr="00F91C6C">
        <w:t>£3.</w:t>
      </w:r>
      <w:r w:rsidR="00F60409">
        <w:t>3</w:t>
      </w:r>
      <w:r w:rsidR="00F91C6C" w:rsidRPr="00F91C6C">
        <w:t>m underspend on pay</w:t>
      </w:r>
      <w:r>
        <w:t xml:space="preserve"> in 2020/21</w:t>
      </w:r>
      <w:r w:rsidR="00F91C6C" w:rsidRPr="00F91C6C">
        <w:t xml:space="preserve"> due to vacancies and staff turnover</w:t>
      </w:r>
      <w:r w:rsidR="00F91C6C">
        <w:t>.</w:t>
      </w:r>
      <w:r w:rsidR="007A5B01">
        <w:t xml:space="preserve"> Much of the vacancy underspend accumulated at the start of the year due to the need to recruit to expansion posts</w:t>
      </w:r>
      <w:r w:rsidR="000F686C">
        <w:t xml:space="preserve">, particularly </w:t>
      </w:r>
      <w:r w:rsidR="007A5B01">
        <w:t xml:space="preserve">in </w:t>
      </w:r>
      <w:r w:rsidR="00CF5068">
        <w:t xml:space="preserve">the </w:t>
      </w:r>
      <w:r w:rsidR="000F686C" w:rsidRPr="000F686C">
        <w:t>Centre for Health Technology Evaluation (CHTE)</w:t>
      </w:r>
      <w:r w:rsidR="007A5B01">
        <w:t xml:space="preserve"> and the Transformation </w:t>
      </w:r>
      <w:r w:rsidR="000F686C">
        <w:t>U</w:t>
      </w:r>
      <w:r w:rsidR="007A5B01">
        <w:t xml:space="preserve">nit. </w:t>
      </w:r>
      <w:r>
        <w:t>Overall, the headcount increased from 650wte in March 2020 to 700wte in March 2021 (an increase of 7.7%).</w:t>
      </w:r>
    </w:p>
    <w:p w14:paraId="57B36AEA" w14:textId="594A8ADA" w:rsidR="00243C65" w:rsidRDefault="000A74D6" w:rsidP="000F686C">
      <w:pPr>
        <w:pStyle w:val="NICEnormalnumbered"/>
      </w:pPr>
      <w:r>
        <w:lastRenderedPageBreak/>
        <w:t>A</w:t>
      </w:r>
      <w:r w:rsidR="006F120C">
        <w:t>s we move into 2021-22</w:t>
      </w:r>
      <w:r w:rsidR="00CF5068">
        <w:t xml:space="preserve"> </w:t>
      </w:r>
      <w:r w:rsidR="007A5B01">
        <w:t>vacancies</w:t>
      </w:r>
      <w:r w:rsidR="00CF5068">
        <w:t xml:space="preserve"> </w:t>
      </w:r>
      <w:r w:rsidR="006F120C">
        <w:t>remain</w:t>
      </w:r>
      <w:r w:rsidR="007A5B01">
        <w:t xml:space="preserve"> across the organisation, </w:t>
      </w:r>
      <w:r w:rsidR="00CF5068">
        <w:t xml:space="preserve">with the </w:t>
      </w:r>
      <w:r w:rsidR="007A5B01">
        <w:t xml:space="preserve">main areas </w:t>
      </w:r>
      <w:r w:rsidR="00CF5068">
        <w:t xml:space="preserve">being </w:t>
      </w:r>
      <w:r w:rsidR="007A5B01">
        <w:t>CHTE, Finance, Strategy &amp; Transformation (FST) and Digital, Information and Technology (DIT).</w:t>
      </w:r>
      <w:r w:rsidR="000F686C" w:rsidRPr="000F686C">
        <w:t xml:space="preserve"> </w:t>
      </w:r>
      <w:r w:rsidR="006F120C">
        <w:t>We have made a budget assumption of 5% savings from vacancies</w:t>
      </w:r>
      <w:r w:rsidR="005E100C">
        <w:t>, representing our minimum recurrent vacancy factor</w:t>
      </w:r>
      <w:r w:rsidR="006F120C">
        <w:t xml:space="preserve">, with the </w:t>
      </w:r>
      <w:r w:rsidR="005E100C">
        <w:t xml:space="preserve">budget released </w:t>
      </w:r>
      <w:r w:rsidR="006F120C">
        <w:t xml:space="preserve">used to support our transformation programme. </w:t>
      </w:r>
      <w:r w:rsidR="000F686C" w:rsidRPr="000F686C">
        <w:t xml:space="preserve">There are ongoing initiatives looking at </w:t>
      </w:r>
      <w:r w:rsidR="00CF5068">
        <w:t>how we can reduce the numbers of vacancies.</w:t>
      </w:r>
    </w:p>
    <w:p w14:paraId="7EB32B2E" w14:textId="6CB1C3A3" w:rsidR="00243C65" w:rsidRDefault="00243C65" w:rsidP="000F686C">
      <w:pPr>
        <w:pStyle w:val="Heading2boardreport"/>
      </w:pPr>
      <w:r>
        <w:t>Non</w:t>
      </w:r>
      <w:r w:rsidR="00627B40">
        <w:t>-</w:t>
      </w:r>
      <w:r>
        <w:t>pay</w:t>
      </w:r>
    </w:p>
    <w:p w14:paraId="5D985591" w14:textId="27732B41" w:rsidR="00BD3723" w:rsidRDefault="000A74D6" w:rsidP="00627B40">
      <w:pPr>
        <w:pStyle w:val="NICEnormalnumbered"/>
      </w:pPr>
      <w:r>
        <w:t>There</w:t>
      </w:r>
      <w:r w:rsidR="00627B40" w:rsidRPr="00627B40">
        <w:t xml:space="preserve"> was a </w:t>
      </w:r>
      <w:r w:rsidR="00F91C6C" w:rsidRPr="00F91C6C">
        <w:t>£</w:t>
      </w:r>
      <w:r w:rsidR="00F60409">
        <w:t>2</w:t>
      </w:r>
      <w:r w:rsidR="00F91C6C">
        <w:t>.</w:t>
      </w:r>
      <w:r w:rsidR="00F60409">
        <w:t>7</w:t>
      </w:r>
      <w:r w:rsidR="00F91C6C" w:rsidRPr="00F91C6C">
        <w:t>m underspend</w:t>
      </w:r>
      <w:r w:rsidR="00627B40">
        <w:t xml:space="preserve"> on non-pay</w:t>
      </w:r>
      <w:r w:rsidR="00F91C6C" w:rsidRPr="00F91C6C">
        <w:t xml:space="preserve"> relating to</w:t>
      </w:r>
      <w:r w:rsidR="002D1582">
        <w:t xml:space="preserve"> non-recurrent savings due to the move to virtual working</w:t>
      </w:r>
      <w:r w:rsidR="00BD3723">
        <w:t>,</w:t>
      </w:r>
      <w:r w:rsidR="00016C21">
        <w:t xml:space="preserve"> </w:t>
      </w:r>
      <w:r w:rsidR="00F91C6C" w:rsidRPr="00F91C6C">
        <w:t>lower than expected spend on contracts</w:t>
      </w:r>
      <w:r w:rsidR="00F62EAA">
        <w:t xml:space="preserve"> due to paused activity</w:t>
      </w:r>
      <w:r w:rsidR="00BD3723">
        <w:t xml:space="preserve"> </w:t>
      </w:r>
      <w:r w:rsidR="00016C21">
        <w:t xml:space="preserve">and </w:t>
      </w:r>
      <w:r w:rsidR="004D64EB">
        <w:t xml:space="preserve">a </w:t>
      </w:r>
      <w:r w:rsidR="00016C21">
        <w:t>movement on</w:t>
      </w:r>
      <w:r w:rsidR="004D64EB">
        <w:t xml:space="preserve"> year-end</w:t>
      </w:r>
      <w:r w:rsidR="00016C21">
        <w:t xml:space="preserve"> provisions</w:t>
      </w:r>
      <w:r w:rsidR="00F62EAA">
        <w:t xml:space="preserve"> for potential liabilities</w:t>
      </w:r>
      <w:r w:rsidR="00BD3723">
        <w:t>.</w:t>
      </w:r>
    </w:p>
    <w:p w14:paraId="28DA7969" w14:textId="4223D4DF" w:rsidR="00841256" w:rsidRDefault="00E5494E" w:rsidP="00841256">
      <w:pPr>
        <w:pStyle w:val="NICEnormalnumbered"/>
      </w:pPr>
      <w:r>
        <w:t>The impact of C</w:t>
      </w:r>
      <w:r w:rsidR="004B207C">
        <w:t>OVID</w:t>
      </w:r>
      <w:r>
        <w:t xml:space="preserve">-19 meant that NICE had to move to </w:t>
      </w:r>
      <w:r w:rsidR="00365730">
        <w:t>remote</w:t>
      </w:r>
      <w:r>
        <w:t xml:space="preserve"> working from March 2020. As a result of this, t</w:t>
      </w:r>
      <w:r w:rsidR="00841256">
        <w:t xml:space="preserve">he following non-recurrent savings can be attributed to the move to </w:t>
      </w:r>
      <w:r w:rsidR="00365730">
        <w:t>remote</w:t>
      </w:r>
      <w:r w:rsidR="00841256">
        <w:t xml:space="preserve"> working</w:t>
      </w:r>
      <w:r w:rsidR="00365730">
        <w:t xml:space="preserve"> and virtual committees</w:t>
      </w:r>
      <w:r w:rsidR="00841256">
        <w:t>:</w:t>
      </w:r>
    </w:p>
    <w:p w14:paraId="6070879C" w14:textId="26D748B5" w:rsidR="00841256" w:rsidRDefault="00627B40" w:rsidP="00841256">
      <w:pPr>
        <w:pStyle w:val="Bulletindent1"/>
      </w:pPr>
      <w:r>
        <w:t xml:space="preserve">An </w:t>
      </w:r>
      <w:r w:rsidR="00841256">
        <w:t>underspend</w:t>
      </w:r>
      <w:r>
        <w:t xml:space="preserve"> of £1.7m</w:t>
      </w:r>
      <w:r w:rsidR="00841256">
        <w:t xml:space="preserve"> on travel and committee costs due to the C</w:t>
      </w:r>
      <w:r w:rsidR="004B207C">
        <w:t>OVID</w:t>
      </w:r>
      <w:r w:rsidR="00841256">
        <w:t>-19 travel restrictions in place throughout 2020-21</w:t>
      </w:r>
    </w:p>
    <w:p w14:paraId="580F5D0A" w14:textId="17890D78" w:rsidR="00841256" w:rsidRDefault="00627B40" w:rsidP="00841256">
      <w:pPr>
        <w:pStyle w:val="Bulletindent1"/>
      </w:pPr>
      <w:r>
        <w:t xml:space="preserve">An underspend of </w:t>
      </w:r>
      <w:r w:rsidR="00841256">
        <w:t>£0.2m on conferences due to</w:t>
      </w:r>
      <w:r w:rsidR="000A74D6">
        <w:t xml:space="preserve"> the NICE conference being cancelled and our attendance at other events </w:t>
      </w:r>
      <w:r w:rsidR="00841256">
        <w:t>either being postponed or moved to virtual delivery.</w:t>
      </w:r>
    </w:p>
    <w:p w14:paraId="60711BA7" w14:textId="0B1B2FD1" w:rsidR="00841256" w:rsidRDefault="00627B40" w:rsidP="00841256">
      <w:pPr>
        <w:pStyle w:val="Bulletindent1"/>
      </w:pPr>
      <w:r>
        <w:t xml:space="preserve">An underspend of </w:t>
      </w:r>
      <w:r w:rsidR="00841256">
        <w:t>£0.2m</w:t>
      </w:r>
      <w:r>
        <w:t xml:space="preserve"> </w:t>
      </w:r>
      <w:r w:rsidR="00841256">
        <w:t>on external meeting room hire and catering costs due to the move to virtual committee meetings</w:t>
      </w:r>
      <w:r w:rsidR="00365730">
        <w:t>.</w:t>
      </w:r>
    </w:p>
    <w:p w14:paraId="4A13215F" w14:textId="070DBC2E" w:rsidR="00365730" w:rsidRDefault="00365730" w:rsidP="00365730">
      <w:pPr>
        <w:pStyle w:val="Bulletindent1"/>
        <w:numPr>
          <w:ilvl w:val="0"/>
          <w:numId w:val="0"/>
        </w:numPr>
      </w:pPr>
    </w:p>
    <w:p w14:paraId="62BCBCC5" w14:textId="36166CD6" w:rsidR="00365730" w:rsidRPr="00243C65" w:rsidRDefault="00365730" w:rsidP="00365730">
      <w:pPr>
        <w:pStyle w:val="NICEnormalnumbered"/>
      </w:pPr>
      <w:r>
        <w:t xml:space="preserve">We expect further savings to accumulate in 2021-22 due to remote working and virtual committees, particularly in quarter 1. Our planning assumption </w:t>
      </w:r>
      <w:r w:rsidR="002B368E">
        <w:t xml:space="preserve">for budgeting purposes </w:t>
      </w:r>
      <w:r>
        <w:t xml:space="preserve">is that </w:t>
      </w:r>
      <w:r w:rsidR="002B368E">
        <w:t>travel costs will only be at 25% of pre-pandemic levels, but this will be monitored as restrictions are eased later in the year.</w:t>
      </w:r>
    </w:p>
    <w:p w14:paraId="39D1EA8F" w14:textId="7F31C4ED" w:rsidR="00841256" w:rsidRDefault="00365730" w:rsidP="00BD3723">
      <w:pPr>
        <w:pStyle w:val="NICEnormalnumbered"/>
      </w:pPr>
      <w:r>
        <w:t>The other</w:t>
      </w:r>
      <w:r w:rsidR="00841256">
        <w:t xml:space="preserve"> underspends on non-pay include:</w:t>
      </w:r>
    </w:p>
    <w:p w14:paraId="2BB2E1BD" w14:textId="374A932E" w:rsidR="00365730" w:rsidRDefault="00E5494E" w:rsidP="00BD3723">
      <w:pPr>
        <w:pStyle w:val="Bulletindent1"/>
      </w:pPr>
      <w:r>
        <w:lastRenderedPageBreak/>
        <w:t xml:space="preserve">An underspend of </w:t>
      </w:r>
      <w:r w:rsidR="00BD3723">
        <w:t>£0.</w:t>
      </w:r>
      <w:r w:rsidR="00365730">
        <w:t>6</w:t>
      </w:r>
      <w:r w:rsidR="00BD3723">
        <w:t xml:space="preserve">m on </w:t>
      </w:r>
      <w:r w:rsidR="00BD3723" w:rsidRPr="00BD3723">
        <w:t>the MedTech External Assessment Centre contracts</w:t>
      </w:r>
      <w:r w:rsidR="00365730">
        <w:t>, where the flexible budget was not utilised</w:t>
      </w:r>
      <w:r w:rsidR="00BD3723">
        <w:t xml:space="preserve"> </w:t>
      </w:r>
      <w:r w:rsidR="00365730">
        <w:t>due to activity being paused at the beginning of the financial year.</w:t>
      </w:r>
    </w:p>
    <w:p w14:paraId="4217E1A1" w14:textId="0EF760CD" w:rsidR="00BD3723" w:rsidRDefault="00F60409" w:rsidP="00BD3723">
      <w:pPr>
        <w:pStyle w:val="Bulletindent1"/>
      </w:pPr>
      <w:r>
        <w:t>S</w:t>
      </w:r>
      <w:r w:rsidR="00BD3723">
        <w:t xml:space="preserve">pend </w:t>
      </w:r>
      <w:r w:rsidR="00BD3723" w:rsidRPr="00BD3723">
        <w:t>against the project budget within NICE Connect</w:t>
      </w:r>
      <w:r>
        <w:t xml:space="preserve"> was £0.4m lower than expected</w:t>
      </w:r>
      <w:r w:rsidR="00365730">
        <w:t>,</w:t>
      </w:r>
      <w:r w:rsidR="00BD3723">
        <w:t xml:space="preserve"> which was</w:t>
      </w:r>
      <w:r w:rsidR="00BD3723" w:rsidRPr="00BD3723">
        <w:t xml:space="preserve"> set aside for contractor / consultancy spend on the content development strategy and operational productivity (including Microsoft Office 365 and SharePoint Online implementation). </w:t>
      </w:r>
    </w:p>
    <w:p w14:paraId="08256791" w14:textId="77777777" w:rsidR="00365730" w:rsidRDefault="00365730" w:rsidP="00365730">
      <w:pPr>
        <w:pStyle w:val="Bulletindent1"/>
        <w:numPr>
          <w:ilvl w:val="0"/>
          <w:numId w:val="0"/>
        </w:numPr>
        <w:ind w:left="1418"/>
      </w:pPr>
    </w:p>
    <w:p w14:paraId="3A8C7860" w14:textId="3A79BF25" w:rsidR="00243C65" w:rsidRDefault="00243C65" w:rsidP="00243C65">
      <w:pPr>
        <w:pStyle w:val="Heading2boardreport"/>
      </w:pPr>
      <w:r>
        <w:t>Income</w:t>
      </w:r>
    </w:p>
    <w:p w14:paraId="0626AB90" w14:textId="2FDF0C79" w:rsidR="000E64ED" w:rsidRPr="003B4D76" w:rsidRDefault="002B368E" w:rsidP="000E64ED">
      <w:pPr>
        <w:pStyle w:val="NICEnormalnumbered"/>
      </w:pPr>
      <w:r>
        <w:t>T</w:t>
      </w:r>
      <w:r w:rsidR="004B207C">
        <w:t xml:space="preserve">here was a </w:t>
      </w:r>
      <w:r w:rsidR="000E64ED" w:rsidRPr="003B4D76">
        <w:t>£2.8m under recovery of income, mainly due to the expected reduction in income from the technology appraisal and highly specialised technologies (TA/HST) programme arising from the impact of the COVID-19 pandemic and the impact it has had on capacity within the team. The under recovery of income has been partially offset by the £0.4m surplus generated by NICE Scientific Advice (NSA).</w:t>
      </w:r>
    </w:p>
    <w:p w14:paraId="5D26B199" w14:textId="73228DE7" w:rsidR="000E64ED" w:rsidRPr="003B4D76" w:rsidRDefault="003B4D76" w:rsidP="00362F96">
      <w:pPr>
        <w:pStyle w:val="NICEnormalnumbered"/>
      </w:pPr>
      <w:r w:rsidRPr="003B4D76">
        <w:t xml:space="preserve">The </w:t>
      </w:r>
      <w:r w:rsidR="007867B2">
        <w:t xml:space="preserve">income generated by the </w:t>
      </w:r>
      <w:r w:rsidRPr="003B4D76">
        <w:t xml:space="preserve">TA/HST </w:t>
      </w:r>
      <w:r w:rsidR="001F3CD3">
        <w:t>programme</w:t>
      </w:r>
      <w:r w:rsidR="007867B2">
        <w:t xml:space="preserve"> was in line with </w:t>
      </w:r>
      <w:r w:rsidR="007867B2" w:rsidRPr="003B4D76">
        <w:t>its</w:t>
      </w:r>
      <w:r w:rsidRPr="003B4D76">
        <w:t xml:space="preserve"> reasonable worse-case scenario income target of £7m as set out in the revised </w:t>
      </w:r>
      <w:r w:rsidR="001F3CD3">
        <w:t>20</w:t>
      </w:r>
      <w:r w:rsidRPr="003B4D76">
        <w:t>20-21 business plan</w:t>
      </w:r>
      <w:r w:rsidR="001F3CD3">
        <w:t>.</w:t>
      </w:r>
      <w:r>
        <w:t xml:space="preserve"> </w:t>
      </w:r>
      <w:r w:rsidR="001F3CD3">
        <w:t>H</w:t>
      </w:r>
      <w:r>
        <w:t>owever, t</w:t>
      </w:r>
      <w:r w:rsidRPr="003B4D76">
        <w:t>he full cost of the programme in 2020-21 was £10.7m</w:t>
      </w:r>
      <w:r w:rsidR="002B368E">
        <w:t>,</w:t>
      </w:r>
      <w:r w:rsidR="001F3CD3">
        <w:t xml:space="preserve"> leading to a </w:t>
      </w:r>
      <w:r>
        <w:t xml:space="preserve">deficit of £3.7m </w:t>
      </w:r>
      <w:r w:rsidR="001F3CD3">
        <w:t xml:space="preserve">which </w:t>
      </w:r>
      <w:r w:rsidR="002B368E">
        <w:t>was offset</w:t>
      </w:r>
      <w:r w:rsidR="001F3CD3">
        <w:t xml:space="preserve"> </w:t>
      </w:r>
      <w:r>
        <w:t>covered by Grant-in-</w:t>
      </w:r>
      <w:r w:rsidR="002B368E">
        <w:t>A</w:t>
      </w:r>
      <w:r>
        <w:t>id funding.</w:t>
      </w:r>
    </w:p>
    <w:p w14:paraId="2DAFB18F" w14:textId="58F495CF" w:rsidR="00A47357" w:rsidRDefault="00EF713F" w:rsidP="00362F96">
      <w:pPr>
        <w:pStyle w:val="NICEnormalnumbered"/>
      </w:pPr>
      <w:r w:rsidRPr="003B4D76">
        <w:t>NSA</w:t>
      </w:r>
      <w:r w:rsidR="003B4D76" w:rsidRPr="003B4D76">
        <w:t xml:space="preserve"> generated a surplus of £0.4m due to increased</w:t>
      </w:r>
      <w:r w:rsidR="00A47357" w:rsidRPr="003B4D76">
        <w:t xml:space="preserve"> interest in scientific advice services </w:t>
      </w:r>
      <w:r w:rsidR="003B4D76" w:rsidRPr="003B4D76">
        <w:t xml:space="preserve">leading to </w:t>
      </w:r>
      <w:r w:rsidR="00A47357" w:rsidRPr="003B4D76">
        <w:t>higher than anticipated project bookings in 2020</w:t>
      </w:r>
      <w:r w:rsidR="003B4D76" w:rsidRPr="003B4D76">
        <w:t>-</w:t>
      </w:r>
      <w:r w:rsidR="00A47357" w:rsidRPr="003B4D76">
        <w:t>21. Of the range of services offered by NSA, demand for Express projects which incur higher fees have been popular, accounting for 3</w:t>
      </w:r>
      <w:r w:rsidR="00074FBF">
        <w:t>4</w:t>
      </w:r>
      <w:r w:rsidR="00A47357" w:rsidRPr="003B4D76">
        <w:t xml:space="preserve">% of all income generated. </w:t>
      </w:r>
    </w:p>
    <w:p w14:paraId="3A24194A" w14:textId="0FAAC344" w:rsidR="0067697D" w:rsidRDefault="0067697D" w:rsidP="00362F96">
      <w:pPr>
        <w:pStyle w:val="NICEnormalnumbered"/>
      </w:pPr>
      <w:r>
        <w:t>Income from other sources including NHS England (£2m), Health Education England (£3.7m) and the Devolved Administrations (£2m)</w:t>
      </w:r>
      <w:r w:rsidR="002B368E">
        <w:t>,</w:t>
      </w:r>
      <w:r>
        <w:t xml:space="preserve"> was in line with plan.</w:t>
      </w:r>
    </w:p>
    <w:p w14:paraId="087EAE84" w14:textId="69672BD2" w:rsidR="00A5632E" w:rsidRDefault="004E1EFC" w:rsidP="00A5632E">
      <w:pPr>
        <w:pStyle w:val="Heading2boardreport"/>
      </w:pPr>
      <w:r>
        <w:lastRenderedPageBreak/>
        <w:t>Capital</w:t>
      </w:r>
    </w:p>
    <w:p w14:paraId="380C79EE" w14:textId="0DB6023E" w:rsidR="002B368E" w:rsidRDefault="004E1EFC" w:rsidP="004E1EFC">
      <w:pPr>
        <w:pStyle w:val="NICEnormalnumbered"/>
      </w:pPr>
      <w:r>
        <w:t>The capital budget during 2020</w:t>
      </w:r>
      <w:r w:rsidR="002F3D58">
        <w:t>-</w:t>
      </w:r>
      <w:r>
        <w:t>21 was £3.1 million. Of this, £</w:t>
      </w:r>
      <w:r w:rsidR="005E100C">
        <w:t>350</w:t>
      </w:r>
      <w:r w:rsidR="002F3D58">
        <w:t>,000</w:t>
      </w:r>
      <w:r>
        <w:t xml:space="preserve"> was spent on new AV </w:t>
      </w:r>
      <w:r w:rsidR="005E100C">
        <w:t xml:space="preserve">and IT </w:t>
      </w:r>
      <w:r>
        <w:t xml:space="preserve">equipment </w:t>
      </w:r>
      <w:r w:rsidR="005E100C">
        <w:t>as well as a small refurbishment to the Manchester office to support increased cycle commuting</w:t>
      </w:r>
      <w:r>
        <w:t xml:space="preserve">. </w:t>
      </w:r>
    </w:p>
    <w:p w14:paraId="279489FE" w14:textId="57028589" w:rsidR="00A5632E" w:rsidRDefault="004E1EFC" w:rsidP="004E1EFC">
      <w:pPr>
        <w:pStyle w:val="NICEnormalnumbered"/>
      </w:pPr>
      <w:r>
        <w:t xml:space="preserve">The capital </w:t>
      </w:r>
      <w:r w:rsidR="005E100C">
        <w:t xml:space="preserve">underspend arose as the </w:t>
      </w:r>
      <w:r>
        <w:t>budget included amounts relating to the fit out of our new office at Redman Place</w:t>
      </w:r>
      <w:r w:rsidR="002B368E">
        <w:t xml:space="preserve"> in Stratford</w:t>
      </w:r>
      <w:r>
        <w:t xml:space="preserve">. However, the costs associated with the fit out were borne by Department Health and Social Care. The budget </w:t>
      </w:r>
      <w:r w:rsidR="002B368E">
        <w:t xml:space="preserve">for 2020-21 </w:t>
      </w:r>
      <w:r>
        <w:t xml:space="preserve">also included funding </w:t>
      </w:r>
      <w:r w:rsidR="002B368E">
        <w:t xml:space="preserve">for a major </w:t>
      </w:r>
      <w:r>
        <w:t>refurbish</w:t>
      </w:r>
      <w:r w:rsidR="002B368E">
        <w:t>ment of</w:t>
      </w:r>
      <w:r>
        <w:t xml:space="preserve"> the Manchester office, but this work was postponed </w:t>
      </w:r>
      <w:proofErr w:type="gramStart"/>
      <w:r>
        <w:t>to allow</w:t>
      </w:r>
      <w:proofErr w:type="gramEnd"/>
      <w:r>
        <w:t xml:space="preserve"> us to review the ways we will use our office in the future.</w:t>
      </w:r>
    </w:p>
    <w:p w14:paraId="3EEE3253" w14:textId="7570B599" w:rsidR="000B437B" w:rsidRDefault="000B437B" w:rsidP="000B437B">
      <w:pPr>
        <w:pStyle w:val="Heading2boardreport"/>
      </w:pPr>
      <w:r>
        <w:t>Other costs (</w:t>
      </w:r>
      <w:r w:rsidR="004A0E13">
        <w:t>N</w:t>
      </w:r>
      <w:r>
        <w:t>on-cash adjustments)</w:t>
      </w:r>
    </w:p>
    <w:p w14:paraId="29682104" w14:textId="02AEEEFE" w:rsidR="00F60409" w:rsidRDefault="00F60409" w:rsidP="004E1EFC">
      <w:pPr>
        <w:pStyle w:val="NICEnormalnumbered"/>
      </w:pPr>
      <w:r>
        <w:t>Our depreciation budget</w:t>
      </w:r>
      <w:r w:rsidR="000B437B">
        <w:t xml:space="preserve"> in 2020-21</w:t>
      </w:r>
      <w:r>
        <w:t xml:space="preserve"> was £1.0m, but actual charges were £0.5m. This is mainly due to the limited capital expenditure as noted above.</w:t>
      </w:r>
    </w:p>
    <w:p w14:paraId="700FE2A2" w14:textId="7E7FFB8C" w:rsidR="00F60409" w:rsidRDefault="000B437B" w:rsidP="000B437B">
      <w:pPr>
        <w:pStyle w:val="NICEnormalnumbered"/>
      </w:pPr>
      <w:r>
        <w:t>The net movement in provisions for potential liabilities in 2020-21 was a credit of £0.3m</w:t>
      </w:r>
      <w:r w:rsidR="00F60409">
        <w:t xml:space="preserve">.  </w:t>
      </w:r>
      <w:r>
        <w:t>This is because we have released provisions made i</w:t>
      </w:r>
      <w:r w:rsidR="00F60409">
        <w:t xml:space="preserve">n </w:t>
      </w:r>
      <w:r>
        <w:t>previous years, including those for</w:t>
      </w:r>
      <w:r w:rsidR="005E100C">
        <w:t xml:space="preserve"> judicial reviews,</w:t>
      </w:r>
      <w:r>
        <w:t xml:space="preserve"> </w:t>
      </w:r>
      <w:r w:rsidR="00F60409">
        <w:t xml:space="preserve">a </w:t>
      </w:r>
      <w:r>
        <w:t xml:space="preserve">potential </w:t>
      </w:r>
      <w:r w:rsidR="00F60409">
        <w:t>delay to the office move to Redman Place</w:t>
      </w:r>
      <w:r>
        <w:t xml:space="preserve"> and a</w:t>
      </w:r>
      <w:r w:rsidR="00F60409">
        <w:t xml:space="preserve"> dilapidation provision</w:t>
      </w:r>
      <w:r>
        <w:t xml:space="preserve"> set aside for the vacated</w:t>
      </w:r>
      <w:r w:rsidR="00F60409">
        <w:t xml:space="preserve"> Spring Gardens office.  </w:t>
      </w:r>
    </w:p>
    <w:p w14:paraId="6D7B7A4F" w14:textId="77777777" w:rsidR="002B368E" w:rsidRPr="003B4D76" w:rsidRDefault="002B368E" w:rsidP="002B368E">
      <w:pPr>
        <w:pStyle w:val="NICEnormalnumbered"/>
        <w:numPr>
          <w:ilvl w:val="0"/>
          <w:numId w:val="0"/>
        </w:numPr>
        <w:ind w:left="785"/>
      </w:pPr>
    </w:p>
    <w:p w14:paraId="3A2090C8" w14:textId="0406C8C7" w:rsidR="000B3FCE" w:rsidRPr="00032CE6" w:rsidRDefault="00184700" w:rsidP="00184700">
      <w:pPr>
        <w:pStyle w:val="Heading1boardreport"/>
      </w:pPr>
      <w:r w:rsidRPr="00032CE6">
        <w:t xml:space="preserve">Human Resources &amp; Organisational Development Update </w:t>
      </w:r>
    </w:p>
    <w:p w14:paraId="578A9034" w14:textId="77FF6198" w:rsidR="005209C8" w:rsidRPr="00032CE6" w:rsidRDefault="009622A7" w:rsidP="009622A7">
      <w:pPr>
        <w:pStyle w:val="NICEnormalnumbered"/>
      </w:pPr>
      <w:r w:rsidRPr="00032CE6">
        <w:t>This section is to provide an update on people issues and activities in March and April 2021.</w:t>
      </w:r>
    </w:p>
    <w:p w14:paraId="5C45D80C" w14:textId="3018DF69" w:rsidR="005209C8" w:rsidRPr="00032CE6" w:rsidRDefault="005209C8" w:rsidP="005209C8">
      <w:pPr>
        <w:pStyle w:val="Heading2boardreport"/>
      </w:pPr>
      <w:r w:rsidRPr="00032CE6">
        <w:t>Values and behaviours</w:t>
      </w:r>
    </w:p>
    <w:p w14:paraId="41229D8A" w14:textId="0766AA72" w:rsidR="009622A7" w:rsidRPr="00032CE6" w:rsidRDefault="009622A7" w:rsidP="009622A7">
      <w:pPr>
        <w:pStyle w:val="NICEnormalnumbered"/>
      </w:pPr>
      <w:r w:rsidRPr="00032CE6">
        <w:t>We continue to progress our programme of activity to bring the new values and behaviours to life.</w:t>
      </w:r>
      <w:r w:rsidR="00A3447B">
        <w:t xml:space="preserve"> </w:t>
      </w:r>
      <w:r w:rsidRPr="00032CE6">
        <w:t xml:space="preserve">In March and </w:t>
      </w:r>
      <w:r w:rsidR="00A3447B" w:rsidRPr="00032CE6">
        <w:t>April,</w:t>
      </w:r>
      <w:r w:rsidRPr="00032CE6">
        <w:t xml:space="preserve"> we delivered a series of 7 workshops open to all staff, each providing a ‘deep dive’ into one of the values. We launched revised ‘My Contribution’ appraisal paperwork, which includes a discussion of our values and behaviours. The Values Champions </w:t>
      </w:r>
      <w:r w:rsidRPr="00032CE6">
        <w:lastRenderedPageBreak/>
        <w:t xml:space="preserve">continue to be key in our embedding activity, contributing blogs, and promoting the values work within their </w:t>
      </w:r>
      <w:r w:rsidR="002B368E">
        <w:t>d</w:t>
      </w:r>
      <w:r w:rsidRPr="00032CE6">
        <w:t>irectorates and teams.</w:t>
      </w:r>
    </w:p>
    <w:p w14:paraId="0749C9DF" w14:textId="59E2C9DB" w:rsidR="005209C8" w:rsidRPr="00032CE6" w:rsidRDefault="009622A7" w:rsidP="009622A7">
      <w:pPr>
        <w:pStyle w:val="NICEnormalnumbered"/>
      </w:pPr>
      <w:r w:rsidRPr="00032CE6">
        <w:t xml:space="preserve">An official launch of our values and behaviours </w:t>
      </w:r>
      <w:r w:rsidR="002B368E">
        <w:t>took</w:t>
      </w:r>
      <w:r w:rsidRPr="00032CE6">
        <w:t xml:space="preserve"> place on May 4th. This will include the launch of a new NICE Values Award staff recognition scheme, and e-recognition cards. To further progress our embedding work, a series of ‘Bringing our Values to life in your team’ workshops will be delivered for people managers.</w:t>
      </w:r>
    </w:p>
    <w:p w14:paraId="75B6F551" w14:textId="323516E1" w:rsidR="005209C8" w:rsidRPr="00032CE6" w:rsidRDefault="005209C8" w:rsidP="005209C8">
      <w:pPr>
        <w:pStyle w:val="Heading2boardreport"/>
      </w:pPr>
      <w:r w:rsidRPr="00032CE6">
        <w:t>Diversity and inclusion</w:t>
      </w:r>
    </w:p>
    <w:p w14:paraId="20B5EB7F" w14:textId="77777777" w:rsidR="009622A7" w:rsidRPr="00032CE6" w:rsidRDefault="009622A7" w:rsidP="009622A7">
      <w:pPr>
        <w:pStyle w:val="NICEnormalnumbered"/>
      </w:pPr>
      <w:r w:rsidRPr="00032CE6">
        <w:t>We have been progressing our priorities for the first six months of the workforce equality, diversity, and inclusion action plan.</w:t>
      </w:r>
    </w:p>
    <w:p w14:paraId="7E18252D" w14:textId="0FF057BC" w:rsidR="009622A7" w:rsidRPr="00032CE6" w:rsidRDefault="009622A7" w:rsidP="009622A7">
      <w:pPr>
        <w:pStyle w:val="NICEnormalnumbered"/>
      </w:pPr>
      <w:r w:rsidRPr="00032CE6">
        <w:t xml:space="preserve">In March and </w:t>
      </w:r>
      <w:r w:rsidR="00A3447B" w:rsidRPr="00032CE6">
        <w:t>April,</w:t>
      </w:r>
      <w:r w:rsidRPr="00032CE6">
        <w:t xml:space="preserve"> we conducted an audit of our recruitment process, with a particular focus on equality, diversity, and inclusion. Following this, work has been ongoing </w:t>
      </w:r>
      <w:r w:rsidR="005E100C">
        <w:t xml:space="preserve">with the aim </w:t>
      </w:r>
      <w:r w:rsidRPr="00032CE6">
        <w:t xml:space="preserve">to </w:t>
      </w:r>
      <w:r w:rsidR="005E100C">
        <w:t>improve the opportunities of those from underrepresented groups</w:t>
      </w:r>
      <w:r w:rsidRPr="00032CE6">
        <w:t xml:space="preserve"> by building in greater manager accountability and corporate oversight to the recruitment process. We have implemented a refreshed hiring manager ‘checklist’ and scoped our needs for the commission of a new recruitment training programme for hiring managers with planned delivery for the end of Q1. We have subscribed to </w:t>
      </w:r>
      <w:proofErr w:type="spellStart"/>
      <w:r w:rsidRPr="00032CE6">
        <w:t>Vercida</w:t>
      </w:r>
      <w:proofErr w:type="spellEnd"/>
      <w:r w:rsidRPr="00032CE6">
        <w:t xml:space="preserve">, a specialist website which supports organisations to implement a robust EDI approach to recruitment (through advice, strategic advertising, and data analytics). </w:t>
      </w:r>
    </w:p>
    <w:p w14:paraId="7F571878" w14:textId="77777777" w:rsidR="009622A7" w:rsidRPr="00032CE6" w:rsidRDefault="009622A7" w:rsidP="009622A7">
      <w:pPr>
        <w:pStyle w:val="NICEnormalnumbered"/>
      </w:pPr>
      <w:r w:rsidRPr="00032CE6">
        <w:t>New Equality Impact Assessment (EIA) paperwork and supporting guidance has been developed. In April we delivered workforce EIA training to 30 staff, with plans to offer on-going support for embedding good practice regarding EIA.</w:t>
      </w:r>
    </w:p>
    <w:p w14:paraId="4B52ADCD" w14:textId="26D82227" w:rsidR="009622A7" w:rsidRPr="00032CE6" w:rsidRDefault="009622A7" w:rsidP="009622A7">
      <w:pPr>
        <w:pStyle w:val="NICEnormalnumbered"/>
      </w:pPr>
      <w:r w:rsidRPr="00032CE6">
        <w:t xml:space="preserve">In April, the Executive Team agreed a new ‘Shadowing Meetings’ development offer for black, Asian and minority ethnic staff, initially for band 7 and above. The scheme will provide opportunities to shadow senior meetings, including the Executive Team, Guidance Executive and Publication </w:t>
      </w:r>
      <w:r w:rsidRPr="00032CE6">
        <w:lastRenderedPageBreak/>
        <w:t>Executive, as well as NICE Connect Strategy Group meetings and Gold Group. Applications open</w:t>
      </w:r>
      <w:r w:rsidR="002B368E">
        <w:t>ed</w:t>
      </w:r>
      <w:r w:rsidRPr="00032CE6">
        <w:t xml:space="preserve"> on May 13th.</w:t>
      </w:r>
    </w:p>
    <w:p w14:paraId="164106FC" w14:textId="7376B2A3" w:rsidR="005209C8" w:rsidRPr="00032CE6" w:rsidRDefault="009622A7" w:rsidP="009622A7">
      <w:pPr>
        <w:pStyle w:val="NICEnormalnumbered"/>
      </w:pPr>
      <w:r w:rsidRPr="00032CE6">
        <w:t xml:space="preserve">We have introduced a mandatory workforce equality objective into ‘My Contribution’ annual appraisal for all staff. Appraisal workshops are being delivered from April to July to support managers and all staff with the new additions to the appraisal conversation.   </w:t>
      </w:r>
    </w:p>
    <w:p w14:paraId="33B9A244" w14:textId="4DEE7690" w:rsidR="005209C8" w:rsidRPr="00032CE6" w:rsidRDefault="009622A7" w:rsidP="009622A7">
      <w:pPr>
        <w:pStyle w:val="Heading2boardreport"/>
      </w:pPr>
      <w:r w:rsidRPr="00032CE6">
        <w:t>Talent Management and Succession Planning</w:t>
      </w:r>
    </w:p>
    <w:p w14:paraId="1389D73B" w14:textId="77777777" w:rsidR="009622A7" w:rsidRPr="00032CE6" w:rsidRDefault="009622A7" w:rsidP="009622A7">
      <w:pPr>
        <w:pStyle w:val="NICEnormalnumbered"/>
      </w:pPr>
      <w:r w:rsidRPr="00032CE6">
        <w:t>We have recently introduced a new framework for managing talent and succession planning, for our senior leadership cohort (the Executive Team and their direct reports).  The 9-box grid tool, which has been tailored to NICE’s culture and values and will enable open, constructive, and meaningful conversations within the annual appraisal cycle.</w:t>
      </w:r>
    </w:p>
    <w:p w14:paraId="50475D89" w14:textId="092DFE66" w:rsidR="009622A7" w:rsidRPr="00032CE6" w:rsidRDefault="009622A7" w:rsidP="009622A7">
      <w:pPr>
        <w:pStyle w:val="NICEnormalnumbered"/>
      </w:pPr>
      <w:r w:rsidRPr="00032CE6">
        <w:t>The application of the grid will provide a snapshot of and transparency about our senior leadership talent pool and will help us to think about how we can further support and develop our senior leaders, help them on their respective career paths and put in place succession plans for the organisation.</w:t>
      </w:r>
    </w:p>
    <w:p w14:paraId="68A52433" w14:textId="22CAFF71" w:rsidR="005209C8" w:rsidRPr="00032CE6" w:rsidRDefault="005209C8" w:rsidP="005209C8">
      <w:pPr>
        <w:pStyle w:val="Heading2boardreport"/>
      </w:pPr>
      <w:r w:rsidRPr="00032CE6">
        <w:t>Employee Relations</w:t>
      </w:r>
    </w:p>
    <w:p w14:paraId="2BF654CE" w14:textId="454FB9D0" w:rsidR="00032CE6" w:rsidRPr="00032CE6" w:rsidRDefault="00942EDA" w:rsidP="00942EDA">
      <w:pPr>
        <w:pStyle w:val="NICEnormalnumbered"/>
      </w:pPr>
      <w:r w:rsidRPr="00942EDA">
        <w:t>The HR operations team continue to support and manage employee relations issues remotely. We have noted a small increase in employee relations cases in recent weeks. This is within normal variation and no particular trends are apparent, but we are monitoring closely</w:t>
      </w:r>
      <w:r w:rsidR="00032CE6" w:rsidRPr="00032CE6">
        <w:t xml:space="preserve">. </w:t>
      </w:r>
    </w:p>
    <w:p w14:paraId="31831418" w14:textId="3C9F2E17" w:rsidR="005209C8" w:rsidRPr="00032CE6" w:rsidRDefault="00032CE6" w:rsidP="00032CE6">
      <w:pPr>
        <w:pStyle w:val="NICEnormalnumbered"/>
      </w:pPr>
      <w:r w:rsidRPr="00032CE6">
        <w:t xml:space="preserve">Sickness absence peaked in January 2021 but has continued on a downward trajectory, showing a figure of 1.7% overall sickness in March. </w:t>
      </w:r>
    </w:p>
    <w:p w14:paraId="60B669CA" w14:textId="23003CC9" w:rsidR="005209C8" w:rsidRPr="00032CE6" w:rsidRDefault="005209C8" w:rsidP="005209C8">
      <w:pPr>
        <w:pStyle w:val="Heading2boardreport"/>
      </w:pPr>
      <w:r w:rsidRPr="00032CE6">
        <w:t>Health and Wellbeing</w:t>
      </w:r>
    </w:p>
    <w:p w14:paraId="2565BD7F" w14:textId="77777777" w:rsidR="00032CE6" w:rsidRPr="00032CE6" w:rsidRDefault="00032CE6" w:rsidP="00032CE6">
      <w:pPr>
        <w:pStyle w:val="NICEnormalnumbered"/>
      </w:pPr>
      <w:r w:rsidRPr="00032CE6">
        <w:t>We continue to prioritise staff wellbeing, highlighting the resources and virtual sessions available to staff. Starting in March, a 6-week “March into SPRING” wellbeing plan introduced different themes and resources relating to socialising under restrictions, self-care including relaxation, being creative and physical activity.</w:t>
      </w:r>
    </w:p>
    <w:p w14:paraId="4B237984" w14:textId="77777777" w:rsidR="00032CE6" w:rsidRPr="00032CE6" w:rsidRDefault="00032CE6" w:rsidP="00032CE6">
      <w:pPr>
        <w:pStyle w:val="NICEnormalnumbered"/>
      </w:pPr>
      <w:r w:rsidRPr="00032CE6">
        <w:lastRenderedPageBreak/>
        <w:t>Since March, our Mental Health First Aiders (MHFAs) have been offering weekly wellbeing check in’s. They act as a point of contact and support for anyone who may be experiencing a mental health issue, emotional distress, or just need someone to listen. This can be a simple conversation, support and signposting to appropriate help where needed.</w:t>
      </w:r>
    </w:p>
    <w:p w14:paraId="2AF9A8A0" w14:textId="77777777" w:rsidR="00032CE6" w:rsidRPr="00032CE6" w:rsidRDefault="00032CE6" w:rsidP="00032CE6">
      <w:pPr>
        <w:pStyle w:val="NICEnormalnumbered"/>
      </w:pPr>
      <w:r w:rsidRPr="00032CE6">
        <w:t>Our staff suggestion scheme, which was originally launched as an additional, temporary support measure, is now continuing as part of business as usual.  We are regularly promoting this to staff and encouraging the submission of ideas to further improve motivation and morale.</w:t>
      </w:r>
    </w:p>
    <w:p w14:paraId="46C6DCA3" w14:textId="77777777" w:rsidR="00032CE6" w:rsidRPr="00032CE6" w:rsidRDefault="00032CE6" w:rsidP="00032CE6">
      <w:pPr>
        <w:pStyle w:val="NICEnormalnumbered"/>
      </w:pPr>
      <w:r w:rsidRPr="00032CE6">
        <w:t xml:space="preserve">Work is ongoing for the launch of the annual staff survey in May, the survey will enable NICE to gauge the levels of engagement amongst employees across the organisation. </w:t>
      </w:r>
    </w:p>
    <w:p w14:paraId="51E28738" w14:textId="1494866A" w:rsidR="00184700" w:rsidRPr="008362CC" w:rsidRDefault="00D55B61" w:rsidP="00184700">
      <w:pPr>
        <w:pStyle w:val="Heading1boardreport"/>
      </w:pPr>
      <w:r w:rsidRPr="008362CC">
        <w:t>T</w:t>
      </w:r>
      <w:r w:rsidR="00184700" w:rsidRPr="008362CC">
        <w:t xml:space="preserve">ransformation update: </w:t>
      </w:r>
      <w:r w:rsidR="008362CC" w:rsidRPr="008362CC">
        <w:t>April</w:t>
      </w:r>
      <w:r w:rsidR="00A95E5A" w:rsidRPr="008362CC">
        <w:t xml:space="preserve"> 2021</w:t>
      </w:r>
    </w:p>
    <w:p w14:paraId="2AE37BB4" w14:textId="6772574F" w:rsidR="008362CC" w:rsidRPr="008362CC" w:rsidRDefault="008362CC" w:rsidP="008362CC">
      <w:pPr>
        <w:pStyle w:val="NICEnormalnumbered"/>
      </w:pPr>
      <w:r w:rsidRPr="008362CC">
        <w:t>An overarching transformation delivery plan is in development, reflecting new deliverables to be monitored and reviewed in line with the 5-year strategy and 2</w:t>
      </w:r>
      <w:r>
        <w:t>021-</w:t>
      </w:r>
      <w:r w:rsidRPr="008362CC">
        <w:t xml:space="preserve">22 business plan objectives. This is underpinned by a supporting programme governance, accountability, and reporting structure. </w:t>
      </w:r>
    </w:p>
    <w:p w14:paraId="740D7364" w14:textId="380C9C09" w:rsidR="008362CC" w:rsidRDefault="0053175A" w:rsidP="008362CC">
      <w:pPr>
        <w:pStyle w:val="NICEnormalnumbered"/>
      </w:pPr>
      <w:r>
        <w:t>All 2020-21 revised deliverables are either complete or on track</w:t>
      </w:r>
      <w:r w:rsidR="00071C87">
        <w:t>,</w:t>
      </w:r>
      <w:r>
        <w:t xml:space="preserve"> </w:t>
      </w:r>
      <w:r w:rsidR="00071C87">
        <w:t>details of which are included as Appendix B</w:t>
      </w:r>
      <w:r w:rsidR="00872ED6">
        <w:t>.</w:t>
      </w:r>
      <w:r>
        <w:t xml:space="preserve"> </w:t>
      </w:r>
      <w:r w:rsidR="008362CC">
        <w:t xml:space="preserve">Each Expert Group has continued to maintain optimum focus and momentum on these outputs. The overall transformation programme is green (on target) against these priorities. </w:t>
      </w:r>
    </w:p>
    <w:p w14:paraId="4310BCB6" w14:textId="77777777" w:rsidR="008362CC" w:rsidRDefault="008362CC" w:rsidP="008362CC">
      <w:pPr>
        <w:pStyle w:val="NICEnormalnumbered"/>
      </w:pPr>
      <w:r>
        <w:t>Future reporting of transformation progress will reflect the new delivery plan and outputs. A revised reporting format will be reviewed by the Executive Team in May and delivery plan subsequently presented to Board in June.</w:t>
      </w:r>
    </w:p>
    <w:p w14:paraId="08E413C8" w14:textId="069CCFF8" w:rsidR="00A95E5A" w:rsidRPr="008362CC" w:rsidRDefault="00A95E5A" w:rsidP="008362CC">
      <w:pPr>
        <w:pStyle w:val="NICEnormalnumbered"/>
        <w:numPr>
          <w:ilvl w:val="0"/>
          <w:numId w:val="0"/>
        </w:numPr>
      </w:pPr>
    </w:p>
    <w:p w14:paraId="23BD3EE6" w14:textId="77777777" w:rsidR="00362F96" w:rsidRDefault="00362F96">
      <w:pPr>
        <w:rPr>
          <w:rFonts w:ascii="Arial" w:hAnsi="Arial" w:cs="Arial"/>
          <w:b/>
          <w:bCs/>
          <w:color w:val="00506A"/>
          <w:kern w:val="32"/>
          <w:sz w:val="32"/>
          <w:szCs w:val="32"/>
        </w:rPr>
      </w:pPr>
      <w:r>
        <w:br w:type="page"/>
      </w:r>
    </w:p>
    <w:p w14:paraId="2981CD7F" w14:textId="77777777" w:rsidR="00362F96" w:rsidRPr="00E40EE7" w:rsidRDefault="00362F96" w:rsidP="00362F96">
      <w:pPr>
        <w:pStyle w:val="Heading1boardreport"/>
        <w:rPr>
          <w:lang w:eastAsia="en-US"/>
        </w:rPr>
      </w:pPr>
      <w:r w:rsidRPr="00E40EE7">
        <w:rPr>
          <w:lang w:eastAsia="en-US"/>
        </w:rPr>
        <w:lastRenderedPageBreak/>
        <w:t>Appendix A: NICE financial position</w:t>
      </w:r>
    </w:p>
    <w:p w14:paraId="73B54F6F" w14:textId="06BB37F2" w:rsidR="00362F96" w:rsidRPr="00E40EE7" w:rsidRDefault="00362F96" w:rsidP="00690221">
      <w:pPr>
        <w:pStyle w:val="NICEnormalnumbered"/>
      </w:pPr>
      <w:r w:rsidRPr="00E40EE7">
        <w:t>The table</w:t>
      </w:r>
      <w:r w:rsidR="008E6C11">
        <w:t>s below show our spending per category of funding (operational budgets funded by grant-in-aid, ring fenced budget for deprecation and provisions, capital spend)</w:t>
      </w:r>
      <w:r w:rsidRPr="00E40EE7">
        <w:t>.</w:t>
      </w:r>
    </w:p>
    <w:p w14:paraId="7F8DD9FF" w14:textId="7C701D77" w:rsidR="00362F96" w:rsidRPr="00A77784" w:rsidRDefault="008E6C11" w:rsidP="00053413">
      <w:pPr>
        <w:pStyle w:val="Heading2boardreport"/>
        <w:rPr>
          <w:highlight w:val="yellow"/>
        </w:rPr>
      </w:pPr>
      <w:r w:rsidRPr="00053413">
        <w:t>Grant-in-aid funding</w:t>
      </w:r>
      <w:r w:rsidR="00F20140" w:rsidRPr="00053413">
        <w:t xml:space="preserve"> (Operational expenditure)</w:t>
      </w:r>
    </w:p>
    <w:tbl>
      <w:tblPr>
        <w:tblpPr w:leftFromText="180" w:rightFromText="180" w:vertAnchor="text" w:horzAnchor="margin" w:tblpY="2"/>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ICE financial position"/>
        <w:tblDescription w:val="Appendix A: summary of the year-end financial position, categorised by centre/directorate"/>
      </w:tblPr>
      <w:tblGrid>
        <w:gridCol w:w="3823"/>
        <w:gridCol w:w="1417"/>
        <w:gridCol w:w="1301"/>
        <w:gridCol w:w="1720"/>
        <w:gridCol w:w="1720"/>
      </w:tblGrid>
      <w:tr w:rsidR="00362F96" w:rsidRPr="00A77784" w14:paraId="07776D79" w14:textId="77777777" w:rsidTr="00E238C2">
        <w:trPr>
          <w:trHeight w:val="155"/>
          <w:tblHeader/>
        </w:trPr>
        <w:tc>
          <w:tcPr>
            <w:tcW w:w="3823" w:type="dxa"/>
          </w:tcPr>
          <w:p w14:paraId="7FF11341" w14:textId="77777777" w:rsidR="00362F96" w:rsidRPr="006E24CE" w:rsidRDefault="00362F96" w:rsidP="00690221">
            <w:pPr>
              <w:pStyle w:val="Tableheadingboardreport"/>
            </w:pPr>
            <w:r w:rsidRPr="006E24CE">
              <w:t>Centre / Directorate</w:t>
            </w:r>
          </w:p>
        </w:tc>
        <w:tc>
          <w:tcPr>
            <w:tcW w:w="1417" w:type="dxa"/>
          </w:tcPr>
          <w:p w14:paraId="5E7C9C1F" w14:textId="77777777" w:rsidR="00362F96" w:rsidRPr="006E24CE" w:rsidRDefault="00362F96" w:rsidP="00690221">
            <w:pPr>
              <w:pStyle w:val="Tableheadingboardreport"/>
            </w:pPr>
            <w:r w:rsidRPr="006E24CE">
              <w:t>Annual Budget £m</w:t>
            </w:r>
          </w:p>
        </w:tc>
        <w:tc>
          <w:tcPr>
            <w:tcW w:w="1301" w:type="dxa"/>
          </w:tcPr>
          <w:p w14:paraId="6D7E46AC" w14:textId="77777777" w:rsidR="00362F96" w:rsidRPr="006E24CE" w:rsidRDefault="00362F96" w:rsidP="00690221">
            <w:pPr>
              <w:pStyle w:val="Tableheadingboardreport"/>
            </w:pPr>
            <w:r w:rsidRPr="006E24CE">
              <w:t>Outturn £m</w:t>
            </w:r>
          </w:p>
        </w:tc>
        <w:tc>
          <w:tcPr>
            <w:tcW w:w="1720" w:type="dxa"/>
          </w:tcPr>
          <w:p w14:paraId="206A2687" w14:textId="77777777" w:rsidR="00362F96" w:rsidRPr="006E24CE" w:rsidRDefault="00362F96" w:rsidP="00690221">
            <w:pPr>
              <w:pStyle w:val="Tableheadingboardreport"/>
            </w:pPr>
            <w:r w:rsidRPr="006E24CE">
              <w:t>Outturn Variance £m</w:t>
            </w:r>
          </w:p>
        </w:tc>
        <w:tc>
          <w:tcPr>
            <w:tcW w:w="1720" w:type="dxa"/>
          </w:tcPr>
          <w:p w14:paraId="2354CE34" w14:textId="77777777" w:rsidR="00362F96" w:rsidRPr="006E24CE" w:rsidRDefault="00362F96" w:rsidP="00690221">
            <w:pPr>
              <w:pStyle w:val="Tableheadingboardreport"/>
            </w:pPr>
            <w:r w:rsidRPr="006E24CE">
              <w:t>Outturn Variance (%)</w:t>
            </w:r>
          </w:p>
        </w:tc>
      </w:tr>
      <w:tr w:rsidR="00362F96" w:rsidRPr="00A77784" w14:paraId="2809D8FD" w14:textId="77777777" w:rsidTr="00E238C2">
        <w:trPr>
          <w:trHeight w:val="256"/>
        </w:trPr>
        <w:tc>
          <w:tcPr>
            <w:tcW w:w="3823" w:type="dxa"/>
          </w:tcPr>
          <w:p w14:paraId="0BAF6080" w14:textId="77777777" w:rsidR="00362F96" w:rsidRPr="00A77784" w:rsidRDefault="00362F96" w:rsidP="00362F96">
            <w:pPr>
              <w:pStyle w:val="Tabletext"/>
              <w:rPr>
                <w:highlight w:val="yellow"/>
              </w:rPr>
            </w:pPr>
            <w:r w:rsidRPr="002C7DC4">
              <w:t>Income from TA and HST cost recovery</w:t>
            </w:r>
          </w:p>
        </w:tc>
        <w:tc>
          <w:tcPr>
            <w:tcW w:w="1417" w:type="dxa"/>
          </w:tcPr>
          <w:p w14:paraId="6215C20D" w14:textId="77777777" w:rsidR="00362F96" w:rsidRPr="00A77784" w:rsidRDefault="00362F96" w:rsidP="00362F96">
            <w:pPr>
              <w:pStyle w:val="Tabletext"/>
              <w:jc w:val="right"/>
              <w:rPr>
                <w:highlight w:val="yellow"/>
              </w:rPr>
            </w:pPr>
            <w:r w:rsidRPr="00207995">
              <w:t>(10.7)</w:t>
            </w:r>
          </w:p>
        </w:tc>
        <w:tc>
          <w:tcPr>
            <w:tcW w:w="1301" w:type="dxa"/>
          </w:tcPr>
          <w:p w14:paraId="77C2455C" w14:textId="77777777" w:rsidR="00362F96" w:rsidRPr="00A77784" w:rsidRDefault="00362F96" w:rsidP="00362F96">
            <w:pPr>
              <w:pStyle w:val="Tabletext"/>
              <w:jc w:val="right"/>
              <w:rPr>
                <w:highlight w:val="yellow"/>
              </w:rPr>
            </w:pPr>
            <w:r w:rsidRPr="002B147E">
              <w:t>(7.0)</w:t>
            </w:r>
          </w:p>
        </w:tc>
        <w:tc>
          <w:tcPr>
            <w:tcW w:w="1720" w:type="dxa"/>
          </w:tcPr>
          <w:p w14:paraId="72EBD60D" w14:textId="77777777" w:rsidR="00362F96" w:rsidRPr="00A77784" w:rsidRDefault="00362F96" w:rsidP="00362F96">
            <w:pPr>
              <w:pStyle w:val="Tabletext"/>
              <w:jc w:val="right"/>
              <w:rPr>
                <w:highlight w:val="yellow"/>
              </w:rPr>
            </w:pPr>
            <w:r w:rsidRPr="001C70C9">
              <w:t>3.7</w:t>
            </w:r>
          </w:p>
        </w:tc>
        <w:tc>
          <w:tcPr>
            <w:tcW w:w="1720" w:type="dxa"/>
          </w:tcPr>
          <w:p w14:paraId="5C7FA5D6" w14:textId="77777777" w:rsidR="00362F96" w:rsidRPr="00A77784" w:rsidRDefault="00362F96" w:rsidP="00362F96">
            <w:pPr>
              <w:pStyle w:val="Tabletext"/>
              <w:jc w:val="right"/>
              <w:rPr>
                <w:highlight w:val="yellow"/>
              </w:rPr>
            </w:pPr>
            <w:r w:rsidRPr="00EC72CD">
              <w:t>34%</w:t>
            </w:r>
          </w:p>
        </w:tc>
      </w:tr>
      <w:tr w:rsidR="00362F96" w:rsidRPr="00A77784" w14:paraId="598A7B40" w14:textId="77777777" w:rsidTr="00E238C2">
        <w:trPr>
          <w:trHeight w:val="205"/>
        </w:trPr>
        <w:tc>
          <w:tcPr>
            <w:tcW w:w="3823" w:type="dxa"/>
          </w:tcPr>
          <w:p w14:paraId="1CD61803" w14:textId="77777777" w:rsidR="00362F96" w:rsidRPr="00A77784" w:rsidRDefault="00362F96" w:rsidP="00362F96">
            <w:pPr>
              <w:pStyle w:val="Tabletext"/>
              <w:rPr>
                <w:highlight w:val="yellow"/>
              </w:rPr>
            </w:pPr>
            <w:r w:rsidRPr="002C7DC4">
              <w:t>Other funding from other ALBS, Devolved Administrations</w:t>
            </w:r>
          </w:p>
        </w:tc>
        <w:tc>
          <w:tcPr>
            <w:tcW w:w="1417" w:type="dxa"/>
          </w:tcPr>
          <w:p w14:paraId="5C63E41C" w14:textId="77777777" w:rsidR="00362F96" w:rsidRPr="00A77784" w:rsidRDefault="00362F96" w:rsidP="00362F96">
            <w:pPr>
              <w:pStyle w:val="Tabletext"/>
              <w:jc w:val="right"/>
              <w:rPr>
                <w:highlight w:val="yellow"/>
              </w:rPr>
            </w:pPr>
            <w:r w:rsidRPr="00207995">
              <w:t>(7.4)</w:t>
            </w:r>
          </w:p>
        </w:tc>
        <w:tc>
          <w:tcPr>
            <w:tcW w:w="1301" w:type="dxa"/>
          </w:tcPr>
          <w:p w14:paraId="7F32E8C6" w14:textId="77777777" w:rsidR="00362F96" w:rsidRPr="00A77784" w:rsidRDefault="00362F96" w:rsidP="00362F96">
            <w:pPr>
              <w:pStyle w:val="Tabletext"/>
              <w:jc w:val="right"/>
              <w:rPr>
                <w:highlight w:val="yellow"/>
              </w:rPr>
            </w:pPr>
            <w:r w:rsidRPr="002B147E">
              <w:t>(7.6)</w:t>
            </w:r>
          </w:p>
        </w:tc>
        <w:tc>
          <w:tcPr>
            <w:tcW w:w="1720" w:type="dxa"/>
          </w:tcPr>
          <w:p w14:paraId="5F18F5A1" w14:textId="77777777" w:rsidR="00362F96" w:rsidRPr="00A77784" w:rsidRDefault="00362F96" w:rsidP="00362F96">
            <w:pPr>
              <w:pStyle w:val="Tabletext"/>
              <w:jc w:val="right"/>
              <w:rPr>
                <w:highlight w:val="yellow"/>
              </w:rPr>
            </w:pPr>
            <w:r w:rsidRPr="001C70C9">
              <w:t>(0.2)</w:t>
            </w:r>
          </w:p>
        </w:tc>
        <w:tc>
          <w:tcPr>
            <w:tcW w:w="1720" w:type="dxa"/>
          </w:tcPr>
          <w:p w14:paraId="5B940B83" w14:textId="77777777" w:rsidR="00362F96" w:rsidRPr="00A77784" w:rsidRDefault="00362F96" w:rsidP="00362F96">
            <w:pPr>
              <w:pStyle w:val="Tabletext"/>
              <w:jc w:val="right"/>
              <w:rPr>
                <w:highlight w:val="yellow"/>
              </w:rPr>
            </w:pPr>
            <w:r w:rsidRPr="00EC72CD">
              <w:t>(2%)</w:t>
            </w:r>
          </w:p>
        </w:tc>
      </w:tr>
      <w:tr w:rsidR="00362F96" w:rsidRPr="00A77784" w14:paraId="7AE25E6D" w14:textId="77777777" w:rsidTr="00E238C2">
        <w:trPr>
          <w:trHeight w:val="205"/>
        </w:trPr>
        <w:tc>
          <w:tcPr>
            <w:tcW w:w="3823" w:type="dxa"/>
          </w:tcPr>
          <w:p w14:paraId="30A73E36" w14:textId="4DBE9A4C" w:rsidR="00362F96" w:rsidRPr="00A77784" w:rsidRDefault="00362F96" w:rsidP="00362F96">
            <w:pPr>
              <w:pStyle w:val="Tabletext"/>
              <w:rPr>
                <w:highlight w:val="yellow"/>
              </w:rPr>
            </w:pPr>
            <w:r w:rsidRPr="002C7DC4">
              <w:t>Centre for Guidelines</w:t>
            </w:r>
          </w:p>
        </w:tc>
        <w:tc>
          <w:tcPr>
            <w:tcW w:w="1417" w:type="dxa"/>
          </w:tcPr>
          <w:p w14:paraId="1B0A700A" w14:textId="77777777" w:rsidR="00362F96" w:rsidRPr="00A77784" w:rsidRDefault="00362F96" w:rsidP="00362F96">
            <w:pPr>
              <w:pStyle w:val="Tabletext"/>
              <w:jc w:val="right"/>
              <w:rPr>
                <w:highlight w:val="yellow"/>
              </w:rPr>
            </w:pPr>
            <w:r w:rsidRPr="00207995">
              <w:t>20.3</w:t>
            </w:r>
          </w:p>
        </w:tc>
        <w:tc>
          <w:tcPr>
            <w:tcW w:w="1301" w:type="dxa"/>
          </w:tcPr>
          <w:p w14:paraId="7A7901FA" w14:textId="77777777" w:rsidR="00362F96" w:rsidRPr="00A77784" w:rsidRDefault="00362F96" w:rsidP="00362F96">
            <w:pPr>
              <w:pStyle w:val="Tabletext"/>
              <w:jc w:val="right"/>
              <w:rPr>
                <w:highlight w:val="yellow"/>
              </w:rPr>
            </w:pPr>
            <w:r w:rsidRPr="002B147E">
              <w:t>19.9</w:t>
            </w:r>
          </w:p>
        </w:tc>
        <w:tc>
          <w:tcPr>
            <w:tcW w:w="1720" w:type="dxa"/>
          </w:tcPr>
          <w:p w14:paraId="0F4DC591" w14:textId="2424FDC5" w:rsidR="00362F96" w:rsidRPr="00A77784" w:rsidRDefault="00362F96" w:rsidP="00362F96">
            <w:pPr>
              <w:pStyle w:val="Tabletext"/>
              <w:jc w:val="right"/>
              <w:rPr>
                <w:highlight w:val="yellow"/>
              </w:rPr>
            </w:pPr>
            <w:r w:rsidRPr="001C70C9">
              <w:t>(0.</w:t>
            </w:r>
            <w:r w:rsidR="000B437B">
              <w:t>4</w:t>
            </w:r>
            <w:r w:rsidRPr="001C70C9">
              <w:t>)</w:t>
            </w:r>
          </w:p>
        </w:tc>
        <w:tc>
          <w:tcPr>
            <w:tcW w:w="1720" w:type="dxa"/>
          </w:tcPr>
          <w:p w14:paraId="35A0F4F6" w14:textId="77777777" w:rsidR="00362F96" w:rsidRPr="00A77784" w:rsidRDefault="00362F96" w:rsidP="00362F96">
            <w:pPr>
              <w:pStyle w:val="Tabletext"/>
              <w:jc w:val="right"/>
              <w:rPr>
                <w:highlight w:val="yellow"/>
              </w:rPr>
            </w:pPr>
            <w:r w:rsidRPr="00EC72CD">
              <w:t>(2%)</w:t>
            </w:r>
          </w:p>
        </w:tc>
      </w:tr>
      <w:tr w:rsidR="00362F96" w:rsidRPr="00A77784" w14:paraId="67AF1E6E" w14:textId="77777777" w:rsidTr="00E238C2">
        <w:trPr>
          <w:trHeight w:val="155"/>
        </w:trPr>
        <w:tc>
          <w:tcPr>
            <w:tcW w:w="3823" w:type="dxa"/>
          </w:tcPr>
          <w:p w14:paraId="594D6C5D" w14:textId="77777777" w:rsidR="00362F96" w:rsidRPr="00A77784" w:rsidRDefault="00362F96" w:rsidP="00362F96">
            <w:pPr>
              <w:pStyle w:val="Tabletext"/>
              <w:rPr>
                <w:highlight w:val="yellow"/>
              </w:rPr>
            </w:pPr>
            <w:r w:rsidRPr="002C7DC4">
              <w:t>Centre for Health Tech Evaluation</w:t>
            </w:r>
          </w:p>
        </w:tc>
        <w:tc>
          <w:tcPr>
            <w:tcW w:w="1417" w:type="dxa"/>
          </w:tcPr>
          <w:p w14:paraId="0A4313DD" w14:textId="77777777" w:rsidR="00362F96" w:rsidRPr="00A77784" w:rsidRDefault="00362F96" w:rsidP="00362F96">
            <w:pPr>
              <w:pStyle w:val="Tabletext"/>
              <w:jc w:val="right"/>
              <w:rPr>
                <w:highlight w:val="yellow"/>
              </w:rPr>
            </w:pPr>
            <w:r w:rsidRPr="00207995">
              <w:t>13.7</w:t>
            </w:r>
          </w:p>
        </w:tc>
        <w:tc>
          <w:tcPr>
            <w:tcW w:w="1301" w:type="dxa"/>
          </w:tcPr>
          <w:p w14:paraId="4A5DC43A" w14:textId="1C87A6A4" w:rsidR="00362F96" w:rsidRPr="00A77784" w:rsidRDefault="00362F96" w:rsidP="00362F96">
            <w:pPr>
              <w:pStyle w:val="Tabletext"/>
              <w:jc w:val="right"/>
              <w:rPr>
                <w:highlight w:val="yellow"/>
              </w:rPr>
            </w:pPr>
            <w:r w:rsidRPr="002B147E">
              <w:t>11.</w:t>
            </w:r>
            <w:r w:rsidR="003A2933">
              <w:t>7</w:t>
            </w:r>
          </w:p>
        </w:tc>
        <w:tc>
          <w:tcPr>
            <w:tcW w:w="1720" w:type="dxa"/>
          </w:tcPr>
          <w:p w14:paraId="0A3DAEBA" w14:textId="67B15A8E" w:rsidR="00362F96" w:rsidRPr="00A77784" w:rsidRDefault="00362F96" w:rsidP="00362F96">
            <w:pPr>
              <w:pStyle w:val="Tabletext"/>
              <w:jc w:val="right"/>
              <w:rPr>
                <w:highlight w:val="yellow"/>
              </w:rPr>
            </w:pPr>
            <w:r w:rsidRPr="001C70C9">
              <w:t>(2.</w:t>
            </w:r>
            <w:r w:rsidR="003A2933">
              <w:t>0</w:t>
            </w:r>
            <w:r w:rsidRPr="001C70C9">
              <w:t>)</w:t>
            </w:r>
          </w:p>
        </w:tc>
        <w:tc>
          <w:tcPr>
            <w:tcW w:w="1720" w:type="dxa"/>
          </w:tcPr>
          <w:p w14:paraId="7B64DE3F" w14:textId="77777777" w:rsidR="00362F96" w:rsidRPr="00A77784" w:rsidRDefault="00362F96" w:rsidP="00362F96">
            <w:pPr>
              <w:pStyle w:val="Tabletext"/>
              <w:jc w:val="right"/>
              <w:rPr>
                <w:highlight w:val="yellow"/>
              </w:rPr>
            </w:pPr>
            <w:r w:rsidRPr="00EC72CD">
              <w:t>(15%)</w:t>
            </w:r>
          </w:p>
        </w:tc>
      </w:tr>
      <w:tr w:rsidR="00362F96" w:rsidRPr="00A77784" w14:paraId="47FF8B47" w14:textId="77777777" w:rsidTr="00E238C2">
        <w:trPr>
          <w:trHeight w:val="157"/>
        </w:trPr>
        <w:tc>
          <w:tcPr>
            <w:tcW w:w="3823" w:type="dxa"/>
          </w:tcPr>
          <w:p w14:paraId="442F526E" w14:textId="77777777" w:rsidR="00362F96" w:rsidRPr="00A77784" w:rsidRDefault="00362F96" w:rsidP="00362F96">
            <w:pPr>
              <w:pStyle w:val="Tabletext"/>
              <w:rPr>
                <w:highlight w:val="yellow"/>
              </w:rPr>
            </w:pPr>
            <w:r w:rsidRPr="002C7DC4">
              <w:t>Health &amp; Social Care</w:t>
            </w:r>
          </w:p>
        </w:tc>
        <w:tc>
          <w:tcPr>
            <w:tcW w:w="1417" w:type="dxa"/>
          </w:tcPr>
          <w:p w14:paraId="667A1216" w14:textId="77777777" w:rsidR="00362F96" w:rsidRPr="00A77784" w:rsidRDefault="00362F96" w:rsidP="00362F96">
            <w:pPr>
              <w:pStyle w:val="Tabletext"/>
              <w:jc w:val="right"/>
              <w:rPr>
                <w:highlight w:val="yellow"/>
              </w:rPr>
            </w:pPr>
            <w:r w:rsidRPr="00207995">
              <w:t>7.0</w:t>
            </w:r>
          </w:p>
        </w:tc>
        <w:tc>
          <w:tcPr>
            <w:tcW w:w="1301" w:type="dxa"/>
          </w:tcPr>
          <w:p w14:paraId="7414C4CF" w14:textId="77777777" w:rsidR="00362F96" w:rsidRPr="00A77784" w:rsidRDefault="00362F96" w:rsidP="00362F96">
            <w:pPr>
              <w:pStyle w:val="Tabletext"/>
              <w:jc w:val="right"/>
              <w:rPr>
                <w:highlight w:val="yellow"/>
              </w:rPr>
            </w:pPr>
            <w:r w:rsidRPr="002B147E">
              <w:t>6.3</w:t>
            </w:r>
          </w:p>
        </w:tc>
        <w:tc>
          <w:tcPr>
            <w:tcW w:w="1720" w:type="dxa"/>
          </w:tcPr>
          <w:p w14:paraId="5BCF2BD7" w14:textId="77777777" w:rsidR="00362F96" w:rsidRPr="00A77784" w:rsidRDefault="00362F96" w:rsidP="00362F96">
            <w:pPr>
              <w:pStyle w:val="Tabletext"/>
              <w:jc w:val="right"/>
              <w:rPr>
                <w:highlight w:val="yellow"/>
              </w:rPr>
            </w:pPr>
            <w:r w:rsidRPr="001C70C9">
              <w:t>(0.7)</w:t>
            </w:r>
          </w:p>
        </w:tc>
        <w:tc>
          <w:tcPr>
            <w:tcW w:w="1720" w:type="dxa"/>
          </w:tcPr>
          <w:p w14:paraId="35D1ADA6" w14:textId="77777777" w:rsidR="00362F96" w:rsidRPr="00A77784" w:rsidRDefault="00362F96" w:rsidP="00362F96">
            <w:pPr>
              <w:pStyle w:val="Tabletext"/>
              <w:jc w:val="right"/>
              <w:rPr>
                <w:highlight w:val="yellow"/>
              </w:rPr>
            </w:pPr>
            <w:r w:rsidRPr="00EC72CD">
              <w:t>(9%)</w:t>
            </w:r>
          </w:p>
        </w:tc>
      </w:tr>
      <w:tr w:rsidR="00362F96" w:rsidRPr="00A77784" w14:paraId="4E0CA6B7" w14:textId="77777777" w:rsidTr="00E238C2">
        <w:trPr>
          <w:trHeight w:val="157"/>
        </w:trPr>
        <w:tc>
          <w:tcPr>
            <w:tcW w:w="3823" w:type="dxa"/>
          </w:tcPr>
          <w:p w14:paraId="318EF1B2" w14:textId="77777777" w:rsidR="00362F96" w:rsidRPr="00A77784" w:rsidRDefault="00362F96" w:rsidP="00362F96">
            <w:pPr>
              <w:pStyle w:val="Tabletext"/>
              <w:rPr>
                <w:highlight w:val="yellow"/>
              </w:rPr>
            </w:pPr>
            <w:r w:rsidRPr="002C7DC4">
              <w:t>Digital, Information and Technology</w:t>
            </w:r>
          </w:p>
        </w:tc>
        <w:tc>
          <w:tcPr>
            <w:tcW w:w="1417" w:type="dxa"/>
          </w:tcPr>
          <w:p w14:paraId="53DAF767" w14:textId="77777777" w:rsidR="00362F96" w:rsidRPr="00A77784" w:rsidRDefault="00362F96" w:rsidP="00362F96">
            <w:pPr>
              <w:pStyle w:val="Tabletext"/>
              <w:jc w:val="right"/>
              <w:rPr>
                <w:highlight w:val="yellow"/>
              </w:rPr>
            </w:pPr>
            <w:r w:rsidRPr="00207995">
              <w:t>6.5</w:t>
            </w:r>
          </w:p>
        </w:tc>
        <w:tc>
          <w:tcPr>
            <w:tcW w:w="1301" w:type="dxa"/>
          </w:tcPr>
          <w:p w14:paraId="12521E09" w14:textId="50999A79" w:rsidR="00362F96" w:rsidRPr="00A77784" w:rsidRDefault="00362F96" w:rsidP="00362F96">
            <w:pPr>
              <w:pStyle w:val="Tabletext"/>
              <w:jc w:val="right"/>
              <w:rPr>
                <w:highlight w:val="yellow"/>
              </w:rPr>
            </w:pPr>
            <w:r w:rsidRPr="002B147E">
              <w:t>6.</w:t>
            </w:r>
            <w:r w:rsidR="000B437B">
              <w:t>6</w:t>
            </w:r>
          </w:p>
        </w:tc>
        <w:tc>
          <w:tcPr>
            <w:tcW w:w="1720" w:type="dxa"/>
          </w:tcPr>
          <w:p w14:paraId="7356FD28" w14:textId="24B8343F" w:rsidR="00362F96" w:rsidRPr="00A77784" w:rsidRDefault="00362F96" w:rsidP="00362F96">
            <w:pPr>
              <w:pStyle w:val="Tabletext"/>
              <w:jc w:val="right"/>
              <w:rPr>
                <w:highlight w:val="yellow"/>
              </w:rPr>
            </w:pPr>
            <w:r w:rsidRPr="001C70C9">
              <w:t>0.</w:t>
            </w:r>
            <w:r w:rsidR="000B437B">
              <w:t>1</w:t>
            </w:r>
          </w:p>
        </w:tc>
        <w:tc>
          <w:tcPr>
            <w:tcW w:w="1720" w:type="dxa"/>
          </w:tcPr>
          <w:p w14:paraId="6B3AE914" w14:textId="5FACEDF7" w:rsidR="00362F96" w:rsidRPr="00A77784" w:rsidRDefault="000B437B" w:rsidP="00362F96">
            <w:pPr>
              <w:pStyle w:val="Tabletext"/>
              <w:jc w:val="right"/>
              <w:rPr>
                <w:highlight w:val="yellow"/>
              </w:rPr>
            </w:pPr>
            <w:r>
              <w:t>2</w:t>
            </w:r>
            <w:r w:rsidR="00362F96" w:rsidRPr="00EC72CD">
              <w:t>%</w:t>
            </w:r>
          </w:p>
        </w:tc>
      </w:tr>
      <w:tr w:rsidR="00362F96" w:rsidRPr="00A77784" w14:paraId="4623C965" w14:textId="77777777" w:rsidTr="00E238C2">
        <w:trPr>
          <w:trHeight w:val="157"/>
        </w:trPr>
        <w:tc>
          <w:tcPr>
            <w:tcW w:w="3823" w:type="dxa"/>
          </w:tcPr>
          <w:p w14:paraId="56649D76" w14:textId="77777777" w:rsidR="00362F96" w:rsidRPr="00A77784" w:rsidRDefault="00362F96" w:rsidP="00362F96">
            <w:pPr>
              <w:pStyle w:val="Tabletext"/>
              <w:rPr>
                <w:highlight w:val="yellow"/>
              </w:rPr>
            </w:pPr>
            <w:r w:rsidRPr="002C7DC4">
              <w:t>Science, Evidence and Analytics</w:t>
            </w:r>
          </w:p>
        </w:tc>
        <w:tc>
          <w:tcPr>
            <w:tcW w:w="1417" w:type="dxa"/>
          </w:tcPr>
          <w:p w14:paraId="6CF98FAE" w14:textId="77777777" w:rsidR="00362F96" w:rsidRPr="00A77784" w:rsidRDefault="00362F96" w:rsidP="00362F96">
            <w:pPr>
              <w:pStyle w:val="Tabletext"/>
              <w:jc w:val="right"/>
              <w:rPr>
                <w:highlight w:val="yellow"/>
              </w:rPr>
            </w:pPr>
            <w:r w:rsidRPr="00207995">
              <w:t>7.6</w:t>
            </w:r>
          </w:p>
        </w:tc>
        <w:tc>
          <w:tcPr>
            <w:tcW w:w="1301" w:type="dxa"/>
          </w:tcPr>
          <w:p w14:paraId="3D0A01EB" w14:textId="77777777" w:rsidR="00362F96" w:rsidRPr="00A77784" w:rsidRDefault="00362F96" w:rsidP="00362F96">
            <w:pPr>
              <w:pStyle w:val="Tabletext"/>
              <w:jc w:val="right"/>
              <w:rPr>
                <w:highlight w:val="yellow"/>
              </w:rPr>
            </w:pPr>
            <w:r w:rsidRPr="002B147E">
              <w:t>7.3</w:t>
            </w:r>
          </w:p>
        </w:tc>
        <w:tc>
          <w:tcPr>
            <w:tcW w:w="1720" w:type="dxa"/>
          </w:tcPr>
          <w:p w14:paraId="43F86A04" w14:textId="77777777" w:rsidR="00362F96" w:rsidRPr="00A77784" w:rsidRDefault="00362F96" w:rsidP="00362F96">
            <w:pPr>
              <w:pStyle w:val="Tabletext"/>
              <w:jc w:val="right"/>
              <w:rPr>
                <w:highlight w:val="yellow"/>
              </w:rPr>
            </w:pPr>
            <w:r w:rsidRPr="001C70C9">
              <w:t>(0.3)</w:t>
            </w:r>
          </w:p>
        </w:tc>
        <w:tc>
          <w:tcPr>
            <w:tcW w:w="1720" w:type="dxa"/>
          </w:tcPr>
          <w:p w14:paraId="2C07E688" w14:textId="77777777" w:rsidR="00362F96" w:rsidRPr="00A77784" w:rsidRDefault="00362F96" w:rsidP="00362F96">
            <w:pPr>
              <w:pStyle w:val="Tabletext"/>
              <w:jc w:val="right"/>
              <w:rPr>
                <w:highlight w:val="yellow"/>
              </w:rPr>
            </w:pPr>
            <w:r w:rsidRPr="00EC72CD">
              <w:t>(4%)</w:t>
            </w:r>
          </w:p>
        </w:tc>
      </w:tr>
      <w:tr w:rsidR="00362F96" w:rsidRPr="00A77784" w14:paraId="50B95FB5" w14:textId="77777777" w:rsidTr="00E238C2">
        <w:trPr>
          <w:trHeight w:val="157"/>
        </w:trPr>
        <w:tc>
          <w:tcPr>
            <w:tcW w:w="3823" w:type="dxa"/>
          </w:tcPr>
          <w:p w14:paraId="65F2074C" w14:textId="77777777" w:rsidR="00362F96" w:rsidRPr="00A77784" w:rsidRDefault="00362F96" w:rsidP="00362F96">
            <w:pPr>
              <w:pStyle w:val="Tabletext"/>
              <w:rPr>
                <w:highlight w:val="yellow"/>
              </w:rPr>
            </w:pPr>
            <w:r w:rsidRPr="002C7DC4">
              <w:t>Finance, Strategy and Transformation</w:t>
            </w:r>
          </w:p>
        </w:tc>
        <w:tc>
          <w:tcPr>
            <w:tcW w:w="1417" w:type="dxa"/>
          </w:tcPr>
          <w:p w14:paraId="110EE620" w14:textId="77777777" w:rsidR="00362F96" w:rsidRPr="00A77784" w:rsidRDefault="00362F96" w:rsidP="00362F96">
            <w:pPr>
              <w:pStyle w:val="Tabletext"/>
              <w:jc w:val="right"/>
              <w:rPr>
                <w:highlight w:val="yellow"/>
              </w:rPr>
            </w:pPr>
            <w:r w:rsidRPr="00207995">
              <w:t>9.1</w:t>
            </w:r>
          </w:p>
        </w:tc>
        <w:tc>
          <w:tcPr>
            <w:tcW w:w="1301" w:type="dxa"/>
          </w:tcPr>
          <w:p w14:paraId="039F023D" w14:textId="77777777" w:rsidR="00362F96" w:rsidRPr="00A77784" w:rsidRDefault="00362F96" w:rsidP="00362F96">
            <w:pPr>
              <w:pStyle w:val="Tabletext"/>
              <w:jc w:val="right"/>
              <w:rPr>
                <w:highlight w:val="yellow"/>
              </w:rPr>
            </w:pPr>
            <w:r w:rsidRPr="002B147E">
              <w:t>8.1</w:t>
            </w:r>
          </w:p>
        </w:tc>
        <w:tc>
          <w:tcPr>
            <w:tcW w:w="1720" w:type="dxa"/>
          </w:tcPr>
          <w:p w14:paraId="0625A2E0" w14:textId="77777777" w:rsidR="00362F96" w:rsidRPr="00A77784" w:rsidRDefault="00362F96" w:rsidP="00362F96">
            <w:pPr>
              <w:pStyle w:val="Tabletext"/>
              <w:jc w:val="right"/>
              <w:rPr>
                <w:highlight w:val="yellow"/>
              </w:rPr>
            </w:pPr>
            <w:r w:rsidRPr="001C70C9">
              <w:t>(1.0)</w:t>
            </w:r>
          </w:p>
        </w:tc>
        <w:tc>
          <w:tcPr>
            <w:tcW w:w="1720" w:type="dxa"/>
          </w:tcPr>
          <w:p w14:paraId="6CE60E24" w14:textId="77777777" w:rsidR="00362F96" w:rsidRPr="00A77784" w:rsidRDefault="00362F96" w:rsidP="00362F96">
            <w:pPr>
              <w:pStyle w:val="Tabletext"/>
              <w:jc w:val="right"/>
              <w:rPr>
                <w:highlight w:val="yellow"/>
              </w:rPr>
            </w:pPr>
            <w:r w:rsidRPr="00EC72CD">
              <w:t>(11%)</w:t>
            </w:r>
          </w:p>
        </w:tc>
      </w:tr>
      <w:tr w:rsidR="00362F96" w:rsidRPr="00A77784" w14:paraId="0FB2FC91" w14:textId="77777777" w:rsidTr="00E238C2">
        <w:trPr>
          <w:trHeight w:val="157"/>
        </w:trPr>
        <w:tc>
          <w:tcPr>
            <w:tcW w:w="3823" w:type="dxa"/>
          </w:tcPr>
          <w:p w14:paraId="72997A7E" w14:textId="77777777" w:rsidR="00362F96" w:rsidRPr="00A77784" w:rsidRDefault="00362F96" w:rsidP="00362F96">
            <w:pPr>
              <w:pStyle w:val="Tabletext"/>
              <w:rPr>
                <w:highlight w:val="yellow"/>
              </w:rPr>
            </w:pPr>
            <w:r w:rsidRPr="002C7DC4">
              <w:t>Communications</w:t>
            </w:r>
          </w:p>
        </w:tc>
        <w:tc>
          <w:tcPr>
            <w:tcW w:w="1417" w:type="dxa"/>
          </w:tcPr>
          <w:p w14:paraId="04FD2884" w14:textId="77777777" w:rsidR="00362F96" w:rsidRPr="00A77784" w:rsidRDefault="00362F96" w:rsidP="00362F96">
            <w:pPr>
              <w:pStyle w:val="Tabletext"/>
              <w:jc w:val="right"/>
              <w:rPr>
                <w:highlight w:val="yellow"/>
              </w:rPr>
            </w:pPr>
            <w:r w:rsidRPr="00207995">
              <w:t>2.5</w:t>
            </w:r>
          </w:p>
        </w:tc>
        <w:tc>
          <w:tcPr>
            <w:tcW w:w="1301" w:type="dxa"/>
          </w:tcPr>
          <w:p w14:paraId="7F08036D" w14:textId="77777777" w:rsidR="00362F96" w:rsidRPr="00A77784" w:rsidRDefault="00362F96" w:rsidP="00362F96">
            <w:pPr>
              <w:pStyle w:val="Tabletext"/>
              <w:jc w:val="right"/>
              <w:rPr>
                <w:highlight w:val="yellow"/>
              </w:rPr>
            </w:pPr>
            <w:r w:rsidRPr="002B147E">
              <w:t>2.3</w:t>
            </w:r>
          </w:p>
        </w:tc>
        <w:tc>
          <w:tcPr>
            <w:tcW w:w="1720" w:type="dxa"/>
          </w:tcPr>
          <w:p w14:paraId="717864A1" w14:textId="77777777" w:rsidR="00362F96" w:rsidRPr="00A77784" w:rsidRDefault="00362F96" w:rsidP="00362F96">
            <w:pPr>
              <w:pStyle w:val="Tabletext"/>
              <w:jc w:val="right"/>
              <w:rPr>
                <w:highlight w:val="yellow"/>
              </w:rPr>
            </w:pPr>
            <w:r w:rsidRPr="001C70C9">
              <w:t>(0.2)</w:t>
            </w:r>
          </w:p>
        </w:tc>
        <w:tc>
          <w:tcPr>
            <w:tcW w:w="1720" w:type="dxa"/>
          </w:tcPr>
          <w:p w14:paraId="32B97464" w14:textId="77777777" w:rsidR="00362F96" w:rsidRPr="00A77784" w:rsidRDefault="00362F96" w:rsidP="00362F96">
            <w:pPr>
              <w:pStyle w:val="Tabletext"/>
              <w:jc w:val="right"/>
              <w:rPr>
                <w:highlight w:val="yellow"/>
              </w:rPr>
            </w:pPr>
            <w:r w:rsidRPr="00EC72CD">
              <w:t>(6%)</w:t>
            </w:r>
          </w:p>
        </w:tc>
      </w:tr>
      <w:tr w:rsidR="00362F96" w:rsidRPr="00A77784" w14:paraId="3E7F6B63" w14:textId="77777777" w:rsidTr="00E238C2">
        <w:trPr>
          <w:trHeight w:val="157"/>
        </w:trPr>
        <w:tc>
          <w:tcPr>
            <w:tcW w:w="3823" w:type="dxa"/>
          </w:tcPr>
          <w:p w14:paraId="60901127" w14:textId="002DA220" w:rsidR="00362F96" w:rsidRPr="00A77784" w:rsidRDefault="008E6C11" w:rsidP="00362F96">
            <w:pPr>
              <w:pStyle w:val="Tabletext"/>
              <w:rPr>
                <w:highlight w:val="yellow"/>
              </w:rPr>
            </w:pPr>
            <w:r>
              <w:t xml:space="preserve">Direct </w:t>
            </w:r>
            <w:r w:rsidR="00362F96" w:rsidRPr="002C7DC4">
              <w:t xml:space="preserve">NHS Pension costs </w:t>
            </w:r>
            <w:r>
              <w:t>payable to NHS BSA</w:t>
            </w:r>
          </w:p>
        </w:tc>
        <w:tc>
          <w:tcPr>
            <w:tcW w:w="1417" w:type="dxa"/>
          </w:tcPr>
          <w:p w14:paraId="11EEF424" w14:textId="18C1A672" w:rsidR="00362F96" w:rsidRPr="00A77784" w:rsidRDefault="00362F96" w:rsidP="00362F96">
            <w:pPr>
              <w:pStyle w:val="Tabletext"/>
              <w:jc w:val="right"/>
              <w:rPr>
                <w:highlight w:val="yellow"/>
              </w:rPr>
            </w:pPr>
            <w:r w:rsidRPr="00207995">
              <w:t>1.</w:t>
            </w:r>
            <w:r w:rsidR="000B437B">
              <w:t>7</w:t>
            </w:r>
          </w:p>
        </w:tc>
        <w:tc>
          <w:tcPr>
            <w:tcW w:w="1301" w:type="dxa"/>
          </w:tcPr>
          <w:p w14:paraId="1718BCEE" w14:textId="77777777" w:rsidR="00362F96" w:rsidRPr="00A77784" w:rsidRDefault="00362F96" w:rsidP="00362F96">
            <w:pPr>
              <w:pStyle w:val="Tabletext"/>
              <w:jc w:val="right"/>
              <w:rPr>
                <w:highlight w:val="yellow"/>
              </w:rPr>
            </w:pPr>
            <w:r w:rsidRPr="002B147E">
              <w:t>1.9</w:t>
            </w:r>
          </w:p>
        </w:tc>
        <w:tc>
          <w:tcPr>
            <w:tcW w:w="1720" w:type="dxa"/>
          </w:tcPr>
          <w:p w14:paraId="2B14C49D" w14:textId="77777777" w:rsidR="00362F96" w:rsidRPr="00A77784" w:rsidRDefault="00362F96" w:rsidP="00362F96">
            <w:pPr>
              <w:pStyle w:val="Tabletext"/>
              <w:jc w:val="right"/>
              <w:rPr>
                <w:highlight w:val="yellow"/>
              </w:rPr>
            </w:pPr>
            <w:r w:rsidRPr="001C70C9">
              <w:t>0.2</w:t>
            </w:r>
          </w:p>
        </w:tc>
        <w:tc>
          <w:tcPr>
            <w:tcW w:w="1720" w:type="dxa"/>
          </w:tcPr>
          <w:p w14:paraId="56C77FD1" w14:textId="4F268534" w:rsidR="00362F96" w:rsidRPr="00A77784" w:rsidRDefault="003A2933" w:rsidP="00362F96">
            <w:pPr>
              <w:pStyle w:val="Tabletext"/>
              <w:jc w:val="right"/>
              <w:rPr>
                <w:highlight w:val="yellow"/>
              </w:rPr>
            </w:pPr>
            <w:r>
              <w:t>10</w:t>
            </w:r>
            <w:r w:rsidR="00362F96" w:rsidRPr="00EC72CD">
              <w:t>%</w:t>
            </w:r>
          </w:p>
        </w:tc>
      </w:tr>
      <w:tr w:rsidR="00362F96" w:rsidRPr="00A77784" w14:paraId="1432E407" w14:textId="77777777" w:rsidTr="00E238C2">
        <w:trPr>
          <w:trHeight w:val="157"/>
        </w:trPr>
        <w:tc>
          <w:tcPr>
            <w:tcW w:w="3823" w:type="dxa"/>
          </w:tcPr>
          <w:p w14:paraId="5EAA471B" w14:textId="77777777" w:rsidR="00362F96" w:rsidRPr="00A77784" w:rsidRDefault="00362F96" w:rsidP="00362F96">
            <w:pPr>
              <w:pStyle w:val="Tabletext"/>
              <w:rPr>
                <w:highlight w:val="yellow"/>
              </w:rPr>
            </w:pPr>
            <w:r w:rsidRPr="002C7DC4">
              <w:t>P</w:t>
            </w:r>
            <w:r>
              <w:t>art-year effect</w:t>
            </w:r>
            <w:r w:rsidRPr="002C7DC4">
              <w:t xml:space="preserve"> </w:t>
            </w:r>
            <w:r>
              <w:t>p</w:t>
            </w:r>
            <w:r w:rsidRPr="002C7DC4">
              <w:t>ay budget adjustment</w:t>
            </w:r>
          </w:p>
        </w:tc>
        <w:tc>
          <w:tcPr>
            <w:tcW w:w="1417" w:type="dxa"/>
          </w:tcPr>
          <w:p w14:paraId="4576CDA5" w14:textId="77777777" w:rsidR="00362F96" w:rsidRPr="00A77784" w:rsidRDefault="00362F96" w:rsidP="00362F96">
            <w:pPr>
              <w:pStyle w:val="Tabletext"/>
              <w:jc w:val="right"/>
              <w:rPr>
                <w:highlight w:val="yellow"/>
              </w:rPr>
            </w:pPr>
            <w:r w:rsidRPr="00207995">
              <w:t>2.4</w:t>
            </w:r>
          </w:p>
        </w:tc>
        <w:tc>
          <w:tcPr>
            <w:tcW w:w="1301" w:type="dxa"/>
          </w:tcPr>
          <w:p w14:paraId="79BC0FED" w14:textId="77777777" w:rsidR="00362F96" w:rsidRPr="00A77784" w:rsidRDefault="00362F96" w:rsidP="00362F96">
            <w:pPr>
              <w:pStyle w:val="Tabletext"/>
              <w:jc w:val="right"/>
              <w:rPr>
                <w:highlight w:val="yellow"/>
              </w:rPr>
            </w:pPr>
            <w:r w:rsidRPr="002B147E">
              <w:t>0.0</w:t>
            </w:r>
          </w:p>
        </w:tc>
        <w:tc>
          <w:tcPr>
            <w:tcW w:w="1720" w:type="dxa"/>
          </w:tcPr>
          <w:p w14:paraId="3EBBE0E6" w14:textId="77777777" w:rsidR="00362F96" w:rsidRPr="00A77784" w:rsidRDefault="00362F96" w:rsidP="00362F96">
            <w:pPr>
              <w:pStyle w:val="Tabletext"/>
              <w:jc w:val="right"/>
              <w:rPr>
                <w:highlight w:val="yellow"/>
              </w:rPr>
            </w:pPr>
            <w:r w:rsidRPr="001C70C9">
              <w:t>(2.4)</w:t>
            </w:r>
          </w:p>
        </w:tc>
        <w:tc>
          <w:tcPr>
            <w:tcW w:w="1720" w:type="dxa"/>
          </w:tcPr>
          <w:p w14:paraId="48AF9D50" w14:textId="77777777" w:rsidR="00362F96" w:rsidRPr="00A77784" w:rsidRDefault="00362F96" w:rsidP="00362F96">
            <w:pPr>
              <w:pStyle w:val="Tabletext"/>
              <w:jc w:val="right"/>
              <w:rPr>
                <w:highlight w:val="yellow"/>
              </w:rPr>
            </w:pPr>
            <w:r w:rsidRPr="00EC72CD">
              <w:t>n/a</w:t>
            </w:r>
          </w:p>
        </w:tc>
      </w:tr>
      <w:tr w:rsidR="00362F96" w:rsidRPr="00A77784" w14:paraId="56A15698" w14:textId="77777777" w:rsidTr="00E238C2">
        <w:trPr>
          <w:trHeight w:val="155"/>
        </w:trPr>
        <w:tc>
          <w:tcPr>
            <w:tcW w:w="3823" w:type="dxa"/>
          </w:tcPr>
          <w:p w14:paraId="7F628B79" w14:textId="0BA274FE" w:rsidR="00362F96" w:rsidRPr="006E24CE" w:rsidRDefault="000B437B" w:rsidP="00362F96">
            <w:pPr>
              <w:pStyle w:val="Tabletext"/>
              <w:rPr>
                <w:b/>
                <w:bCs/>
                <w:highlight w:val="yellow"/>
              </w:rPr>
            </w:pPr>
            <w:r>
              <w:rPr>
                <w:b/>
                <w:bCs/>
              </w:rPr>
              <w:t>Total operational spend</w:t>
            </w:r>
          </w:p>
        </w:tc>
        <w:tc>
          <w:tcPr>
            <w:tcW w:w="1417" w:type="dxa"/>
          </w:tcPr>
          <w:p w14:paraId="028DA43C" w14:textId="66E93904" w:rsidR="00362F96" w:rsidRPr="00E40EE7" w:rsidRDefault="00362F96" w:rsidP="00362F96">
            <w:pPr>
              <w:pStyle w:val="Tabletext"/>
              <w:jc w:val="right"/>
              <w:rPr>
                <w:b/>
                <w:bCs/>
                <w:highlight w:val="yellow"/>
              </w:rPr>
            </w:pPr>
            <w:r w:rsidRPr="00E40EE7">
              <w:rPr>
                <w:b/>
                <w:bCs/>
              </w:rPr>
              <w:t>5</w:t>
            </w:r>
            <w:r w:rsidR="008E6C11">
              <w:rPr>
                <w:b/>
                <w:bCs/>
              </w:rPr>
              <w:t>2.7</w:t>
            </w:r>
          </w:p>
        </w:tc>
        <w:tc>
          <w:tcPr>
            <w:tcW w:w="1301" w:type="dxa"/>
          </w:tcPr>
          <w:p w14:paraId="0EE24E44" w14:textId="577816F8" w:rsidR="00362F96" w:rsidRPr="00E40EE7" w:rsidRDefault="00362F96" w:rsidP="00362F96">
            <w:pPr>
              <w:pStyle w:val="Tabletext"/>
              <w:jc w:val="right"/>
              <w:rPr>
                <w:b/>
                <w:bCs/>
                <w:highlight w:val="yellow"/>
              </w:rPr>
            </w:pPr>
            <w:r w:rsidRPr="00E40EE7">
              <w:rPr>
                <w:b/>
                <w:bCs/>
              </w:rPr>
              <w:t>49.</w:t>
            </w:r>
            <w:r w:rsidR="008E6C11">
              <w:rPr>
                <w:b/>
                <w:bCs/>
              </w:rPr>
              <w:t>5</w:t>
            </w:r>
          </w:p>
        </w:tc>
        <w:tc>
          <w:tcPr>
            <w:tcW w:w="1720" w:type="dxa"/>
          </w:tcPr>
          <w:p w14:paraId="1AE15096" w14:textId="294C3460" w:rsidR="00362F96" w:rsidRPr="00E40EE7" w:rsidRDefault="00362F96" w:rsidP="00362F96">
            <w:pPr>
              <w:pStyle w:val="Tabletext"/>
              <w:jc w:val="right"/>
              <w:rPr>
                <w:b/>
                <w:bCs/>
                <w:highlight w:val="yellow"/>
              </w:rPr>
            </w:pPr>
            <w:r w:rsidRPr="00E40EE7">
              <w:rPr>
                <w:b/>
                <w:bCs/>
              </w:rPr>
              <w:t>(3.</w:t>
            </w:r>
            <w:r w:rsidR="008E6C11">
              <w:rPr>
                <w:b/>
                <w:bCs/>
              </w:rPr>
              <w:t>2</w:t>
            </w:r>
            <w:r w:rsidRPr="00E40EE7">
              <w:rPr>
                <w:b/>
                <w:bCs/>
              </w:rPr>
              <w:t>)</w:t>
            </w:r>
          </w:p>
        </w:tc>
        <w:tc>
          <w:tcPr>
            <w:tcW w:w="1720" w:type="dxa"/>
          </w:tcPr>
          <w:p w14:paraId="50DD58B7" w14:textId="78BDEEB4" w:rsidR="00362F96" w:rsidRPr="00E40EE7" w:rsidRDefault="00362F96" w:rsidP="00362F96">
            <w:pPr>
              <w:pStyle w:val="Tabletext"/>
              <w:jc w:val="right"/>
              <w:rPr>
                <w:b/>
                <w:bCs/>
                <w:highlight w:val="yellow"/>
              </w:rPr>
            </w:pPr>
            <w:r w:rsidRPr="00E40EE7">
              <w:rPr>
                <w:b/>
                <w:bCs/>
              </w:rPr>
              <w:t>(</w:t>
            </w:r>
            <w:r w:rsidR="008E6C11">
              <w:rPr>
                <w:b/>
                <w:bCs/>
              </w:rPr>
              <w:t>6</w:t>
            </w:r>
            <w:r w:rsidRPr="00E40EE7">
              <w:rPr>
                <w:b/>
                <w:bCs/>
              </w:rPr>
              <w:t>%)</w:t>
            </w:r>
          </w:p>
        </w:tc>
      </w:tr>
    </w:tbl>
    <w:p w14:paraId="08BD510E" w14:textId="77777777" w:rsidR="008E6C11" w:rsidRDefault="008E6C11" w:rsidP="00C214BC">
      <w:pPr>
        <w:pStyle w:val="NICEnormal"/>
        <w:rPr>
          <w:highlight w:val="yellow"/>
        </w:rPr>
      </w:pPr>
    </w:p>
    <w:p w14:paraId="12294E23" w14:textId="6022B63B" w:rsidR="00362F96" w:rsidRPr="008E6C11" w:rsidRDefault="00362F96" w:rsidP="00053413">
      <w:pPr>
        <w:pStyle w:val="Heading2boardreport"/>
      </w:pPr>
      <w:r w:rsidRPr="008E6C11">
        <w:t xml:space="preserve">Ring fenced budgets </w:t>
      </w:r>
      <w:r w:rsidR="008E6C11" w:rsidRPr="008E6C11">
        <w:t>(Non-cash</w:t>
      </w:r>
      <w:r w:rsidR="008E6C11">
        <w:t xml:space="preserve"> expenditure</w:t>
      </w:r>
      <w:r w:rsidR="003A2933">
        <w:t xml:space="preserve"> and adjustments</w:t>
      </w:r>
      <w:r w:rsidR="008E6C11" w:rsidRPr="008E6C11">
        <w:t>)</w:t>
      </w:r>
    </w:p>
    <w:tbl>
      <w:tblPr>
        <w:tblpPr w:leftFromText="180" w:rightFromText="180" w:vertAnchor="text" w:horzAnchor="margin" w:tblpY="2"/>
        <w:tblW w:w="7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ing fenced budgets (Non-cash expenditure and adjustments)"/>
        <w:tblDescription w:val="Summary of depreciation and provision's movement in 2020-21 compared to budget"/>
      </w:tblPr>
      <w:tblGrid>
        <w:gridCol w:w="2850"/>
        <w:gridCol w:w="1581"/>
        <w:gridCol w:w="1581"/>
        <w:gridCol w:w="1581"/>
      </w:tblGrid>
      <w:tr w:rsidR="008E6C11" w:rsidRPr="006E24CE" w14:paraId="7C0F547D" w14:textId="77777777" w:rsidTr="008E6C11">
        <w:trPr>
          <w:trHeight w:val="157"/>
          <w:tblHeader/>
        </w:trPr>
        <w:tc>
          <w:tcPr>
            <w:tcW w:w="2850" w:type="dxa"/>
          </w:tcPr>
          <w:p w14:paraId="55A7541A" w14:textId="4C44DEAB" w:rsidR="008E6C11" w:rsidRPr="006E24CE" w:rsidRDefault="008E6C11" w:rsidP="0025345E">
            <w:pPr>
              <w:pStyle w:val="Tableheadingboardreport"/>
            </w:pPr>
            <w:r>
              <w:t>Category</w:t>
            </w:r>
          </w:p>
        </w:tc>
        <w:tc>
          <w:tcPr>
            <w:tcW w:w="1581" w:type="dxa"/>
          </w:tcPr>
          <w:p w14:paraId="0F525CEA" w14:textId="77777777" w:rsidR="008E6C11" w:rsidRPr="006E24CE" w:rsidRDefault="008E6C11" w:rsidP="0025345E">
            <w:pPr>
              <w:pStyle w:val="Tableheadingboardreport"/>
            </w:pPr>
            <w:r w:rsidRPr="006E24CE">
              <w:t>Annual Budget £m</w:t>
            </w:r>
          </w:p>
        </w:tc>
        <w:tc>
          <w:tcPr>
            <w:tcW w:w="1581" w:type="dxa"/>
          </w:tcPr>
          <w:p w14:paraId="65C32CF6" w14:textId="77777777" w:rsidR="008E6C11" w:rsidRPr="006E24CE" w:rsidRDefault="008E6C11" w:rsidP="0025345E">
            <w:pPr>
              <w:pStyle w:val="Tableheadingboardreport"/>
            </w:pPr>
            <w:r w:rsidRPr="006E24CE">
              <w:t>Outturn £m</w:t>
            </w:r>
          </w:p>
        </w:tc>
        <w:tc>
          <w:tcPr>
            <w:tcW w:w="1581" w:type="dxa"/>
          </w:tcPr>
          <w:p w14:paraId="0BA0BCCD" w14:textId="77777777" w:rsidR="008E6C11" w:rsidRPr="006E24CE" w:rsidRDefault="008E6C11" w:rsidP="008E6C11">
            <w:pPr>
              <w:pStyle w:val="Tableheadingboardreport"/>
              <w:jc w:val="both"/>
            </w:pPr>
            <w:r w:rsidRPr="006E24CE">
              <w:t>Outturn Variance £m</w:t>
            </w:r>
          </w:p>
        </w:tc>
      </w:tr>
      <w:tr w:rsidR="008E6C11" w:rsidRPr="00A77784" w14:paraId="3F7C6715" w14:textId="77777777" w:rsidTr="008E6C11">
        <w:trPr>
          <w:trHeight w:val="259"/>
        </w:trPr>
        <w:tc>
          <w:tcPr>
            <w:tcW w:w="2850" w:type="dxa"/>
          </w:tcPr>
          <w:p w14:paraId="73293D96" w14:textId="7181E120" w:rsidR="008E6C11" w:rsidRPr="00A77784" w:rsidRDefault="008E6C11" w:rsidP="008E6C11">
            <w:pPr>
              <w:pStyle w:val="Tabletext"/>
              <w:rPr>
                <w:highlight w:val="yellow"/>
              </w:rPr>
            </w:pPr>
            <w:r w:rsidRPr="002C7DC4">
              <w:t>Depreciation (non-cash)</w:t>
            </w:r>
          </w:p>
        </w:tc>
        <w:tc>
          <w:tcPr>
            <w:tcW w:w="1581" w:type="dxa"/>
          </w:tcPr>
          <w:p w14:paraId="102C9F34" w14:textId="38445ADA" w:rsidR="008E6C11" w:rsidRPr="00A77784" w:rsidRDefault="008E6C11" w:rsidP="008E6C11">
            <w:pPr>
              <w:pStyle w:val="Tabletext"/>
              <w:jc w:val="right"/>
              <w:rPr>
                <w:highlight w:val="yellow"/>
              </w:rPr>
            </w:pPr>
            <w:r>
              <w:t>1.0</w:t>
            </w:r>
          </w:p>
        </w:tc>
        <w:tc>
          <w:tcPr>
            <w:tcW w:w="1581" w:type="dxa"/>
          </w:tcPr>
          <w:p w14:paraId="1AE43D2C" w14:textId="3CDDA3EB" w:rsidR="008E6C11" w:rsidRPr="00A77784" w:rsidRDefault="008E6C11" w:rsidP="008E6C11">
            <w:pPr>
              <w:pStyle w:val="Tabletext"/>
              <w:jc w:val="right"/>
              <w:rPr>
                <w:highlight w:val="yellow"/>
              </w:rPr>
            </w:pPr>
            <w:r w:rsidRPr="002B147E">
              <w:t>0.5</w:t>
            </w:r>
          </w:p>
        </w:tc>
        <w:tc>
          <w:tcPr>
            <w:tcW w:w="1581" w:type="dxa"/>
          </w:tcPr>
          <w:p w14:paraId="410B8C10" w14:textId="07581B99" w:rsidR="008E6C11" w:rsidRPr="00A77784" w:rsidRDefault="008E6C11" w:rsidP="008E6C11">
            <w:pPr>
              <w:pStyle w:val="Tabletext"/>
              <w:jc w:val="right"/>
              <w:rPr>
                <w:highlight w:val="yellow"/>
              </w:rPr>
            </w:pPr>
            <w:r w:rsidRPr="001C70C9">
              <w:t>(0.</w:t>
            </w:r>
            <w:r>
              <w:t>5</w:t>
            </w:r>
            <w:r w:rsidRPr="001C70C9">
              <w:t>)</w:t>
            </w:r>
          </w:p>
        </w:tc>
      </w:tr>
      <w:tr w:rsidR="008E6C11" w:rsidRPr="00A77784" w14:paraId="41D754F4" w14:textId="77777777" w:rsidTr="008E6C11">
        <w:trPr>
          <w:trHeight w:val="207"/>
        </w:trPr>
        <w:tc>
          <w:tcPr>
            <w:tcW w:w="2850" w:type="dxa"/>
          </w:tcPr>
          <w:p w14:paraId="228B61C7" w14:textId="5D60F294" w:rsidR="008E6C11" w:rsidRPr="00A77784" w:rsidRDefault="000B437B" w:rsidP="008E6C11">
            <w:pPr>
              <w:pStyle w:val="Tabletext"/>
              <w:rPr>
                <w:highlight w:val="yellow"/>
              </w:rPr>
            </w:pPr>
            <w:r>
              <w:t>Provision’s</w:t>
            </w:r>
            <w:r w:rsidR="00F20140">
              <w:t xml:space="preserve"> </w:t>
            </w:r>
            <w:r>
              <w:t>movement</w:t>
            </w:r>
          </w:p>
        </w:tc>
        <w:tc>
          <w:tcPr>
            <w:tcW w:w="1581" w:type="dxa"/>
          </w:tcPr>
          <w:p w14:paraId="5832DE44" w14:textId="419AC50B" w:rsidR="008E6C11" w:rsidRPr="00A77784" w:rsidRDefault="008E6C11" w:rsidP="008E6C11">
            <w:pPr>
              <w:pStyle w:val="Tabletext"/>
              <w:jc w:val="right"/>
              <w:rPr>
                <w:highlight w:val="yellow"/>
              </w:rPr>
            </w:pPr>
            <w:r>
              <w:t>-</w:t>
            </w:r>
          </w:p>
        </w:tc>
        <w:tc>
          <w:tcPr>
            <w:tcW w:w="1581" w:type="dxa"/>
          </w:tcPr>
          <w:p w14:paraId="3285C1C7" w14:textId="24BB4953" w:rsidR="008E6C11" w:rsidRPr="00A77784" w:rsidRDefault="008E6C11" w:rsidP="008E6C11">
            <w:pPr>
              <w:pStyle w:val="Tabletext"/>
              <w:jc w:val="right"/>
              <w:rPr>
                <w:highlight w:val="yellow"/>
              </w:rPr>
            </w:pPr>
            <w:r w:rsidRPr="002B147E">
              <w:t>(0.3)</w:t>
            </w:r>
          </w:p>
        </w:tc>
        <w:tc>
          <w:tcPr>
            <w:tcW w:w="1581" w:type="dxa"/>
          </w:tcPr>
          <w:p w14:paraId="5067B86C" w14:textId="438941B8" w:rsidR="008E6C11" w:rsidRPr="00A77784" w:rsidRDefault="008E6C11" w:rsidP="008E6C11">
            <w:pPr>
              <w:pStyle w:val="Tabletext"/>
              <w:jc w:val="right"/>
              <w:rPr>
                <w:highlight w:val="yellow"/>
              </w:rPr>
            </w:pPr>
            <w:r w:rsidRPr="001C70C9">
              <w:t>(0.3)</w:t>
            </w:r>
          </w:p>
        </w:tc>
      </w:tr>
      <w:tr w:rsidR="008E6C11" w:rsidRPr="00E40EE7" w14:paraId="0F5F92BE" w14:textId="77777777" w:rsidTr="008E6C11">
        <w:trPr>
          <w:trHeight w:val="157"/>
        </w:trPr>
        <w:tc>
          <w:tcPr>
            <w:tcW w:w="2850" w:type="dxa"/>
          </w:tcPr>
          <w:p w14:paraId="50C181EB" w14:textId="7CB93419" w:rsidR="008E6C11" w:rsidRPr="006E24CE" w:rsidRDefault="008E6C11" w:rsidP="0025345E">
            <w:pPr>
              <w:pStyle w:val="Tabletext"/>
              <w:rPr>
                <w:b/>
                <w:bCs/>
                <w:highlight w:val="yellow"/>
              </w:rPr>
            </w:pPr>
            <w:r>
              <w:rPr>
                <w:b/>
                <w:bCs/>
              </w:rPr>
              <w:t>Total non-cash</w:t>
            </w:r>
          </w:p>
        </w:tc>
        <w:tc>
          <w:tcPr>
            <w:tcW w:w="1581" w:type="dxa"/>
          </w:tcPr>
          <w:p w14:paraId="2AA1E884" w14:textId="722B9C77" w:rsidR="008E6C11" w:rsidRPr="00E40EE7" w:rsidRDefault="008E6C11" w:rsidP="0025345E">
            <w:pPr>
              <w:pStyle w:val="Tabletext"/>
              <w:jc w:val="right"/>
              <w:rPr>
                <w:b/>
                <w:bCs/>
                <w:highlight w:val="yellow"/>
              </w:rPr>
            </w:pPr>
            <w:r>
              <w:rPr>
                <w:b/>
                <w:bCs/>
              </w:rPr>
              <w:t>1.0</w:t>
            </w:r>
          </w:p>
        </w:tc>
        <w:tc>
          <w:tcPr>
            <w:tcW w:w="1581" w:type="dxa"/>
          </w:tcPr>
          <w:p w14:paraId="2061E91F" w14:textId="552CEB57" w:rsidR="008E6C11" w:rsidRPr="00E40EE7" w:rsidRDefault="008E6C11" w:rsidP="0025345E">
            <w:pPr>
              <w:pStyle w:val="Tabletext"/>
              <w:jc w:val="right"/>
              <w:rPr>
                <w:b/>
                <w:bCs/>
                <w:highlight w:val="yellow"/>
              </w:rPr>
            </w:pPr>
            <w:r>
              <w:rPr>
                <w:b/>
                <w:bCs/>
              </w:rPr>
              <w:t>0.2</w:t>
            </w:r>
          </w:p>
        </w:tc>
        <w:tc>
          <w:tcPr>
            <w:tcW w:w="1581" w:type="dxa"/>
          </w:tcPr>
          <w:p w14:paraId="67390394" w14:textId="7864596D" w:rsidR="008E6C11" w:rsidRPr="00E40EE7" w:rsidRDefault="008E6C11" w:rsidP="0025345E">
            <w:pPr>
              <w:pStyle w:val="Tabletext"/>
              <w:jc w:val="right"/>
              <w:rPr>
                <w:b/>
                <w:bCs/>
                <w:highlight w:val="yellow"/>
              </w:rPr>
            </w:pPr>
            <w:r w:rsidRPr="00E40EE7">
              <w:rPr>
                <w:b/>
                <w:bCs/>
              </w:rPr>
              <w:t>(</w:t>
            </w:r>
            <w:r>
              <w:rPr>
                <w:b/>
                <w:bCs/>
              </w:rPr>
              <w:t>0.8</w:t>
            </w:r>
            <w:r w:rsidRPr="00E40EE7">
              <w:rPr>
                <w:b/>
                <w:bCs/>
              </w:rPr>
              <w:t>)</w:t>
            </w:r>
          </w:p>
        </w:tc>
      </w:tr>
    </w:tbl>
    <w:p w14:paraId="5060C2DD" w14:textId="77777777" w:rsidR="008E6C11" w:rsidRDefault="008E6C11" w:rsidP="00C214BC">
      <w:pPr>
        <w:pStyle w:val="NICEnormal"/>
        <w:rPr>
          <w:highlight w:val="yellow"/>
        </w:rPr>
      </w:pPr>
    </w:p>
    <w:p w14:paraId="178D5E60" w14:textId="77777777" w:rsidR="008E6C11" w:rsidRDefault="008E6C11" w:rsidP="00C214BC">
      <w:pPr>
        <w:pStyle w:val="NICEnormal"/>
        <w:rPr>
          <w:highlight w:val="yellow"/>
        </w:rPr>
      </w:pPr>
    </w:p>
    <w:p w14:paraId="7AEA1436" w14:textId="77777777" w:rsidR="008E6C11" w:rsidRDefault="008E6C11" w:rsidP="00C214BC">
      <w:pPr>
        <w:pStyle w:val="NICEnormal"/>
        <w:rPr>
          <w:highlight w:val="yellow"/>
        </w:rPr>
      </w:pPr>
    </w:p>
    <w:p w14:paraId="35EFF808" w14:textId="13D0FD86" w:rsidR="008E6C11" w:rsidRPr="008E6C11" w:rsidRDefault="008E6C11" w:rsidP="00053413">
      <w:pPr>
        <w:pStyle w:val="Heading2boardreport"/>
      </w:pPr>
      <w:r>
        <w:t xml:space="preserve">Capital </w:t>
      </w:r>
      <w:r w:rsidR="00F20140">
        <w:t>budget</w:t>
      </w:r>
    </w:p>
    <w:tbl>
      <w:tblPr>
        <w:tblpPr w:leftFromText="180" w:rightFromText="180" w:vertAnchor="text" w:horzAnchor="margin" w:tblpY="2"/>
        <w:tblW w:w="7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pital budget"/>
        <w:tblDescription w:val="Summary of the capital additions made in 2020-21 compared to budget"/>
      </w:tblPr>
      <w:tblGrid>
        <w:gridCol w:w="2850"/>
        <w:gridCol w:w="1581"/>
        <w:gridCol w:w="1581"/>
        <w:gridCol w:w="1581"/>
      </w:tblGrid>
      <w:tr w:rsidR="008E6C11" w:rsidRPr="006E24CE" w14:paraId="349A9453" w14:textId="77777777" w:rsidTr="0025345E">
        <w:trPr>
          <w:trHeight w:val="157"/>
          <w:tblHeader/>
        </w:trPr>
        <w:tc>
          <w:tcPr>
            <w:tcW w:w="2850" w:type="dxa"/>
          </w:tcPr>
          <w:p w14:paraId="520B1130" w14:textId="77777777" w:rsidR="008E6C11" w:rsidRPr="006E24CE" w:rsidRDefault="008E6C11" w:rsidP="0025345E">
            <w:pPr>
              <w:pStyle w:val="Tableheadingboardreport"/>
            </w:pPr>
            <w:r>
              <w:t>Category</w:t>
            </w:r>
          </w:p>
        </w:tc>
        <w:tc>
          <w:tcPr>
            <w:tcW w:w="1581" w:type="dxa"/>
          </w:tcPr>
          <w:p w14:paraId="0D9F46D1" w14:textId="77777777" w:rsidR="008E6C11" w:rsidRPr="006E24CE" w:rsidRDefault="008E6C11" w:rsidP="0025345E">
            <w:pPr>
              <w:pStyle w:val="Tableheadingboardreport"/>
            </w:pPr>
            <w:r w:rsidRPr="006E24CE">
              <w:t>Annual Budget £m</w:t>
            </w:r>
          </w:p>
        </w:tc>
        <w:tc>
          <w:tcPr>
            <w:tcW w:w="1581" w:type="dxa"/>
          </w:tcPr>
          <w:p w14:paraId="326C7460" w14:textId="77777777" w:rsidR="008E6C11" w:rsidRPr="006E24CE" w:rsidRDefault="008E6C11" w:rsidP="0025345E">
            <w:pPr>
              <w:pStyle w:val="Tableheadingboardreport"/>
            </w:pPr>
            <w:r w:rsidRPr="006E24CE">
              <w:t>Outturn £m</w:t>
            </w:r>
          </w:p>
        </w:tc>
        <w:tc>
          <w:tcPr>
            <w:tcW w:w="1581" w:type="dxa"/>
          </w:tcPr>
          <w:p w14:paraId="05B9666A" w14:textId="77777777" w:rsidR="008E6C11" w:rsidRPr="006E24CE" w:rsidRDefault="008E6C11" w:rsidP="0025345E">
            <w:pPr>
              <w:pStyle w:val="Tableheadingboardreport"/>
              <w:jc w:val="both"/>
            </w:pPr>
            <w:r w:rsidRPr="006E24CE">
              <w:t>Outturn Variance £m</w:t>
            </w:r>
          </w:p>
        </w:tc>
      </w:tr>
      <w:tr w:rsidR="008E6C11" w:rsidRPr="00A77784" w14:paraId="76BE3601" w14:textId="77777777" w:rsidTr="0025345E">
        <w:trPr>
          <w:trHeight w:val="259"/>
        </w:trPr>
        <w:tc>
          <w:tcPr>
            <w:tcW w:w="2850" w:type="dxa"/>
          </w:tcPr>
          <w:p w14:paraId="29390740" w14:textId="326383A7" w:rsidR="008E6C11" w:rsidRPr="00A77784" w:rsidRDefault="000B437B" w:rsidP="0025345E">
            <w:pPr>
              <w:pStyle w:val="Tabletext"/>
              <w:rPr>
                <w:highlight w:val="yellow"/>
              </w:rPr>
            </w:pPr>
            <w:r>
              <w:t>Capital additions</w:t>
            </w:r>
          </w:p>
        </w:tc>
        <w:tc>
          <w:tcPr>
            <w:tcW w:w="1581" w:type="dxa"/>
          </w:tcPr>
          <w:p w14:paraId="0BD7E697" w14:textId="4CD120F1" w:rsidR="008E6C11" w:rsidRPr="00A77784" w:rsidRDefault="000B437B" w:rsidP="0025345E">
            <w:pPr>
              <w:pStyle w:val="Tabletext"/>
              <w:jc w:val="right"/>
              <w:rPr>
                <w:highlight w:val="yellow"/>
              </w:rPr>
            </w:pPr>
            <w:r>
              <w:t>3.1</w:t>
            </w:r>
          </w:p>
        </w:tc>
        <w:tc>
          <w:tcPr>
            <w:tcW w:w="1581" w:type="dxa"/>
          </w:tcPr>
          <w:p w14:paraId="74B5D524" w14:textId="0AD6B027" w:rsidR="008E6C11" w:rsidRPr="00A77784" w:rsidRDefault="000B437B" w:rsidP="0025345E">
            <w:pPr>
              <w:pStyle w:val="Tabletext"/>
              <w:jc w:val="right"/>
              <w:rPr>
                <w:highlight w:val="yellow"/>
              </w:rPr>
            </w:pPr>
            <w:r>
              <w:t>0.4</w:t>
            </w:r>
          </w:p>
        </w:tc>
        <w:tc>
          <w:tcPr>
            <w:tcW w:w="1581" w:type="dxa"/>
          </w:tcPr>
          <w:p w14:paraId="7EBEBF4F" w14:textId="37177FDA" w:rsidR="008E6C11" w:rsidRPr="00A77784" w:rsidRDefault="000B437B" w:rsidP="0025345E">
            <w:pPr>
              <w:pStyle w:val="Tabletext"/>
              <w:jc w:val="right"/>
              <w:rPr>
                <w:highlight w:val="yellow"/>
              </w:rPr>
            </w:pPr>
            <w:r>
              <w:t>(2.7)</w:t>
            </w:r>
          </w:p>
        </w:tc>
      </w:tr>
    </w:tbl>
    <w:p w14:paraId="08E56E23" w14:textId="0116674A" w:rsidR="008E6C11" w:rsidRPr="00A77784" w:rsidRDefault="008E6C11" w:rsidP="00C214BC">
      <w:pPr>
        <w:pStyle w:val="NICEnormal"/>
        <w:rPr>
          <w:highlight w:val="yellow"/>
        </w:rPr>
        <w:sectPr w:rsidR="008E6C11" w:rsidRPr="00A77784" w:rsidSect="00362F96">
          <w:headerReference w:type="default" r:id="rId8"/>
          <w:footerReference w:type="default" r:id="rId9"/>
          <w:pgSz w:w="11906" w:h="16838"/>
          <w:pgMar w:top="1440" w:right="1440" w:bottom="1440" w:left="1440" w:header="708" w:footer="708" w:gutter="0"/>
          <w:cols w:space="708"/>
          <w:docGrid w:linePitch="360"/>
        </w:sectPr>
      </w:pPr>
    </w:p>
    <w:p w14:paraId="25FDAE5D" w14:textId="539ACB28" w:rsidR="00C214BC" w:rsidRPr="00056B8A" w:rsidRDefault="009262FA" w:rsidP="00C214BC">
      <w:pPr>
        <w:pStyle w:val="Heading1boardreport"/>
        <w:rPr>
          <w:lang w:eastAsia="en-US"/>
        </w:rPr>
      </w:pPr>
      <w:r w:rsidRPr="00056B8A">
        <w:rPr>
          <w:lang w:eastAsia="en-US"/>
        </w:rPr>
        <w:lastRenderedPageBreak/>
        <w:t>Appendix B: Transformation update</w:t>
      </w:r>
    </w:p>
    <w:p w14:paraId="26FF25E9" w14:textId="43D4FC29" w:rsidR="00C214BC" w:rsidRPr="00056B8A" w:rsidRDefault="009262FA" w:rsidP="00053413">
      <w:pPr>
        <w:pStyle w:val="Heading2boardreport"/>
      </w:pPr>
      <w:r w:rsidRPr="00056B8A">
        <w:t>Content</w:t>
      </w:r>
      <w:r w:rsidR="002C0E67">
        <w:t xml:space="preserve"> </w:t>
      </w:r>
      <w:r w:rsidRPr="00056B8A">
        <w:t xml:space="preserve">key deliverables status </w:t>
      </w:r>
      <w:r w:rsidR="002C0E67">
        <w:t>2020-21</w:t>
      </w:r>
    </w:p>
    <w:tbl>
      <w:tblPr>
        <w:tblpPr w:leftFromText="180" w:rightFromText="180" w:vertAnchor="text" w:horzAnchor="margin" w:tblpY="241"/>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Expert Group 20-21 key deliverables status "/>
        <w:tblDescription w:val="Table outlining the progress and next steps for outputs of the content expert group."/>
      </w:tblPr>
      <w:tblGrid>
        <w:gridCol w:w="2832"/>
        <w:gridCol w:w="10630"/>
        <w:gridCol w:w="1783"/>
      </w:tblGrid>
      <w:tr w:rsidR="003809C6" w:rsidRPr="00A77784" w14:paraId="1AECD87E" w14:textId="77777777" w:rsidTr="009469B6">
        <w:trPr>
          <w:cantSplit/>
          <w:trHeight w:val="283"/>
          <w:tblHeader/>
        </w:trPr>
        <w:tc>
          <w:tcPr>
            <w:tcW w:w="2832" w:type="dxa"/>
          </w:tcPr>
          <w:p w14:paraId="7DF97143" w14:textId="69F2B0E0" w:rsidR="003809C6" w:rsidRPr="00056B8A" w:rsidRDefault="003809C6" w:rsidP="00AC1045">
            <w:pPr>
              <w:pStyle w:val="Tableheadingboardreport"/>
            </w:pPr>
            <w:r w:rsidRPr="00056B8A">
              <w:t>Output</w:t>
            </w:r>
          </w:p>
        </w:tc>
        <w:tc>
          <w:tcPr>
            <w:tcW w:w="10630" w:type="dxa"/>
          </w:tcPr>
          <w:p w14:paraId="3B0A0649" w14:textId="0CE820C8" w:rsidR="003809C6" w:rsidRPr="00056B8A" w:rsidRDefault="003809C6" w:rsidP="00AC1045">
            <w:pPr>
              <w:pStyle w:val="Tableheadingboardreport"/>
            </w:pPr>
            <w:r w:rsidRPr="00056B8A">
              <w:t>Update</w:t>
            </w:r>
          </w:p>
        </w:tc>
        <w:tc>
          <w:tcPr>
            <w:tcW w:w="1783" w:type="dxa"/>
          </w:tcPr>
          <w:p w14:paraId="566FD28A" w14:textId="5D75AA70" w:rsidR="003809C6" w:rsidRPr="00056B8A" w:rsidRDefault="003809C6" w:rsidP="00AC1045">
            <w:pPr>
              <w:pStyle w:val="Tableheadingboardreport"/>
            </w:pPr>
            <w:r>
              <w:t>Status</w:t>
            </w:r>
          </w:p>
        </w:tc>
      </w:tr>
      <w:tr w:rsidR="003809C6" w:rsidRPr="00A77784" w14:paraId="1C48026F" w14:textId="77777777" w:rsidTr="009469B6">
        <w:trPr>
          <w:trHeight w:val="283"/>
        </w:trPr>
        <w:tc>
          <w:tcPr>
            <w:tcW w:w="2832" w:type="dxa"/>
          </w:tcPr>
          <w:p w14:paraId="0B3A23E2" w14:textId="2B4F90F5" w:rsidR="003809C6" w:rsidRPr="00A77784" w:rsidRDefault="003809C6" w:rsidP="00BA2586">
            <w:pPr>
              <w:pStyle w:val="Tabletext"/>
              <w:rPr>
                <w:b/>
                <w:bCs/>
                <w:highlight w:val="yellow"/>
              </w:rPr>
            </w:pPr>
            <w:r w:rsidRPr="00056B8A">
              <w:rPr>
                <w:b/>
                <w:bCs/>
              </w:rPr>
              <w:t>Content Strategy</w:t>
            </w:r>
          </w:p>
        </w:tc>
        <w:tc>
          <w:tcPr>
            <w:tcW w:w="10630" w:type="dxa"/>
          </w:tcPr>
          <w:p w14:paraId="3C021F1B" w14:textId="2C870235" w:rsidR="003809C6" w:rsidRPr="00A77784" w:rsidRDefault="003809C6" w:rsidP="00BA2586">
            <w:pPr>
              <w:pStyle w:val="Tabletext"/>
              <w:rPr>
                <w:highlight w:val="yellow"/>
              </w:rPr>
            </w:pPr>
            <w:r w:rsidRPr="00056B8A">
              <w:t>Content strategy approved by ET on 30 March.</w:t>
            </w:r>
            <w:r>
              <w:t xml:space="preserve"> A content strategy plan is in development to support 21/22 activity.</w:t>
            </w:r>
          </w:p>
        </w:tc>
        <w:tc>
          <w:tcPr>
            <w:tcW w:w="1783" w:type="dxa"/>
          </w:tcPr>
          <w:p w14:paraId="03FD0225" w14:textId="526C646C" w:rsidR="003809C6" w:rsidRPr="00A77784" w:rsidRDefault="003809C6" w:rsidP="00BA2586">
            <w:pPr>
              <w:pStyle w:val="Tabletext"/>
              <w:rPr>
                <w:b/>
                <w:bCs/>
                <w:highlight w:val="yellow"/>
              </w:rPr>
            </w:pPr>
            <w:r>
              <w:rPr>
                <w:b/>
                <w:bCs/>
              </w:rPr>
              <w:t>Complete</w:t>
            </w:r>
          </w:p>
        </w:tc>
      </w:tr>
      <w:tr w:rsidR="003809C6" w:rsidRPr="00A77784" w14:paraId="6C45BB41" w14:textId="77777777" w:rsidTr="009469B6">
        <w:trPr>
          <w:trHeight w:val="283"/>
        </w:trPr>
        <w:tc>
          <w:tcPr>
            <w:tcW w:w="2832" w:type="dxa"/>
          </w:tcPr>
          <w:p w14:paraId="4DE00ABD" w14:textId="3D2541D6" w:rsidR="003809C6" w:rsidRPr="00A77784" w:rsidRDefault="003809C6" w:rsidP="00BA2586">
            <w:pPr>
              <w:pStyle w:val="Tabletext"/>
              <w:rPr>
                <w:b/>
                <w:bCs/>
                <w:highlight w:val="yellow"/>
              </w:rPr>
            </w:pPr>
            <w:r w:rsidRPr="00056B8A">
              <w:rPr>
                <w:b/>
                <w:bCs/>
              </w:rPr>
              <w:t>Integrated Guidance</w:t>
            </w:r>
          </w:p>
        </w:tc>
        <w:tc>
          <w:tcPr>
            <w:tcW w:w="10630" w:type="dxa"/>
          </w:tcPr>
          <w:p w14:paraId="2708DAB7" w14:textId="6F15FCA9" w:rsidR="003809C6" w:rsidRPr="00A77784" w:rsidRDefault="003809C6" w:rsidP="00BA2586">
            <w:pPr>
              <w:pStyle w:val="Tabletext"/>
              <w:rPr>
                <w:highlight w:val="yellow"/>
              </w:rPr>
            </w:pPr>
            <w:r w:rsidRPr="00056B8A">
              <w:t>Phase 1 work completed, with all primary and secondary objectives outlined within the PID achieved. Phase 2 planning is underway.</w:t>
            </w:r>
          </w:p>
        </w:tc>
        <w:tc>
          <w:tcPr>
            <w:tcW w:w="1783" w:type="dxa"/>
          </w:tcPr>
          <w:p w14:paraId="52038658" w14:textId="20476C64" w:rsidR="003809C6" w:rsidRPr="00A77784" w:rsidRDefault="003809C6" w:rsidP="00BA2586">
            <w:pPr>
              <w:pStyle w:val="Tabletext"/>
              <w:rPr>
                <w:b/>
                <w:bCs/>
                <w:highlight w:val="yellow"/>
              </w:rPr>
            </w:pPr>
            <w:r>
              <w:rPr>
                <w:b/>
                <w:bCs/>
              </w:rPr>
              <w:t>On target</w:t>
            </w:r>
          </w:p>
        </w:tc>
      </w:tr>
      <w:tr w:rsidR="003809C6" w:rsidRPr="00A77784" w14:paraId="0CB638F3" w14:textId="77777777" w:rsidTr="009469B6">
        <w:trPr>
          <w:trHeight w:val="283"/>
        </w:trPr>
        <w:tc>
          <w:tcPr>
            <w:tcW w:w="2832" w:type="dxa"/>
          </w:tcPr>
          <w:p w14:paraId="1192309F" w14:textId="2F819F29" w:rsidR="003809C6" w:rsidRPr="00A77784" w:rsidRDefault="003809C6" w:rsidP="00BA2586">
            <w:pPr>
              <w:pStyle w:val="Tabletext"/>
              <w:rPr>
                <w:b/>
                <w:bCs/>
                <w:highlight w:val="yellow"/>
              </w:rPr>
            </w:pPr>
            <w:r w:rsidRPr="00056B8A">
              <w:rPr>
                <w:b/>
                <w:bCs/>
              </w:rPr>
              <w:t>Structured Authoring Tool</w:t>
            </w:r>
          </w:p>
        </w:tc>
        <w:tc>
          <w:tcPr>
            <w:tcW w:w="10630" w:type="dxa"/>
          </w:tcPr>
          <w:p w14:paraId="6E9979F0" w14:textId="56CAD225" w:rsidR="003809C6" w:rsidRPr="00A77784" w:rsidRDefault="003809C6" w:rsidP="00BA2586">
            <w:pPr>
              <w:pStyle w:val="Tabletext"/>
              <w:rPr>
                <w:highlight w:val="yellow"/>
              </w:rPr>
            </w:pPr>
            <w:r w:rsidRPr="00056B8A">
              <w:t xml:space="preserve">The Board approved the use of </w:t>
            </w:r>
            <w:proofErr w:type="spellStart"/>
            <w:r w:rsidRPr="00056B8A">
              <w:t>MAGICapp</w:t>
            </w:r>
            <w:proofErr w:type="spellEnd"/>
            <w:r w:rsidRPr="00056B8A">
              <w:t xml:space="preserve"> on 23 March</w:t>
            </w:r>
            <w:r w:rsidR="00872ED6">
              <w:t>.</w:t>
            </w:r>
            <w:r>
              <w:t xml:space="preserve"> Next steps are to produce a plan of activity for the current year including a full audit of the app.</w:t>
            </w:r>
          </w:p>
        </w:tc>
        <w:tc>
          <w:tcPr>
            <w:tcW w:w="1783" w:type="dxa"/>
          </w:tcPr>
          <w:p w14:paraId="137BBAB4" w14:textId="0703A8DF" w:rsidR="003809C6" w:rsidRPr="00A77784" w:rsidRDefault="003809C6" w:rsidP="00BA2586">
            <w:pPr>
              <w:pStyle w:val="Tabletext"/>
              <w:rPr>
                <w:b/>
                <w:bCs/>
                <w:highlight w:val="yellow"/>
              </w:rPr>
            </w:pPr>
            <w:r>
              <w:rPr>
                <w:b/>
                <w:bCs/>
              </w:rPr>
              <w:t>On target</w:t>
            </w:r>
          </w:p>
        </w:tc>
      </w:tr>
      <w:tr w:rsidR="003809C6" w:rsidRPr="00A77784" w14:paraId="6A36B403" w14:textId="77777777" w:rsidTr="009469B6">
        <w:trPr>
          <w:trHeight w:val="283"/>
        </w:trPr>
        <w:tc>
          <w:tcPr>
            <w:tcW w:w="2832" w:type="dxa"/>
          </w:tcPr>
          <w:p w14:paraId="45B38689" w14:textId="5B21C600" w:rsidR="003809C6" w:rsidRPr="00A77784" w:rsidRDefault="003809C6" w:rsidP="00BA2586">
            <w:pPr>
              <w:pStyle w:val="Tabletext"/>
              <w:rPr>
                <w:b/>
                <w:bCs/>
                <w:highlight w:val="yellow"/>
              </w:rPr>
            </w:pPr>
            <w:r w:rsidRPr="00056B8A">
              <w:rPr>
                <w:b/>
                <w:bCs/>
              </w:rPr>
              <w:t xml:space="preserve">Life Sciences Hub </w:t>
            </w:r>
            <w:r w:rsidRPr="00056B8A">
              <w:t>– “light-touch” discovery</w:t>
            </w:r>
          </w:p>
        </w:tc>
        <w:tc>
          <w:tcPr>
            <w:tcW w:w="10630" w:type="dxa"/>
          </w:tcPr>
          <w:p w14:paraId="2B4725EB" w14:textId="37C65AEA" w:rsidR="003809C6" w:rsidRPr="00A77784" w:rsidRDefault="003809C6" w:rsidP="00BA2586">
            <w:pPr>
              <w:pStyle w:val="Tabletext"/>
              <w:rPr>
                <w:highlight w:val="yellow"/>
              </w:rPr>
            </w:pPr>
            <w:r w:rsidRPr="00056B8A">
              <w:t>The initial ‘light-touch’ discovery has progressed well. A discovery workshop took place during February.</w:t>
            </w:r>
            <w:r>
              <w:t xml:space="preserve"> Feedback from the workshop will be incorporated into a roadmap for 21/22 website development. </w:t>
            </w:r>
          </w:p>
        </w:tc>
        <w:tc>
          <w:tcPr>
            <w:tcW w:w="1783" w:type="dxa"/>
          </w:tcPr>
          <w:p w14:paraId="75737AB0" w14:textId="3272297C" w:rsidR="003809C6" w:rsidRPr="00A77784" w:rsidRDefault="003809C6" w:rsidP="00BA2586">
            <w:pPr>
              <w:pStyle w:val="Tabletext"/>
              <w:rPr>
                <w:b/>
                <w:bCs/>
                <w:highlight w:val="yellow"/>
              </w:rPr>
            </w:pPr>
            <w:r>
              <w:rPr>
                <w:b/>
                <w:bCs/>
              </w:rPr>
              <w:t>Complete</w:t>
            </w:r>
          </w:p>
        </w:tc>
      </w:tr>
      <w:tr w:rsidR="003809C6" w:rsidRPr="00A77784" w14:paraId="1642C596" w14:textId="77777777" w:rsidTr="009469B6">
        <w:trPr>
          <w:trHeight w:val="283"/>
        </w:trPr>
        <w:tc>
          <w:tcPr>
            <w:tcW w:w="2832" w:type="dxa"/>
          </w:tcPr>
          <w:p w14:paraId="4FA4BD84" w14:textId="00E4BE81" w:rsidR="003809C6" w:rsidRPr="00A77784" w:rsidRDefault="003809C6" w:rsidP="00BA2586">
            <w:pPr>
              <w:pStyle w:val="Tabletext"/>
              <w:rPr>
                <w:b/>
                <w:bCs/>
                <w:highlight w:val="yellow"/>
              </w:rPr>
            </w:pPr>
            <w:r w:rsidRPr="00056B8A">
              <w:rPr>
                <w:b/>
                <w:bCs/>
              </w:rPr>
              <w:t>Citable publications</w:t>
            </w:r>
            <w:r>
              <w:rPr>
                <w:b/>
                <w:bCs/>
              </w:rPr>
              <w:t xml:space="preserve"> - </w:t>
            </w:r>
            <w:r w:rsidRPr="00056B8A">
              <w:t>feasibility study</w:t>
            </w:r>
          </w:p>
        </w:tc>
        <w:tc>
          <w:tcPr>
            <w:tcW w:w="10630" w:type="dxa"/>
          </w:tcPr>
          <w:p w14:paraId="7A8AAB5F" w14:textId="384199B1" w:rsidR="003809C6" w:rsidRPr="00A77784" w:rsidRDefault="003809C6" w:rsidP="00BA2586">
            <w:pPr>
              <w:pStyle w:val="Tabletext"/>
              <w:rPr>
                <w:highlight w:val="yellow"/>
              </w:rPr>
            </w:pPr>
            <w:r w:rsidRPr="00056B8A">
              <w:t>The project team completed their feasibility study and presented options to Steering Group on 18 March to make NICE ‘review’ content findable / citeable. Option to develop the relationship with NCBI Bookshelf approved.</w:t>
            </w:r>
          </w:p>
        </w:tc>
        <w:tc>
          <w:tcPr>
            <w:tcW w:w="1783" w:type="dxa"/>
          </w:tcPr>
          <w:p w14:paraId="0D808389" w14:textId="60AE55E8" w:rsidR="003809C6" w:rsidRPr="00A77784" w:rsidRDefault="003809C6" w:rsidP="00BA2586">
            <w:pPr>
              <w:pStyle w:val="Tabletext"/>
              <w:rPr>
                <w:b/>
                <w:bCs/>
                <w:highlight w:val="yellow"/>
              </w:rPr>
            </w:pPr>
            <w:r>
              <w:rPr>
                <w:b/>
                <w:bCs/>
              </w:rPr>
              <w:t>Complete</w:t>
            </w:r>
          </w:p>
        </w:tc>
      </w:tr>
    </w:tbl>
    <w:p w14:paraId="74ECCA9D" w14:textId="77777777" w:rsidR="00053413" w:rsidRDefault="00053413" w:rsidP="00F7588A">
      <w:pPr>
        <w:pStyle w:val="Heading2boardreport"/>
        <w:outlineLvl w:val="9"/>
      </w:pPr>
    </w:p>
    <w:p w14:paraId="74430906" w14:textId="15AA93E7" w:rsidR="00053413" w:rsidRDefault="00053413" w:rsidP="00F7588A">
      <w:pPr>
        <w:pStyle w:val="Heading2boardreport"/>
        <w:outlineLvl w:val="9"/>
      </w:pPr>
    </w:p>
    <w:p w14:paraId="4BF8BDCA" w14:textId="2095C30E" w:rsidR="00053413" w:rsidRDefault="00053413" w:rsidP="00053413">
      <w:pPr>
        <w:pStyle w:val="NICEnormal"/>
        <w:rPr>
          <w:lang w:eastAsia="en-GB"/>
        </w:rPr>
      </w:pPr>
    </w:p>
    <w:p w14:paraId="2C68AD4E" w14:textId="77777777" w:rsidR="00053413" w:rsidRPr="00053413" w:rsidRDefault="00053413" w:rsidP="00053413">
      <w:pPr>
        <w:pStyle w:val="NICEnormal"/>
        <w:rPr>
          <w:lang w:eastAsia="en-GB"/>
        </w:rPr>
      </w:pPr>
    </w:p>
    <w:p w14:paraId="3DDCFB23" w14:textId="4ABE2EC1" w:rsidR="00DD7990" w:rsidRPr="00053413" w:rsidRDefault="00DD7990" w:rsidP="00053413">
      <w:pPr>
        <w:pStyle w:val="Heading2boardreport"/>
      </w:pPr>
      <w:r w:rsidRPr="00053413">
        <w:lastRenderedPageBreak/>
        <w:t>Data Management key deliverables status</w:t>
      </w:r>
      <w:r w:rsidR="002C0E67" w:rsidRPr="00053413">
        <w:t xml:space="preserve"> 2020-21</w:t>
      </w:r>
    </w:p>
    <w:p w14:paraId="730C6B51" w14:textId="77777777" w:rsidR="009469B6" w:rsidRDefault="009469B6" w:rsidP="00053413"/>
    <w:tbl>
      <w:tblPr>
        <w:tblpPr w:leftFromText="180" w:rightFromText="180" w:vertAnchor="text" w:horzAnchor="margin" w:tblpY="-266"/>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Management Expert Group 20-21 key deliverables status"/>
        <w:tblDescription w:val="Table outlining the progress and next steps for outputs of the data management expert group."/>
      </w:tblPr>
      <w:tblGrid>
        <w:gridCol w:w="2845"/>
        <w:gridCol w:w="10649"/>
        <w:gridCol w:w="1760"/>
      </w:tblGrid>
      <w:tr w:rsidR="003809C6" w:rsidRPr="00A77784" w14:paraId="0548AA54" w14:textId="77777777" w:rsidTr="009469B6">
        <w:trPr>
          <w:cantSplit/>
          <w:trHeight w:val="490"/>
          <w:tblHeader/>
        </w:trPr>
        <w:tc>
          <w:tcPr>
            <w:tcW w:w="2845" w:type="dxa"/>
          </w:tcPr>
          <w:p w14:paraId="09D96A37" w14:textId="3E7E00E8" w:rsidR="003809C6" w:rsidRPr="004550EC" w:rsidRDefault="003809C6" w:rsidP="009469B6">
            <w:pPr>
              <w:pStyle w:val="Tableheadingboardreport"/>
            </w:pPr>
            <w:r w:rsidRPr="004550EC">
              <w:t>Output</w:t>
            </w:r>
          </w:p>
        </w:tc>
        <w:tc>
          <w:tcPr>
            <w:tcW w:w="10649" w:type="dxa"/>
          </w:tcPr>
          <w:p w14:paraId="74CC7BD8" w14:textId="77777777" w:rsidR="003809C6" w:rsidRPr="004550EC" w:rsidRDefault="003809C6" w:rsidP="009469B6">
            <w:pPr>
              <w:pStyle w:val="Tableheadingboardreport"/>
            </w:pPr>
            <w:r w:rsidRPr="004550EC">
              <w:t>Update</w:t>
            </w:r>
          </w:p>
        </w:tc>
        <w:tc>
          <w:tcPr>
            <w:tcW w:w="1760" w:type="dxa"/>
          </w:tcPr>
          <w:p w14:paraId="21BDB154" w14:textId="76074818" w:rsidR="003809C6" w:rsidRPr="004550EC" w:rsidRDefault="003809C6" w:rsidP="009469B6">
            <w:pPr>
              <w:pStyle w:val="Tableheadingboardreport"/>
            </w:pPr>
            <w:r>
              <w:t>Status</w:t>
            </w:r>
          </w:p>
        </w:tc>
      </w:tr>
      <w:tr w:rsidR="003809C6" w:rsidRPr="00A77784" w14:paraId="0795EDCB" w14:textId="77777777" w:rsidTr="009469B6">
        <w:trPr>
          <w:trHeight w:val="490"/>
        </w:trPr>
        <w:tc>
          <w:tcPr>
            <w:tcW w:w="2845" w:type="dxa"/>
          </w:tcPr>
          <w:p w14:paraId="4FBAFE94" w14:textId="77777777" w:rsidR="003809C6" w:rsidRPr="004550EC" w:rsidRDefault="003809C6" w:rsidP="009469B6">
            <w:pPr>
              <w:pStyle w:val="Tabletext"/>
              <w:rPr>
                <w:b/>
                <w:bCs/>
              </w:rPr>
            </w:pPr>
            <w:r w:rsidRPr="004550EC">
              <w:rPr>
                <w:b/>
                <w:bCs/>
              </w:rPr>
              <w:t>SharePoint investment decision</w:t>
            </w:r>
            <w:r>
              <w:rPr>
                <w:b/>
                <w:bCs/>
              </w:rPr>
              <w:t xml:space="preserve"> </w:t>
            </w:r>
            <w:r w:rsidRPr="004550EC">
              <w:rPr>
                <w:b/>
                <w:bCs/>
              </w:rPr>
              <w:t>(Now Digital Workplace)</w:t>
            </w:r>
          </w:p>
        </w:tc>
        <w:tc>
          <w:tcPr>
            <w:tcW w:w="10649" w:type="dxa"/>
          </w:tcPr>
          <w:p w14:paraId="54D172E0" w14:textId="21A7652A" w:rsidR="003809C6" w:rsidRPr="00A77784" w:rsidRDefault="003809C6" w:rsidP="009469B6">
            <w:pPr>
              <w:rPr>
                <w:highlight w:val="yellow"/>
              </w:rPr>
            </w:pPr>
            <w:r w:rsidRPr="004550EC">
              <w:rPr>
                <w:rFonts w:ascii="Arial" w:hAnsi="Arial"/>
                <w:sz w:val="22"/>
              </w:rPr>
              <w:t>Digital Workplace full business case finalised</w:t>
            </w:r>
            <w:r>
              <w:rPr>
                <w:rFonts w:ascii="Arial" w:hAnsi="Arial"/>
                <w:sz w:val="22"/>
              </w:rPr>
              <w:t xml:space="preserve"> for Board approval in May </w:t>
            </w:r>
            <w:r w:rsidRPr="004550EC">
              <w:rPr>
                <w:rFonts w:ascii="Arial" w:hAnsi="Arial"/>
                <w:sz w:val="22"/>
              </w:rPr>
              <w:t>“Case for Change” presented to Board in April.</w:t>
            </w:r>
          </w:p>
        </w:tc>
        <w:tc>
          <w:tcPr>
            <w:tcW w:w="1760" w:type="dxa"/>
          </w:tcPr>
          <w:p w14:paraId="51781A4D" w14:textId="2DE0BF78" w:rsidR="003809C6" w:rsidRPr="00A77784" w:rsidRDefault="003809C6" w:rsidP="009469B6">
            <w:pPr>
              <w:pStyle w:val="Tabletext"/>
              <w:rPr>
                <w:b/>
                <w:bCs/>
                <w:highlight w:val="yellow"/>
              </w:rPr>
            </w:pPr>
            <w:r>
              <w:rPr>
                <w:b/>
                <w:bCs/>
              </w:rPr>
              <w:t>On target</w:t>
            </w:r>
          </w:p>
        </w:tc>
      </w:tr>
      <w:tr w:rsidR="003809C6" w:rsidRPr="00A77784" w14:paraId="0B2FDBD5" w14:textId="77777777" w:rsidTr="009469B6">
        <w:trPr>
          <w:trHeight w:val="490"/>
        </w:trPr>
        <w:tc>
          <w:tcPr>
            <w:tcW w:w="2845" w:type="dxa"/>
          </w:tcPr>
          <w:p w14:paraId="1DD04BDB" w14:textId="77777777" w:rsidR="003809C6" w:rsidRPr="00A77784" w:rsidRDefault="003809C6" w:rsidP="009469B6">
            <w:pPr>
              <w:pStyle w:val="Tabletext"/>
              <w:rPr>
                <w:b/>
                <w:bCs/>
                <w:highlight w:val="yellow"/>
              </w:rPr>
            </w:pPr>
            <w:r w:rsidRPr="004550EC">
              <w:rPr>
                <w:b/>
                <w:bCs/>
              </w:rPr>
              <w:t>Continue roll out of next phase of comment collection tool</w:t>
            </w:r>
          </w:p>
        </w:tc>
        <w:tc>
          <w:tcPr>
            <w:tcW w:w="10649" w:type="dxa"/>
          </w:tcPr>
          <w:p w14:paraId="5AFAD27F" w14:textId="77777777" w:rsidR="003809C6" w:rsidRPr="004550EC" w:rsidRDefault="003809C6" w:rsidP="009469B6">
            <w:pPr>
              <w:rPr>
                <w:rFonts w:ascii="Arial" w:hAnsi="Arial"/>
                <w:sz w:val="22"/>
              </w:rPr>
            </w:pPr>
            <w:r w:rsidRPr="004550EC">
              <w:rPr>
                <w:rFonts w:ascii="Arial" w:hAnsi="Arial"/>
                <w:sz w:val="22"/>
              </w:rPr>
              <w:t xml:space="preserve">This is a tool to make it easier for external stakeholders to provide feedback on our consultations - public beta is underway. After pausing work for UK </w:t>
            </w:r>
            <w:proofErr w:type="spellStart"/>
            <w:r w:rsidRPr="004550EC">
              <w:rPr>
                <w:rFonts w:ascii="Arial" w:hAnsi="Arial"/>
                <w:sz w:val="22"/>
              </w:rPr>
              <w:t>PharmaScan</w:t>
            </w:r>
            <w:proofErr w:type="spellEnd"/>
            <w:r w:rsidRPr="004550EC">
              <w:rPr>
                <w:rFonts w:ascii="Arial" w:hAnsi="Arial"/>
                <w:sz w:val="22"/>
              </w:rPr>
              <w:t xml:space="preserve"> Brexit changes, work has resumed on organisational commenting feature.</w:t>
            </w:r>
          </w:p>
          <w:p w14:paraId="636A25FB" w14:textId="77777777" w:rsidR="003809C6" w:rsidRPr="00A77784" w:rsidRDefault="003809C6" w:rsidP="009469B6">
            <w:pPr>
              <w:pStyle w:val="Tabletext"/>
              <w:rPr>
                <w:highlight w:val="yellow"/>
              </w:rPr>
            </w:pPr>
          </w:p>
        </w:tc>
        <w:tc>
          <w:tcPr>
            <w:tcW w:w="1760" w:type="dxa"/>
          </w:tcPr>
          <w:p w14:paraId="5BB35E27" w14:textId="221E35D0" w:rsidR="003809C6" w:rsidRPr="00A77784" w:rsidRDefault="003809C6" w:rsidP="009469B6">
            <w:pPr>
              <w:pStyle w:val="Tabletext"/>
              <w:rPr>
                <w:b/>
                <w:bCs/>
                <w:highlight w:val="yellow"/>
              </w:rPr>
            </w:pPr>
            <w:r>
              <w:rPr>
                <w:b/>
                <w:bCs/>
              </w:rPr>
              <w:t>On target</w:t>
            </w:r>
          </w:p>
        </w:tc>
      </w:tr>
    </w:tbl>
    <w:p w14:paraId="226A9C03" w14:textId="57E03850" w:rsidR="00053413" w:rsidRPr="00053413" w:rsidRDefault="009262FA" w:rsidP="00053413">
      <w:pPr>
        <w:pStyle w:val="Heading2boardreport"/>
      </w:pPr>
      <w:r w:rsidRPr="000E456C">
        <w:t>Process, Methods &amp; Analytics</w:t>
      </w:r>
      <w:r w:rsidR="002C0E67">
        <w:t xml:space="preserve"> </w:t>
      </w:r>
      <w:r w:rsidRPr="000E456C">
        <w:t xml:space="preserve">key deliverables status </w:t>
      </w:r>
      <w:r w:rsidR="002C0E67">
        <w:t>2020-21</w:t>
      </w:r>
    </w:p>
    <w:tbl>
      <w:tblPr>
        <w:tblpPr w:leftFromText="180" w:rightFromText="180" w:vertAnchor="text" w:horzAnchor="margin" w:tblpY="241"/>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ss, Methods &amp; Analytics Expert Group 20-21 key deliverables status"/>
        <w:tblDescription w:val="Table outlining the progress and next steps for outputs of the process, methods and analytics expert group."/>
      </w:tblPr>
      <w:tblGrid>
        <w:gridCol w:w="2781"/>
        <w:gridCol w:w="10702"/>
        <w:gridCol w:w="1759"/>
      </w:tblGrid>
      <w:tr w:rsidR="003809C6" w:rsidRPr="00A77784" w14:paraId="60075D40" w14:textId="77777777" w:rsidTr="009469B6">
        <w:trPr>
          <w:cantSplit/>
          <w:trHeight w:val="319"/>
          <w:tblHeader/>
        </w:trPr>
        <w:tc>
          <w:tcPr>
            <w:tcW w:w="2781" w:type="dxa"/>
          </w:tcPr>
          <w:p w14:paraId="69E44D58" w14:textId="73AAEF52" w:rsidR="003809C6" w:rsidRPr="000E456C" w:rsidRDefault="003809C6" w:rsidP="00AB4518">
            <w:pPr>
              <w:pStyle w:val="Tableheadingboardreport"/>
              <w:rPr>
                <w:b w:val="0"/>
                <w:bCs/>
              </w:rPr>
            </w:pPr>
            <w:r w:rsidRPr="000E456C">
              <w:t>Output</w:t>
            </w:r>
          </w:p>
        </w:tc>
        <w:tc>
          <w:tcPr>
            <w:tcW w:w="10702" w:type="dxa"/>
          </w:tcPr>
          <w:p w14:paraId="7ACA8EE9" w14:textId="049F9EF7" w:rsidR="003809C6" w:rsidRPr="000E456C" w:rsidRDefault="003809C6" w:rsidP="00AB4518">
            <w:pPr>
              <w:pStyle w:val="Tableheadingboardreport"/>
              <w:rPr>
                <w:b w:val="0"/>
                <w:bCs/>
              </w:rPr>
            </w:pPr>
            <w:r w:rsidRPr="000E456C">
              <w:t>Update</w:t>
            </w:r>
          </w:p>
        </w:tc>
        <w:tc>
          <w:tcPr>
            <w:tcW w:w="1759" w:type="dxa"/>
          </w:tcPr>
          <w:p w14:paraId="4E3846F7" w14:textId="4E83568B" w:rsidR="003809C6" w:rsidRPr="000E456C" w:rsidRDefault="003809C6" w:rsidP="00AB4518">
            <w:pPr>
              <w:pStyle w:val="Tableheadingboardreport"/>
              <w:rPr>
                <w:b w:val="0"/>
                <w:bCs/>
              </w:rPr>
            </w:pPr>
            <w:r>
              <w:t>Status</w:t>
            </w:r>
          </w:p>
        </w:tc>
      </w:tr>
      <w:tr w:rsidR="003809C6" w:rsidRPr="00A77784" w14:paraId="4694EBAC" w14:textId="77777777" w:rsidTr="009469B6">
        <w:trPr>
          <w:trHeight w:val="319"/>
        </w:trPr>
        <w:tc>
          <w:tcPr>
            <w:tcW w:w="2781" w:type="dxa"/>
          </w:tcPr>
          <w:p w14:paraId="15915331" w14:textId="293B8699" w:rsidR="003809C6" w:rsidRPr="00A77784" w:rsidRDefault="003809C6" w:rsidP="00D61839">
            <w:pPr>
              <w:pStyle w:val="Tabletext"/>
              <w:rPr>
                <w:b/>
                <w:bCs/>
                <w:highlight w:val="yellow"/>
              </w:rPr>
            </w:pPr>
            <w:r w:rsidRPr="00094928">
              <w:rPr>
                <w:b/>
                <w:bCs/>
              </w:rPr>
              <w:t>Integrated Surveillance</w:t>
            </w:r>
          </w:p>
        </w:tc>
        <w:tc>
          <w:tcPr>
            <w:tcW w:w="10702" w:type="dxa"/>
          </w:tcPr>
          <w:p w14:paraId="150BB54F" w14:textId="58B1D28B" w:rsidR="003809C6" w:rsidRPr="00A77784" w:rsidRDefault="003809C6" w:rsidP="00D61839">
            <w:pPr>
              <w:pStyle w:val="Tabletext"/>
              <w:rPr>
                <w:highlight w:val="yellow"/>
              </w:rPr>
            </w:pPr>
            <w:r w:rsidRPr="00094928">
              <w:t>Options appraisal presented to PMA on 22 March with option 5 (Redesign Surveillance) approved as the long-term option</w:t>
            </w:r>
            <w:r w:rsidR="00563C69">
              <w:t>.</w:t>
            </w:r>
          </w:p>
        </w:tc>
        <w:tc>
          <w:tcPr>
            <w:tcW w:w="1759" w:type="dxa"/>
          </w:tcPr>
          <w:p w14:paraId="16C2B48B" w14:textId="3E1F35E3" w:rsidR="003809C6" w:rsidRPr="00A77784" w:rsidRDefault="00F07177" w:rsidP="00D61839">
            <w:pPr>
              <w:pStyle w:val="Tabletext"/>
              <w:rPr>
                <w:b/>
                <w:bCs/>
                <w:highlight w:val="yellow"/>
              </w:rPr>
            </w:pPr>
            <w:r>
              <w:rPr>
                <w:b/>
                <w:bCs/>
              </w:rPr>
              <w:t>Complete</w:t>
            </w:r>
          </w:p>
        </w:tc>
      </w:tr>
      <w:tr w:rsidR="003809C6" w:rsidRPr="00A77784" w14:paraId="5BC8D4B5" w14:textId="77777777" w:rsidTr="009469B6">
        <w:trPr>
          <w:trHeight w:val="319"/>
        </w:trPr>
        <w:tc>
          <w:tcPr>
            <w:tcW w:w="2781" w:type="dxa"/>
          </w:tcPr>
          <w:p w14:paraId="4E2E36F2" w14:textId="151C4467" w:rsidR="003809C6" w:rsidRPr="00A77784" w:rsidRDefault="003809C6" w:rsidP="00D61839">
            <w:pPr>
              <w:pStyle w:val="Tabletext"/>
              <w:rPr>
                <w:b/>
                <w:bCs/>
                <w:highlight w:val="yellow"/>
              </w:rPr>
            </w:pPr>
            <w:r w:rsidRPr="00094928">
              <w:rPr>
                <w:b/>
                <w:bCs/>
              </w:rPr>
              <w:t>CHTE updated methods &amp; processes</w:t>
            </w:r>
          </w:p>
        </w:tc>
        <w:tc>
          <w:tcPr>
            <w:tcW w:w="10702" w:type="dxa"/>
          </w:tcPr>
          <w:p w14:paraId="13444C75" w14:textId="56409241" w:rsidR="003809C6" w:rsidRPr="00A77784" w:rsidRDefault="003809C6" w:rsidP="00094928">
            <w:pPr>
              <w:pStyle w:val="Tabletext"/>
              <w:rPr>
                <w:highlight w:val="yellow"/>
              </w:rPr>
            </w:pPr>
            <w:r>
              <w:t xml:space="preserve">Process consultation started on 4 February and closed on 15 April. Outcome to be shared with ET and Board in July. </w:t>
            </w:r>
          </w:p>
        </w:tc>
        <w:tc>
          <w:tcPr>
            <w:tcW w:w="1759" w:type="dxa"/>
          </w:tcPr>
          <w:p w14:paraId="461CD94A" w14:textId="0637BA08" w:rsidR="003809C6" w:rsidRPr="00A77784" w:rsidRDefault="00F07177" w:rsidP="00D61839">
            <w:pPr>
              <w:pStyle w:val="Tabletext"/>
              <w:rPr>
                <w:b/>
                <w:bCs/>
                <w:highlight w:val="yellow"/>
              </w:rPr>
            </w:pPr>
            <w:r>
              <w:rPr>
                <w:b/>
                <w:bCs/>
              </w:rPr>
              <w:t>On target</w:t>
            </w:r>
          </w:p>
        </w:tc>
      </w:tr>
      <w:tr w:rsidR="003809C6" w:rsidRPr="00A77784" w14:paraId="47EAACD5" w14:textId="77777777" w:rsidTr="009469B6">
        <w:trPr>
          <w:trHeight w:val="319"/>
        </w:trPr>
        <w:tc>
          <w:tcPr>
            <w:tcW w:w="2781" w:type="dxa"/>
          </w:tcPr>
          <w:p w14:paraId="5A2201A5" w14:textId="6795A2D3" w:rsidR="003809C6" w:rsidRPr="00A77784" w:rsidRDefault="003809C6" w:rsidP="00D61839">
            <w:pPr>
              <w:pStyle w:val="Tabletext"/>
              <w:rPr>
                <w:b/>
                <w:bCs/>
                <w:highlight w:val="yellow"/>
              </w:rPr>
            </w:pPr>
            <w:r w:rsidRPr="00094928">
              <w:rPr>
                <w:b/>
                <w:bCs/>
              </w:rPr>
              <w:t>NICE-wide consultation activities (for guidance products)</w:t>
            </w:r>
          </w:p>
        </w:tc>
        <w:tc>
          <w:tcPr>
            <w:tcW w:w="10702" w:type="dxa"/>
          </w:tcPr>
          <w:p w14:paraId="2C7A1EA7" w14:textId="41D1991B" w:rsidR="003809C6" w:rsidRPr="00A77784" w:rsidRDefault="003809C6" w:rsidP="00D61839">
            <w:pPr>
              <w:pStyle w:val="Tabletext"/>
              <w:rPr>
                <w:highlight w:val="yellow"/>
              </w:rPr>
            </w:pPr>
            <w:r w:rsidRPr="00094928">
              <w:t>Phase 2 mapping activities concluded, identifying similarities, differences, and waste. Key findings from the project shared with the PMA Expert Group on 19 April, with approval received to proceed to phase 3.</w:t>
            </w:r>
            <w:r>
              <w:t xml:space="preserve"> Phase 3 planning underway.</w:t>
            </w:r>
          </w:p>
        </w:tc>
        <w:tc>
          <w:tcPr>
            <w:tcW w:w="1759" w:type="dxa"/>
          </w:tcPr>
          <w:p w14:paraId="4A3AAC24" w14:textId="22E88665" w:rsidR="003809C6" w:rsidRPr="00A77784" w:rsidRDefault="00F07177" w:rsidP="00D61839">
            <w:pPr>
              <w:pStyle w:val="Tabletext"/>
              <w:rPr>
                <w:b/>
                <w:bCs/>
                <w:highlight w:val="yellow"/>
              </w:rPr>
            </w:pPr>
            <w:r>
              <w:rPr>
                <w:b/>
                <w:bCs/>
              </w:rPr>
              <w:t>On target</w:t>
            </w:r>
          </w:p>
        </w:tc>
      </w:tr>
      <w:tr w:rsidR="003809C6" w:rsidRPr="00A77784" w14:paraId="42DAD83A" w14:textId="77777777" w:rsidTr="009469B6">
        <w:trPr>
          <w:trHeight w:val="319"/>
        </w:trPr>
        <w:tc>
          <w:tcPr>
            <w:tcW w:w="2781" w:type="dxa"/>
          </w:tcPr>
          <w:p w14:paraId="10F5335C" w14:textId="1706F874" w:rsidR="003809C6" w:rsidRPr="00A77784" w:rsidRDefault="003809C6" w:rsidP="00D61839">
            <w:pPr>
              <w:pStyle w:val="Tabletext"/>
              <w:rPr>
                <w:b/>
                <w:bCs/>
                <w:highlight w:val="yellow"/>
              </w:rPr>
            </w:pPr>
            <w:r w:rsidRPr="00256C3A">
              <w:rPr>
                <w:b/>
                <w:bCs/>
              </w:rPr>
              <w:t>Data &amp; Analytics methods &amp; standards framework</w:t>
            </w:r>
          </w:p>
        </w:tc>
        <w:tc>
          <w:tcPr>
            <w:tcW w:w="10702" w:type="dxa"/>
          </w:tcPr>
          <w:p w14:paraId="7AE5E67C" w14:textId="77777777" w:rsidR="003809C6" w:rsidRDefault="003809C6" w:rsidP="00256C3A">
            <w:pPr>
              <w:pStyle w:val="Tabletext"/>
            </w:pPr>
            <w:r>
              <w:t>NICE Board approved the delivery plan for the data and analytics Methods and Standards Programme on 27 Jan. Programme team being established with first programme board meeting having taken place on 28 April.</w:t>
            </w:r>
          </w:p>
          <w:p w14:paraId="47709412" w14:textId="4D78A117" w:rsidR="003809C6" w:rsidRPr="00A77784" w:rsidRDefault="003809C6" w:rsidP="00256C3A">
            <w:pPr>
              <w:pStyle w:val="Tabletext"/>
              <w:rPr>
                <w:highlight w:val="yellow"/>
              </w:rPr>
            </w:pPr>
          </w:p>
        </w:tc>
        <w:tc>
          <w:tcPr>
            <w:tcW w:w="1759" w:type="dxa"/>
          </w:tcPr>
          <w:p w14:paraId="28DD0A24" w14:textId="27C8C560" w:rsidR="003809C6" w:rsidRPr="00A77784" w:rsidRDefault="00F07177" w:rsidP="00D61839">
            <w:pPr>
              <w:pStyle w:val="Tabletext"/>
              <w:rPr>
                <w:b/>
                <w:bCs/>
                <w:highlight w:val="yellow"/>
              </w:rPr>
            </w:pPr>
            <w:r>
              <w:rPr>
                <w:b/>
                <w:bCs/>
              </w:rPr>
              <w:t>On target</w:t>
            </w:r>
          </w:p>
        </w:tc>
      </w:tr>
    </w:tbl>
    <w:p w14:paraId="4CF00EB9" w14:textId="77777777" w:rsidR="00053413" w:rsidRDefault="00053413" w:rsidP="008D2418">
      <w:pPr>
        <w:pStyle w:val="NICEnormal"/>
      </w:pPr>
    </w:p>
    <w:p w14:paraId="4DDA8CE7" w14:textId="46CD4C2C" w:rsidR="00053413" w:rsidRDefault="001903B5" w:rsidP="008D2418">
      <w:pPr>
        <w:pStyle w:val="NICEnormal"/>
      </w:pPr>
      <w:r w:rsidRPr="00A22FA4">
        <w:lastRenderedPageBreak/>
        <w:t xml:space="preserve">© NICE 2021. All rights reserved. </w:t>
      </w:r>
      <w:hyperlink r:id="rId10" w:anchor="notice-of-rights" w:history="1">
        <w:r w:rsidRPr="00A22FA4">
          <w:rPr>
            <w:rStyle w:val="Hyperlink"/>
          </w:rPr>
          <w:t>Subject to Notice of rights</w:t>
        </w:r>
      </w:hyperlink>
      <w:r w:rsidRPr="00A22FA4">
        <w:t>.</w:t>
      </w:r>
    </w:p>
    <w:p w14:paraId="39841B0D" w14:textId="77777777" w:rsidR="00CC0F37" w:rsidRDefault="00A22FA4" w:rsidP="008D2418">
      <w:pPr>
        <w:pStyle w:val="NICEnormal"/>
      </w:pPr>
      <w:r w:rsidRPr="00A22FA4">
        <w:t>May</w:t>
      </w:r>
      <w:r w:rsidR="001903B5" w:rsidRPr="00A22FA4">
        <w:t xml:space="preserve"> 2021</w:t>
      </w:r>
    </w:p>
    <w:sectPr w:rsidR="00CC0F37" w:rsidSect="001903B5">
      <w:headerReference w:type="default" r:id="rId11"/>
      <w:footerReference w:type="default" r:id="rId12"/>
      <w:pgSz w:w="16840" w:h="11907" w:orient="landscape" w:code="9"/>
      <w:pgMar w:top="1797" w:right="1440" w:bottom="179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DFBF" w14:textId="77777777" w:rsidR="00362F96" w:rsidRDefault="00362F96">
      <w:r>
        <w:separator/>
      </w:r>
    </w:p>
  </w:endnote>
  <w:endnote w:type="continuationSeparator" w:id="0">
    <w:p w14:paraId="417B9D3A" w14:textId="77777777" w:rsidR="00362F96" w:rsidRDefault="0036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AF12" w14:textId="77777777" w:rsidR="00362F96" w:rsidRPr="00BA589F" w:rsidRDefault="00362F96" w:rsidP="00F33119">
    <w:pPr>
      <w:pStyle w:val="Footer"/>
    </w:pPr>
    <w:r w:rsidRPr="00BA589F">
      <w:t>National Institute for Health and Care Excellence</w:t>
    </w:r>
    <w:r w:rsidRPr="00BA589F">
      <w:tab/>
    </w:r>
    <w:r w:rsidRPr="00BA589F">
      <w:tab/>
      <w:t xml:space="preserve">Page </w:t>
    </w:r>
    <w:r w:rsidRPr="00BA589F">
      <w:fldChar w:fldCharType="begin"/>
    </w:r>
    <w:r w:rsidRPr="00BA589F">
      <w:instrText xml:space="preserve"> PAGE  \* Arabic  \* MERGEFORMAT </w:instrText>
    </w:r>
    <w:r w:rsidRPr="00BA589F">
      <w:fldChar w:fldCharType="separate"/>
    </w:r>
    <w:r w:rsidRPr="00BA589F">
      <w:t>1</w:t>
    </w:r>
    <w:r w:rsidRPr="00BA589F">
      <w:fldChar w:fldCharType="end"/>
    </w:r>
    <w:r w:rsidRPr="00BA589F">
      <w:t xml:space="preserve"> of </w:t>
    </w:r>
    <w:r w:rsidR="00F7588A">
      <w:fldChar w:fldCharType="begin"/>
    </w:r>
    <w:r w:rsidR="00F7588A">
      <w:instrText xml:space="preserve"> NUMPAGES  \* Arabic  \* MERGEFORMAT </w:instrText>
    </w:r>
    <w:r w:rsidR="00F7588A">
      <w:fldChar w:fldCharType="separate"/>
    </w:r>
    <w:r w:rsidRPr="00BA589F">
      <w:t>6</w:t>
    </w:r>
    <w:r w:rsidR="00F7588A">
      <w:fldChar w:fldCharType="end"/>
    </w:r>
  </w:p>
  <w:p w14:paraId="2DB0E8AF" w14:textId="6A70B4E1" w:rsidR="00362F96" w:rsidRPr="00B271EB" w:rsidRDefault="00B271EB" w:rsidP="00F33119">
    <w:pPr>
      <w:pStyle w:val="Footer"/>
    </w:pPr>
    <w:r w:rsidRPr="00B271EB">
      <w:t>People and r</w:t>
    </w:r>
    <w:r w:rsidR="00362F96" w:rsidRPr="00B271EB">
      <w:t xml:space="preserve">esources </w:t>
    </w:r>
    <w:r w:rsidRPr="00B271EB">
      <w:t>r</w:t>
    </w:r>
    <w:r w:rsidR="00362F96" w:rsidRPr="00B271EB">
      <w:t>eport</w:t>
    </w:r>
    <w:r w:rsidR="00362F96" w:rsidRPr="00B271EB">
      <w:tab/>
    </w:r>
  </w:p>
  <w:p w14:paraId="76DB3C51" w14:textId="634E081D" w:rsidR="00362F96" w:rsidRPr="00B271EB" w:rsidRDefault="00B271EB" w:rsidP="00F33119">
    <w:pPr>
      <w:pStyle w:val="Footer"/>
    </w:pPr>
    <w:r w:rsidRPr="00B271EB">
      <w:t xml:space="preserve">Date: 19 May 2021 </w:t>
    </w:r>
  </w:p>
  <w:p w14:paraId="53A5D8D9" w14:textId="69C45508" w:rsidR="00362F96" w:rsidRPr="00F33119" w:rsidRDefault="00362F96" w:rsidP="00F33119">
    <w:pPr>
      <w:pStyle w:val="Footer"/>
    </w:pPr>
    <w:r w:rsidRPr="00B271EB">
      <w:t>Reference</w:t>
    </w:r>
    <w:r w:rsidR="00B271EB" w:rsidRPr="00B271EB">
      <w:t xml:space="preserve">: 21/046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5719" w14:textId="3F7740B0" w:rsidR="00B271EB" w:rsidRPr="00BA589F" w:rsidRDefault="00B271EB" w:rsidP="00F33119">
    <w:pPr>
      <w:pStyle w:val="Footer"/>
    </w:pPr>
    <w:r w:rsidRPr="00BA589F">
      <w:t>National Institute for Health and Care Excellence</w:t>
    </w:r>
    <w:r w:rsidRPr="00BA589F">
      <w:tab/>
    </w:r>
    <w:r w:rsidRPr="00BA589F">
      <w:tab/>
    </w:r>
    <w:r>
      <w:tab/>
    </w:r>
    <w:r>
      <w:tab/>
    </w:r>
    <w:r>
      <w:tab/>
    </w:r>
    <w:r>
      <w:tab/>
    </w:r>
    <w:r>
      <w:tab/>
    </w:r>
    <w:r>
      <w:tab/>
    </w:r>
    <w:r>
      <w:tab/>
    </w:r>
    <w:r>
      <w:tab/>
    </w:r>
    <w:r w:rsidRPr="00BA589F">
      <w:t xml:space="preserve">Page </w:t>
    </w:r>
    <w:r w:rsidRPr="00BA589F">
      <w:fldChar w:fldCharType="begin"/>
    </w:r>
    <w:r w:rsidRPr="00BA589F">
      <w:instrText xml:space="preserve"> PAGE  \* Arabic  \* MERGEFORMAT </w:instrText>
    </w:r>
    <w:r w:rsidRPr="00BA589F">
      <w:fldChar w:fldCharType="separate"/>
    </w:r>
    <w:r w:rsidRPr="00BA589F">
      <w:t>1</w:t>
    </w:r>
    <w:r w:rsidRPr="00BA589F">
      <w:fldChar w:fldCharType="end"/>
    </w:r>
    <w:r w:rsidRPr="00BA589F">
      <w:t xml:space="preserve"> of </w:t>
    </w:r>
    <w:r w:rsidR="00F7588A">
      <w:fldChar w:fldCharType="begin"/>
    </w:r>
    <w:r w:rsidR="00F7588A">
      <w:instrText xml:space="preserve"> NUMPAGES  \* Arabic  \* MERGEFORMAT </w:instrText>
    </w:r>
    <w:r w:rsidR="00F7588A">
      <w:fldChar w:fldCharType="separate"/>
    </w:r>
    <w:r w:rsidRPr="00BA589F">
      <w:t>6</w:t>
    </w:r>
    <w:r w:rsidR="00F7588A">
      <w:fldChar w:fldCharType="end"/>
    </w:r>
  </w:p>
  <w:p w14:paraId="40AE41B5" w14:textId="77777777" w:rsidR="00B271EB" w:rsidRPr="00B271EB" w:rsidRDefault="00B271EB" w:rsidP="00F33119">
    <w:pPr>
      <w:pStyle w:val="Footer"/>
    </w:pPr>
    <w:r w:rsidRPr="00B271EB">
      <w:t>People and resources report</w:t>
    </w:r>
    <w:r w:rsidRPr="00B271EB">
      <w:tab/>
    </w:r>
  </w:p>
  <w:p w14:paraId="781B9E9B" w14:textId="77777777" w:rsidR="00B271EB" w:rsidRPr="00B271EB" w:rsidRDefault="00B271EB" w:rsidP="00F33119">
    <w:pPr>
      <w:pStyle w:val="Footer"/>
    </w:pPr>
    <w:r w:rsidRPr="00B271EB">
      <w:t xml:space="preserve">Date: 19 May 2021 </w:t>
    </w:r>
  </w:p>
  <w:p w14:paraId="56A0A90D" w14:textId="77777777" w:rsidR="00B271EB" w:rsidRPr="00F33119" w:rsidRDefault="00B271EB" w:rsidP="00F33119">
    <w:pPr>
      <w:pStyle w:val="Footer"/>
    </w:pPr>
    <w:r w:rsidRPr="00B271EB">
      <w:t xml:space="preserve">Reference: 21/046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06B7" w14:textId="77777777" w:rsidR="00362F96" w:rsidRDefault="00362F96">
      <w:r>
        <w:separator/>
      </w:r>
    </w:p>
  </w:footnote>
  <w:footnote w:type="continuationSeparator" w:id="0">
    <w:p w14:paraId="4872F4CD" w14:textId="77777777" w:rsidR="00362F96" w:rsidRDefault="0036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4942" w14:textId="14FA2DE8" w:rsidR="00362F96" w:rsidRPr="000578E2" w:rsidRDefault="00362F96" w:rsidP="002F15CF">
    <w:pPr>
      <w:pStyle w:val="Header"/>
    </w:pPr>
    <w:r w:rsidRPr="000578E2">
      <w:tab/>
      <w:t xml:space="preserve">Item </w:t>
    </w:r>
    <w:r w:rsidR="00B271EB">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4CFE" w14:textId="764BD893" w:rsidR="00B271EB" w:rsidRPr="000578E2" w:rsidRDefault="00B271EB" w:rsidP="002F15CF">
    <w:pPr>
      <w:pStyle w:val="Header"/>
    </w:pPr>
    <w:r w:rsidRPr="000578E2">
      <w:tab/>
    </w:r>
    <w:r>
      <w:tab/>
    </w:r>
    <w:r>
      <w:tab/>
    </w:r>
    <w:r>
      <w:tab/>
    </w:r>
    <w:r>
      <w:tab/>
    </w:r>
    <w:r>
      <w:tab/>
    </w:r>
    <w:r>
      <w:tab/>
    </w:r>
    <w:r>
      <w:tab/>
    </w:r>
    <w:r>
      <w:tab/>
    </w:r>
    <w:r w:rsidRPr="000578E2">
      <w:t xml:space="preserve">Item </w:t>
    </w:r>
    <w: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78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222CB"/>
    <w:multiLevelType w:val="hybridMultilevel"/>
    <w:tmpl w:val="25F46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0"/>
  </w:num>
  <w:num w:numId="17">
    <w:abstractNumId w:val="1"/>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3"/>
  </w:num>
  <w:num w:numId="26">
    <w:abstractNumId w:val="3"/>
  </w:num>
  <w:num w:numId="27">
    <w:abstractNumId w:val="3"/>
    <w:lvlOverride w:ilvl="0">
      <w:startOverride w:val="1"/>
    </w:lvlOverride>
  </w:num>
  <w:num w:numId="28">
    <w:abstractNumId w:val="3"/>
  </w:num>
  <w:num w:numId="29">
    <w:abstractNumId w:val="3"/>
  </w:num>
  <w:num w:numId="30">
    <w:abstractNumId w:val="4"/>
  </w:num>
  <w:num w:numId="31">
    <w:abstractNumId w:val="3"/>
  </w:num>
  <w:num w:numId="32">
    <w:abstractNumId w:val="3"/>
  </w:num>
  <w:num w:numId="33">
    <w:abstractNumId w:val="3"/>
  </w:num>
  <w:num w:numId="34">
    <w:abstractNumId w:val="3"/>
    <w:lvlOverride w:ilvl="0">
      <w:startOverride w:val="1"/>
    </w:lvlOverride>
  </w:num>
  <w:num w:numId="35">
    <w:abstractNumId w:val="3"/>
  </w:num>
  <w:num w:numId="36">
    <w:abstractNumId w:val="3"/>
  </w:num>
  <w:num w:numId="37">
    <w:abstractNumId w:val="3"/>
    <w:lvlOverride w:ilvl="0">
      <w:startOverride w:val="1"/>
    </w:lvlOverride>
  </w:num>
  <w:num w:numId="38">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8193">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98"/>
    <w:rsid w:val="000119FB"/>
    <w:rsid w:val="0001264D"/>
    <w:rsid w:val="00014DBD"/>
    <w:rsid w:val="00016C21"/>
    <w:rsid w:val="000179C5"/>
    <w:rsid w:val="000242AA"/>
    <w:rsid w:val="00026A4C"/>
    <w:rsid w:val="000276B8"/>
    <w:rsid w:val="00032CE6"/>
    <w:rsid w:val="00033C3D"/>
    <w:rsid w:val="00053413"/>
    <w:rsid w:val="0005389F"/>
    <w:rsid w:val="00056B8A"/>
    <w:rsid w:val="000578E2"/>
    <w:rsid w:val="00070CA3"/>
    <w:rsid w:val="00071C87"/>
    <w:rsid w:val="00074FBF"/>
    <w:rsid w:val="0008202A"/>
    <w:rsid w:val="000844B8"/>
    <w:rsid w:val="00090479"/>
    <w:rsid w:val="00094928"/>
    <w:rsid w:val="00096B21"/>
    <w:rsid w:val="000A1EC0"/>
    <w:rsid w:val="000A74D6"/>
    <w:rsid w:val="000B382E"/>
    <w:rsid w:val="000B3FCE"/>
    <w:rsid w:val="000B437B"/>
    <w:rsid w:val="000B6695"/>
    <w:rsid w:val="000C2487"/>
    <w:rsid w:val="000C4168"/>
    <w:rsid w:val="000C54BC"/>
    <w:rsid w:val="000C700D"/>
    <w:rsid w:val="000E456C"/>
    <w:rsid w:val="000E64ED"/>
    <w:rsid w:val="000E6C5F"/>
    <w:rsid w:val="000F686C"/>
    <w:rsid w:val="00101F34"/>
    <w:rsid w:val="001172E1"/>
    <w:rsid w:val="001219F1"/>
    <w:rsid w:val="00123D3F"/>
    <w:rsid w:val="001271A9"/>
    <w:rsid w:val="00131EB8"/>
    <w:rsid w:val="001334B0"/>
    <w:rsid w:val="00140366"/>
    <w:rsid w:val="00146065"/>
    <w:rsid w:val="00161AA0"/>
    <w:rsid w:val="00162D7B"/>
    <w:rsid w:val="001663D9"/>
    <w:rsid w:val="001727F1"/>
    <w:rsid w:val="00176A69"/>
    <w:rsid w:val="00184700"/>
    <w:rsid w:val="001903B5"/>
    <w:rsid w:val="0019503B"/>
    <w:rsid w:val="00197358"/>
    <w:rsid w:val="001A25A4"/>
    <w:rsid w:val="001A6F90"/>
    <w:rsid w:val="001B0506"/>
    <w:rsid w:val="001B593F"/>
    <w:rsid w:val="001B737F"/>
    <w:rsid w:val="001C032E"/>
    <w:rsid w:val="001C199B"/>
    <w:rsid w:val="001C39BF"/>
    <w:rsid w:val="001D0D29"/>
    <w:rsid w:val="001E6EA3"/>
    <w:rsid w:val="001F2502"/>
    <w:rsid w:val="001F3800"/>
    <w:rsid w:val="001F3CD3"/>
    <w:rsid w:val="001F6B1D"/>
    <w:rsid w:val="00214E8F"/>
    <w:rsid w:val="002169E7"/>
    <w:rsid w:val="00235CAB"/>
    <w:rsid w:val="0024275B"/>
    <w:rsid w:val="00243C65"/>
    <w:rsid w:val="00251D56"/>
    <w:rsid w:val="002526E6"/>
    <w:rsid w:val="002535B1"/>
    <w:rsid w:val="00256C3A"/>
    <w:rsid w:val="002713F9"/>
    <w:rsid w:val="0027431A"/>
    <w:rsid w:val="00287745"/>
    <w:rsid w:val="002A0B7D"/>
    <w:rsid w:val="002A2BF8"/>
    <w:rsid w:val="002A3712"/>
    <w:rsid w:val="002B368E"/>
    <w:rsid w:val="002C0E67"/>
    <w:rsid w:val="002C3FAA"/>
    <w:rsid w:val="002D1582"/>
    <w:rsid w:val="002D175C"/>
    <w:rsid w:val="002D56CA"/>
    <w:rsid w:val="002E5328"/>
    <w:rsid w:val="002F15CF"/>
    <w:rsid w:val="002F348E"/>
    <w:rsid w:val="002F3D58"/>
    <w:rsid w:val="002F3E8D"/>
    <w:rsid w:val="003101B3"/>
    <w:rsid w:val="00313FFC"/>
    <w:rsid w:val="0031664C"/>
    <w:rsid w:val="00317A6B"/>
    <w:rsid w:val="0032570E"/>
    <w:rsid w:val="00325C88"/>
    <w:rsid w:val="00327B6F"/>
    <w:rsid w:val="00330ACC"/>
    <w:rsid w:val="00331CD2"/>
    <w:rsid w:val="003330E6"/>
    <w:rsid w:val="003366C3"/>
    <w:rsid w:val="00336BE2"/>
    <w:rsid w:val="00350D6E"/>
    <w:rsid w:val="00353D3E"/>
    <w:rsid w:val="00362226"/>
    <w:rsid w:val="00362F96"/>
    <w:rsid w:val="00363772"/>
    <w:rsid w:val="00365730"/>
    <w:rsid w:val="0037147B"/>
    <w:rsid w:val="00371C58"/>
    <w:rsid w:val="003728EA"/>
    <w:rsid w:val="00375F98"/>
    <w:rsid w:val="0037676F"/>
    <w:rsid w:val="00377E36"/>
    <w:rsid w:val="003809C6"/>
    <w:rsid w:val="003814B7"/>
    <w:rsid w:val="0038661C"/>
    <w:rsid w:val="003948C1"/>
    <w:rsid w:val="003A0674"/>
    <w:rsid w:val="003A16C7"/>
    <w:rsid w:val="003A2488"/>
    <w:rsid w:val="003A2933"/>
    <w:rsid w:val="003B1379"/>
    <w:rsid w:val="003B30BC"/>
    <w:rsid w:val="003B4D76"/>
    <w:rsid w:val="003C36AC"/>
    <w:rsid w:val="003C62C1"/>
    <w:rsid w:val="003C6573"/>
    <w:rsid w:val="003D2094"/>
    <w:rsid w:val="003D32D5"/>
    <w:rsid w:val="003E48CE"/>
    <w:rsid w:val="003F430D"/>
    <w:rsid w:val="003F5656"/>
    <w:rsid w:val="003F7C7E"/>
    <w:rsid w:val="00412439"/>
    <w:rsid w:val="00415E62"/>
    <w:rsid w:val="00422CAA"/>
    <w:rsid w:val="00441BB7"/>
    <w:rsid w:val="00445D8B"/>
    <w:rsid w:val="004519B2"/>
    <w:rsid w:val="00453FF9"/>
    <w:rsid w:val="004550EC"/>
    <w:rsid w:val="0045746E"/>
    <w:rsid w:val="00461494"/>
    <w:rsid w:val="00461997"/>
    <w:rsid w:val="004654A4"/>
    <w:rsid w:val="00475774"/>
    <w:rsid w:val="004820E9"/>
    <w:rsid w:val="0048361F"/>
    <w:rsid w:val="00484FE9"/>
    <w:rsid w:val="0048535F"/>
    <w:rsid w:val="00485B88"/>
    <w:rsid w:val="0048668D"/>
    <w:rsid w:val="00487BB1"/>
    <w:rsid w:val="004914C0"/>
    <w:rsid w:val="004926D2"/>
    <w:rsid w:val="004A0E13"/>
    <w:rsid w:val="004B183D"/>
    <w:rsid w:val="004B207C"/>
    <w:rsid w:val="004B514C"/>
    <w:rsid w:val="004C3FF5"/>
    <w:rsid w:val="004C612D"/>
    <w:rsid w:val="004D3DAD"/>
    <w:rsid w:val="004D64EB"/>
    <w:rsid w:val="004D6FFA"/>
    <w:rsid w:val="004E1EFC"/>
    <w:rsid w:val="004E3855"/>
    <w:rsid w:val="004E5BC7"/>
    <w:rsid w:val="004E6370"/>
    <w:rsid w:val="004F72DF"/>
    <w:rsid w:val="005036C6"/>
    <w:rsid w:val="005209C8"/>
    <w:rsid w:val="00522BE0"/>
    <w:rsid w:val="00523A4F"/>
    <w:rsid w:val="00526C07"/>
    <w:rsid w:val="0053175A"/>
    <w:rsid w:val="005325C1"/>
    <w:rsid w:val="0053387C"/>
    <w:rsid w:val="005354D3"/>
    <w:rsid w:val="00535E15"/>
    <w:rsid w:val="00563C69"/>
    <w:rsid w:val="005706AD"/>
    <w:rsid w:val="0057246C"/>
    <w:rsid w:val="005860F4"/>
    <w:rsid w:val="005866B1"/>
    <w:rsid w:val="005A1F59"/>
    <w:rsid w:val="005A57BD"/>
    <w:rsid w:val="005A5E10"/>
    <w:rsid w:val="005C051F"/>
    <w:rsid w:val="005C762E"/>
    <w:rsid w:val="005D098C"/>
    <w:rsid w:val="005E051D"/>
    <w:rsid w:val="005E100C"/>
    <w:rsid w:val="005E110D"/>
    <w:rsid w:val="005F0635"/>
    <w:rsid w:val="005F29F2"/>
    <w:rsid w:val="005F2B93"/>
    <w:rsid w:val="005F61D0"/>
    <w:rsid w:val="005F6CE3"/>
    <w:rsid w:val="00600422"/>
    <w:rsid w:val="00600682"/>
    <w:rsid w:val="00600A01"/>
    <w:rsid w:val="00600DBE"/>
    <w:rsid w:val="00603E56"/>
    <w:rsid w:val="0060545D"/>
    <w:rsid w:val="0060662A"/>
    <w:rsid w:val="006071CB"/>
    <w:rsid w:val="00614BDA"/>
    <w:rsid w:val="00617519"/>
    <w:rsid w:val="00625429"/>
    <w:rsid w:val="00627B40"/>
    <w:rsid w:val="006331B4"/>
    <w:rsid w:val="006340D4"/>
    <w:rsid w:val="006343F3"/>
    <w:rsid w:val="006349F3"/>
    <w:rsid w:val="00642906"/>
    <w:rsid w:val="006571D4"/>
    <w:rsid w:val="00665C09"/>
    <w:rsid w:val="0067697D"/>
    <w:rsid w:val="00680B94"/>
    <w:rsid w:val="00686AE2"/>
    <w:rsid w:val="00690221"/>
    <w:rsid w:val="00691AAE"/>
    <w:rsid w:val="00693CFE"/>
    <w:rsid w:val="0069638A"/>
    <w:rsid w:val="006A721F"/>
    <w:rsid w:val="006D73F1"/>
    <w:rsid w:val="006E0BC7"/>
    <w:rsid w:val="006E24CE"/>
    <w:rsid w:val="006E7C1F"/>
    <w:rsid w:val="006F120C"/>
    <w:rsid w:val="00711977"/>
    <w:rsid w:val="00714C42"/>
    <w:rsid w:val="007277C3"/>
    <w:rsid w:val="00732519"/>
    <w:rsid w:val="00734E7B"/>
    <w:rsid w:val="00737F9C"/>
    <w:rsid w:val="00741254"/>
    <w:rsid w:val="00753E4B"/>
    <w:rsid w:val="007557C6"/>
    <w:rsid w:val="0076179D"/>
    <w:rsid w:val="007649D3"/>
    <w:rsid w:val="007666BD"/>
    <w:rsid w:val="00772098"/>
    <w:rsid w:val="0077288F"/>
    <w:rsid w:val="007759AE"/>
    <w:rsid w:val="0078188E"/>
    <w:rsid w:val="00782EB3"/>
    <w:rsid w:val="007867B2"/>
    <w:rsid w:val="0079117B"/>
    <w:rsid w:val="007918A5"/>
    <w:rsid w:val="007A174B"/>
    <w:rsid w:val="007A2078"/>
    <w:rsid w:val="007A4EEE"/>
    <w:rsid w:val="007A5B01"/>
    <w:rsid w:val="007B1D9B"/>
    <w:rsid w:val="007D5B48"/>
    <w:rsid w:val="007F048B"/>
    <w:rsid w:val="007F0D2F"/>
    <w:rsid w:val="00801A96"/>
    <w:rsid w:val="008133CB"/>
    <w:rsid w:val="008362CC"/>
    <w:rsid w:val="00841256"/>
    <w:rsid w:val="00847D22"/>
    <w:rsid w:val="008505C3"/>
    <w:rsid w:val="00853BD8"/>
    <w:rsid w:val="00862C0C"/>
    <w:rsid w:val="00865C57"/>
    <w:rsid w:val="00872ED6"/>
    <w:rsid w:val="00873B01"/>
    <w:rsid w:val="008853CB"/>
    <w:rsid w:val="008A3CB5"/>
    <w:rsid w:val="008A6557"/>
    <w:rsid w:val="008B31CD"/>
    <w:rsid w:val="008B3A08"/>
    <w:rsid w:val="008C5D72"/>
    <w:rsid w:val="008C782E"/>
    <w:rsid w:val="008D2418"/>
    <w:rsid w:val="008D6069"/>
    <w:rsid w:val="008E3BCF"/>
    <w:rsid w:val="008E6C11"/>
    <w:rsid w:val="008E7585"/>
    <w:rsid w:val="008F462D"/>
    <w:rsid w:val="008F4D6E"/>
    <w:rsid w:val="008F5015"/>
    <w:rsid w:val="00903D10"/>
    <w:rsid w:val="0091177F"/>
    <w:rsid w:val="00913FE9"/>
    <w:rsid w:val="009170E3"/>
    <w:rsid w:val="00921354"/>
    <w:rsid w:val="00925E66"/>
    <w:rsid w:val="0092627D"/>
    <w:rsid w:val="009262FA"/>
    <w:rsid w:val="00934910"/>
    <w:rsid w:val="00942EDA"/>
    <w:rsid w:val="00943405"/>
    <w:rsid w:val="0094366C"/>
    <w:rsid w:val="009469B6"/>
    <w:rsid w:val="00953ADF"/>
    <w:rsid w:val="0095576B"/>
    <w:rsid w:val="009573A0"/>
    <w:rsid w:val="00961D1E"/>
    <w:rsid w:val="009622A7"/>
    <w:rsid w:val="00971131"/>
    <w:rsid w:val="009763ED"/>
    <w:rsid w:val="009764A1"/>
    <w:rsid w:val="00982788"/>
    <w:rsid w:val="009871F3"/>
    <w:rsid w:val="00991903"/>
    <w:rsid w:val="00991B0B"/>
    <w:rsid w:val="00992DC7"/>
    <w:rsid w:val="009A0289"/>
    <w:rsid w:val="009A74B2"/>
    <w:rsid w:val="009B2285"/>
    <w:rsid w:val="009B621A"/>
    <w:rsid w:val="009C45D9"/>
    <w:rsid w:val="009D68DA"/>
    <w:rsid w:val="009E5239"/>
    <w:rsid w:val="00A01B73"/>
    <w:rsid w:val="00A03056"/>
    <w:rsid w:val="00A04685"/>
    <w:rsid w:val="00A04CFA"/>
    <w:rsid w:val="00A06657"/>
    <w:rsid w:val="00A072D2"/>
    <w:rsid w:val="00A10F7D"/>
    <w:rsid w:val="00A122C4"/>
    <w:rsid w:val="00A15BB3"/>
    <w:rsid w:val="00A2194E"/>
    <w:rsid w:val="00A22FA4"/>
    <w:rsid w:val="00A24C1C"/>
    <w:rsid w:val="00A272DE"/>
    <w:rsid w:val="00A3447B"/>
    <w:rsid w:val="00A363BE"/>
    <w:rsid w:val="00A36575"/>
    <w:rsid w:val="00A47357"/>
    <w:rsid w:val="00A477A3"/>
    <w:rsid w:val="00A554D7"/>
    <w:rsid w:val="00A5632E"/>
    <w:rsid w:val="00A6607E"/>
    <w:rsid w:val="00A67964"/>
    <w:rsid w:val="00A72C7E"/>
    <w:rsid w:val="00A77784"/>
    <w:rsid w:val="00A8409F"/>
    <w:rsid w:val="00A8484B"/>
    <w:rsid w:val="00A85D65"/>
    <w:rsid w:val="00A86D3D"/>
    <w:rsid w:val="00A956DE"/>
    <w:rsid w:val="00A95E5A"/>
    <w:rsid w:val="00AB2948"/>
    <w:rsid w:val="00AB39FA"/>
    <w:rsid w:val="00AB4518"/>
    <w:rsid w:val="00AC1045"/>
    <w:rsid w:val="00AD146C"/>
    <w:rsid w:val="00AD5CB7"/>
    <w:rsid w:val="00AD5E0B"/>
    <w:rsid w:val="00AD6933"/>
    <w:rsid w:val="00AD6B7B"/>
    <w:rsid w:val="00AD7341"/>
    <w:rsid w:val="00AF0644"/>
    <w:rsid w:val="00AF32F4"/>
    <w:rsid w:val="00B1067B"/>
    <w:rsid w:val="00B15262"/>
    <w:rsid w:val="00B26ADB"/>
    <w:rsid w:val="00B271E2"/>
    <w:rsid w:val="00B271EB"/>
    <w:rsid w:val="00B32B26"/>
    <w:rsid w:val="00B40021"/>
    <w:rsid w:val="00B60D70"/>
    <w:rsid w:val="00B65211"/>
    <w:rsid w:val="00B6565B"/>
    <w:rsid w:val="00B7043C"/>
    <w:rsid w:val="00B739A3"/>
    <w:rsid w:val="00B84BC1"/>
    <w:rsid w:val="00BA0179"/>
    <w:rsid w:val="00BA2229"/>
    <w:rsid w:val="00BA2586"/>
    <w:rsid w:val="00BA519E"/>
    <w:rsid w:val="00BA51EA"/>
    <w:rsid w:val="00BA589F"/>
    <w:rsid w:val="00BB047B"/>
    <w:rsid w:val="00BB6398"/>
    <w:rsid w:val="00BC0E86"/>
    <w:rsid w:val="00BD0372"/>
    <w:rsid w:val="00BD246E"/>
    <w:rsid w:val="00BD3723"/>
    <w:rsid w:val="00BF4768"/>
    <w:rsid w:val="00C00F7A"/>
    <w:rsid w:val="00C139CA"/>
    <w:rsid w:val="00C14BF7"/>
    <w:rsid w:val="00C214BC"/>
    <w:rsid w:val="00C2366B"/>
    <w:rsid w:val="00C2749A"/>
    <w:rsid w:val="00C433C5"/>
    <w:rsid w:val="00C51429"/>
    <w:rsid w:val="00C52E6F"/>
    <w:rsid w:val="00C551B0"/>
    <w:rsid w:val="00C67027"/>
    <w:rsid w:val="00C94E7F"/>
    <w:rsid w:val="00CA3397"/>
    <w:rsid w:val="00CA33E1"/>
    <w:rsid w:val="00CB2F75"/>
    <w:rsid w:val="00CB6BEB"/>
    <w:rsid w:val="00CC0F37"/>
    <w:rsid w:val="00CE0720"/>
    <w:rsid w:val="00CE6E49"/>
    <w:rsid w:val="00CE7855"/>
    <w:rsid w:val="00CF5068"/>
    <w:rsid w:val="00D04228"/>
    <w:rsid w:val="00D23804"/>
    <w:rsid w:val="00D3612A"/>
    <w:rsid w:val="00D365A5"/>
    <w:rsid w:val="00D37703"/>
    <w:rsid w:val="00D37F25"/>
    <w:rsid w:val="00D453F6"/>
    <w:rsid w:val="00D55B61"/>
    <w:rsid w:val="00D5772B"/>
    <w:rsid w:val="00D60D8D"/>
    <w:rsid w:val="00D6117B"/>
    <w:rsid w:val="00D61839"/>
    <w:rsid w:val="00D66408"/>
    <w:rsid w:val="00D679E5"/>
    <w:rsid w:val="00D73C98"/>
    <w:rsid w:val="00D933B0"/>
    <w:rsid w:val="00DA11DD"/>
    <w:rsid w:val="00DA43DA"/>
    <w:rsid w:val="00DB332E"/>
    <w:rsid w:val="00DC0120"/>
    <w:rsid w:val="00DC1389"/>
    <w:rsid w:val="00DC7254"/>
    <w:rsid w:val="00DD1223"/>
    <w:rsid w:val="00DD7177"/>
    <w:rsid w:val="00DD7990"/>
    <w:rsid w:val="00DD7BFF"/>
    <w:rsid w:val="00DE643F"/>
    <w:rsid w:val="00DE69E4"/>
    <w:rsid w:val="00E04F21"/>
    <w:rsid w:val="00E104B5"/>
    <w:rsid w:val="00E238C2"/>
    <w:rsid w:val="00E2509B"/>
    <w:rsid w:val="00E40EE7"/>
    <w:rsid w:val="00E41C3C"/>
    <w:rsid w:val="00E42CFB"/>
    <w:rsid w:val="00E4622C"/>
    <w:rsid w:val="00E46571"/>
    <w:rsid w:val="00E51FFB"/>
    <w:rsid w:val="00E545F1"/>
    <w:rsid w:val="00E5494E"/>
    <w:rsid w:val="00E561F0"/>
    <w:rsid w:val="00E63855"/>
    <w:rsid w:val="00E727AA"/>
    <w:rsid w:val="00E72C85"/>
    <w:rsid w:val="00E74814"/>
    <w:rsid w:val="00E7712F"/>
    <w:rsid w:val="00E82B8A"/>
    <w:rsid w:val="00EB03BB"/>
    <w:rsid w:val="00EB1C36"/>
    <w:rsid w:val="00EB2E1F"/>
    <w:rsid w:val="00EB5CE6"/>
    <w:rsid w:val="00EC48B8"/>
    <w:rsid w:val="00EC5BA1"/>
    <w:rsid w:val="00EE02BB"/>
    <w:rsid w:val="00EE2EB2"/>
    <w:rsid w:val="00EE406C"/>
    <w:rsid w:val="00EE49A3"/>
    <w:rsid w:val="00EF713F"/>
    <w:rsid w:val="00F00415"/>
    <w:rsid w:val="00F0315D"/>
    <w:rsid w:val="00F050DC"/>
    <w:rsid w:val="00F07177"/>
    <w:rsid w:val="00F07534"/>
    <w:rsid w:val="00F20140"/>
    <w:rsid w:val="00F24A73"/>
    <w:rsid w:val="00F26A9F"/>
    <w:rsid w:val="00F26E68"/>
    <w:rsid w:val="00F33119"/>
    <w:rsid w:val="00F359DD"/>
    <w:rsid w:val="00F406A6"/>
    <w:rsid w:val="00F60409"/>
    <w:rsid w:val="00F62EAA"/>
    <w:rsid w:val="00F6458B"/>
    <w:rsid w:val="00F73C47"/>
    <w:rsid w:val="00F7588A"/>
    <w:rsid w:val="00F76948"/>
    <w:rsid w:val="00F77CD3"/>
    <w:rsid w:val="00F81F2C"/>
    <w:rsid w:val="00F87BAD"/>
    <w:rsid w:val="00F90BAE"/>
    <w:rsid w:val="00F90E63"/>
    <w:rsid w:val="00F91C6C"/>
    <w:rsid w:val="00F96801"/>
    <w:rsid w:val="00FA05A6"/>
    <w:rsid w:val="00FA26BB"/>
    <w:rsid w:val="00FA66A6"/>
    <w:rsid w:val="00FA6C4F"/>
    <w:rsid w:val="00FA6EE7"/>
    <w:rsid w:val="00FB151A"/>
    <w:rsid w:val="00FB40C7"/>
    <w:rsid w:val="00FB47DD"/>
    <w:rsid w:val="00FB73D3"/>
    <w:rsid w:val="00FD21C6"/>
    <w:rsid w:val="00FD36E9"/>
    <w:rsid w:val="00FD4756"/>
    <w:rsid w:val="00FE07DE"/>
    <w:rsid w:val="00FE116A"/>
    <w:rsid w:val="00FE5114"/>
    <w:rsid w:val="00FE5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6"/>
    </o:shapedefaults>
    <o:shapelayout v:ext="edit">
      <o:idmap v:ext="edit" data="1"/>
    </o:shapelayout>
  </w:shapeDefaults>
  <w:decimalSymbol w:val="."/>
  <w:listSeparator w:val=","/>
  <w14:docId w14:val="233AE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uiPriority="22"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B4518"/>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lang w:eastAsia="en-GB"/>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lang w:eastAsia="en-GB"/>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lang w:eastAsia="en-GB"/>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lang w:eastAsia="en-GB"/>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lang w:eastAsia="en-GB"/>
    </w:rPr>
  </w:style>
  <w:style w:type="paragraph" w:styleId="TOC2">
    <w:name w:val="toc 2"/>
    <w:basedOn w:val="Normal"/>
    <w:next w:val="Normal"/>
    <w:locked/>
    <w:rsid w:val="00F26E68"/>
    <w:pPr>
      <w:ind w:left="240"/>
    </w:pPr>
    <w:rPr>
      <w:rFonts w:ascii="Arial" w:hAnsi="Arial"/>
      <w:lang w:eastAsia="en-GB"/>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lang w:eastAsia="en-GB"/>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rPr>
      <w:lang w:eastAsia="en-GB"/>
    </w:r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lang w:eastAsia="en-GB"/>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lang w:eastAsia="en-GB"/>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ind w:left="644"/>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ind w:left="785"/>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9573A0"/>
    <w:rPr>
      <w:b/>
      <w:bCs/>
    </w:rPr>
  </w:style>
  <w:style w:type="character" w:customStyle="1" w:styleId="CommentSubjectChar">
    <w:name w:val="Comment Subject Char"/>
    <w:basedOn w:val="CommentTextChar"/>
    <w:link w:val="CommentSubject"/>
    <w:rsid w:val="009573A0"/>
    <w:rPr>
      <w:b/>
      <w:bCs/>
    </w:rPr>
  </w:style>
  <w:style w:type="character" w:styleId="Strong">
    <w:name w:val="Strong"/>
    <w:basedOn w:val="DefaultParagraphFont"/>
    <w:uiPriority w:val="22"/>
    <w:qFormat/>
    <w:locked/>
    <w:rsid w:val="005E0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441">
      <w:bodyDiv w:val="1"/>
      <w:marLeft w:val="0"/>
      <w:marRight w:val="0"/>
      <w:marTop w:val="0"/>
      <w:marBottom w:val="0"/>
      <w:divBdr>
        <w:top w:val="none" w:sz="0" w:space="0" w:color="auto"/>
        <w:left w:val="none" w:sz="0" w:space="0" w:color="auto"/>
        <w:bottom w:val="none" w:sz="0" w:space="0" w:color="auto"/>
        <w:right w:val="none" w:sz="0" w:space="0" w:color="auto"/>
      </w:divBdr>
    </w:div>
    <w:div w:id="432283684">
      <w:bodyDiv w:val="1"/>
      <w:marLeft w:val="0"/>
      <w:marRight w:val="0"/>
      <w:marTop w:val="0"/>
      <w:marBottom w:val="0"/>
      <w:divBdr>
        <w:top w:val="none" w:sz="0" w:space="0" w:color="auto"/>
        <w:left w:val="none" w:sz="0" w:space="0" w:color="auto"/>
        <w:bottom w:val="none" w:sz="0" w:space="0" w:color="auto"/>
        <w:right w:val="none" w:sz="0" w:space="0" w:color="auto"/>
      </w:divBdr>
    </w:div>
    <w:div w:id="11853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2472</Words>
  <Characters>13390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2021-05-12T13:23:00Z</dcterms:created>
  <dcterms:modified xsi:type="dcterms:W3CDTF">2021-05-12T13:23:00Z</dcterms:modified>
</cp:coreProperties>
</file>