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BAB80" w14:textId="77777777" w:rsidR="004B4705" w:rsidRDefault="004B4705" w:rsidP="005614AA">
      <w:pPr>
        <w:pStyle w:val="Title20"/>
      </w:pPr>
      <w:r>
        <w:t>National Institute for Health and Care Excellence</w:t>
      </w:r>
    </w:p>
    <w:p w14:paraId="5CCC8E79" w14:textId="77777777" w:rsidR="001D7F2C" w:rsidRPr="008036DF" w:rsidRDefault="001D7F2C" w:rsidP="001D7F2C">
      <w:pPr>
        <w:pStyle w:val="Title"/>
      </w:pPr>
      <w:r>
        <w:t>Chief Executive's report</w:t>
      </w:r>
    </w:p>
    <w:p w14:paraId="2E82A5CE" w14:textId="6CC1F25D" w:rsidR="001D7F2C" w:rsidRDefault="001D7F2C" w:rsidP="001D7F2C">
      <w:pPr>
        <w:pStyle w:val="NICEnormal"/>
      </w:pPr>
      <w:r>
        <w:t xml:space="preserve">This report provides information on the outputs from our main programmes for the </w:t>
      </w:r>
      <w:r w:rsidR="00515D87" w:rsidRPr="00515D87">
        <w:t>7</w:t>
      </w:r>
      <w:r w:rsidRPr="00010127">
        <w:rPr>
          <w:highlight w:val="yellow"/>
        </w:rPr>
        <w:t xml:space="preserve"> </w:t>
      </w:r>
      <w:r>
        <w:t xml:space="preserve">months to the end of </w:t>
      </w:r>
      <w:r w:rsidR="00515D87">
        <w:t xml:space="preserve">October 2020 </w:t>
      </w:r>
      <w:r>
        <w:t>together with comment on other matters of interest to the Board.</w:t>
      </w:r>
    </w:p>
    <w:p w14:paraId="06A112DB" w14:textId="77777777" w:rsidR="001D7F2C" w:rsidRDefault="001D7F2C" w:rsidP="001D7F2C">
      <w:pPr>
        <w:pStyle w:val="NICEnormal"/>
      </w:pPr>
      <w:r>
        <w:t>The Board is asked to review the report.</w:t>
      </w:r>
    </w:p>
    <w:p w14:paraId="76BC661F" w14:textId="77777777" w:rsidR="001D7F2C" w:rsidRDefault="001D7F2C" w:rsidP="001D7F2C">
      <w:pPr>
        <w:pStyle w:val="NICEnormal"/>
      </w:pPr>
    </w:p>
    <w:p w14:paraId="4AD709C4" w14:textId="35862814" w:rsidR="001D7F2C" w:rsidRPr="00F523AC" w:rsidRDefault="001D7F2C" w:rsidP="001D7F2C">
      <w:pPr>
        <w:pStyle w:val="NICEnormal"/>
      </w:pPr>
      <w:r>
        <w:t>Professor Gill Leng</w:t>
      </w:r>
    </w:p>
    <w:p w14:paraId="369E8709" w14:textId="77777777" w:rsidR="001D7F2C" w:rsidRPr="00F523AC" w:rsidRDefault="001D7F2C" w:rsidP="001D7F2C">
      <w:pPr>
        <w:pStyle w:val="NICEnormal"/>
      </w:pPr>
      <w:r w:rsidRPr="006102EB">
        <w:t>Chief Executive</w:t>
      </w:r>
    </w:p>
    <w:p w14:paraId="7AAF2E25" w14:textId="6E5115A5" w:rsidR="001D7F2C" w:rsidRPr="00F523AC" w:rsidRDefault="00515D87" w:rsidP="001D7F2C">
      <w:pPr>
        <w:pStyle w:val="NICEnormal"/>
      </w:pPr>
      <w:r w:rsidRPr="00515D87">
        <w:t>November</w:t>
      </w:r>
      <w:r w:rsidR="001D7F2C" w:rsidRPr="00515D87">
        <w:t xml:space="preserve"> 2020</w:t>
      </w:r>
    </w:p>
    <w:p w14:paraId="49B3C651" w14:textId="77777777" w:rsidR="004B4705" w:rsidRDefault="004B4705" w:rsidP="004511A7">
      <w:pPr>
        <w:pStyle w:val="NICEnormal"/>
      </w:pPr>
    </w:p>
    <w:p w14:paraId="10CBE007" w14:textId="77777777" w:rsidR="004B4705" w:rsidRPr="005F10EE" w:rsidRDefault="004B4705" w:rsidP="004511A7">
      <w:pPr>
        <w:pStyle w:val="NICEnormal"/>
      </w:pPr>
      <w:r w:rsidRPr="005F10EE">
        <w:br w:type="page"/>
      </w:r>
    </w:p>
    <w:p w14:paraId="488659AA" w14:textId="77777777" w:rsidR="006D0286" w:rsidRPr="00467B95" w:rsidRDefault="006D0286" w:rsidP="006D0286">
      <w:pPr>
        <w:pStyle w:val="Heading1boardreport"/>
      </w:pPr>
      <w:r w:rsidRPr="006D0286">
        <w:lastRenderedPageBreak/>
        <w:t>Introduction</w:t>
      </w:r>
      <w:r w:rsidRPr="00467B95">
        <w:t xml:space="preserve"> </w:t>
      </w:r>
    </w:p>
    <w:p w14:paraId="652AAF90" w14:textId="17AC027E" w:rsidR="006D0286" w:rsidRDefault="006D0286" w:rsidP="006D0286">
      <w:pPr>
        <w:pStyle w:val="NICEnormalnumbered"/>
      </w:pPr>
      <w:r>
        <w:t>This</w:t>
      </w:r>
      <w:r w:rsidRPr="006D0286">
        <w:t xml:space="preserve"> report sets out the performance of the Institute against our business plan objectives and other priorities for the </w:t>
      </w:r>
      <w:r w:rsidR="008D4862">
        <w:t xml:space="preserve">7 </w:t>
      </w:r>
      <w:r w:rsidRPr="006D0286">
        <w:t xml:space="preserve">months to the end of </w:t>
      </w:r>
      <w:r w:rsidR="008D4862">
        <w:t xml:space="preserve">October </w:t>
      </w:r>
      <w:r w:rsidR="008D4862" w:rsidRPr="008D4862">
        <w:t>2020</w:t>
      </w:r>
      <w:r w:rsidRPr="008D4862">
        <w:t xml:space="preserve">. </w:t>
      </w:r>
      <w:r w:rsidRPr="006D0286">
        <w:t xml:space="preserve">The report notes the guidance published since the last public Board meeting in </w:t>
      </w:r>
      <w:r w:rsidR="008D4862">
        <w:t>September</w:t>
      </w:r>
      <w:r w:rsidRPr="006D0286">
        <w:t xml:space="preserve"> and refers to business issues not covered elsewhere on the Board agenda. </w:t>
      </w:r>
    </w:p>
    <w:p w14:paraId="214916CA" w14:textId="0CA51C40" w:rsidR="007C4108" w:rsidRDefault="007C4108" w:rsidP="006D0286">
      <w:pPr>
        <w:pStyle w:val="NICEnormalnumbered"/>
      </w:pPr>
      <w:r>
        <w:t xml:space="preserve">Over the last 2 months we have continued to support the wider system to address the impact of the COVID pandemic.  Of </w:t>
      </w:r>
      <w:proofErr w:type="gramStart"/>
      <w:r>
        <w:t>particular note</w:t>
      </w:r>
      <w:proofErr w:type="gramEnd"/>
      <w:r>
        <w:t xml:space="preserve"> is a new commission to develop a rapid guideline on ‘Long COVID’, covering ongoing symptoms after the initial acute</w:t>
      </w:r>
      <w:r w:rsidR="00947BA1">
        <w:t xml:space="preserve"> infection</w:t>
      </w:r>
      <w:r>
        <w:t xml:space="preserve">.  This is being developed in conjunction with SIGN (Scottish </w:t>
      </w:r>
      <w:r w:rsidR="00947BA1">
        <w:t>Intercollegiate</w:t>
      </w:r>
      <w:r>
        <w:t xml:space="preserve"> Guidelines Network) to create a resource for the whole of the UK, and with the Royal College of General Practitioners.  </w:t>
      </w:r>
      <w:r w:rsidRPr="009566E9">
        <w:t xml:space="preserve">We </w:t>
      </w:r>
      <w:r>
        <w:t xml:space="preserve">also </w:t>
      </w:r>
      <w:r w:rsidRPr="009566E9">
        <w:t xml:space="preserve">continue to lead on </w:t>
      </w:r>
      <w:r>
        <w:t xml:space="preserve">supporting </w:t>
      </w:r>
      <w:r w:rsidRPr="009566E9">
        <w:t>the RAPID-C19 oversight group, a multi-agency approach that enables safe and timely patient access to medicines showing benefit in treating COVID-19 patients.</w:t>
      </w:r>
    </w:p>
    <w:p w14:paraId="1641D08F" w14:textId="0F3A4B01" w:rsidR="00D800F0" w:rsidRDefault="007C4108" w:rsidP="00D800F0">
      <w:pPr>
        <w:pStyle w:val="NICEnormalnumbered"/>
      </w:pPr>
      <w:r>
        <w:t xml:space="preserve">Alongside this additional work on COVID, the organisation is delivering business as usual, engaging in the NICE Connect transformation and contributing to the development of a new </w:t>
      </w:r>
      <w:proofErr w:type="gramStart"/>
      <w:r w:rsidR="00BB220C">
        <w:t>5 year</w:t>
      </w:r>
      <w:proofErr w:type="gramEnd"/>
      <w:r w:rsidR="00BB220C">
        <w:t xml:space="preserve"> </w:t>
      </w:r>
      <w:r>
        <w:t>strateg</w:t>
      </w:r>
      <w:r w:rsidR="00BB220C">
        <w:t>ic plan</w:t>
      </w:r>
      <w:r>
        <w:t xml:space="preserve">.  </w:t>
      </w:r>
      <w:r w:rsidR="00BB220C">
        <w:t xml:space="preserve">We have launched a significant new consultation on the methods for technology assessment, supported the work of the Accelerated Access Collaborative and initiated business planning for 2021/21.  It is therefore an extremely busy time, </w:t>
      </w:r>
      <w:r w:rsidR="00947BA1">
        <w:t xml:space="preserve">with </w:t>
      </w:r>
      <w:proofErr w:type="gramStart"/>
      <w:r w:rsidR="00BB220C">
        <w:t>the majority of</w:t>
      </w:r>
      <w:proofErr w:type="gramEnd"/>
      <w:r w:rsidR="00BB220C">
        <w:t xml:space="preserve"> staff working remotely.  We are </w:t>
      </w:r>
      <w:r w:rsidR="00D800F0">
        <w:t>employing a range of ways to keep in touch and provide the necessary support for</w:t>
      </w:r>
      <w:r w:rsidR="00947BA1">
        <w:t xml:space="preserve"> employees</w:t>
      </w:r>
      <w:r w:rsidR="00D800F0">
        <w:t xml:space="preserve">. </w:t>
      </w:r>
    </w:p>
    <w:p w14:paraId="0F97FCC4" w14:textId="74E9EB82" w:rsidR="00D800F0" w:rsidRPr="00D800F0" w:rsidRDefault="00D800F0" w:rsidP="00D800F0">
      <w:pPr>
        <w:pStyle w:val="NICEnormalnumbered"/>
      </w:pPr>
      <w:r>
        <w:t xml:space="preserve">In </w:t>
      </w:r>
      <w:r w:rsidRPr="00D800F0">
        <w:t xml:space="preserve">September </w:t>
      </w:r>
      <w:r>
        <w:t xml:space="preserve">we reported </w:t>
      </w:r>
      <w:r w:rsidRPr="00D800F0">
        <w:t>a forecast deficit of £0.1m. This was based on the financial position and uncertainties as at the end of July (4 months). Following a mid-year forecast review we now expect the forecast outturn to be an under spend of £1.3m in 2020/21.</w:t>
      </w:r>
      <w:r>
        <w:t xml:space="preserve">  We are </w:t>
      </w:r>
      <w:r w:rsidR="00A553FE">
        <w:t xml:space="preserve">anticipating </w:t>
      </w:r>
      <w:r>
        <w:t xml:space="preserve">information about the </w:t>
      </w:r>
      <w:r w:rsidR="00947BA1">
        <w:t>Spending Review decisions for next year at the end of this month.</w:t>
      </w:r>
      <w:r w:rsidRPr="00D800F0">
        <w:t xml:space="preserve"> </w:t>
      </w:r>
    </w:p>
    <w:p w14:paraId="319E1B3A" w14:textId="77777777" w:rsidR="006D0286" w:rsidRPr="00104ADA" w:rsidRDefault="006D0286" w:rsidP="006D0286">
      <w:pPr>
        <w:pStyle w:val="Heading1boardreport"/>
      </w:pPr>
      <w:r w:rsidRPr="00104ADA">
        <w:lastRenderedPageBreak/>
        <w:t>Performance</w:t>
      </w:r>
    </w:p>
    <w:p w14:paraId="198759D6" w14:textId="6E6EC009" w:rsidR="006D0286" w:rsidRPr="006D0286" w:rsidRDefault="006D0286" w:rsidP="006D0286">
      <w:pPr>
        <w:pStyle w:val="NICEnormalnumbered"/>
      </w:pPr>
      <w:r>
        <w:t xml:space="preserve">The current </w:t>
      </w:r>
      <w:r w:rsidRPr="006D0286">
        <w:t xml:space="preserve">position against the objectives in our </w:t>
      </w:r>
      <w:r w:rsidR="008D4862">
        <w:t xml:space="preserve">2020/21 </w:t>
      </w:r>
      <w:r w:rsidRPr="006D0286">
        <w:t xml:space="preserve">business plan is set out in Appendix 1. </w:t>
      </w:r>
      <w:r w:rsidR="00947BA1">
        <w:t>This is largely being delivered as planned, and further detail on these areas of work are given in the director reports</w:t>
      </w:r>
      <w:r w:rsidR="00D15EA3">
        <w:t>.</w:t>
      </w:r>
      <w:r w:rsidR="00947BA1">
        <w:t xml:space="preserve"> </w:t>
      </w:r>
    </w:p>
    <w:p w14:paraId="788E3171" w14:textId="43B2BB9C" w:rsidR="006D0286" w:rsidRDefault="006D0286" w:rsidP="006D0286">
      <w:pPr>
        <w:pStyle w:val="NICEnormalnumbered"/>
      </w:pPr>
      <w:r w:rsidRPr="00A74187">
        <w:t>The</w:t>
      </w:r>
      <w:r w:rsidRPr="006D0286">
        <w:t xml:space="preserve"> performance of the main programmes between </w:t>
      </w:r>
      <w:r w:rsidR="008D4862">
        <w:t>April 2020 and October 2020 i</w:t>
      </w:r>
      <w:r w:rsidRPr="006D0286">
        <w:t>s set out in Chart 1.</w:t>
      </w:r>
      <w:r w:rsidR="00947BA1">
        <w:t xml:space="preserve">  This shows that most guidance outputs were delivered as planned</w:t>
      </w:r>
      <w:r w:rsidR="002C2013">
        <w:t>. A</w:t>
      </w:r>
      <w:r w:rsidR="00EB2CE6">
        <w:t xml:space="preserve">ppendix 2 </w:t>
      </w:r>
      <w:r w:rsidR="002C2013">
        <w:t xml:space="preserve">has </w:t>
      </w:r>
      <w:r w:rsidR="00EB2CE6">
        <w:t>more information</w:t>
      </w:r>
      <w:r w:rsidR="002C2013">
        <w:t xml:space="preserve"> on the variation to plan.</w:t>
      </w:r>
      <w:r w:rsidR="00947BA1">
        <w:t xml:space="preserve">  </w:t>
      </w:r>
    </w:p>
    <w:p w14:paraId="7BC9A220" w14:textId="77777777" w:rsidR="006D0286" w:rsidRPr="006D0286" w:rsidRDefault="006D0286" w:rsidP="006D0286"/>
    <w:p w14:paraId="020BBFEE" w14:textId="49691F94" w:rsidR="006D0286" w:rsidRDefault="005B24A6" w:rsidP="006D0286">
      <w:pPr>
        <w:pStyle w:val="Caption"/>
      </w:pPr>
      <w:r>
        <w:t>Figure</w:t>
      </w:r>
      <w:r w:rsidR="006D0286" w:rsidRPr="00F82009">
        <w:t xml:space="preserve"> </w:t>
      </w:r>
      <w:r w:rsidR="006D0286" w:rsidRPr="00333DC0">
        <w:t xml:space="preserve">1: Main programme outputs: </w:t>
      </w:r>
      <w:r w:rsidR="008D4862" w:rsidRPr="00333DC0">
        <w:t>April 2020</w:t>
      </w:r>
      <w:r w:rsidR="006D0286" w:rsidRPr="00333DC0">
        <w:t xml:space="preserve"> to </w:t>
      </w:r>
      <w:r w:rsidR="008D4862" w:rsidRPr="00333DC0">
        <w:t xml:space="preserve">October 2020 </w:t>
      </w:r>
    </w:p>
    <w:p w14:paraId="17CEB4F3" w14:textId="1C509B9A" w:rsidR="006D0286" w:rsidRPr="005429BB" w:rsidRDefault="00E13C6B" w:rsidP="006D0286">
      <w:r>
        <w:rPr>
          <w:noProof/>
        </w:rPr>
        <w:drawing>
          <wp:inline distT="0" distB="0" distL="0" distR="0" wp14:anchorId="5B6E1E70" wp14:editId="5EEAB125">
            <wp:extent cx="5731510" cy="4509770"/>
            <wp:effectExtent l="0" t="0" r="2540" b="5080"/>
            <wp:docPr id="1" name="Chart 1" descr="Summary of the main programme outputs from April 2020 to October 2020. A majority of the programmes are on target with some delays due to the COVID-19 pandemic.">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A921CE" w14:textId="77777777" w:rsidR="006D0286" w:rsidRPr="005429BB" w:rsidRDefault="006D0286" w:rsidP="006D0286"/>
    <w:p w14:paraId="7760A2B4" w14:textId="77777777" w:rsidR="00333DC0" w:rsidRDefault="00333DC0" w:rsidP="006D0286">
      <w:pPr>
        <w:pStyle w:val="NICEnormal"/>
      </w:pPr>
    </w:p>
    <w:p w14:paraId="559A1CAD" w14:textId="77777777" w:rsidR="00333DC0" w:rsidRDefault="00333DC0" w:rsidP="006D0286">
      <w:pPr>
        <w:pStyle w:val="NICEnormal"/>
      </w:pPr>
    </w:p>
    <w:p w14:paraId="6FAAC407" w14:textId="514EC2F5" w:rsidR="006D0286" w:rsidRPr="005429BB" w:rsidRDefault="006D0286" w:rsidP="006D0286">
      <w:pPr>
        <w:pStyle w:val="NICEnormal"/>
      </w:pPr>
      <w:r w:rsidRPr="005429BB">
        <w:lastRenderedPageBreak/>
        <w:t xml:space="preserve">Notes to </w:t>
      </w:r>
      <w:r w:rsidR="005B24A6">
        <w:t>Figure</w:t>
      </w:r>
      <w:r w:rsidRPr="005429BB">
        <w:t xml:space="preserve"> 1: </w:t>
      </w:r>
    </w:p>
    <w:p w14:paraId="052F306A" w14:textId="77777777" w:rsidR="006D0286" w:rsidRPr="006D0286" w:rsidRDefault="006D0286" w:rsidP="00117933">
      <w:pPr>
        <w:pStyle w:val="Bulletindent2last"/>
      </w:pPr>
      <w:r w:rsidRPr="005429BB">
        <w:t xml:space="preserve">HST refers to the highly specialised technologies programme (drugs for </w:t>
      </w:r>
      <w:r w:rsidRPr="006D0286">
        <w:t>very rare conditions)</w:t>
      </w:r>
    </w:p>
    <w:p w14:paraId="7E610D53" w14:textId="77777777" w:rsidR="006D0286" w:rsidRPr="006D0286" w:rsidRDefault="006D0286" w:rsidP="00117933">
      <w:pPr>
        <w:pStyle w:val="Bulletindent2last"/>
      </w:pPr>
      <w:r w:rsidRPr="005429BB">
        <w:t>MIBs (</w:t>
      </w:r>
      <w:proofErr w:type="spellStart"/>
      <w:r w:rsidRPr="005429BB">
        <w:t>medtech</w:t>
      </w:r>
      <w:proofErr w:type="spellEnd"/>
      <w:r w:rsidRPr="005429BB">
        <w:t xml:space="preserve"> innovation briefings) are reviews of new medical devices</w:t>
      </w:r>
    </w:p>
    <w:p w14:paraId="6C49198B" w14:textId="77777777" w:rsidR="006D0286" w:rsidRPr="006D0286" w:rsidRDefault="006D0286" w:rsidP="00117933">
      <w:pPr>
        <w:pStyle w:val="Bulletindent2last"/>
      </w:pPr>
      <w:r w:rsidRPr="005429BB">
        <w:t>Guidance surveillance reviews provide the basis for decisions about whether to update current NICE guidance</w:t>
      </w:r>
    </w:p>
    <w:p w14:paraId="4B65D505" w14:textId="77777777" w:rsidR="006D0286" w:rsidRPr="006D0286" w:rsidRDefault="006D0286" w:rsidP="00117933">
      <w:pPr>
        <w:pStyle w:val="Bulletindent2last"/>
      </w:pPr>
      <w:r w:rsidRPr="005429BB">
        <w:t xml:space="preserve">The variance is the </w:t>
      </w:r>
      <w:r w:rsidRPr="006D0286">
        <w:t>difference between the target output for the reporting period, as set out in the business plan and the actual performance</w:t>
      </w:r>
    </w:p>
    <w:p w14:paraId="1CA9ED78" w14:textId="77777777" w:rsidR="006D0286" w:rsidRPr="006D0286" w:rsidRDefault="006D0286" w:rsidP="00117933">
      <w:pPr>
        <w:pStyle w:val="Bulletindent2last"/>
      </w:pPr>
      <w:r w:rsidRPr="005429BB">
        <w:t>‘Additional’ topics are either those which should have published in the previous financial year, or that have been added since the p</w:t>
      </w:r>
      <w:r w:rsidRPr="006D0286">
        <w:t>ublication of the business plan</w:t>
      </w:r>
    </w:p>
    <w:p w14:paraId="3E07E777" w14:textId="77777777" w:rsidR="006D0286" w:rsidRPr="005429BB" w:rsidRDefault="006D0286" w:rsidP="006D0286"/>
    <w:p w14:paraId="50479606" w14:textId="7B7FFC4B" w:rsidR="006D0286" w:rsidRPr="006D0286" w:rsidRDefault="006D0286" w:rsidP="006D0286">
      <w:pPr>
        <w:pStyle w:val="NICEnormalnumbered"/>
      </w:pPr>
      <w:r>
        <w:t xml:space="preserve">Details of </w:t>
      </w:r>
      <w:r w:rsidRPr="006D0286">
        <w:t xml:space="preserve">the variance against plan are set out at Appendix </w:t>
      </w:r>
      <w:r w:rsidR="00117933">
        <w:t>2</w:t>
      </w:r>
      <w:r w:rsidRPr="006D0286">
        <w:t xml:space="preserve">. Guidance, quality standards and other advice published since the last Board meeting in </w:t>
      </w:r>
      <w:r w:rsidR="008D4862">
        <w:t xml:space="preserve">September </w:t>
      </w:r>
      <w:r w:rsidRPr="006D0286">
        <w:t xml:space="preserve">is set out </w:t>
      </w:r>
      <w:r w:rsidR="00117933">
        <w:t xml:space="preserve">in </w:t>
      </w:r>
      <w:r w:rsidRPr="006D0286">
        <w:t xml:space="preserve">Appendix </w:t>
      </w:r>
      <w:r w:rsidR="00117933">
        <w:t>3</w:t>
      </w:r>
      <w:r w:rsidRPr="006D0286">
        <w:t xml:space="preserve">. </w:t>
      </w:r>
      <w:r w:rsidR="00117933">
        <w:t xml:space="preserve">The balanced scorecard showing performance against the measures in the business plan at the end of </w:t>
      </w:r>
      <w:r w:rsidR="002C2013">
        <w:t xml:space="preserve">September </w:t>
      </w:r>
      <w:r w:rsidR="008D4862">
        <w:t>2020 (</w:t>
      </w:r>
      <w:r w:rsidR="00E05EA8">
        <w:t>Q</w:t>
      </w:r>
      <w:r w:rsidR="002C2013">
        <w:t>2</w:t>
      </w:r>
      <w:r w:rsidR="00E05EA8">
        <w:t xml:space="preserve">) </w:t>
      </w:r>
      <w:r w:rsidR="00117933">
        <w:t>is set out in Appendix 4.</w:t>
      </w:r>
      <w:r w:rsidRPr="006D0286">
        <w:tab/>
      </w:r>
    </w:p>
    <w:p w14:paraId="65533D31" w14:textId="77777777" w:rsidR="006D0286" w:rsidRDefault="006D0286" w:rsidP="006D0286"/>
    <w:p w14:paraId="455F78E9" w14:textId="77777777" w:rsidR="006D0286" w:rsidRPr="00C30FD9" w:rsidRDefault="006D0286" w:rsidP="003F112A">
      <w:pPr>
        <w:pStyle w:val="Heading1boardreport"/>
      </w:pPr>
      <w:r>
        <w:t xml:space="preserve">Notable </w:t>
      </w:r>
      <w:r w:rsidRPr="003F112A">
        <w:t>issues</w:t>
      </w:r>
      <w:r>
        <w:t xml:space="preserve"> and developments </w:t>
      </w:r>
    </w:p>
    <w:p w14:paraId="0F18E778" w14:textId="77777777" w:rsidR="006D0286" w:rsidRDefault="006D0286" w:rsidP="003F112A">
      <w:pPr>
        <w:pStyle w:val="Heading2boardreport"/>
      </w:pPr>
      <w:r>
        <w:t>Response to coroners’ reports</w:t>
      </w:r>
    </w:p>
    <w:p w14:paraId="14E9F52F" w14:textId="77777777" w:rsidR="00E05EA8" w:rsidRDefault="00E05EA8" w:rsidP="00E05EA8">
      <w:pPr>
        <w:pStyle w:val="NICEnormalnumbered"/>
      </w:pPr>
      <w:r>
        <w:t>Since the last Board meeting, NICE has responded to two Coroner’s reports.</w:t>
      </w:r>
    </w:p>
    <w:p w14:paraId="6E6FC35E" w14:textId="31B6A603" w:rsidR="00E05EA8" w:rsidRDefault="00E05EA8" w:rsidP="00E05EA8">
      <w:pPr>
        <w:pStyle w:val="NICEnormalnumbered"/>
      </w:pPr>
      <w:r>
        <w:t xml:space="preserve">The first report recommended that the information in the British National Formulary (BNF) </w:t>
      </w:r>
      <w:r w:rsidRPr="00717C56">
        <w:t>regarding lamotrigine should be updated to mention possible risks of self-harm, and suicidal thoughts and behaviour</w:t>
      </w:r>
      <w:r>
        <w:t xml:space="preserve">. We shared the Coroner’s report with the BNF publishers who confirmed this would be addressed. In addition, we will look at the Coroner's concerns as part of the current update of our guideline on epilepsies: diagnosis and management (CG137) including whether to move the footnote about the small risk of suicidal </w:t>
      </w:r>
      <w:r>
        <w:lastRenderedPageBreak/>
        <w:t>thoughts and behaviour arising from treatment with anti-epileptic drugs into the body of the relevant recommendation.</w:t>
      </w:r>
    </w:p>
    <w:p w14:paraId="50A6EF4C" w14:textId="77777777" w:rsidR="00E05EA8" w:rsidRDefault="00E05EA8" w:rsidP="00E05EA8">
      <w:pPr>
        <w:pStyle w:val="NICEnormalnumbered"/>
      </w:pPr>
      <w:r>
        <w:t>The second report raised c</w:t>
      </w:r>
      <w:r w:rsidRPr="00454E07">
        <w:t xml:space="preserve">oncerns about awareness of aortic dissection and implementation of </w:t>
      </w:r>
      <w:r>
        <w:t xml:space="preserve">existing </w:t>
      </w:r>
      <w:r w:rsidRPr="00454E07">
        <w:t>recommendations on this topic</w:t>
      </w:r>
      <w:r>
        <w:t xml:space="preserve">, including those from the Healthcare Safety Investigation Branch. Our response noted that </w:t>
      </w:r>
      <w:r w:rsidRPr="007619E2">
        <w:t xml:space="preserve">our relevant guideline (CG95 </w:t>
      </w:r>
      <w:r>
        <w:t xml:space="preserve">- </w:t>
      </w:r>
      <w:r w:rsidRPr="00154877">
        <w:rPr>
          <w:sz w:val="23"/>
          <w:szCs w:val="23"/>
        </w:rPr>
        <w:t>recent-onset chest pain of suspected cardiac origin: assessment and diagnosis)</w:t>
      </w:r>
      <w:r w:rsidRPr="007619E2">
        <w:t xml:space="preserve"> underwent</w:t>
      </w:r>
      <w:r>
        <w:t xml:space="preserve"> surveillance in 2019, which confirmed the guideline contained appropriate level of detail on the </w:t>
      </w:r>
      <w:r w:rsidRPr="00B52A87">
        <w:t>diagnosis of aortic dissection (or acute aortic syndrome)</w:t>
      </w:r>
      <w:r>
        <w:t xml:space="preserve">. Our response noted that we will raise awareness of this topic in our engagement with relevant partners. </w:t>
      </w:r>
    </w:p>
    <w:p w14:paraId="0C534EEE" w14:textId="77777777" w:rsidR="006D0286" w:rsidRDefault="006D0286" w:rsidP="006D0286"/>
    <w:p w14:paraId="067D5B2F" w14:textId="77777777" w:rsidR="003F112A" w:rsidRDefault="003F112A">
      <w:pPr>
        <w:sectPr w:rsidR="003F112A" w:rsidSect="004B4705">
          <w:headerReference w:type="default" r:id="rId9"/>
          <w:footerReference w:type="default" r:id="rId10"/>
          <w:pgSz w:w="11906" w:h="16838"/>
          <w:pgMar w:top="1440" w:right="1440" w:bottom="1440" w:left="1440" w:header="708" w:footer="708" w:gutter="0"/>
          <w:cols w:space="708"/>
          <w:docGrid w:linePitch="360"/>
        </w:sectPr>
      </w:pPr>
    </w:p>
    <w:p w14:paraId="005FADA8" w14:textId="77777777" w:rsidR="003F112A" w:rsidRPr="008B4B1E" w:rsidRDefault="003F112A" w:rsidP="003F112A">
      <w:pPr>
        <w:pStyle w:val="Heading1boardreport"/>
      </w:pPr>
      <w:r w:rsidRPr="008B4B1E">
        <w:lastRenderedPageBreak/>
        <w:t xml:space="preserve">Appendix 1: Business objectives for </w:t>
      </w:r>
      <w:r>
        <w:t>2020/21 - progress update</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Transform the presentation, accessibility and utility of NICE guidance and advice, ensuring it is fully aligned to the needs of our users to support adoption"/>
      </w:tblPr>
      <w:tblGrid>
        <w:gridCol w:w="6232"/>
        <w:gridCol w:w="1701"/>
        <w:gridCol w:w="5670"/>
      </w:tblGrid>
      <w:tr w:rsidR="00336CEE" w14:paraId="12C79075" w14:textId="77777777" w:rsidTr="00123E7F">
        <w:trPr>
          <w:tblHeader/>
        </w:trPr>
        <w:tc>
          <w:tcPr>
            <w:tcW w:w="6232" w:type="dxa"/>
          </w:tcPr>
          <w:p w14:paraId="5526A2C3" w14:textId="77777777" w:rsidR="00336CEE" w:rsidRPr="007277C3" w:rsidRDefault="00336CEE" w:rsidP="007C4108">
            <w:pPr>
              <w:pStyle w:val="Tableheadingboardreport"/>
            </w:pPr>
            <w:r w:rsidRPr="00944A52">
              <w:t>Transform the presentation, accessibility and utility of NICE guidance and advice, ensuring it is fully aligned to the needs of our users to support adoption</w:t>
            </w:r>
          </w:p>
        </w:tc>
        <w:tc>
          <w:tcPr>
            <w:tcW w:w="1701" w:type="dxa"/>
          </w:tcPr>
          <w:p w14:paraId="463EFDD6" w14:textId="77777777" w:rsidR="00336CEE" w:rsidRPr="007277C3" w:rsidRDefault="00336CEE" w:rsidP="007C4108">
            <w:pPr>
              <w:pStyle w:val="Tableheadingboardreport"/>
            </w:pPr>
            <w:r>
              <w:t>Delivery date</w:t>
            </w:r>
          </w:p>
        </w:tc>
        <w:tc>
          <w:tcPr>
            <w:tcW w:w="5670" w:type="dxa"/>
          </w:tcPr>
          <w:p w14:paraId="799CE344" w14:textId="77777777" w:rsidR="00336CEE" w:rsidRPr="00F23A61" w:rsidRDefault="00336CEE" w:rsidP="007C4108">
            <w:pPr>
              <w:pStyle w:val="Tableheadingboardreport"/>
              <w:rPr>
                <w:szCs w:val="22"/>
              </w:rPr>
            </w:pPr>
            <w:r w:rsidRPr="00DD2591">
              <w:rPr>
                <w:szCs w:val="22"/>
              </w:rPr>
              <w:t>Progress update</w:t>
            </w:r>
          </w:p>
        </w:tc>
      </w:tr>
      <w:tr w:rsidR="00A13E24" w14:paraId="04B7A350" w14:textId="77777777" w:rsidTr="007C4108">
        <w:tc>
          <w:tcPr>
            <w:tcW w:w="6232" w:type="dxa"/>
          </w:tcPr>
          <w:p w14:paraId="4FE399AE" w14:textId="77777777" w:rsidR="00A13E24" w:rsidRPr="002901A2" w:rsidRDefault="00A13E24" w:rsidP="007C4108">
            <w:pPr>
              <w:pStyle w:val="Tabletext"/>
              <w:rPr>
                <w:color w:val="FF0000"/>
              </w:rPr>
            </w:pPr>
            <w:r w:rsidRPr="00944A52">
              <w:t>Delivery of internal efficiency improvements as part of NICE Connect</w:t>
            </w:r>
          </w:p>
        </w:tc>
        <w:tc>
          <w:tcPr>
            <w:tcW w:w="1701" w:type="dxa"/>
          </w:tcPr>
          <w:p w14:paraId="698B7E27" w14:textId="77777777" w:rsidR="00A13E24" w:rsidRPr="00944A52" w:rsidRDefault="00A13E24" w:rsidP="007C4108">
            <w:pPr>
              <w:pStyle w:val="Tabletext"/>
            </w:pPr>
            <w:r w:rsidRPr="00944A52">
              <w:t>Ongoing</w:t>
            </w:r>
          </w:p>
        </w:tc>
        <w:tc>
          <w:tcPr>
            <w:tcW w:w="5670" w:type="dxa"/>
          </w:tcPr>
          <w:p w14:paraId="2773851F" w14:textId="77777777" w:rsidR="00A13E24" w:rsidRPr="00333DC0" w:rsidRDefault="00A13E24" w:rsidP="00301D86">
            <w:pPr>
              <w:pStyle w:val="Tablebullet"/>
            </w:pPr>
            <w:r w:rsidRPr="00333DC0">
              <w:t>A project brief has been approved for NICE wide consultation processes.  A project team has been appointed and work is underway with phases 1 &amp; 2 aiming to be completed by March 2021.</w:t>
            </w:r>
          </w:p>
          <w:p w14:paraId="15C6BFC5" w14:textId="77777777" w:rsidR="00A13E24" w:rsidRPr="00333DC0" w:rsidRDefault="00A13E24" w:rsidP="00301D86">
            <w:pPr>
              <w:pStyle w:val="Tablebullet"/>
            </w:pPr>
            <w:r w:rsidRPr="00333DC0">
              <w:t xml:space="preserve">Collaborative working experiences have been captured and will be published shortly.  Guidance for effective matrix management has been published.  </w:t>
            </w:r>
          </w:p>
        </w:tc>
      </w:tr>
      <w:tr w:rsidR="00A13E24" w14:paraId="6BD4BB78" w14:textId="77777777" w:rsidTr="007C4108">
        <w:tc>
          <w:tcPr>
            <w:tcW w:w="6232" w:type="dxa"/>
          </w:tcPr>
          <w:p w14:paraId="1400F720" w14:textId="77777777" w:rsidR="00A13E24" w:rsidRPr="00944A52" w:rsidRDefault="00A13E24" w:rsidP="007C4108">
            <w:pPr>
              <w:pStyle w:val="Tabletext"/>
            </w:pPr>
            <w:r w:rsidRPr="00944A52">
              <w:t>Undertake a discovery for a commissioner/life sciences portal incorporating process and technical considerations and user research as part of NICE Connect</w:t>
            </w:r>
            <w:r>
              <w:t xml:space="preserve"> </w:t>
            </w:r>
          </w:p>
        </w:tc>
        <w:tc>
          <w:tcPr>
            <w:tcW w:w="1701" w:type="dxa"/>
          </w:tcPr>
          <w:p w14:paraId="04154FE9" w14:textId="77777777" w:rsidR="00A13E24" w:rsidRPr="00944A52" w:rsidRDefault="00A13E24" w:rsidP="007C4108">
            <w:pPr>
              <w:pStyle w:val="Tabletext"/>
            </w:pPr>
            <w:r>
              <w:t>Q4 20/21</w:t>
            </w:r>
          </w:p>
        </w:tc>
        <w:tc>
          <w:tcPr>
            <w:tcW w:w="5670" w:type="dxa"/>
          </w:tcPr>
          <w:p w14:paraId="40A7437C" w14:textId="77777777" w:rsidR="00A13E24" w:rsidRPr="00333DC0" w:rsidRDefault="00A13E24" w:rsidP="00301D86">
            <w:pPr>
              <w:pStyle w:val="Tablebullet"/>
            </w:pPr>
            <w:r w:rsidRPr="00333DC0">
              <w:t>Brief for the discovery is being developed for consideration. The work itself is planned for Q3/4 as a secondary priority and dependent on commitment of resource to live services.</w:t>
            </w:r>
          </w:p>
        </w:tc>
      </w:tr>
      <w:tr w:rsidR="00A13E24" w14:paraId="0F79ABA0" w14:textId="77777777" w:rsidTr="007C4108">
        <w:tc>
          <w:tcPr>
            <w:tcW w:w="6232" w:type="dxa"/>
          </w:tcPr>
          <w:p w14:paraId="5B28D91D" w14:textId="77777777" w:rsidR="00A13E24" w:rsidRPr="007277C3" w:rsidRDefault="00A13E24" w:rsidP="007C4108">
            <w:pPr>
              <w:pStyle w:val="Tabletext"/>
            </w:pPr>
            <w:r w:rsidRPr="00944A52">
              <w:t>Undertake a Citeable Publications feasibility study and roll out in conjunction with NIHR as part of NICE Connect</w:t>
            </w:r>
          </w:p>
        </w:tc>
        <w:tc>
          <w:tcPr>
            <w:tcW w:w="1701" w:type="dxa"/>
          </w:tcPr>
          <w:p w14:paraId="491E0460" w14:textId="77777777" w:rsidR="00A13E24" w:rsidRPr="007277C3" w:rsidRDefault="00A13E24" w:rsidP="007C4108">
            <w:pPr>
              <w:pStyle w:val="Tabletext"/>
            </w:pPr>
            <w:r w:rsidRPr="00944A52">
              <w:t>Q3 20/21</w:t>
            </w:r>
          </w:p>
        </w:tc>
        <w:tc>
          <w:tcPr>
            <w:tcW w:w="5670" w:type="dxa"/>
          </w:tcPr>
          <w:p w14:paraId="1F9AC4B9" w14:textId="77777777" w:rsidR="00A13E24" w:rsidRPr="00333DC0" w:rsidRDefault="00A13E24" w:rsidP="00301D86">
            <w:pPr>
              <w:pStyle w:val="Tablebullet"/>
            </w:pPr>
            <w:r w:rsidRPr="00333DC0">
              <w:rPr>
                <w:rFonts w:eastAsia="Calibri"/>
              </w:rPr>
              <w:t>Meeting arranged for 23 November between NICE and Wessex Institute at University of Southampton teams to agree scope.</w:t>
            </w:r>
          </w:p>
        </w:tc>
      </w:tr>
      <w:tr w:rsidR="00A13E24" w14:paraId="4F61BA97" w14:textId="77777777" w:rsidTr="007C4108">
        <w:tc>
          <w:tcPr>
            <w:tcW w:w="6232" w:type="dxa"/>
          </w:tcPr>
          <w:p w14:paraId="49B9D85D" w14:textId="77777777" w:rsidR="00A13E24" w:rsidRPr="007277C3" w:rsidRDefault="00A13E24" w:rsidP="007C4108">
            <w:pPr>
              <w:pStyle w:val="Tabletext"/>
            </w:pPr>
            <w:r w:rsidRPr="00944A52">
              <w:t>Introduce one external registration point for stakeholder information on the website following an internal process review</w:t>
            </w:r>
          </w:p>
        </w:tc>
        <w:tc>
          <w:tcPr>
            <w:tcW w:w="1701" w:type="dxa"/>
          </w:tcPr>
          <w:p w14:paraId="79AE4D4F" w14:textId="77777777" w:rsidR="00A13E24" w:rsidRPr="007277C3" w:rsidRDefault="00A13E24" w:rsidP="007C4108">
            <w:pPr>
              <w:pStyle w:val="Tabletext"/>
            </w:pPr>
            <w:r w:rsidRPr="00944A52">
              <w:t>Ongoing</w:t>
            </w:r>
          </w:p>
        </w:tc>
        <w:tc>
          <w:tcPr>
            <w:tcW w:w="5670" w:type="dxa"/>
          </w:tcPr>
          <w:p w14:paraId="2ED8D4A0" w14:textId="77777777" w:rsidR="00A13E24" w:rsidRPr="00333DC0" w:rsidRDefault="00A13E24" w:rsidP="00301D86">
            <w:pPr>
              <w:pStyle w:val="Tablebullet"/>
            </w:pPr>
            <w:r w:rsidRPr="00333DC0">
              <w:t>Work is underway to scope and design a central place for stakeholder registration on the NICE website. This work is also being considered for inclusion in a larger more strategic consideration of the NICE website. The internal process review is being scoped through the Data Management Expert Group.</w:t>
            </w:r>
          </w:p>
        </w:tc>
      </w:tr>
      <w:tr w:rsidR="00A13E24" w14:paraId="6CF94CE9" w14:textId="77777777" w:rsidTr="007C4108">
        <w:tc>
          <w:tcPr>
            <w:tcW w:w="6232" w:type="dxa"/>
          </w:tcPr>
          <w:p w14:paraId="73402318" w14:textId="77777777" w:rsidR="00A13E24" w:rsidRPr="007277C3" w:rsidRDefault="00A13E24" w:rsidP="007C4108">
            <w:pPr>
              <w:pStyle w:val="Tabletext"/>
            </w:pPr>
            <w:r w:rsidRPr="00944A52">
              <w:t>Deliver a range of tools and support for the uptake of NICE products, including resource impact support, budget impact tests, endorsement statements, and shared learning examples</w:t>
            </w:r>
          </w:p>
        </w:tc>
        <w:tc>
          <w:tcPr>
            <w:tcW w:w="1701" w:type="dxa"/>
          </w:tcPr>
          <w:p w14:paraId="7E8F53AA" w14:textId="77777777" w:rsidR="00A13E24" w:rsidRPr="007277C3" w:rsidRDefault="00A13E24" w:rsidP="007C4108">
            <w:pPr>
              <w:pStyle w:val="Tabletext"/>
            </w:pPr>
            <w:r w:rsidRPr="00944A52">
              <w:t>Ongoing</w:t>
            </w:r>
          </w:p>
        </w:tc>
        <w:tc>
          <w:tcPr>
            <w:tcW w:w="5670" w:type="dxa"/>
          </w:tcPr>
          <w:p w14:paraId="5B899C03" w14:textId="77777777" w:rsidR="00A13E24" w:rsidRPr="00333DC0" w:rsidRDefault="00A13E24" w:rsidP="00301D86">
            <w:pPr>
              <w:pStyle w:val="Tablebullet"/>
            </w:pPr>
            <w:r w:rsidRPr="00333DC0">
              <w:t>Endorsement process streamlined to support COVID-19 rapid guidance.</w:t>
            </w:r>
          </w:p>
          <w:p w14:paraId="493317A6" w14:textId="77777777" w:rsidR="00A13E24" w:rsidRPr="00333DC0" w:rsidRDefault="00A13E24" w:rsidP="00301D86">
            <w:pPr>
              <w:pStyle w:val="Tablebullet"/>
            </w:pPr>
            <w:r w:rsidRPr="00333DC0">
              <w:t xml:space="preserve">Shared learning examples shortlisted for virtual shared learning awards to be held in autumn 2020. </w:t>
            </w:r>
          </w:p>
          <w:p w14:paraId="481F1F1C" w14:textId="77777777" w:rsidR="00A13E24" w:rsidRPr="00333DC0" w:rsidRDefault="00A13E24" w:rsidP="00301D86">
            <w:pPr>
              <w:pStyle w:val="Tablebullet"/>
            </w:pPr>
            <w:r w:rsidRPr="00333DC0">
              <w:lastRenderedPageBreak/>
              <w:t>Resource impact tools published for published technology appraisals.</w:t>
            </w:r>
          </w:p>
        </w:tc>
      </w:tr>
      <w:tr w:rsidR="00A13E24" w14:paraId="337D4A99" w14:textId="77777777" w:rsidTr="007C4108">
        <w:tc>
          <w:tcPr>
            <w:tcW w:w="6232" w:type="dxa"/>
          </w:tcPr>
          <w:p w14:paraId="33087B62" w14:textId="77777777" w:rsidR="00A13E24" w:rsidRPr="007277C3" w:rsidRDefault="00A13E24" w:rsidP="007C4108">
            <w:pPr>
              <w:pStyle w:val="Tabletext"/>
            </w:pPr>
            <w:r w:rsidRPr="00944A52">
              <w:lastRenderedPageBreak/>
              <w:t>Manage and maintain NICE’s live digital services utilising user insight and strategic service goals to prioritise use of the available resources</w:t>
            </w:r>
          </w:p>
        </w:tc>
        <w:tc>
          <w:tcPr>
            <w:tcW w:w="1701" w:type="dxa"/>
          </w:tcPr>
          <w:p w14:paraId="67723870" w14:textId="77777777" w:rsidR="00A13E24" w:rsidRPr="007277C3" w:rsidRDefault="00A13E24" w:rsidP="007C4108">
            <w:pPr>
              <w:pStyle w:val="Tabletext"/>
            </w:pPr>
            <w:r w:rsidRPr="00944A52">
              <w:t>Ongoing</w:t>
            </w:r>
          </w:p>
        </w:tc>
        <w:tc>
          <w:tcPr>
            <w:tcW w:w="5670" w:type="dxa"/>
          </w:tcPr>
          <w:p w14:paraId="23EC18BA" w14:textId="77777777" w:rsidR="00A13E24" w:rsidRPr="00333DC0" w:rsidRDefault="00A13E24" w:rsidP="00301D86">
            <w:pPr>
              <w:pStyle w:val="Tablebullet"/>
            </w:pPr>
            <w:r w:rsidRPr="00333DC0">
              <w:t>Live service maintenance and user insight continue as part of business-as-usual activity. Planned changes to the governance of digital and IT activities will enable improved prioritisation of live service and strategic work and are being scoped at present.</w:t>
            </w:r>
          </w:p>
        </w:tc>
      </w:tr>
      <w:tr w:rsidR="00A13E24" w14:paraId="6739ADAC" w14:textId="77777777" w:rsidTr="007C4108">
        <w:tc>
          <w:tcPr>
            <w:tcW w:w="6232" w:type="dxa"/>
          </w:tcPr>
          <w:p w14:paraId="68A39DCE" w14:textId="77777777" w:rsidR="00A13E24" w:rsidRPr="007277C3" w:rsidRDefault="00A13E24" w:rsidP="007C4108">
            <w:pPr>
              <w:pStyle w:val="Tabletext"/>
            </w:pPr>
            <w:r w:rsidRPr="00944A52">
              <w:t>Commission biennial NICE reputation research to assess key stakeholders’ views of NICE, deliver a research project to understand audience requirements for implementation support, and develop and deliver an audience insights strategy to support NICE Connect</w:t>
            </w:r>
          </w:p>
        </w:tc>
        <w:tc>
          <w:tcPr>
            <w:tcW w:w="1701" w:type="dxa"/>
          </w:tcPr>
          <w:p w14:paraId="67E9D9F3" w14:textId="77777777" w:rsidR="00A13E24" w:rsidRPr="007277C3" w:rsidRDefault="00A13E24" w:rsidP="007C4108">
            <w:pPr>
              <w:pStyle w:val="Tabletext"/>
            </w:pPr>
            <w:r w:rsidRPr="00944A52">
              <w:t>Q2 and Q4</w:t>
            </w:r>
          </w:p>
        </w:tc>
        <w:tc>
          <w:tcPr>
            <w:tcW w:w="5670" w:type="dxa"/>
          </w:tcPr>
          <w:p w14:paraId="115B319F" w14:textId="77777777" w:rsidR="00A13E24" w:rsidRPr="00333DC0" w:rsidRDefault="00A13E24" w:rsidP="00301D86">
            <w:pPr>
              <w:pStyle w:val="Tablebullet"/>
            </w:pPr>
            <w:r w:rsidRPr="00333DC0">
              <w:t>Planning has begun on the next biennial NICE reputation research project which is scheduled for completion in Q1 of 2021.</w:t>
            </w:r>
          </w:p>
          <w:p w14:paraId="728B5B47" w14:textId="77777777" w:rsidR="00A13E24" w:rsidRPr="00333DC0" w:rsidRDefault="00A13E24" w:rsidP="00301D86">
            <w:pPr>
              <w:pStyle w:val="Tablebullet"/>
            </w:pPr>
            <w:r w:rsidRPr="00333DC0">
              <w:rPr>
                <w:rFonts w:eastAsiaTheme="minorEastAsia"/>
              </w:rPr>
              <w:t xml:space="preserve">The results of the implementation study presented to the Board in September will feed into the Board's Implementation deep dive in December. </w:t>
            </w:r>
          </w:p>
        </w:tc>
      </w:tr>
      <w:tr w:rsidR="00A13E24" w14:paraId="21324099" w14:textId="77777777" w:rsidTr="007C4108">
        <w:tc>
          <w:tcPr>
            <w:tcW w:w="6232" w:type="dxa"/>
          </w:tcPr>
          <w:p w14:paraId="2AC89B7E" w14:textId="77777777" w:rsidR="00A13E24" w:rsidRPr="007277C3" w:rsidRDefault="00A13E24" w:rsidP="007C4108">
            <w:pPr>
              <w:pStyle w:val="Tabletext"/>
            </w:pPr>
            <w:r w:rsidRPr="00944A52">
              <w:t>Deliver multi-channel marketing activities for major initiatives through the newly established brand and marketing team</w:t>
            </w:r>
          </w:p>
        </w:tc>
        <w:tc>
          <w:tcPr>
            <w:tcW w:w="1701" w:type="dxa"/>
          </w:tcPr>
          <w:p w14:paraId="6D01FBD9" w14:textId="77777777" w:rsidR="00A13E24" w:rsidRPr="007277C3" w:rsidRDefault="00A13E24" w:rsidP="007C4108">
            <w:pPr>
              <w:pStyle w:val="Tabletext"/>
            </w:pPr>
            <w:r w:rsidRPr="00944A52">
              <w:t>Ongoing</w:t>
            </w:r>
          </w:p>
        </w:tc>
        <w:tc>
          <w:tcPr>
            <w:tcW w:w="5670" w:type="dxa"/>
          </w:tcPr>
          <w:p w14:paraId="0027B430" w14:textId="77777777" w:rsidR="00A13E24" w:rsidRPr="00333DC0" w:rsidRDefault="00A13E24" w:rsidP="00301D86">
            <w:pPr>
              <w:pStyle w:val="Tablebullet"/>
            </w:pPr>
            <w:r w:rsidRPr="00333DC0">
              <w:t>Marketing plans are being developed for NICE Scientific Advice and NICE International. A new social care marketing plan is being developed in line with development of the new strategic priorities for NICE.</w:t>
            </w:r>
          </w:p>
          <w:p w14:paraId="0E384EC3" w14:textId="71654101" w:rsidR="00A13E24" w:rsidRPr="00333DC0" w:rsidRDefault="00A13E24" w:rsidP="00301D86">
            <w:pPr>
              <w:pStyle w:val="Tablebullet"/>
            </w:pPr>
            <w:r w:rsidRPr="00333DC0">
              <w:t>The Chief Executive’s Update mailing continues to perform well. September's topic was the organisational strategy development and October's was patient safety. Total number of subscribers is 41,832.</w:t>
            </w:r>
          </w:p>
        </w:tc>
      </w:tr>
      <w:tr w:rsidR="00A13E24" w14:paraId="59325DB1" w14:textId="77777777" w:rsidTr="007C4108">
        <w:tc>
          <w:tcPr>
            <w:tcW w:w="6232" w:type="dxa"/>
          </w:tcPr>
          <w:p w14:paraId="1FE4E071" w14:textId="77777777" w:rsidR="00A13E24" w:rsidRPr="00944A52" w:rsidRDefault="00A13E24" w:rsidP="007C4108">
            <w:pPr>
              <w:pStyle w:val="Tabletext"/>
            </w:pPr>
            <w:r w:rsidRPr="00944A52">
              <w:t>Develop and implement a new social media strategy to ensure use of the most effective channels to reach and engage with our key audiences</w:t>
            </w:r>
          </w:p>
        </w:tc>
        <w:tc>
          <w:tcPr>
            <w:tcW w:w="1701" w:type="dxa"/>
          </w:tcPr>
          <w:p w14:paraId="2A831735" w14:textId="77777777" w:rsidR="00A13E24" w:rsidRPr="00944A52" w:rsidRDefault="00A13E24" w:rsidP="007C4108">
            <w:pPr>
              <w:pStyle w:val="Tabletext"/>
            </w:pPr>
            <w:r w:rsidRPr="00944A52">
              <w:t>Q2 and ongoing</w:t>
            </w:r>
          </w:p>
        </w:tc>
        <w:tc>
          <w:tcPr>
            <w:tcW w:w="5670" w:type="dxa"/>
          </w:tcPr>
          <w:p w14:paraId="021E2306" w14:textId="77777777" w:rsidR="00A13E24" w:rsidRPr="00333DC0" w:rsidRDefault="00A13E24" w:rsidP="00301D86">
            <w:pPr>
              <w:pStyle w:val="Tablebullet"/>
            </w:pPr>
            <w:r w:rsidRPr="00333DC0">
              <w:t>Work to date on a social media strategy will be folded into development of a communications and marketing strategy designed to support the implementation of the new NICE strategic plan.</w:t>
            </w:r>
          </w:p>
        </w:tc>
      </w:tr>
      <w:tr w:rsidR="00A13E24" w14:paraId="64F15C3B" w14:textId="77777777" w:rsidTr="007C4108">
        <w:tc>
          <w:tcPr>
            <w:tcW w:w="6232" w:type="dxa"/>
          </w:tcPr>
          <w:p w14:paraId="7C413833" w14:textId="77777777" w:rsidR="00A13E24" w:rsidRPr="00944A52" w:rsidRDefault="00A13E24" w:rsidP="007C4108">
            <w:pPr>
              <w:pStyle w:val="Tabletext"/>
            </w:pPr>
            <w:r w:rsidRPr="00944A52">
              <w:lastRenderedPageBreak/>
              <w:t>Review the function and monitor performance of NICE Evidence Services (CKS, HDAS, BNF microsites, Evidence Search, Medicines Awareness Service)</w:t>
            </w:r>
          </w:p>
        </w:tc>
        <w:tc>
          <w:tcPr>
            <w:tcW w:w="1701" w:type="dxa"/>
          </w:tcPr>
          <w:p w14:paraId="6D15F8C2" w14:textId="77777777" w:rsidR="00A13E24" w:rsidRPr="00944A52" w:rsidRDefault="00A13E24" w:rsidP="007C4108">
            <w:pPr>
              <w:pStyle w:val="Tabletext"/>
            </w:pPr>
            <w:r w:rsidRPr="00944A52">
              <w:t>Ongoing</w:t>
            </w:r>
          </w:p>
        </w:tc>
        <w:tc>
          <w:tcPr>
            <w:tcW w:w="5670" w:type="dxa"/>
          </w:tcPr>
          <w:p w14:paraId="7EF50A9B" w14:textId="77777777" w:rsidR="00A13E24" w:rsidRPr="00333DC0" w:rsidRDefault="00A13E24" w:rsidP="00301D86">
            <w:pPr>
              <w:pStyle w:val="Tablebullet"/>
            </w:pPr>
            <w:r w:rsidRPr="00333DC0">
              <w:t>Maintenance of these live services is delivered in line with agreed priorities.</w:t>
            </w:r>
          </w:p>
          <w:p w14:paraId="19A4DE50" w14:textId="77777777" w:rsidR="00A13E24" w:rsidRPr="00333DC0" w:rsidRDefault="00A13E24" w:rsidP="00301D86">
            <w:pPr>
              <w:pStyle w:val="Tablebullet"/>
            </w:pPr>
            <w:r w:rsidRPr="00333DC0">
              <w:t xml:space="preserve">All the NICE Evidence Services microsites have been audited for accessibility; new accessible versions of the CKS and Evidence search sites have been released which address the findings from the accessibility audits and all sites now have relevant accessibility statements in line with the EU directive.  </w:t>
            </w:r>
          </w:p>
        </w:tc>
      </w:tr>
    </w:tbl>
    <w:p w14:paraId="1A6C33FA" w14:textId="77777777" w:rsidR="00A13E24" w:rsidRDefault="00A13E24" w:rsidP="00A13E24">
      <w:pPr>
        <w:pStyle w:val="NICEnormal"/>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Transform the development of NICE guidance and advice in line with the learning from the COVID-19 response so the process is efficient, integrated, and takes advantage of new technologies including artificial intelligence"/>
      </w:tblPr>
      <w:tblGrid>
        <w:gridCol w:w="6232"/>
        <w:gridCol w:w="1701"/>
        <w:gridCol w:w="5670"/>
      </w:tblGrid>
      <w:tr w:rsidR="00336CEE" w14:paraId="76F93773" w14:textId="77777777" w:rsidTr="00123E7F">
        <w:trPr>
          <w:tblHeader/>
        </w:trPr>
        <w:tc>
          <w:tcPr>
            <w:tcW w:w="6232" w:type="dxa"/>
          </w:tcPr>
          <w:p w14:paraId="506CEF17" w14:textId="77777777" w:rsidR="00336CEE" w:rsidRPr="00944A52" w:rsidRDefault="00336CEE" w:rsidP="007C4108">
            <w:pPr>
              <w:pStyle w:val="Tableheadingboardreport"/>
            </w:pPr>
            <w:r w:rsidRPr="00944A52">
              <w:t>Transform the development of NICE guidance and advice in line with the learning from the COVID-19 response so the process is efficient, integrated, and takes advantage of new technologies including artificial intelligence</w:t>
            </w:r>
          </w:p>
        </w:tc>
        <w:tc>
          <w:tcPr>
            <w:tcW w:w="1701" w:type="dxa"/>
          </w:tcPr>
          <w:p w14:paraId="7E1D37B1" w14:textId="77777777" w:rsidR="00336CEE" w:rsidRPr="00944A52" w:rsidRDefault="00336CEE" w:rsidP="007C4108">
            <w:pPr>
              <w:pStyle w:val="Tableheadingboardreport"/>
            </w:pPr>
            <w:r>
              <w:t>Delivery date</w:t>
            </w:r>
          </w:p>
        </w:tc>
        <w:tc>
          <w:tcPr>
            <w:tcW w:w="5670" w:type="dxa"/>
          </w:tcPr>
          <w:p w14:paraId="41EE888C" w14:textId="77777777" w:rsidR="00336CEE" w:rsidRPr="00F23A61" w:rsidRDefault="00336CEE" w:rsidP="007C4108">
            <w:pPr>
              <w:pStyle w:val="Tableheadingboardreport"/>
              <w:rPr>
                <w:szCs w:val="22"/>
              </w:rPr>
            </w:pPr>
            <w:r w:rsidRPr="00DD2591">
              <w:rPr>
                <w:szCs w:val="22"/>
              </w:rPr>
              <w:t>Progress update</w:t>
            </w:r>
          </w:p>
        </w:tc>
      </w:tr>
      <w:tr w:rsidR="00A13E24" w14:paraId="42063A31" w14:textId="77777777" w:rsidTr="007C4108">
        <w:tc>
          <w:tcPr>
            <w:tcW w:w="6232" w:type="dxa"/>
          </w:tcPr>
          <w:p w14:paraId="158FA777" w14:textId="77777777" w:rsidR="00A13E24" w:rsidRPr="00944A52" w:rsidRDefault="00A13E24" w:rsidP="007C4108">
            <w:pPr>
              <w:pStyle w:val="Tabletext"/>
            </w:pPr>
            <w:r w:rsidRPr="00944A52">
              <w:t>Deliver guidance, standards, indicators and evidence products and services, in accordance with the planned volumes and requirements of the COVID-19 pandemic</w:t>
            </w:r>
          </w:p>
        </w:tc>
        <w:tc>
          <w:tcPr>
            <w:tcW w:w="1701" w:type="dxa"/>
          </w:tcPr>
          <w:p w14:paraId="431832E2" w14:textId="77777777" w:rsidR="00A13E24" w:rsidRPr="00944A52" w:rsidRDefault="00A13E24" w:rsidP="007C4108">
            <w:pPr>
              <w:pStyle w:val="Tabletext"/>
            </w:pPr>
            <w:r w:rsidRPr="00944A52">
              <w:t>Ongoing</w:t>
            </w:r>
          </w:p>
        </w:tc>
        <w:tc>
          <w:tcPr>
            <w:tcW w:w="5670" w:type="dxa"/>
          </w:tcPr>
          <w:p w14:paraId="1264D9DA" w14:textId="77777777" w:rsidR="00A13E24" w:rsidRPr="00333DC0" w:rsidRDefault="00A13E24" w:rsidP="00301D86">
            <w:pPr>
              <w:pStyle w:val="Tablebullet"/>
            </w:pPr>
            <w:r w:rsidRPr="00333DC0">
              <w:t>Details of the main programmes’ performance against plan, including explanations for any variances are set out elsewhere in this report.</w:t>
            </w:r>
          </w:p>
        </w:tc>
      </w:tr>
      <w:tr w:rsidR="00A13E24" w14:paraId="3257E339" w14:textId="77777777" w:rsidTr="007C4108">
        <w:tc>
          <w:tcPr>
            <w:tcW w:w="6232" w:type="dxa"/>
          </w:tcPr>
          <w:p w14:paraId="03F333E9" w14:textId="77777777" w:rsidR="00A13E24" w:rsidRPr="00944A52" w:rsidRDefault="00A13E24" w:rsidP="007C4108">
            <w:pPr>
              <w:pStyle w:val="Tabletext"/>
            </w:pPr>
            <w:r w:rsidRPr="00944A52">
              <w:t>Review the current and planned guidelines portfolio, in conjunction with NHS England and NHS Improvement (NHSE&amp;I) and the Department of Health and Social Care, with a view to consolidating on key areas and topics, in the context of NICE Connect and the COVID-19 pandemic</w:t>
            </w:r>
          </w:p>
        </w:tc>
        <w:tc>
          <w:tcPr>
            <w:tcW w:w="1701" w:type="dxa"/>
          </w:tcPr>
          <w:p w14:paraId="241B1769" w14:textId="77777777" w:rsidR="00A13E24" w:rsidRPr="00944A52" w:rsidRDefault="00A13E24" w:rsidP="007C4108">
            <w:pPr>
              <w:pStyle w:val="Tabletext"/>
            </w:pPr>
            <w:r w:rsidRPr="00944A52">
              <w:t>Q4</w:t>
            </w:r>
          </w:p>
        </w:tc>
        <w:tc>
          <w:tcPr>
            <w:tcW w:w="5670" w:type="dxa"/>
          </w:tcPr>
          <w:p w14:paraId="3E5DDF9A" w14:textId="77777777" w:rsidR="00A13E24" w:rsidRPr="00333DC0" w:rsidRDefault="00A13E24" w:rsidP="00301D86">
            <w:pPr>
              <w:pStyle w:val="Tablebullet"/>
              <w:rPr>
                <w:rFonts w:eastAsia="Arial"/>
              </w:rPr>
            </w:pPr>
            <w:r w:rsidRPr="00333DC0">
              <w:t xml:space="preserve">Meeting being scheduled for November with Department of Health and Social Care and NHS England. This meeting will be a transition to clarify ways of working and agree high, </w:t>
            </w:r>
            <w:proofErr w:type="gramStart"/>
            <w:r w:rsidRPr="00333DC0">
              <w:t>medium</w:t>
            </w:r>
            <w:proofErr w:type="gramEnd"/>
            <w:r w:rsidRPr="00333DC0">
              <w:t xml:space="preserve"> and low priorities.</w:t>
            </w:r>
          </w:p>
        </w:tc>
      </w:tr>
      <w:tr w:rsidR="00A13E24" w14:paraId="48CDFFEB" w14:textId="77777777" w:rsidTr="007C4108">
        <w:tc>
          <w:tcPr>
            <w:tcW w:w="6232" w:type="dxa"/>
          </w:tcPr>
          <w:p w14:paraId="70B4D819" w14:textId="77777777" w:rsidR="00A13E24" w:rsidRPr="00944A52" w:rsidRDefault="00A13E24" w:rsidP="007C4108">
            <w:pPr>
              <w:pStyle w:val="Tabletext"/>
            </w:pPr>
            <w:r w:rsidRPr="00944A52">
              <w:t>Complete a r</w:t>
            </w:r>
            <w:r w:rsidRPr="00FC2B19">
              <w:t xml:space="preserve">eview </w:t>
            </w:r>
            <w:r w:rsidRPr="00944A52">
              <w:t xml:space="preserve">of </w:t>
            </w:r>
            <w:r w:rsidRPr="00FC2B19">
              <w:t>the quality standards programme to establish its future direction based on stakeholder need</w:t>
            </w:r>
            <w:r w:rsidRPr="00944A52">
              <w:t xml:space="preserve"> </w:t>
            </w:r>
            <w:r w:rsidRPr="00FC2B19">
              <w:t>and their positioning and presentation</w:t>
            </w:r>
            <w:r>
              <w:t xml:space="preserve">, </w:t>
            </w:r>
            <w:r w:rsidRPr="00FC2B19">
              <w:t>in the context of NICE Connect</w:t>
            </w:r>
          </w:p>
        </w:tc>
        <w:tc>
          <w:tcPr>
            <w:tcW w:w="1701" w:type="dxa"/>
          </w:tcPr>
          <w:p w14:paraId="64D3217A" w14:textId="77777777" w:rsidR="00A13E24" w:rsidRPr="00944A52" w:rsidRDefault="00A13E24" w:rsidP="007C4108">
            <w:pPr>
              <w:pStyle w:val="Tabletext"/>
            </w:pPr>
            <w:r>
              <w:t>Q4</w:t>
            </w:r>
          </w:p>
        </w:tc>
        <w:tc>
          <w:tcPr>
            <w:tcW w:w="5670" w:type="dxa"/>
          </w:tcPr>
          <w:p w14:paraId="12B842D4" w14:textId="77777777" w:rsidR="00A13E24" w:rsidRPr="00333DC0" w:rsidRDefault="00A13E24" w:rsidP="00301D86">
            <w:pPr>
              <w:pStyle w:val="Tablebullet"/>
            </w:pPr>
            <w:r w:rsidRPr="00333DC0">
              <w:t>Review undertaken to ensure existing quality standards remain suitable and accurate during the COVID-19 pandemic.</w:t>
            </w:r>
          </w:p>
          <w:p w14:paraId="41E87C02" w14:textId="77777777" w:rsidR="00A13E24" w:rsidRPr="00333DC0" w:rsidRDefault="00A13E24" w:rsidP="00301D86">
            <w:pPr>
              <w:pStyle w:val="Tablebullet"/>
            </w:pPr>
            <w:r w:rsidRPr="00333DC0">
              <w:t>Review of methods and processes for developing and updating quality standards is in progress.</w:t>
            </w:r>
          </w:p>
          <w:p w14:paraId="0EEA2D06" w14:textId="77777777" w:rsidR="00A13E24" w:rsidRPr="00333DC0" w:rsidRDefault="00A13E24" w:rsidP="00301D86">
            <w:pPr>
              <w:pStyle w:val="Tablebullet"/>
            </w:pPr>
            <w:r w:rsidRPr="00333DC0">
              <w:lastRenderedPageBreak/>
              <w:t>Work on establishing stakeholder need and clear positioning of quality standards in wider quality improvement landscape is in progress.</w:t>
            </w:r>
          </w:p>
        </w:tc>
      </w:tr>
      <w:tr w:rsidR="00A13E24" w14:paraId="77376C2F" w14:textId="77777777" w:rsidTr="007C4108">
        <w:tc>
          <w:tcPr>
            <w:tcW w:w="6232" w:type="dxa"/>
          </w:tcPr>
          <w:p w14:paraId="21DFB1D1" w14:textId="77777777" w:rsidR="00A13E24" w:rsidRDefault="00A13E24" w:rsidP="007C4108">
            <w:pPr>
              <w:pStyle w:val="Tabletext"/>
            </w:pPr>
            <w:bookmarkStart w:id="0" w:name="_Hlk38996581"/>
            <w:r w:rsidRPr="00FC2B19">
              <w:lastRenderedPageBreak/>
              <w:t xml:space="preserve">Complete a review of </w:t>
            </w:r>
            <w:r w:rsidRPr="00944A52">
              <w:t>technology evaluation</w:t>
            </w:r>
            <w:r w:rsidRPr="00FC2B19">
              <w:t xml:space="preserve"> processes and methods</w:t>
            </w:r>
            <w:r w:rsidRPr="00944A52">
              <w:t xml:space="preserve">, consult on </w:t>
            </w:r>
            <w:proofErr w:type="gramStart"/>
            <w:r w:rsidRPr="00944A52">
              <w:t>changes</w:t>
            </w:r>
            <w:proofErr w:type="gramEnd"/>
            <w:r w:rsidRPr="00944A52">
              <w:t xml:space="preserve"> and </w:t>
            </w:r>
            <w:r w:rsidRPr="00FC2B19">
              <w:t>publish</w:t>
            </w:r>
            <w:r w:rsidRPr="00944A52">
              <w:t xml:space="preserve"> updated</w:t>
            </w:r>
            <w:r w:rsidRPr="00FC2B19">
              <w:t xml:space="preserve"> manual</w:t>
            </w:r>
            <w:r>
              <w:t>s</w:t>
            </w:r>
            <w:r w:rsidRPr="00944A52">
              <w:t xml:space="preserve"> </w:t>
            </w:r>
            <w:r>
              <w:t>and implement changes early, on an interim basis, where they allow for faster recovery from COVID-19</w:t>
            </w:r>
            <w:bookmarkEnd w:id="0"/>
          </w:p>
        </w:tc>
        <w:tc>
          <w:tcPr>
            <w:tcW w:w="1701" w:type="dxa"/>
          </w:tcPr>
          <w:p w14:paraId="1DB5516E" w14:textId="77777777" w:rsidR="00A13E24" w:rsidRPr="00944A52" w:rsidRDefault="00A13E24" w:rsidP="007C4108">
            <w:pPr>
              <w:pStyle w:val="Tabletext"/>
            </w:pPr>
            <w:r w:rsidRPr="00944A52">
              <w:t>Q3/4</w:t>
            </w:r>
          </w:p>
          <w:p w14:paraId="5001ACC5" w14:textId="77777777" w:rsidR="00A13E24" w:rsidRDefault="00A13E24" w:rsidP="007C4108">
            <w:pPr>
              <w:pStyle w:val="Tabletext"/>
            </w:pPr>
            <w:r w:rsidRPr="00944A52">
              <w:t>Q</w:t>
            </w:r>
            <w:r>
              <w:t>2</w:t>
            </w:r>
            <w:r w:rsidRPr="00944A52">
              <w:t xml:space="preserve"> 2021/22 (for publishing updated manual)</w:t>
            </w:r>
          </w:p>
        </w:tc>
        <w:tc>
          <w:tcPr>
            <w:tcW w:w="5670" w:type="dxa"/>
          </w:tcPr>
          <w:p w14:paraId="6B4DEA2A" w14:textId="77777777" w:rsidR="00A13E24" w:rsidRPr="00333DC0" w:rsidRDefault="00A13E24" w:rsidP="00301D86">
            <w:pPr>
              <w:pStyle w:val="Tablebullet"/>
            </w:pPr>
            <w:r w:rsidRPr="00333DC0">
              <w:t xml:space="preserve">Review is in progress. </w:t>
            </w:r>
          </w:p>
          <w:p w14:paraId="271D3CFA" w14:textId="77777777" w:rsidR="00A13E24" w:rsidRPr="00333DC0" w:rsidRDefault="00A13E24" w:rsidP="00301D86">
            <w:pPr>
              <w:pStyle w:val="Tablebullet"/>
            </w:pPr>
            <w:r w:rsidRPr="00333DC0">
              <w:t>Topic selection processes for health technologies public consultation closes 19 November.</w:t>
            </w:r>
          </w:p>
          <w:p w14:paraId="27B91611" w14:textId="77777777" w:rsidR="00A13E24" w:rsidRPr="00333DC0" w:rsidRDefault="00A13E24" w:rsidP="00301D86">
            <w:pPr>
              <w:pStyle w:val="Tablebullet"/>
            </w:pPr>
            <w:r w:rsidRPr="00333DC0">
              <w:t>Methods review public consultation commenced on 6 November.</w:t>
            </w:r>
          </w:p>
          <w:p w14:paraId="02905C73" w14:textId="77777777" w:rsidR="00A13E24" w:rsidRPr="00333DC0" w:rsidRDefault="00A13E24" w:rsidP="00301D86">
            <w:pPr>
              <w:pStyle w:val="Tablebullet"/>
            </w:pPr>
            <w:r w:rsidRPr="00333DC0">
              <w:t>Process review public consultation is anticipated to commence in February 2021.</w:t>
            </w:r>
          </w:p>
        </w:tc>
      </w:tr>
      <w:tr w:rsidR="00A13E24" w14:paraId="4BE4D27E" w14:textId="77777777" w:rsidTr="007C4108">
        <w:tc>
          <w:tcPr>
            <w:tcW w:w="6232" w:type="dxa"/>
          </w:tcPr>
          <w:p w14:paraId="243E4110" w14:textId="77777777" w:rsidR="00A13E24" w:rsidRDefault="00A13E24" w:rsidP="007C4108">
            <w:pPr>
              <w:pStyle w:val="Tabletext"/>
            </w:pPr>
            <w:r w:rsidRPr="00237A02">
              <w:t>Implement the comment collection tool and roll out the EPPI-Reviewer tool to the guideline Collaborating Centres</w:t>
            </w:r>
          </w:p>
        </w:tc>
        <w:tc>
          <w:tcPr>
            <w:tcW w:w="1701" w:type="dxa"/>
          </w:tcPr>
          <w:p w14:paraId="0352C248" w14:textId="77777777" w:rsidR="00A13E24" w:rsidRDefault="00A13E24" w:rsidP="007C4108">
            <w:pPr>
              <w:pStyle w:val="Tabletext"/>
            </w:pPr>
            <w:r w:rsidRPr="00944A52">
              <w:t>Ongoing</w:t>
            </w:r>
          </w:p>
        </w:tc>
        <w:tc>
          <w:tcPr>
            <w:tcW w:w="5670" w:type="dxa"/>
          </w:tcPr>
          <w:p w14:paraId="18F3F1DD" w14:textId="77777777" w:rsidR="00A13E24" w:rsidRPr="00333DC0" w:rsidRDefault="00A13E24" w:rsidP="00301D86">
            <w:pPr>
              <w:pStyle w:val="Tablebullet"/>
            </w:pPr>
            <w:r w:rsidRPr="00333DC0">
              <w:t>Roll out of EPPI completed with collaborating centres.</w:t>
            </w:r>
          </w:p>
          <w:p w14:paraId="61927D7B" w14:textId="77777777" w:rsidR="00A13E24" w:rsidRPr="00333DC0" w:rsidRDefault="00A13E24" w:rsidP="00301D86">
            <w:pPr>
              <w:pStyle w:val="Tablebullet"/>
            </w:pPr>
            <w:r w:rsidRPr="00333DC0">
              <w:t>User research has commenced to shape the next stages of comment collection to enable organisation-wide feedback as opposed to single individual comments.</w:t>
            </w:r>
          </w:p>
        </w:tc>
      </w:tr>
      <w:tr w:rsidR="00A13E24" w14:paraId="01A85175" w14:textId="77777777" w:rsidTr="007C4108">
        <w:tc>
          <w:tcPr>
            <w:tcW w:w="6232" w:type="dxa"/>
          </w:tcPr>
          <w:p w14:paraId="246BFA73" w14:textId="77777777" w:rsidR="00A13E24" w:rsidRDefault="00A13E24" w:rsidP="007C4108">
            <w:pPr>
              <w:pStyle w:val="Tabletext"/>
            </w:pPr>
            <w:r w:rsidRPr="004026A6">
              <w:t xml:space="preserve">Establish a new science, evidence and analytics directorate to lead on the opportunities offered by new scientific developments, and </w:t>
            </w:r>
            <w:proofErr w:type="gramStart"/>
            <w:r w:rsidRPr="004026A6">
              <w:t>wide ranging</w:t>
            </w:r>
            <w:proofErr w:type="gramEnd"/>
            <w:r w:rsidRPr="004026A6">
              <w:t xml:space="preserve"> sources of data and advanced analytics, in guidance development</w:t>
            </w:r>
          </w:p>
        </w:tc>
        <w:tc>
          <w:tcPr>
            <w:tcW w:w="1701" w:type="dxa"/>
          </w:tcPr>
          <w:p w14:paraId="5D73DCFA" w14:textId="77777777" w:rsidR="00A13E24" w:rsidRDefault="00A13E24" w:rsidP="007C4108">
            <w:pPr>
              <w:pStyle w:val="Tabletext"/>
            </w:pPr>
            <w:r w:rsidRPr="00944A52">
              <w:t>Q2</w:t>
            </w:r>
          </w:p>
        </w:tc>
        <w:tc>
          <w:tcPr>
            <w:tcW w:w="5670" w:type="dxa"/>
          </w:tcPr>
          <w:p w14:paraId="40F13C6F" w14:textId="77777777" w:rsidR="00A13E24" w:rsidRPr="00333DC0" w:rsidRDefault="00A13E24" w:rsidP="00301D86">
            <w:pPr>
              <w:pStyle w:val="Tablebullet"/>
            </w:pPr>
            <w:r w:rsidRPr="00333DC0">
              <w:t xml:space="preserve">New directorate established and Science, Evidence and Analytics Director started on 1 September. </w:t>
            </w:r>
          </w:p>
        </w:tc>
      </w:tr>
      <w:tr w:rsidR="00A13E24" w14:paraId="152893B9" w14:textId="77777777" w:rsidTr="007C4108">
        <w:tc>
          <w:tcPr>
            <w:tcW w:w="6232" w:type="dxa"/>
          </w:tcPr>
          <w:p w14:paraId="3149B4E5" w14:textId="77777777" w:rsidR="00A13E24" w:rsidRDefault="00A13E24" w:rsidP="007C4108">
            <w:pPr>
              <w:pStyle w:val="Tabletext"/>
            </w:pPr>
            <w:r>
              <w:t>P</w:t>
            </w:r>
            <w:r w:rsidRPr="00FC2B19">
              <w:t>ublish a detailed methodological framework for consideration and use of data analytics across NICE’s programmes, following internal engagement and public consultation</w:t>
            </w:r>
            <w:r>
              <w:t xml:space="preserve">, ensuring </w:t>
            </w:r>
            <w:r w:rsidRPr="00D94409">
              <w:t>a compliant data management infrastructure to host and process this data</w:t>
            </w:r>
          </w:p>
        </w:tc>
        <w:tc>
          <w:tcPr>
            <w:tcW w:w="1701" w:type="dxa"/>
          </w:tcPr>
          <w:p w14:paraId="73AD824A" w14:textId="77777777" w:rsidR="00A13E24" w:rsidRDefault="00A13E24" w:rsidP="007C4108">
            <w:pPr>
              <w:pStyle w:val="Tabletext"/>
            </w:pPr>
            <w:r w:rsidRPr="00944A52">
              <w:t>Q4</w:t>
            </w:r>
          </w:p>
        </w:tc>
        <w:tc>
          <w:tcPr>
            <w:tcW w:w="5670" w:type="dxa"/>
          </w:tcPr>
          <w:p w14:paraId="626C5910" w14:textId="77777777" w:rsidR="00A13E24" w:rsidRPr="00333DC0" w:rsidRDefault="00A13E24" w:rsidP="00301D86">
            <w:pPr>
              <w:pStyle w:val="Tablebullet"/>
            </w:pPr>
            <w:r w:rsidRPr="00333DC0">
              <w:t xml:space="preserve">The data and analytics team has prioritised its response to COVID-19 while recruiting additional staff to take forward the comprehensive standards and methods programme to utilise broader sources of data and evidence. </w:t>
            </w:r>
          </w:p>
          <w:p w14:paraId="71A1ACED" w14:textId="77777777" w:rsidR="00A13E24" w:rsidRPr="00333DC0" w:rsidRDefault="00A13E24" w:rsidP="00301D86">
            <w:pPr>
              <w:pStyle w:val="Tablebullet"/>
            </w:pPr>
            <w:r w:rsidRPr="00333DC0">
              <w:t xml:space="preserve">Ahead of the commencement of NICE's comprehensive data and analytics methods and standards programme, the team published an </w:t>
            </w:r>
            <w:r w:rsidRPr="00333DC0">
              <w:lastRenderedPageBreak/>
              <w:t>interim approach to assessing the quality of data and analyses used to inform NICE’s COVID-19 response in Q1.</w:t>
            </w:r>
          </w:p>
          <w:p w14:paraId="6273F270" w14:textId="77777777" w:rsidR="00A13E24" w:rsidRPr="00333DC0" w:rsidRDefault="00A13E24" w:rsidP="00301D86">
            <w:pPr>
              <w:pStyle w:val="Tablebullet"/>
            </w:pPr>
            <w:r w:rsidRPr="00333DC0">
              <w:t>The team will bring the full programme outline and implementation plan to the January Board.</w:t>
            </w:r>
          </w:p>
        </w:tc>
      </w:tr>
      <w:tr w:rsidR="00A13E24" w14:paraId="2FAA1D56" w14:textId="77777777" w:rsidTr="007C4108">
        <w:tc>
          <w:tcPr>
            <w:tcW w:w="6232" w:type="dxa"/>
          </w:tcPr>
          <w:p w14:paraId="50B7DC4D" w14:textId="77777777" w:rsidR="00A13E24" w:rsidRDefault="00A13E24" w:rsidP="007C4108">
            <w:pPr>
              <w:pStyle w:val="Tabletext"/>
            </w:pPr>
            <w:r>
              <w:lastRenderedPageBreak/>
              <w:t xml:space="preserve">Complete the pilot </w:t>
            </w:r>
            <w:r w:rsidRPr="00744E7E">
              <w:t xml:space="preserve">for </w:t>
            </w:r>
            <w:r>
              <w:t xml:space="preserve">the development of </w:t>
            </w:r>
            <w:r w:rsidRPr="00744E7E">
              <w:t xml:space="preserve">a digital health technology evaluation workstream, </w:t>
            </w:r>
            <w:r>
              <w:t xml:space="preserve">publish process and methods for routine consideration of selected digital health technologies, and further develop </w:t>
            </w:r>
            <w:r w:rsidRPr="00744E7E">
              <w:t>the Evidence for Effectiveness standards</w:t>
            </w:r>
          </w:p>
        </w:tc>
        <w:tc>
          <w:tcPr>
            <w:tcW w:w="1701" w:type="dxa"/>
          </w:tcPr>
          <w:p w14:paraId="388B4360" w14:textId="77777777" w:rsidR="00A13E24" w:rsidRDefault="00A13E24" w:rsidP="007C4108">
            <w:pPr>
              <w:pStyle w:val="Tabletext"/>
            </w:pPr>
            <w:r w:rsidRPr="00944A52">
              <w:t>Q</w:t>
            </w:r>
            <w:r>
              <w:t>3</w:t>
            </w:r>
          </w:p>
        </w:tc>
        <w:tc>
          <w:tcPr>
            <w:tcW w:w="5670" w:type="dxa"/>
          </w:tcPr>
          <w:p w14:paraId="51A485B4" w14:textId="77777777" w:rsidR="00A13E24" w:rsidRPr="00333DC0" w:rsidRDefault="00A13E24" w:rsidP="00301D86">
            <w:pPr>
              <w:pStyle w:val="Tablebullet"/>
            </w:pPr>
            <w:r w:rsidRPr="00333DC0">
              <w:t xml:space="preserve">A report on the pilot will be considered by the NICE Board at its November meeting. An update to the Evidence for Effectiveness Standards is planned for publication in December 2020. MTG guidance for Zio XT for detecting cardiac arrhythmias, one of the digital pilot topics, is expected to be published in December 2020. </w:t>
            </w:r>
          </w:p>
        </w:tc>
      </w:tr>
      <w:tr w:rsidR="00A13E24" w14:paraId="06D4C83D" w14:textId="77777777" w:rsidTr="007C4108">
        <w:tc>
          <w:tcPr>
            <w:tcW w:w="6232" w:type="dxa"/>
          </w:tcPr>
          <w:p w14:paraId="2C344901" w14:textId="77777777" w:rsidR="00A13E24" w:rsidRDefault="00A13E24" w:rsidP="007C4108">
            <w:pPr>
              <w:pStyle w:val="Tabletext"/>
            </w:pPr>
            <w:r w:rsidRPr="00FC2B19">
              <w:t>Develop and emb</w:t>
            </w:r>
            <w:r w:rsidRPr="00944A52">
              <w:t>ed new data and information management capability including establishing an integrated digital, information and technology directorate</w:t>
            </w:r>
          </w:p>
        </w:tc>
        <w:tc>
          <w:tcPr>
            <w:tcW w:w="1701" w:type="dxa"/>
          </w:tcPr>
          <w:p w14:paraId="6CE18041" w14:textId="77777777" w:rsidR="00A13E24" w:rsidRDefault="00A13E24" w:rsidP="007C4108">
            <w:pPr>
              <w:pStyle w:val="Tabletext"/>
            </w:pPr>
            <w:r w:rsidRPr="00944A52">
              <w:t>Q2</w:t>
            </w:r>
          </w:p>
        </w:tc>
        <w:tc>
          <w:tcPr>
            <w:tcW w:w="5670" w:type="dxa"/>
          </w:tcPr>
          <w:p w14:paraId="2202361A" w14:textId="77777777" w:rsidR="00A13E24" w:rsidRPr="00333DC0" w:rsidRDefault="00A13E24" w:rsidP="00301D86">
            <w:pPr>
              <w:pStyle w:val="Tablebullet"/>
            </w:pPr>
            <w:r w:rsidRPr="00333DC0">
              <w:t xml:space="preserve">The Digital, Information and Technology (DIT) directorate was formally launched on 1 September. </w:t>
            </w:r>
          </w:p>
          <w:p w14:paraId="49E239EB" w14:textId="77777777" w:rsidR="00A13E24" w:rsidRPr="00333DC0" w:rsidRDefault="00A13E24" w:rsidP="00301D86">
            <w:pPr>
              <w:pStyle w:val="Tablebullet"/>
            </w:pPr>
            <w:r w:rsidRPr="00333DC0">
              <w:t>Work to recruit new specialist roles to support NICE Connect and NICE strategic priorities is underway. This will also reduce dependency on third party suppliers in our IT provision.</w:t>
            </w:r>
          </w:p>
        </w:tc>
      </w:tr>
      <w:tr w:rsidR="00A13E24" w14:paraId="748091BE" w14:textId="77777777" w:rsidTr="007C4108">
        <w:tc>
          <w:tcPr>
            <w:tcW w:w="6232" w:type="dxa"/>
          </w:tcPr>
          <w:p w14:paraId="2C1273CC" w14:textId="77777777" w:rsidR="00A13E24" w:rsidRDefault="00A13E24" w:rsidP="007C4108">
            <w:pPr>
              <w:pStyle w:val="Tabletext"/>
            </w:pPr>
            <w:r w:rsidRPr="00944A52">
              <w:t>Identify priority areas for digital investment and deliver these in partnership with the business through the NICE Connect taskforces</w:t>
            </w:r>
            <w:r w:rsidRPr="00944A52" w:rsidDel="00671DBA">
              <w:t xml:space="preserve"> </w:t>
            </w:r>
            <w:r w:rsidRPr="00944A52">
              <w:t>and the wider Connect programme</w:t>
            </w:r>
          </w:p>
        </w:tc>
        <w:tc>
          <w:tcPr>
            <w:tcW w:w="1701" w:type="dxa"/>
          </w:tcPr>
          <w:p w14:paraId="5AF13652" w14:textId="77777777" w:rsidR="00A13E24" w:rsidRDefault="00A13E24" w:rsidP="007C4108">
            <w:pPr>
              <w:pStyle w:val="Tabletext"/>
            </w:pPr>
            <w:r w:rsidRPr="00944A52">
              <w:t>Ongoing</w:t>
            </w:r>
          </w:p>
        </w:tc>
        <w:tc>
          <w:tcPr>
            <w:tcW w:w="5670" w:type="dxa"/>
          </w:tcPr>
          <w:p w14:paraId="72BDC020" w14:textId="547BCA88" w:rsidR="00A13E24" w:rsidRPr="00333DC0" w:rsidRDefault="00A13E24" w:rsidP="00301D86">
            <w:pPr>
              <w:pStyle w:val="Tablebullet"/>
            </w:pPr>
            <w:r w:rsidRPr="00333DC0">
              <w:t xml:space="preserve">DIT is involved in the ongoing identification of priorities for NICE Connect, the wider NICE Strategy and needs for our live service provision. A new Technology Governance Board to support a strategic digital and technology roadmap and prioritisation with the wider business is being established. This will also simplify the existing governance arrangement involving multiple service groups and support our approvals process with </w:t>
            </w:r>
            <w:r w:rsidR="00646ADB" w:rsidRPr="00333DC0">
              <w:t xml:space="preserve">NHSX </w:t>
            </w:r>
            <w:r w:rsidRPr="00333DC0">
              <w:t xml:space="preserve">and </w:t>
            </w:r>
            <w:r w:rsidR="00646ADB" w:rsidRPr="00333DC0">
              <w:t>the Government Digital Service (</w:t>
            </w:r>
            <w:r w:rsidRPr="00333DC0">
              <w:t>GDS</w:t>
            </w:r>
            <w:r w:rsidR="00646ADB" w:rsidRPr="00333DC0">
              <w:t>)</w:t>
            </w:r>
            <w:r w:rsidRPr="00333DC0">
              <w:t>.</w:t>
            </w:r>
          </w:p>
        </w:tc>
      </w:tr>
    </w:tbl>
    <w:p w14:paraId="03642BA0" w14:textId="77777777" w:rsidR="00A13E24" w:rsidRDefault="00A13E24" w:rsidP="00A13E24">
      <w:pPr>
        <w:pStyle w:val="NICEnormal"/>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Play an active, influential role in the national stewardship of the health and care system"/>
      </w:tblPr>
      <w:tblGrid>
        <w:gridCol w:w="6232"/>
        <w:gridCol w:w="1701"/>
        <w:gridCol w:w="5670"/>
      </w:tblGrid>
      <w:tr w:rsidR="00336CEE" w14:paraId="08051308" w14:textId="77777777" w:rsidTr="00123E7F">
        <w:trPr>
          <w:tblHeader/>
        </w:trPr>
        <w:tc>
          <w:tcPr>
            <w:tcW w:w="6232" w:type="dxa"/>
          </w:tcPr>
          <w:p w14:paraId="04541C8D" w14:textId="77777777" w:rsidR="00336CEE" w:rsidRPr="00944A52" w:rsidRDefault="00336CEE" w:rsidP="007C4108">
            <w:pPr>
              <w:pStyle w:val="Tableheadingboardreport"/>
            </w:pPr>
            <w:r w:rsidRPr="00802086">
              <w:lastRenderedPageBreak/>
              <w:t>Play an active, influential role in the national stewardship of the health and care system</w:t>
            </w:r>
          </w:p>
        </w:tc>
        <w:tc>
          <w:tcPr>
            <w:tcW w:w="1701" w:type="dxa"/>
          </w:tcPr>
          <w:p w14:paraId="29D80306" w14:textId="77777777" w:rsidR="00336CEE" w:rsidRPr="00944A52" w:rsidRDefault="00336CEE" w:rsidP="007C4108">
            <w:pPr>
              <w:pStyle w:val="Tableheadingboardreport"/>
            </w:pPr>
            <w:r>
              <w:t>Delivery date</w:t>
            </w:r>
          </w:p>
        </w:tc>
        <w:tc>
          <w:tcPr>
            <w:tcW w:w="5670" w:type="dxa"/>
          </w:tcPr>
          <w:p w14:paraId="5EF8C0B0" w14:textId="77777777" w:rsidR="00336CEE" w:rsidRPr="00F23A61" w:rsidRDefault="00336CEE" w:rsidP="007C4108">
            <w:pPr>
              <w:pStyle w:val="Tableheadingboardreport"/>
              <w:rPr>
                <w:szCs w:val="22"/>
              </w:rPr>
            </w:pPr>
            <w:r w:rsidRPr="00DD2591">
              <w:rPr>
                <w:szCs w:val="22"/>
              </w:rPr>
              <w:t xml:space="preserve">Progress update </w:t>
            </w:r>
          </w:p>
        </w:tc>
      </w:tr>
      <w:tr w:rsidR="00A13E24" w14:paraId="6C2E9C1D" w14:textId="77777777" w:rsidTr="00123E7F">
        <w:tc>
          <w:tcPr>
            <w:tcW w:w="6232" w:type="dxa"/>
          </w:tcPr>
          <w:p w14:paraId="25F59956" w14:textId="77777777" w:rsidR="00A13E24" w:rsidRPr="00802086" w:rsidRDefault="00A13E24" w:rsidP="007C4108">
            <w:pPr>
              <w:pStyle w:val="Tabletext"/>
            </w:pPr>
            <w:r w:rsidRPr="00802086">
              <w:t>Support the wider health and care system by producing and maintaining guidelines and other products relevant to the management of COVID-19, and to actively participate in the multi-agency initiative with the MHRA, NHSE&amp;I and NIHR to support the transition from research to access for promising treatments</w:t>
            </w:r>
          </w:p>
        </w:tc>
        <w:tc>
          <w:tcPr>
            <w:tcW w:w="1701" w:type="dxa"/>
          </w:tcPr>
          <w:p w14:paraId="5A0831F0" w14:textId="77777777" w:rsidR="00A13E24" w:rsidRPr="00802086" w:rsidRDefault="00A13E24" w:rsidP="007C4108">
            <w:pPr>
              <w:pStyle w:val="Tabletext"/>
            </w:pPr>
            <w:r w:rsidRPr="00802086">
              <w:t>Ongoing</w:t>
            </w:r>
          </w:p>
        </w:tc>
        <w:tc>
          <w:tcPr>
            <w:tcW w:w="5670" w:type="dxa"/>
          </w:tcPr>
          <w:p w14:paraId="077098C9" w14:textId="77777777" w:rsidR="00A13E24" w:rsidRPr="00123E7F" w:rsidRDefault="00A13E24" w:rsidP="00123E7F">
            <w:pPr>
              <w:pStyle w:val="Tablebullet"/>
            </w:pPr>
            <w:r w:rsidRPr="00123E7F">
              <w:t xml:space="preserve">The migration and hosting of NHS England and Improvement COVID specialty guides is expected in October. The number of guides is 21. </w:t>
            </w:r>
          </w:p>
          <w:p w14:paraId="05A20D46" w14:textId="77777777" w:rsidR="00A13E24" w:rsidRPr="00333DC0" w:rsidRDefault="00A13E24" w:rsidP="00123E7F">
            <w:pPr>
              <w:pStyle w:val="Tablebullet"/>
            </w:pPr>
            <w:r w:rsidRPr="00123E7F">
              <w:t>Two new referrals for rapid COVID-19 guidelines have been received from NHS England and Improvement: post-COVID syndrome (l</w:t>
            </w:r>
            <w:r w:rsidRPr="006F57FF">
              <w:t xml:space="preserve">ong COVID) and prevention of </w:t>
            </w:r>
            <w:r w:rsidRPr="00333DC0">
              <w:t>thromboembolism. The new referrals are being developed by the COVID-19 team in Centre for Guidelines. Both are expected to be published by the end of November.</w:t>
            </w:r>
          </w:p>
          <w:p w14:paraId="34E3D706" w14:textId="77777777" w:rsidR="00A13E24" w:rsidRPr="00333DC0" w:rsidRDefault="00A13E24" w:rsidP="00123E7F">
            <w:pPr>
              <w:pStyle w:val="Tablebullet"/>
            </w:pPr>
            <w:r w:rsidRPr="00333DC0">
              <w:t>We are looking at the list of practices implemented by the NHS in response to COVID-19 and identified by the Beneficial Changes Network as signals to consider reviews of extant NICE guidelines.</w:t>
            </w:r>
          </w:p>
          <w:p w14:paraId="23BCDB8C" w14:textId="77777777" w:rsidR="00A13E24" w:rsidRPr="00333DC0" w:rsidRDefault="00A13E24" w:rsidP="00123E7F">
            <w:pPr>
              <w:pStyle w:val="Tablebullet"/>
            </w:pPr>
            <w:r w:rsidRPr="00333DC0">
              <w:t>Stakeholders asked to feedback during consultation on non-COVID guidelines any issues relating to COVID-19 that should be taken into consideration when finalising each guideline for publication. The potential impact of COVID-19 on each guideline is being assessed.</w:t>
            </w:r>
          </w:p>
          <w:p w14:paraId="1F3F3F96" w14:textId="77777777" w:rsidR="00A13E24" w:rsidRPr="00333DC0" w:rsidRDefault="00A13E24" w:rsidP="00123E7F">
            <w:pPr>
              <w:pStyle w:val="Tablebullet"/>
            </w:pPr>
            <w:r w:rsidRPr="00333DC0">
              <w:t>The Research to Access Pathway for Investigational Drugs for COVID-19 (RAPID-C19) has been recognised as a critical part of the DHSC Therapeutics Taskforce's ongoing response to COVID-19 and is now participating in the newly established Therapeutics Taskforce programme board. The RAPID-C19 oversight group continues to meet weekly. To date, access to 3 drugs has been facilitated, 37 technologies are in active monitoring and further technologies are being investigated.</w:t>
            </w:r>
          </w:p>
          <w:p w14:paraId="58771A08" w14:textId="77777777" w:rsidR="00A13E24" w:rsidRPr="00333DC0" w:rsidRDefault="00A13E24" w:rsidP="00123E7F">
            <w:pPr>
              <w:pStyle w:val="Tablebullet"/>
            </w:pPr>
            <w:r w:rsidRPr="00333DC0">
              <w:lastRenderedPageBreak/>
              <w:t>NICE Scientific Advice did two free advice engagements in September and October for COVID-19 products.</w:t>
            </w:r>
          </w:p>
        </w:tc>
      </w:tr>
      <w:tr w:rsidR="00A13E24" w14:paraId="0A2AD3BF" w14:textId="77777777" w:rsidTr="00123E7F">
        <w:tc>
          <w:tcPr>
            <w:tcW w:w="6232" w:type="dxa"/>
          </w:tcPr>
          <w:p w14:paraId="5328045D" w14:textId="77777777" w:rsidR="00A13E24" w:rsidRPr="00802086" w:rsidRDefault="00A13E24" w:rsidP="007C4108">
            <w:pPr>
              <w:pStyle w:val="Tabletext"/>
            </w:pPr>
            <w:r w:rsidRPr="00802086">
              <w:lastRenderedPageBreak/>
              <w:t>Work with NHSE&amp;I and other health and care system partners to support the implementation of the NHS long term plan as part of a strategic engagement plan</w:t>
            </w:r>
          </w:p>
        </w:tc>
        <w:tc>
          <w:tcPr>
            <w:tcW w:w="1701" w:type="dxa"/>
          </w:tcPr>
          <w:p w14:paraId="413C3921" w14:textId="77777777" w:rsidR="00A13E24" w:rsidRPr="00802086" w:rsidRDefault="00A13E24" w:rsidP="007C4108">
            <w:pPr>
              <w:pStyle w:val="Tabletext"/>
            </w:pPr>
            <w:r w:rsidRPr="00802086">
              <w:t>Ongoing</w:t>
            </w:r>
          </w:p>
        </w:tc>
        <w:tc>
          <w:tcPr>
            <w:tcW w:w="5670" w:type="dxa"/>
          </w:tcPr>
          <w:p w14:paraId="3E687C8F" w14:textId="77777777" w:rsidR="00A13E24" w:rsidRPr="00123E7F" w:rsidRDefault="00A13E24" w:rsidP="00123E7F">
            <w:pPr>
              <w:pStyle w:val="Tablebullet"/>
            </w:pPr>
            <w:r w:rsidRPr="00123E7F">
              <w:t>Engagement plans refocused on supporting system with restart plans and move to phase 3.  This has included engagement with Adult Social Care Taskforce, CQC, with regards to the emergency support framework and supporting restart plans at a regional level.</w:t>
            </w:r>
          </w:p>
          <w:p w14:paraId="497F3E0F" w14:textId="77777777" w:rsidR="00A13E24" w:rsidRPr="00333DC0" w:rsidRDefault="00A13E24" w:rsidP="00123E7F">
            <w:pPr>
              <w:pStyle w:val="Tablebullet"/>
            </w:pPr>
            <w:r w:rsidRPr="006F57FF">
              <w:t xml:space="preserve">Work undertaken to review who we believe our key strategic partners are and ensure </w:t>
            </w:r>
            <w:proofErr w:type="gramStart"/>
            <w:r w:rsidRPr="006F57FF">
              <w:t>future plans</w:t>
            </w:r>
            <w:proofErr w:type="gramEnd"/>
            <w:r w:rsidRPr="006F57FF">
              <w:t xml:space="preserve"> remain relevant to the current context.</w:t>
            </w:r>
          </w:p>
          <w:p w14:paraId="317CA38F" w14:textId="77777777" w:rsidR="00A13E24" w:rsidRPr="00333DC0" w:rsidRDefault="00A13E24" w:rsidP="00123E7F">
            <w:pPr>
              <w:pStyle w:val="Tablebullet"/>
            </w:pPr>
            <w:r w:rsidRPr="00333DC0">
              <w:t>Agenda for NHSE/I oversight meeting in Q3 agreed with items including long term plan, new NHS structures, public health role and non-COVID priorities.</w:t>
            </w:r>
          </w:p>
          <w:p w14:paraId="159B8430" w14:textId="77777777" w:rsidR="00A13E24" w:rsidRPr="00333DC0" w:rsidRDefault="00A13E24" w:rsidP="00123E7F">
            <w:pPr>
              <w:pStyle w:val="Tablebullet"/>
            </w:pPr>
            <w:r w:rsidRPr="00333DC0">
              <w:t>6 weekly meeting in place with new DHSC Adult social care team to align priorities and support system.</w:t>
            </w:r>
          </w:p>
        </w:tc>
      </w:tr>
      <w:tr w:rsidR="00A13E24" w14:paraId="773A8C70" w14:textId="77777777" w:rsidTr="00123E7F">
        <w:tc>
          <w:tcPr>
            <w:tcW w:w="6232" w:type="dxa"/>
          </w:tcPr>
          <w:p w14:paraId="280A039B" w14:textId="77777777" w:rsidR="00A13E24" w:rsidRPr="00944A52" w:rsidRDefault="00A13E24" w:rsidP="007C4108">
            <w:pPr>
              <w:pStyle w:val="Tabletext"/>
            </w:pPr>
            <w:r w:rsidRPr="00802086">
              <w:t>Further develop the relationship with NHSE&amp;I Specialised Commissioning in the areas of commercial and managed access, genomics and guidance and advice development</w:t>
            </w:r>
          </w:p>
        </w:tc>
        <w:tc>
          <w:tcPr>
            <w:tcW w:w="1701" w:type="dxa"/>
          </w:tcPr>
          <w:p w14:paraId="23391426" w14:textId="77777777" w:rsidR="00A13E24" w:rsidRPr="00944A52" w:rsidRDefault="00A13E24" w:rsidP="007C4108">
            <w:pPr>
              <w:pStyle w:val="Tabletext"/>
            </w:pPr>
            <w:r w:rsidRPr="00802086">
              <w:t>Ongoing</w:t>
            </w:r>
          </w:p>
        </w:tc>
        <w:tc>
          <w:tcPr>
            <w:tcW w:w="5670" w:type="dxa"/>
          </w:tcPr>
          <w:p w14:paraId="5FC6AA2E" w14:textId="77777777" w:rsidR="00A13E24" w:rsidRPr="00123E7F" w:rsidRDefault="00A13E24" w:rsidP="00123E7F">
            <w:pPr>
              <w:pStyle w:val="Tablebullet"/>
            </w:pPr>
            <w:r w:rsidRPr="00123E7F">
              <w:t xml:space="preserve">Work with colleagues in NHSE&amp;I on the implementation of the commercial </w:t>
            </w:r>
            <w:proofErr w:type="gramStart"/>
            <w:r w:rsidRPr="00123E7F">
              <w:t>medicines</w:t>
            </w:r>
            <w:proofErr w:type="gramEnd"/>
            <w:r w:rsidRPr="00123E7F">
              <w:t xml:space="preserve"> framework continues.</w:t>
            </w:r>
          </w:p>
          <w:p w14:paraId="637B7F46" w14:textId="77777777" w:rsidR="00A13E24" w:rsidRPr="006F57FF" w:rsidRDefault="00A13E24" w:rsidP="00123E7F">
            <w:pPr>
              <w:pStyle w:val="Tablebullet"/>
            </w:pPr>
            <w:r w:rsidRPr="00123E7F">
              <w:t>NHSE/I's consultation on the process for updating the genomic test directory is live and ends on 17 November. References to interaction with the diagnostic assessment and technology appraisal programmes are included. A NICE response has been dev</w:t>
            </w:r>
            <w:r w:rsidRPr="006F57FF">
              <w:t>eloped.</w:t>
            </w:r>
          </w:p>
          <w:p w14:paraId="13CE9519" w14:textId="77777777" w:rsidR="00A13E24" w:rsidRPr="00333DC0" w:rsidRDefault="00A13E24" w:rsidP="00123E7F">
            <w:pPr>
              <w:pStyle w:val="Tablebullet"/>
            </w:pPr>
            <w:r w:rsidRPr="00333DC0">
              <w:lastRenderedPageBreak/>
              <w:t>We continue to work with the Genomic Medicines Service (GMS) to explore how NICE products can inform their commissioning decisions.</w:t>
            </w:r>
          </w:p>
        </w:tc>
      </w:tr>
      <w:tr w:rsidR="00A13E24" w14:paraId="227BCD48" w14:textId="77777777" w:rsidTr="00123E7F">
        <w:tc>
          <w:tcPr>
            <w:tcW w:w="6232" w:type="dxa"/>
          </w:tcPr>
          <w:p w14:paraId="1C2A92E9" w14:textId="77777777" w:rsidR="00A13E24" w:rsidRPr="00944A52" w:rsidRDefault="00A13E24" w:rsidP="007C4108">
            <w:pPr>
              <w:pStyle w:val="Tabletext"/>
            </w:pPr>
            <w:r w:rsidRPr="00802086">
              <w:lastRenderedPageBreak/>
              <w:t xml:space="preserve">Design and put in place changes to our current technology appraisal processes </w:t>
            </w:r>
            <w:proofErr w:type="gramStart"/>
            <w:r w:rsidRPr="00802086">
              <w:t>in order to</w:t>
            </w:r>
            <w:proofErr w:type="gramEnd"/>
            <w:r w:rsidRPr="00802086">
              <w:t xml:space="preserve"> continue to ensure consistency with UK regulatory arrangements, incorporating learning from the joint response to COVID-19</w:t>
            </w:r>
          </w:p>
        </w:tc>
        <w:tc>
          <w:tcPr>
            <w:tcW w:w="1701" w:type="dxa"/>
          </w:tcPr>
          <w:p w14:paraId="2852AF9D" w14:textId="77777777" w:rsidR="00A13E24" w:rsidRPr="00944A52" w:rsidRDefault="00A13E24" w:rsidP="007C4108">
            <w:pPr>
              <w:pStyle w:val="Tabletext"/>
            </w:pPr>
            <w:r w:rsidRPr="00802086">
              <w:t>End of Q3</w:t>
            </w:r>
          </w:p>
        </w:tc>
        <w:tc>
          <w:tcPr>
            <w:tcW w:w="5670" w:type="dxa"/>
          </w:tcPr>
          <w:p w14:paraId="0727F201" w14:textId="77777777" w:rsidR="00A13E24" w:rsidRPr="00123E7F" w:rsidRDefault="00A13E24" w:rsidP="00123E7F">
            <w:pPr>
              <w:pStyle w:val="Tablebullet"/>
            </w:pPr>
            <w:r w:rsidRPr="00123E7F">
              <w:t>Plans are being put in place to develop future regulatory arrangements in response to the UK leaving the EU, led by the MHRA with NICE as key partner.</w:t>
            </w:r>
          </w:p>
        </w:tc>
      </w:tr>
      <w:tr w:rsidR="00A13E24" w14:paraId="7E626822" w14:textId="77777777" w:rsidTr="00123E7F">
        <w:tc>
          <w:tcPr>
            <w:tcW w:w="6232" w:type="dxa"/>
          </w:tcPr>
          <w:p w14:paraId="027F107D" w14:textId="77777777" w:rsidR="00A13E24" w:rsidRPr="00944A52" w:rsidRDefault="00A13E24" w:rsidP="007C4108">
            <w:pPr>
              <w:pStyle w:val="Tabletext"/>
            </w:pPr>
            <w:r w:rsidRPr="00802086">
              <w:t>Work with system partners on relevant areas of policy interest including NHSE&amp;I and Public Health England on antimicrobial stewardship, the review of adult screening programmes in England, quality of life measurements, emerging technology areas such as genomics, and relevant aspects of the Independent Medicines and Medical Devices Safety (IMMDS) Review</w:t>
            </w:r>
          </w:p>
        </w:tc>
        <w:tc>
          <w:tcPr>
            <w:tcW w:w="1701" w:type="dxa"/>
          </w:tcPr>
          <w:p w14:paraId="5FA829E8" w14:textId="77777777" w:rsidR="00A13E24" w:rsidRPr="00944A52" w:rsidRDefault="00A13E24" w:rsidP="007C4108">
            <w:pPr>
              <w:pStyle w:val="Tabletext"/>
            </w:pPr>
            <w:r w:rsidRPr="00802086">
              <w:t>Ongoing</w:t>
            </w:r>
          </w:p>
        </w:tc>
        <w:tc>
          <w:tcPr>
            <w:tcW w:w="5670" w:type="dxa"/>
          </w:tcPr>
          <w:p w14:paraId="515C8059" w14:textId="77777777" w:rsidR="00A13E24" w:rsidRPr="00123E7F" w:rsidRDefault="00A13E24" w:rsidP="00123E7F">
            <w:pPr>
              <w:pStyle w:val="Tablebullet"/>
            </w:pPr>
            <w:r w:rsidRPr="00123E7F">
              <w:t>An exceptional review of the NICE guideline on urinary incontinence and pelvic organ prolapse in women (NG123) is underway to be completed by the end of December. We are considering whether further changes are required to any guideline recommendations related to sodium valproate.</w:t>
            </w:r>
          </w:p>
          <w:p w14:paraId="64B4C9B8" w14:textId="77777777" w:rsidR="00A13E24" w:rsidRPr="00333DC0" w:rsidRDefault="00A13E24" w:rsidP="00123E7F">
            <w:pPr>
              <w:pStyle w:val="Tablebullet"/>
            </w:pPr>
            <w:r w:rsidRPr="006F57FF">
              <w:t>We continue to build a close working relationship with the Genomic Medicines Service, including by considering drafts of</w:t>
            </w:r>
            <w:r w:rsidRPr="00333DC0">
              <w:t xml:space="preserve"> the process for updating of the test directory. </w:t>
            </w:r>
          </w:p>
          <w:p w14:paraId="06AB8D8F" w14:textId="77777777" w:rsidR="00A13E24" w:rsidRPr="00333DC0" w:rsidRDefault="00A13E24" w:rsidP="00123E7F">
            <w:pPr>
              <w:pStyle w:val="Tablebullet"/>
            </w:pPr>
            <w:r w:rsidRPr="00333DC0">
              <w:t>NICE and NHSE&amp;I project to develop and test models for the evaluation and purchase of antimicrobials is at an advanced stage of the procurement process to select 2 antimicrobial products for the project. Resources have been identified for the NICE-led HTA phase and recruiting the special committee required for the project is progressing.</w:t>
            </w:r>
          </w:p>
        </w:tc>
      </w:tr>
      <w:tr w:rsidR="00A13E24" w14:paraId="45FDA086" w14:textId="77777777" w:rsidTr="00123E7F">
        <w:tc>
          <w:tcPr>
            <w:tcW w:w="6232" w:type="dxa"/>
          </w:tcPr>
          <w:p w14:paraId="2041E19B" w14:textId="77777777" w:rsidR="00A13E24" w:rsidRPr="00944A52" w:rsidRDefault="00A13E24" w:rsidP="007C4108">
            <w:pPr>
              <w:pStyle w:val="Tabletext"/>
            </w:pPr>
            <w:r w:rsidRPr="00802086">
              <w:t>Renew the national framework for content procurement for the NHS (Q3) and put in place a new contract for access to the Cochrane Library in England (Q1)</w:t>
            </w:r>
          </w:p>
        </w:tc>
        <w:tc>
          <w:tcPr>
            <w:tcW w:w="1701" w:type="dxa"/>
          </w:tcPr>
          <w:p w14:paraId="1A78B786" w14:textId="77777777" w:rsidR="00A13E24" w:rsidRPr="00944A52" w:rsidRDefault="00A13E24" w:rsidP="007C4108">
            <w:pPr>
              <w:pStyle w:val="Tabletext"/>
            </w:pPr>
            <w:r w:rsidRPr="00802086">
              <w:t>Q3 and Q1</w:t>
            </w:r>
          </w:p>
        </w:tc>
        <w:tc>
          <w:tcPr>
            <w:tcW w:w="5670" w:type="dxa"/>
          </w:tcPr>
          <w:p w14:paraId="24255CB5" w14:textId="77777777" w:rsidR="00A13E24" w:rsidRPr="00123E7F" w:rsidRDefault="00A13E24" w:rsidP="00123E7F">
            <w:pPr>
              <w:pStyle w:val="Tablebullet"/>
            </w:pPr>
            <w:r w:rsidRPr="00123E7F">
              <w:t>Successfully negotiated a new three-year deal for national access to the Cochrane Library for England commencing from May 2020.</w:t>
            </w:r>
          </w:p>
          <w:p w14:paraId="48625B1A" w14:textId="77777777" w:rsidR="00A13E24" w:rsidRPr="00333DC0" w:rsidRDefault="00A13E24" w:rsidP="00123E7F">
            <w:pPr>
              <w:pStyle w:val="Tablebullet"/>
            </w:pPr>
            <w:r w:rsidRPr="00123E7F">
              <w:t xml:space="preserve">Supported Health Education England (HEE) in their tender process evaluating </w:t>
            </w:r>
            <w:r w:rsidRPr="006F57FF">
              <w:t>responses for a national resource discovery servi</w:t>
            </w:r>
            <w:r w:rsidRPr="00333DC0">
              <w:t xml:space="preserve">ce which aims to meet the </w:t>
            </w:r>
            <w:r w:rsidRPr="00333DC0">
              <w:lastRenderedPageBreak/>
              <w:t xml:space="preserve">evidence search needs for </w:t>
            </w:r>
            <w:proofErr w:type="gramStart"/>
            <w:r w:rsidRPr="00333DC0">
              <w:t>the majority of</w:t>
            </w:r>
            <w:proofErr w:type="gramEnd"/>
            <w:r w:rsidRPr="00333DC0">
              <w:t xml:space="preserve"> health professionals in England.</w:t>
            </w:r>
          </w:p>
          <w:p w14:paraId="004DDC00" w14:textId="77777777" w:rsidR="00A13E24" w:rsidRPr="00333DC0" w:rsidRDefault="00A13E24" w:rsidP="00123E7F">
            <w:pPr>
              <w:pStyle w:val="Tablebullet"/>
            </w:pPr>
            <w:r w:rsidRPr="00333DC0">
              <w:t xml:space="preserve">Continued to develop the specification and tender documentation in preparation to renew the national framework for content procurement, working with stakeholders from Health Education England and NHS Library Leads from Wales, </w:t>
            </w:r>
            <w:proofErr w:type="gramStart"/>
            <w:r w:rsidRPr="00333DC0">
              <w:t>Scotland</w:t>
            </w:r>
            <w:proofErr w:type="gramEnd"/>
            <w:r w:rsidRPr="00333DC0">
              <w:t xml:space="preserve"> and Northern Ireland.</w:t>
            </w:r>
          </w:p>
        </w:tc>
      </w:tr>
      <w:tr w:rsidR="00455DF4" w14:paraId="46B9316B" w14:textId="77777777" w:rsidTr="00123E7F">
        <w:trPr>
          <w:tblHeader/>
        </w:trPr>
        <w:tc>
          <w:tcPr>
            <w:tcW w:w="6232" w:type="dxa"/>
          </w:tcPr>
          <w:p w14:paraId="6D2A8E08" w14:textId="77777777" w:rsidR="00455DF4" w:rsidRPr="00944A52" w:rsidRDefault="00455DF4" w:rsidP="007C4108">
            <w:pPr>
              <w:pStyle w:val="Tableheadingboardreport"/>
            </w:pPr>
            <w:r w:rsidRPr="00153D0F">
              <w:lastRenderedPageBreak/>
              <w:t>Support the UK’s ambition to enhance its position as a global life sciences destination</w:t>
            </w:r>
          </w:p>
        </w:tc>
        <w:tc>
          <w:tcPr>
            <w:tcW w:w="1701" w:type="dxa"/>
          </w:tcPr>
          <w:p w14:paraId="1497A885" w14:textId="77777777" w:rsidR="00455DF4" w:rsidRPr="00944A52" w:rsidRDefault="00455DF4" w:rsidP="007C4108">
            <w:pPr>
              <w:pStyle w:val="Tableheadingboardreport"/>
            </w:pPr>
            <w:r>
              <w:t>Delivery date</w:t>
            </w:r>
          </w:p>
        </w:tc>
        <w:tc>
          <w:tcPr>
            <w:tcW w:w="5670" w:type="dxa"/>
          </w:tcPr>
          <w:p w14:paraId="1928A11A" w14:textId="77777777" w:rsidR="00455DF4" w:rsidRPr="00F23A61" w:rsidRDefault="00455DF4" w:rsidP="007C4108">
            <w:pPr>
              <w:pStyle w:val="Tableheadingboardreport"/>
              <w:rPr>
                <w:szCs w:val="22"/>
              </w:rPr>
            </w:pPr>
            <w:r w:rsidRPr="00DD2591">
              <w:rPr>
                <w:szCs w:val="22"/>
              </w:rPr>
              <w:t>Progress update</w:t>
            </w:r>
          </w:p>
        </w:tc>
      </w:tr>
      <w:tr w:rsidR="00A13E24" w14:paraId="6A8FA95B" w14:textId="77777777" w:rsidTr="007C4108">
        <w:tc>
          <w:tcPr>
            <w:tcW w:w="6232" w:type="dxa"/>
          </w:tcPr>
          <w:p w14:paraId="35DD981A" w14:textId="77777777" w:rsidR="00A13E24" w:rsidRPr="00153D0F" w:rsidRDefault="00A13E24" w:rsidP="007C4108">
            <w:pPr>
              <w:pStyle w:val="Tabletext"/>
            </w:pPr>
            <w:r w:rsidRPr="00153D0F">
              <w:t>Develop technology appraisal guidance in line with the commitments in the 2019 Voluntary Scheme</w:t>
            </w:r>
          </w:p>
        </w:tc>
        <w:tc>
          <w:tcPr>
            <w:tcW w:w="1701" w:type="dxa"/>
          </w:tcPr>
          <w:p w14:paraId="1120EB86" w14:textId="77777777" w:rsidR="00A13E24" w:rsidRPr="00153D0F" w:rsidRDefault="00A13E24" w:rsidP="007C4108">
            <w:pPr>
              <w:pStyle w:val="Tabletext"/>
            </w:pPr>
            <w:r w:rsidRPr="00153D0F">
              <w:t>Q4</w:t>
            </w:r>
          </w:p>
        </w:tc>
        <w:tc>
          <w:tcPr>
            <w:tcW w:w="5670" w:type="dxa"/>
          </w:tcPr>
          <w:p w14:paraId="36F8317F" w14:textId="4E906F05" w:rsidR="00A13E24" w:rsidRPr="00333DC0" w:rsidRDefault="00DD2591" w:rsidP="00123E7F">
            <w:pPr>
              <w:pStyle w:val="Tablebullet"/>
            </w:pPr>
            <w:r w:rsidRPr="00123E7F">
              <w:t>90% of the Technology Appraisals topics paused due to COVID-19 have now been restarted or rescheduled, with 60% expected to publish in 2020/21</w:t>
            </w:r>
            <w:r w:rsidRPr="00333DC0">
              <w:t xml:space="preserve">. </w:t>
            </w:r>
            <w:r w:rsidR="00A13E24" w:rsidRPr="00333DC0">
              <w:t>All new active substances and significant licence extensions of existing medicines are being routed to the technology appraisal or highly specialised technologies programmes.</w:t>
            </w:r>
          </w:p>
        </w:tc>
      </w:tr>
      <w:tr w:rsidR="00A13E24" w14:paraId="3AD6F078" w14:textId="77777777" w:rsidTr="007C4108">
        <w:tc>
          <w:tcPr>
            <w:tcW w:w="6232" w:type="dxa"/>
          </w:tcPr>
          <w:p w14:paraId="2460E832" w14:textId="77777777" w:rsidR="00A13E24" w:rsidRPr="00153D0F" w:rsidRDefault="00A13E24" w:rsidP="007C4108">
            <w:pPr>
              <w:pStyle w:val="Tabletext"/>
            </w:pPr>
            <w:r w:rsidRPr="00153D0F">
              <w:t>Deliver the actions set out for NICE in the Government’s life sciences sector deals, including enhancing NICE’s role as an active partner in the Accelerated Access Collaborative (AAC)</w:t>
            </w:r>
          </w:p>
        </w:tc>
        <w:tc>
          <w:tcPr>
            <w:tcW w:w="1701" w:type="dxa"/>
          </w:tcPr>
          <w:p w14:paraId="34B87B5D" w14:textId="77777777" w:rsidR="00A13E24" w:rsidRPr="00153D0F" w:rsidRDefault="00A13E24" w:rsidP="007C4108">
            <w:pPr>
              <w:pStyle w:val="Tabletext"/>
            </w:pPr>
            <w:r w:rsidRPr="00153D0F">
              <w:t xml:space="preserve">Ongoing </w:t>
            </w:r>
          </w:p>
        </w:tc>
        <w:tc>
          <w:tcPr>
            <w:tcW w:w="5670" w:type="dxa"/>
          </w:tcPr>
          <w:p w14:paraId="24617747" w14:textId="77777777" w:rsidR="00A13E24" w:rsidRPr="00123E7F" w:rsidRDefault="00A13E24" w:rsidP="00123E7F">
            <w:pPr>
              <w:pStyle w:val="Tablebullet"/>
            </w:pPr>
            <w:r w:rsidRPr="00123E7F">
              <w:t xml:space="preserve">Work for the AAC has recommenced, while we continue to deliver RAPID-C19 as part of our secretariat commitment for the AAC. </w:t>
            </w:r>
          </w:p>
          <w:p w14:paraId="4A29A620" w14:textId="77777777" w:rsidR="00A13E24" w:rsidRPr="00333DC0" w:rsidRDefault="00A13E24" w:rsidP="00123E7F">
            <w:pPr>
              <w:pStyle w:val="Tablebullet"/>
            </w:pPr>
            <w:r w:rsidRPr="00123E7F">
              <w:t xml:space="preserve">NICE teams are continuing to contribute to ongoing work in key AAC focus areas including; integrated system horizon scanning, ATMP </w:t>
            </w:r>
            <w:r w:rsidRPr="006F57FF">
              <w:t>and Histology Independent system access activities (system mapping, RWE and dat</w:t>
            </w:r>
            <w:r w:rsidRPr="00333DC0">
              <w:t>a infrastructure), Strategic Metrics development, AAC Innovation Service, AI Award and RUPs uptake.</w:t>
            </w:r>
          </w:p>
        </w:tc>
      </w:tr>
      <w:tr w:rsidR="00A13E24" w14:paraId="043F8B2D" w14:textId="77777777" w:rsidTr="007C4108">
        <w:tc>
          <w:tcPr>
            <w:tcW w:w="6232" w:type="dxa"/>
          </w:tcPr>
          <w:p w14:paraId="62D3F313" w14:textId="77777777" w:rsidR="00A13E24" w:rsidRPr="00944A52" w:rsidRDefault="00A13E24" w:rsidP="007C4108">
            <w:pPr>
              <w:pStyle w:val="Tabletext"/>
            </w:pPr>
            <w:r w:rsidRPr="00153D0F">
              <w:t>Maintain and develop a fully integrated offer to the life sciences industry, including topic selection, guidance development, commercial and managed access activities, and NICE Scientific Advice</w:t>
            </w:r>
          </w:p>
        </w:tc>
        <w:tc>
          <w:tcPr>
            <w:tcW w:w="1701" w:type="dxa"/>
          </w:tcPr>
          <w:p w14:paraId="782104AE" w14:textId="77777777" w:rsidR="00A13E24" w:rsidRPr="00944A52" w:rsidRDefault="00A13E24" w:rsidP="007C4108">
            <w:pPr>
              <w:pStyle w:val="Tabletext"/>
            </w:pPr>
            <w:r w:rsidRPr="00153D0F">
              <w:t>Ongoing</w:t>
            </w:r>
          </w:p>
        </w:tc>
        <w:tc>
          <w:tcPr>
            <w:tcW w:w="5670" w:type="dxa"/>
          </w:tcPr>
          <w:p w14:paraId="25BD6CD1" w14:textId="77777777" w:rsidR="00A13E24" w:rsidRPr="006F57FF" w:rsidRDefault="00A13E24" w:rsidP="00123E7F">
            <w:pPr>
              <w:pStyle w:val="Tablebullet"/>
            </w:pPr>
            <w:r w:rsidRPr="00123E7F">
              <w:t xml:space="preserve">Work is ongoing to evolve the NICE Office for Market Access offering in the light of ongoing developments in the medicines access landscape </w:t>
            </w:r>
            <w:r w:rsidRPr="00123E7F">
              <w:lastRenderedPageBreak/>
              <w:t xml:space="preserve">including the NHSE &amp; I Commercial Framework, the MHRA Innovative Licensing and Access Pathway.  </w:t>
            </w:r>
          </w:p>
          <w:p w14:paraId="6F044D16" w14:textId="77777777" w:rsidR="00A13E24" w:rsidRPr="00333DC0" w:rsidRDefault="00A13E24" w:rsidP="00123E7F">
            <w:pPr>
              <w:pStyle w:val="Tablebullet"/>
            </w:pPr>
            <w:r w:rsidRPr="00333DC0">
              <w:t>An interim statement on NICE Commercial and Managed Access activities is in development; this will complement the NHSE&amp;I Commercial Framework when published.</w:t>
            </w:r>
          </w:p>
          <w:p w14:paraId="130E49EB" w14:textId="77777777" w:rsidR="00A13E24" w:rsidRPr="00333DC0" w:rsidRDefault="00A13E24" w:rsidP="00123E7F">
            <w:pPr>
              <w:pStyle w:val="Tablebullet"/>
            </w:pPr>
            <w:r w:rsidRPr="00333DC0">
              <w:t>Work is underway to develop a governance framework to allow data sharing between the managed access team, the Office for Market Access and NICE Scientific Advice for products that are selected for the Innovative Licensing and Access Pathway.</w:t>
            </w:r>
          </w:p>
          <w:p w14:paraId="263678D7" w14:textId="77777777" w:rsidR="00A13E24" w:rsidRPr="00333DC0" w:rsidRDefault="00A13E24" w:rsidP="00123E7F">
            <w:pPr>
              <w:pStyle w:val="Tablebullet"/>
            </w:pPr>
            <w:r w:rsidRPr="00333DC0">
              <w:t>Teams across NICE have been engaged in the development of the AAC Innovation Service, which will be built out of HealthTech Connect and will signpost innovators to relevant NICE services.</w:t>
            </w:r>
          </w:p>
          <w:p w14:paraId="12C699FD" w14:textId="77777777" w:rsidR="00A13E24" w:rsidRPr="00333DC0" w:rsidRDefault="00A13E24" w:rsidP="00123E7F">
            <w:pPr>
              <w:pStyle w:val="Tablebullet"/>
            </w:pPr>
            <w:r w:rsidRPr="00333DC0">
              <w:t>NICE is supporting the AAC AI in Health and Care Award through an integrated offer involving scientific advice, data and analytics, topic selection and guidance production teams.</w:t>
            </w:r>
          </w:p>
          <w:p w14:paraId="680E3621" w14:textId="77777777" w:rsidR="00A13E24" w:rsidRPr="00333DC0" w:rsidRDefault="00A13E24" w:rsidP="00123E7F">
            <w:pPr>
              <w:pStyle w:val="Tablebullet"/>
            </w:pPr>
            <w:r w:rsidRPr="00333DC0">
              <w:t xml:space="preserve">NICE is leading the development of a multi-agency advice service for AI health technologies (funded by </w:t>
            </w:r>
            <w:proofErr w:type="spellStart"/>
            <w:r w:rsidRPr="00333DC0">
              <w:t>NHSx</w:t>
            </w:r>
            <w:proofErr w:type="spellEnd"/>
            <w:r w:rsidRPr="00333DC0">
              <w:t>), along with partners MHRA, HRA and CQC.</w:t>
            </w:r>
          </w:p>
        </w:tc>
      </w:tr>
      <w:tr w:rsidR="00A13E24" w14:paraId="25C45FFB" w14:textId="77777777" w:rsidTr="007C4108">
        <w:tc>
          <w:tcPr>
            <w:tcW w:w="6232" w:type="dxa"/>
          </w:tcPr>
          <w:p w14:paraId="14CAE224" w14:textId="77777777" w:rsidR="00A13E24" w:rsidRPr="00944A52" w:rsidRDefault="00A13E24" w:rsidP="007C4108">
            <w:pPr>
              <w:pStyle w:val="Tabletext"/>
            </w:pPr>
            <w:r w:rsidRPr="00153D0F">
              <w:lastRenderedPageBreak/>
              <w:t>Work with NHSE&amp;I and DHSC on plans for the creation of an innovative medicines fund that extends opportunities for managed access beyond cancer, secure additional funding to support NICE’s contribution, recruit staff and implement changes to business as usual processes</w:t>
            </w:r>
          </w:p>
        </w:tc>
        <w:tc>
          <w:tcPr>
            <w:tcW w:w="1701" w:type="dxa"/>
          </w:tcPr>
          <w:p w14:paraId="465239AC" w14:textId="77777777" w:rsidR="00A13E24" w:rsidRPr="00944A52" w:rsidRDefault="00A13E24" w:rsidP="007C4108">
            <w:pPr>
              <w:pStyle w:val="Tabletext"/>
            </w:pPr>
            <w:r w:rsidRPr="00153D0F">
              <w:t>Q4</w:t>
            </w:r>
          </w:p>
        </w:tc>
        <w:tc>
          <w:tcPr>
            <w:tcW w:w="5670" w:type="dxa"/>
          </w:tcPr>
          <w:p w14:paraId="5B7B56F8" w14:textId="77777777" w:rsidR="00A13E24" w:rsidRPr="00123E7F" w:rsidRDefault="00A13E24" w:rsidP="00123E7F">
            <w:pPr>
              <w:pStyle w:val="Tablebullet"/>
            </w:pPr>
            <w:r w:rsidRPr="00123E7F">
              <w:t>Work continues with NHSE&amp;I on the development of the innovative medicines fund.</w:t>
            </w:r>
          </w:p>
        </w:tc>
      </w:tr>
      <w:tr w:rsidR="00A13E24" w14:paraId="6603F3DB" w14:textId="77777777" w:rsidTr="007C4108">
        <w:tc>
          <w:tcPr>
            <w:tcW w:w="6232" w:type="dxa"/>
          </w:tcPr>
          <w:p w14:paraId="79A2EBA2" w14:textId="77777777" w:rsidR="00A13E24" w:rsidRPr="00944A52" w:rsidRDefault="00A13E24" w:rsidP="007C4108">
            <w:pPr>
              <w:pStyle w:val="Tabletext"/>
            </w:pPr>
            <w:r w:rsidRPr="00153D0F">
              <w:lastRenderedPageBreak/>
              <w:t xml:space="preserve">Enhance collaboration with system partners, including </w:t>
            </w:r>
            <w:proofErr w:type="spellStart"/>
            <w:r w:rsidRPr="00153D0F">
              <w:t>NHS</w:t>
            </w:r>
            <w:r>
              <w:t>x</w:t>
            </w:r>
            <w:proofErr w:type="spellEnd"/>
            <w:r w:rsidRPr="00153D0F">
              <w:t xml:space="preserve"> and the MHRA on activities supporting future regulatory and health technology assessment offers for medicines, medical technologies, diagnostics and digital/AI health technologies, including the use of real-world evidence pre- and post-licence and the provision of early scientific advice, incorporating learning from the joint response to COVID-19</w:t>
            </w:r>
          </w:p>
        </w:tc>
        <w:tc>
          <w:tcPr>
            <w:tcW w:w="1701" w:type="dxa"/>
          </w:tcPr>
          <w:p w14:paraId="7A36A2AE" w14:textId="77777777" w:rsidR="00A13E24" w:rsidRPr="00944A52" w:rsidRDefault="00A13E24" w:rsidP="007C4108">
            <w:pPr>
              <w:pStyle w:val="Tabletext"/>
            </w:pPr>
            <w:r w:rsidRPr="00153D0F">
              <w:t xml:space="preserve">Ongoing </w:t>
            </w:r>
          </w:p>
        </w:tc>
        <w:tc>
          <w:tcPr>
            <w:tcW w:w="5670" w:type="dxa"/>
          </w:tcPr>
          <w:p w14:paraId="1D0BDEBB" w14:textId="77777777" w:rsidR="00A13E24" w:rsidRPr="00123E7F" w:rsidRDefault="00A13E24" w:rsidP="00123E7F">
            <w:pPr>
              <w:pStyle w:val="Tablebullet"/>
            </w:pPr>
            <w:r w:rsidRPr="00123E7F">
              <w:t xml:space="preserve">RAPID-C19 process implemented in collaboration with MHRA, NICE and NHSE&amp;I to fast-track access to COVID-19 medicines. </w:t>
            </w:r>
          </w:p>
          <w:p w14:paraId="6B6C669A" w14:textId="77777777" w:rsidR="00A13E24" w:rsidRPr="00333DC0" w:rsidRDefault="00A13E24" w:rsidP="00123E7F">
            <w:pPr>
              <w:pStyle w:val="Tablebullet"/>
            </w:pPr>
            <w:r w:rsidRPr="006F57FF">
              <w:t xml:space="preserve">Strong progress has been made through the MHRA and NICE Core Strategic Group on an innovative licensing and access pathway for use following the UK/EU transition period.  </w:t>
            </w:r>
          </w:p>
          <w:p w14:paraId="38A90467" w14:textId="77777777" w:rsidR="00A13E24" w:rsidRPr="00333DC0" w:rsidRDefault="00A13E24" w:rsidP="00123E7F">
            <w:pPr>
              <w:pStyle w:val="Tablebullet"/>
            </w:pPr>
            <w:bookmarkStart w:id="1" w:name="_Hlk44681899"/>
            <w:r w:rsidRPr="00333DC0">
              <w:t>A £3m 3-year project in collaboration with the MHRA, CQC and HRA to design a multi-agency advice service to support developers and users of AI-driven digital health technologies started in July.</w:t>
            </w:r>
          </w:p>
          <w:p w14:paraId="471AB0F8" w14:textId="58269E8D" w:rsidR="00A13E24" w:rsidRPr="00333DC0" w:rsidRDefault="00A13E24" w:rsidP="00123E7F">
            <w:pPr>
              <w:pStyle w:val="Tablebullet"/>
            </w:pPr>
            <w:r w:rsidRPr="00333DC0">
              <w:t xml:space="preserve">Multi-agency advisory service for AI technologies established with support from </w:t>
            </w:r>
            <w:r w:rsidR="00781715" w:rsidRPr="00333DC0">
              <w:t>NHSX</w:t>
            </w:r>
            <w:r w:rsidRPr="00333DC0">
              <w:t>.</w:t>
            </w:r>
            <w:r w:rsidRPr="00333DC0">
              <w:rPr>
                <w:rFonts w:eastAsia="Calibri"/>
              </w:rPr>
              <w:t xml:space="preserve"> </w:t>
            </w:r>
            <w:bookmarkEnd w:id="1"/>
          </w:p>
        </w:tc>
      </w:tr>
      <w:tr w:rsidR="00A13E24" w14:paraId="63FA4416" w14:textId="77777777" w:rsidTr="007C4108">
        <w:tc>
          <w:tcPr>
            <w:tcW w:w="6232" w:type="dxa"/>
          </w:tcPr>
          <w:p w14:paraId="40AF09A0" w14:textId="77777777" w:rsidR="00A13E24" w:rsidRPr="00944A52" w:rsidRDefault="00A13E24" w:rsidP="007C4108">
            <w:pPr>
              <w:pStyle w:val="Tabletext"/>
            </w:pPr>
            <w:r w:rsidRPr="00153D0F">
              <w:t>Maintain and further develop NICE’s global leadership role in use of health technology assessment and guideline development processes and methods to inform decision making in health and social care systems across the world</w:t>
            </w:r>
          </w:p>
        </w:tc>
        <w:tc>
          <w:tcPr>
            <w:tcW w:w="1701" w:type="dxa"/>
          </w:tcPr>
          <w:p w14:paraId="16111CA3" w14:textId="77777777" w:rsidR="00A13E24" w:rsidRPr="00944A52" w:rsidRDefault="00A13E24" w:rsidP="007C4108">
            <w:pPr>
              <w:pStyle w:val="Tabletext"/>
            </w:pPr>
            <w:r w:rsidRPr="00153D0F">
              <w:t>Ongoing</w:t>
            </w:r>
          </w:p>
        </w:tc>
        <w:tc>
          <w:tcPr>
            <w:tcW w:w="5670" w:type="dxa"/>
          </w:tcPr>
          <w:p w14:paraId="29846711" w14:textId="77777777" w:rsidR="00A13E24" w:rsidRPr="00333DC0" w:rsidRDefault="00A13E24" w:rsidP="00123E7F">
            <w:pPr>
              <w:pStyle w:val="Tablebullet"/>
              <w:rPr>
                <w:rFonts w:eastAsia="Arial"/>
              </w:rPr>
            </w:pPr>
            <w:r w:rsidRPr="00123E7F">
              <w:rPr>
                <w:rFonts w:eastAsia="Arial"/>
              </w:rPr>
              <w:t>We continue to engage in collaborative opportunities coordinated by the World Health Organisation (the Evidence Collaborative for COVID-19 [ECC-19]), the Cochrane Collaboration and the International Network of Agencies for Health Technology Assessment (INAHTA), the COVID-19 Evidence Network to support Decision-Making (COVID-END) hosted by McMaster University, a new coll</w:t>
            </w:r>
            <w:r w:rsidRPr="006F57FF">
              <w:rPr>
                <w:rFonts w:eastAsia="Arial"/>
              </w:rPr>
              <w:t>aboration initiated by NICE between the Canadian Agency for Drugs and Technologies in Health (CADTH), and the European Network for Heath Technology Assessment (</w:t>
            </w:r>
            <w:proofErr w:type="spellStart"/>
            <w:r w:rsidRPr="006F57FF">
              <w:rPr>
                <w:rFonts w:eastAsia="Arial"/>
              </w:rPr>
              <w:t>EUnetHTA</w:t>
            </w:r>
            <w:proofErr w:type="spellEnd"/>
            <w:r w:rsidRPr="006F57FF">
              <w:rPr>
                <w:rFonts w:eastAsia="Arial"/>
              </w:rPr>
              <w:t xml:space="preserve">). </w:t>
            </w:r>
          </w:p>
          <w:p w14:paraId="5772C673" w14:textId="77777777" w:rsidR="00A13E24" w:rsidRPr="00333DC0" w:rsidRDefault="00A13E24" w:rsidP="00123E7F">
            <w:pPr>
              <w:pStyle w:val="Tablebullet"/>
              <w:rPr>
                <w:rFonts w:eastAsia="Arial"/>
              </w:rPr>
            </w:pPr>
            <w:r w:rsidRPr="00333DC0">
              <w:rPr>
                <w:rFonts w:eastAsia="Arial"/>
              </w:rPr>
              <w:t xml:space="preserve">We presented in a webinar on rapid COVID guideline development organised as part of the Guidelines International Network (G-I-N) annual meeting on 30 September. Further international </w:t>
            </w:r>
            <w:r w:rsidRPr="00333DC0">
              <w:rPr>
                <w:rFonts w:eastAsia="Arial"/>
              </w:rPr>
              <w:lastRenderedPageBreak/>
              <w:t xml:space="preserve">collaboration is being explored with McMaster University. </w:t>
            </w:r>
          </w:p>
          <w:p w14:paraId="69340A5C" w14:textId="77777777" w:rsidR="00A13E24" w:rsidRPr="00333DC0" w:rsidRDefault="00A13E24" w:rsidP="00123E7F">
            <w:pPr>
              <w:pStyle w:val="Tablebullet"/>
              <w:rPr>
                <w:rFonts w:eastAsia="Arial"/>
              </w:rPr>
            </w:pPr>
            <w:r w:rsidRPr="00333DC0">
              <w:rPr>
                <w:rFonts w:eastAsia="Arial"/>
              </w:rPr>
              <w:t>We are supervising an internship student from Harvard University who is conducting, in collaboration with a team from McMaster University (via COVID-END), a comparative review assessing the quality and recommendations of critical care and pneumonia COVID-19 guidelines published internationally.</w:t>
            </w:r>
          </w:p>
          <w:p w14:paraId="0C7E4A6F" w14:textId="77777777" w:rsidR="00A13E24" w:rsidRPr="00333DC0" w:rsidRDefault="00A13E24" w:rsidP="00123E7F">
            <w:pPr>
              <w:pStyle w:val="Tablebullet"/>
            </w:pPr>
            <w:r w:rsidRPr="00333DC0">
              <w:t xml:space="preserve">Preparations for the </w:t>
            </w:r>
            <w:proofErr w:type="spellStart"/>
            <w:r w:rsidRPr="00333DC0">
              <w:t>HTAi</w:t>
            </w:r>
            <w:proofErr w:type="spellEnd"/>
            <w:r w:rsidRPr="00333DC0">
              <w:t xml:space="preserve"> 2021 conference in Manchester continue, with staff involved in both the Local Organising Committee (LOC) and the International Scientific Programme Committee (ISPC).</w:t>
            </w:r>
          </w:p>
        </w:tc>
      </w:tr>
    </w:tbl>
    <w:p w14:paraId="1312EFF0" w14:textId="77777777" w:rsidR="00A13E24" w:rsidRDefault="00A13E24" w:rsidP="00A13E24">
      <w:pPr>
        <w:pStyle w:val="NICEnormal"/>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Generate and manage effectively the resources needed to maintain and transform our offer to the health and care system"/>
      </w:tblPr>
      <w:tblGrid>
        <w:gridCol w:w="6232"/>
        <w:gridCol w:w="1701"/>
        <w:gridCol w:w="5670"/>
      </w:tblGrid>
      <w:tr w:rsidR="00CF5C10" w14:paraId="0D4321D4" w14:textId="77777777" w:rsidTr="00123E7F">
        <w:trPr>
          <w:tblHeader/>
        </w:trPr>
        <w:tc>
          <w:tcPr>
            <w:tcW w:w="6232" w:type="dxa"/>
          </w:tcPr>
          <w:p w14:paraId="4D224169" w14:textId="77777777" w:rsidR="00CF5C10" w:rsidRPr="00944A52" w:rsidRDefault="00CF5C10" w:rsidP="007C4108">
            <w:pPr>
              <w:pStyle w:val="Tableheadingboardreport"/>
            </w:pPr>
            <w:r w:rsidRPr="00153D0F">
              <w:t>Generate and manage effectively the resources needed to maintain and transform our offer to the health and care system</w:t>
            </w:r>
          </w:p>
        </w:tc>
        <w:tc>
          <w:tcPr>
            <w:tcW w:w="1701" w:type="dxa"/>
          </w:tcPr>
          <w:p w14:paraId="3634498A" w14:textId="77777777" w:rsidR="00CF5C10" w:rsidRPr="00944A52" w:rsidRDefault="00CF5C10" w:rsidP="007C4108">
            <w:pPr>
              <w:pStyle w:val="Tableheadingboardreport"/>
            </w:pPr>
            <w:r>
              <w:t>Delivery date</w:t>
            </w:r>
          </w:p>
        </w:tc>
        <w:tc>
          <w:tcPr>
            <w:tcW w:w="5670" w:type="dxa"/>
          </w:tcPr>
          <w:p w14:paraId="0EF5F84C" w14:textId="77777777" w:rsidR="00CF5C10" w:rsidRPr="00F23A61" w:rsidRDefault="00CF5C10" w:rsidP="007C4108">
            <w:pPr>
              <w:pStyle w:val="Tableheadingboardreport"/>
              <w:rPr>
                <w:szCs w:val="22"/>
              </w:rPr>
            </w:pPr>
            <w:r w:rsidRPr="00DD2591">
              <w:rPr>
                <w:szCs w:val="22"/>
              </w:rPr>
              <w:t>Progress update</w:t>
            </w:r>
          </w:p>
        </w:tc>
      </w:tr>
      <w:tr w:rsidR="00A13E24" w14:paraId="618576B9" w14:textId="77777777" w:rsidTr="007C4108">
        <w:tc>
          <w:tcPr>
            <w:tcW w:w="6232" w:type="dxa"/>
          </w:tcPr>
          <w:p w14:paraId="6F680477" w14:textId="77777777" w:rsidR="00A13E24" w:rsidRPr="00153D0F" w:rsidRDefault="00A13E24" w:rsidP="007C4108">
            <w:pPr>
              <w:pStyle w:val="Tabletext"/>
            </w:pPr>
            <w:r w:rsidRPr="00153D0F">
              <w:t>Review our business processes and roll-out new tools to improve our operational productivity to enable us to do more with our resources as part of the NICE Connect transformation</w:t>
            </w:r>
          </w:p>
        </w:tc>
        <w:tc>
          <w:tcPr>
            <w:tcW w:w="1701" w:type="dxa"/>
          </w:tcPr>
          <w:p w14:paraId="04803581" w14:textId="77777777" w:rsidR="00A13E24" w:rsidRPr="00153D0F" w:rsidRDefault="00A13E24" w:rsidP="007C4108">
            <w:pPr>
              <w:pStyle w:val="Tabletext"/>
            </w:pPr>
            <w:r w:rsidRPr="00153D0F">
              <w:t>Ongoing</w:t>
            </w:r>
          </w:p>
        </w:tc>
        <w:tc>
          <w:tcPr>
            <w:tcW w:w="5670" w:type="dxa"/>
          </w:tcPr>
          <w:p w14:paraId="45915B79" w14:textId="77777777" w:rsidR="00A13E24" w:rsidRPr="006F57FF" w:rsidRDefault="00A13E24" w:rsidP="00123E7F">
            <w:pPr>
              <w:pStyle w:val="Tablebullet"/>
            </w:pPr>
            <w:r w:rsidRPr="00123E7F">
              <w:t xml:space="preserve">Formal Lean Six Sigma training, a quality improvement methodology to improve efficiency, will be delivered in November.  This comprises a weeklong 'Green Belt' course for 16 staff who are working on operational productivity projects, and an overview session for senior leaders.  The course is being delivered by Professor Anthony </w:t>
            </w:r>
            <w:proofErr w:type="spellStart"/>
            <w:r w:rsidRPr="00123E7F">
              <w:t>Bendell</w:t>
            </w:r>
            <w:proofErr w:type="spellEnd"/>
            <w:r w:rsidRPr="00123E7F">
              <w:t>.</w:t>
            </w:r>
          </w:p>
          <w:p w14:paraId="746F00FA" w14:textId="77777777" w:rsidR="00A13E24" w:rsidRPr="00333DC0" w:rsidRDefault="00A13E24" w:rsidP="00123E7F">
            <w:pPr>
              <w:pStyle w:val="Tablebullet"/>
            </w:pPr>
            <w:r w:rsidRPr="00333DC0">
              <w:t>The business case for Microsoft 365 is being refined following presentation to the Board in September. The revised plan is scheduled to be presented at the December Board meeting.</w:t>
            </w:r>
          </w:p>
        </w:tc>
      </w:tr>
      <w:tr w:rsidR="00A13E24" w14:paraId="1CC1CA1F" w14:textId="77777777" w:rsidTr="007C4108">
        <w:tc>
          <w:tcPr>
            <w:tcW w:w="6232" w:type="dxa"/>
          </w:tcPr>
          <w:p w14:paraId="58287371" w14:textId="77777777" w:rsidR="00A13E24" w:rsidRPr="00153D0F" w:rsidRDefault="00A13E24" w:rsidP="007C4108">
            <w:pPr>
              <w:pStyle w:val="Tabletext"/>
            </w:pPr>
            <w:r w:rsidRPr="00153D0F">
              <w:lastRenderedPageBreak/>
              <w:t>Deliver against plan for all budgets and achieve or exceed on non-Grant-in-Aid income targets</w:t>
            </w:r>
          </w:p>
        </w:tc>
        <w:tc>
          <w:tcPr>
            <w:tcW w:w="1701" w:type="dxa"/>
          </w:tcPr>
          <w:p w14:paraId="22E1A6E5" w14:textId="77777777" w:rsidR="00A13E24" w:rsidRPr="00153D0F" w:rsidRDefault="00A13E24" w:rsidP="007C4108">
            <w:pPr>
              <w:pStyle w:val="Tabletext"/>
            </w:pPr>
            <w:r w:rsidRPr="00153D0F">
              <w:t>End of March 2021</w:t>
            </w:r>
          </w:p>
        </w:tc>
        <w:tc>
          <w:tcPr>
            <w:tcW w:w="5670" w:type="dxa"/>
          </w:tcPr>
          <w:p w14:paraId="45CC67CC" w14:textId="77777777" w:rsidR="00A13E24" w:rsidRPr="00123E7F" w:rsidRDefault="00A13E24" w:rsidP="00123E7F">
            <w:pPr>
              <w:pStyle w:val="Tablebullet"/>
            </w:pPr>
            <w:r w:rsidRPr="00123E7F">
              <w:t xml:space="preserve">After 6 months the budget was under spent by £1.4m (5%). </w:t>
            </w:r>
          </w:p>
          <w:p w14:paraId="4DB6D753" w14:textId="77777777" w:rsidR="00A13E24" w:rsidRPr="00333DC0" w:rsidRDefault="00A13E24" w:rsidP="00123E7F">
            <w:pPr>
              <w:pStyle w:val="Tablebullet"/>
            </w:pPr>
            <w:r w:rsidRPr="006F57FF">
              <w:t>Income from technology appraisals and h</w:t>
            </w:r>
            <w:r w:rsidRPr="00795BC5">
              <w:t>ighly specialised technologies is below</w:t>
            </w:r>
            <w:r w:rsidRPr="00333DC0">
              <w:t xml:space="preserve"> target due to the impact of COVID-19, but this has been offset by vacancies and no spend on travel.</w:t>
            </w:r>
          </w:p>
          <w:p w14:paraId="7A6F594D" w14:textId="77777777" w:rsidR="00A13E24" w:rsidRPr="00333DC0" w:rsidRDefault="00A13E24" w:rsidP="00123E7F">
            <w:pPr>
              <w:pStyle w:val="Tablebullet"/>
            </w:pPr>
            <w:r w:rsidRPr="00333DC0">
              <w:t>Other non-GIA income targets have been achieved in the first 6 months, including a £0.2m surplus in NICE Scientific Advice.</w:t>
            </w:r>
          </w:p>
        </w:tc>
      </w:tr>
      <w:tr w:rsidR="00A13E24" w14:paraId="0F92D728" w14:textId="77777777" w:rsidTr="007C4108">
        <w:tc>
          <w:tcPr>
            <w:tcW w:w="6232" w:type="dxa"/>
          </w:tcPr>
          <w:p w14:paraId="5173D782" w14:textId="77777777" w:rsidR="00A13E24" w:rsidRPr="00944A52" w:rsidRDefault="00A13E24" w:rsidP="007C4108">
            <w:pPr>
              <w:pStyle w:val="Tabletext"/>
            </w:pPr>
            <w:r w:rsidRPr="00153D0F">
              <w:t>Collaborate with the research and policy communities nationally and internationally in topic areas agreed strategically important to NICE, delivering existing grant funded research projects to plan and timetable, and securing a pipeline of new projects for 2021/22</w:t>
            </w:r>
          </w:p>
        </w:tc>
        <w:tc>
          <w:tcPr>
            <w:tcW w:w="1701" w:type="dxa"/>
          </w:tcPr>
          <w:p w14:paraId="641F84AB" w14:textId="77777777" w:rsidR="00A13E24" w:rsidRPr="00944A52" w:rsidRDefault="00A13E24" w:rsidP="007C4108">
            <w:pPr>
              <w:pStyle w:val="Tabletext"/>
            </w:pPr>
            <w:r w:rsidRPr="00153D0F">
              <w:t>End of March 2021</w:t>
            </w:r>
          </w:p>
        </w:tc>
        <w:tc>
          <w:tcPr>
            <w:tcW w:w="5670" w:type="dxa"/>
          </w:tcPr>
          <w:p w14:paraId="28318A49" w14:textId="77777777" w:rsidR="00A13E24" w:rsidRPr="00123E7F" w:rsidRDefault="00A13E24" w:rsidP="00123E7F">
            <w:pPr>
              <w:pStyle w:val="Tablebullet"/>
            </w:pPr>
            <w:r w:rsidRPr="00123E7F">
              <w:t>Portfolio of H2020 and IMI projects aligned with NICE’s research interests progressing to plan with virtual engagement with collaborating partners going well.</w:t>
            </w:r>
          </w:p>
        </w:tc>
      </w:tr>
      <w:tr w:rsidR="00A13E24" w14:paraId="1D127199" w14:textId="77777777" w:rsidTr="007C4108">
        <w:tc>
          <w:tcPr>
            <w:tcW w:w="6232" w:type="dxa"/>
          </w:tcPr>
          <w:p w14:paraId="0F54DBB2" w14:textId="77777777" w:rsidR="00A13E24" w:rsidRPr="00944A52" w:rsidRDefault="00A13E24" w:rsidP="007C4108">
            <w:pPr>
              <w:pStyle w:val="Tabletext"/>
            </w:pPr>
            <w:r w:rsidRPr="00153D0F">
              <w:t>Deliver scientific advice, including the offers in the context of COVID-19, and NICE International activities to target</w:t>
            </w:r>
          </w:p>
        </w:tc>
        <w:tc>
          <w:tcPr>
            <w:tcW w:w="1701" w:type="dxa"/>
          </w:tcPr>
          <w:p w14:paraId="457CFE0D" w14:textId="77777777" w:rsidR="00A13E24" w:rsidRPr="00944A52" w:rsidRDefault="00A13E24" w:rsidP="007C4108">
            <w:pPr>
              <w:pStyle w:val="Tabletext"/>
            </w:pPr>
            <w:r w:rsidRPr="00153D0F">
              <w:t>End of March 2021</w:t>
            </w:r>
          </w:p>
        </w:tc>
        <w:tc>
          <w:tcPr>
            <w:tcW w:w="5670" w:type="dxa"/>
          </w:tcPr>
          <w:p w14:paraId="672B1003" w14:textId="77777777" w:rsidR="00A13E24" w:rsidRPr="00123E7F" w:rsidRDefault="00A13E24" w:rsidP="00123E7F">
            <w:pPr>
              <w:pStyle w:val="Tablebullet"/>
            </w:pPr>
            <w:r w:rsidRPr="00123E7F">
              <w:t>NICE Scientific Advice (including NICE International) is on track to recover all costs and make a full contribution to the NICE overheads.</w:t>
            </w:r>
          </w:p>
          <w:p w14:paraId="7A123461" w14:textId="77777777" w:rsidR="00A13E24" w:rsidRPr="00333DC0" w:rsidRDefault="00A13E24" w:rsidP="00123E7F">
            <w:pPr>
              <w:pStyle w:val="Tablebullet"/>
            </w:pPr>
            <w:r w:rsidRPr="006F57FF">
              <w:t>The team has initiated 60 different pro</w:t>
            </w:r>
            <w:r w:rsidRPr="00795BC5">
              <w:t>jects since the start of the f</w:t>
            </w:r>
            <w:r w:rsidRPr="00333DC0">
              <w:t>inancial year. Eleven of these projects have involved giving free advice on COVID-19 products.</w:t>
            </w:r>
          </w:p>
          <w:p w14:paraId="27705FA8" w14:textId="77777777" w:rsidR="00A13E24" w:rsidRPr="00333DC0" w:rsidRDefault="00A13E24" w:rsidP="00123E7F">
            <w:pPr>
              <w:pStyle w:val="Tablebullet"/>
            </w:pPr>
            <w:r w:rsidRPr="00333DC0">
              <w:t>NICE International has developed its first annual review since its relaunch in November 2019. This will be published on the NICE website.</w:t>
            </w:r>
          </w:p>
        </w:tc>
      </w:tr>
      <w:tr w:rsidR="00CF5C10" w:rsidRPr="00944A52" w14:paraId="15B95CAB" w14:textId="77777777" w:rsidTr="00123E7F">
        <w:trPr>
          <w:tblHeader/>
        </w:trPr>
        <w:tc>
          <w:tcPr>
            <w:tcW w:w="6232" w:type="dxa"/>
          </w:tcPr>
          <w:p w14:paraId="572444D2" w14:textId="77777777" w:rsidR="00CF5C10" w:rsidRPr="00153D0F" w:rsidRDefault="00CF5C10" w:rsidP="007C4108">
            <w:pPr>
              <w:pStyle w:val="Tableheadingboardreport"/>
            </w:pPr>
            <w:r w:rsidRPr="00153D0F">
              <w:t>Maintain a motivated, well-led and adaptable workforce</w:t>
            </w:r>
          </w:p>
        </w:tc>
        <w:tc>
          <w:tcPr>
            <w:tcW w:w="1701" w:type="dxa"/>
          </w:tcPr>
          <w:p w14:paraId="25710F1F" w14:textId="77777777" w:rsidR="00CF5C10" w:rsidRPr="00153D0F" w:rsidRDefault="00CF5C10" w:rsidP="007C4108">
            <w:pPr>
              <w:pStyle w:val="Tableheadingboardreport"/>
            </w:pPr>
            <w:r>
              <w:t>Delivery date</w:t>
            </w:r>
          </w:p>
        </w:tc>
        <w:tc>
          <w:tcPr>
            <w:tcW w:w="5670" w:type="dxa"/>
          </w:tcPr>
          <w:p w14:paraId="7D5DE223" w14:textId="77777777" w:rsidR="00CF5C10" w:rsidRPr="00F23A61" w:rsidRDefault="00CF5C10" w:rsidP="007C4108">
            <w:pPr>
              <w:pStyle w:val="Tableheadingboardreport"/>
              <w:rPr>
                <w:szCs w:val="22"/>
              </w:rPr>
            </w:pPr>
            <w:r w:rsidRPr="00DD2591">
              <w:rPr>
                <w:szCs w:val="22"/>
              </w:rPr>
              <w:t>Progress update</w:t>
            </w:r>
          </w:p>
        </w:tc>
      </w:tr>
      <w:tr w:rsidR="00A13E24" w:rsidRPr="00153D0F" w14:paraId="2F3FF86C" w14:textId="77777777" w:rsidTr="007C4108">
        <w:tc>
          <w:tcPr>
            <w:tcW w:w="6232" w:type="dxa"/>
          </w:tcPr>
          <w:p w14:paraId="22F74932" w14:textId="77777777" w:rsidR="00A13E24" w:rsidRPr="00153D0F" w:rsidRDefault="00A13E24" w:rsidP="007C4108">
            <w:pPr>
              <w:pStyle w:val="Tabletext"/>
            </w:pPr>
            <w:r w:rsidRPr="00153D0F">
              <w:t>Ensure that all staff have clear objectives supported by personal development plans</w:t>
            </w:r>
          </w:p>
        </w:tc>
        <w:tc>
          <w:tcPr>
            <w:tcW w:w="1701" w:type="dxa"/>
          </w:tcPr>
          <w:p w14:paraId="03BFD2E4" w14:textId="77777777" w:rsidR="00A13E24" w:rsidRPr="00153D0F" w:rsidRDefault="00A13E24" w:rsidP="007C4108">
            <w:pPr>
              <w:pStyle w:val="Tabletext"/>
            </w:pPr>
            <w:r w:rsidRPr="00153D0F">
              <w:t>End of Q1</w:t>
            </w:r>
          </w:p>
        </w:tc>
        <w:tc>
          <w:tcPr>
            <w:tcW w:w="5670" w:type="dxa"/>
          </w:tcPr>
          <w:p w14:paraId="710A327E" w14:textId="77777777" w:rsidR="00A13E24" w:rsidRPr="006F57FF" w:rsidRDefault="00A13E24" w:rsidP="00123E7F">
            <w:pPr>
              <w:pStyle w:val="Tablebullet"/>
            </w:pPr>
            <w:r w:rsidRPr="00123E7F">
              <w:t xml:space="preserve">Our refreshed appraisals approach “Appraisal: My Contribution” has been successfully launched, with virtual training available for staff and managers, which has been well-attended. We are now seeking </w:t>
            </w:r>
            <w:r w:rsidRPr="00123E7F">
              <w:lastRenderedPageBreak/>
              <w:t xml:space="preserve">feedback on the new approach and </w:t>
            </w:r>
            <w:proofErr w:type="gramStart"/>
            <w:r w:rsidRPr="00123E7F">
              <w:t>making adjustments</w:t>
            </w:r>
            <w:proofErr w:type="gramEnd"/>
            <w:r w:rsidRPr="00123E7F">
              <w:t xml:space="preserve"> as needed.</w:t>
            </w:r>
          </w:p>
        </w:tc>
      </w:tr>
      <w:tr w:rsidR="00A13E24" w:rsidRPr="00153D0F" w14:paraId="5855F128" w14:textId="77777777" w:rsidTr="007C4108">
        <w:tc>
          <w:tcPr>
            <w:tcW w:w="6232" w:type="dxa"/>
          </w:tcPr>
          <w:p w14:paraId="442A0965" w14:textId="77777777" w:rsidR="00A13E24" w:rsidRPr="00153D0F" w:rsidRDefault="00A13E24" w:rsidP="007C4108">
            <w:pPr>
              <w:pStyle w:val="Tabletext"/>
            </w:pPr>
            <w:r w:rsidRPr="00153D0F">
              <w:lastRenderedPageBreak/>
              <w:t>Actively manage staff engagement and morale in the context of the COVID-19 pandemic and the NICE Connect transformation, with the objective of ensuring that staff feel supported and able to work remotely when required</w:t>
            </w:r>
          </w:p>
        </w:tc>
        <w:tc>
          <w:tcPr>
            <w:tcW w:w="1701" w:type="dxa"/>
          </w:tcPr>
          <w:p w14:paraId="1BB75072" w14:textId="77777777" w:rsidR="00A13E24" w:rsidRPr="00153D0F" w:rsidRDefault="00A13E24" w:rsidP="007C4108">
            <w:pPr>
              <w:pStyle w:val="Tabletext"/>
            </w:pPr>
            <w:r w:rsidRPr="00153D0F">
              <w:t>Ongoing</w:t>
            </w:r>
          </w:p>
        </w:tc>
        <w:tc>
          <w:tcPr>
            <w:tcW w:w="5670" w:type="dxa"/>
          </w:tcPr>
          <w:p w14:paraId="6295D657" w14:textId="77777777" w:rsidR="00A13E24" w:rsidRPr="006F57FF" w:rsidRDefault="00A13E24" w:rsidP="00123E7F">
            <w:pPr>
              <w:pStyle w:val="Tablebullet"/>
            </w:pPr>
            <w:r w:rsidRPr="00123E7F">
              <w:t>Our Health and Wellbeing Group continues to meet regularly. We are producing resources and support for staff and managers to help everyone to work as effectively as possible from home.</w:t>
            </w:r>
          </w:p>
          <w:p w14:paraId="294CB8E6" w14:textId="77777777" w:rsidR="00A13E24" w:rsidRPr="00333DC0" w:rsidRDefault="00A13E24" w:rsidP="00123E7F">
            <w:pPr>
              <w:pStyle w:val="Tablebullet"/>
            </w:pPr>
            <w:r w:rsidRPr="00333DC0">
              <w:t>In September we ran our first virtual Healthy Work Week, which was well attended and there is appetite for more events like this.</w:t>
            </w:r>
          </w:p>
          <w:p w14:paraId="7F5E1B9A" w14:textId="77777777" w:rsidR="00A13E24" w:rsidRPr="00333DC0" w:rsidRDefault="00A13E24" w:rsidP="00123E7F">
            <w:pPr>
              <w:pStyle w:val="Tablebullet"/>
            </w:pPr>
            <w:r w:rsidRPr="00333DC0">
              <w:t xml:space="preserve">Our fourth pulse survey was conducted in September, which shows that 81% of staff feel that working from home is going "very well" or "fairly well". However, staff also remarked on workload, </w:t>
            </w:r>
            <w:proofErr w:type="gramStart"/>
            <w:r w:rsidRPr="00333DC0">
              <w:t>wellbeing</w:t>
            </w:r>
            <w:proofErr w:type="gramEnd"/>
            <w:r w:rsidRPr="00333DC0">
              <w:t xml:space="preserve"> and resilience, which will be addressed through a range of channels including SMT, CRG and Health and Wellbeing Group in the coming weeks. </w:t>
            </w:r>
          </w:p>
        </w:tc>
      </w:tr>
      <w:tr w:rsidR="00A13E24" w:rsidRPr="00153D0F" w14:paraId="777FDCF8" w14:textId="77777777" w:rsidTr="007C4108">
        <w:tc>
          <w:tcPr>
            <w:tcW w:w="6232" w:type="dxa"/>
          </w:tcPr>
          <w:p w14:paraId="74118271" w14:textId="77777777" w:rsidR="00A13E24" w:rsidRPr="00153D0F" w:rsidRDefault="00A13E24" w:rsidP="007C4108">
            <w:pPr>
              <w:pStyle w:val="Tabletext"/>
            </w:pPr>
            <w:r w:rsidRPr="00153D0F">
              <w:t>Review our people processes to enable different ways of working as part of the NICE Connect transformation</w:t>
            </w:r>
          </w:p>
        </w:tc>
        <w:tc>
          <w:tcPr>
            <w:tcW w:w="1701" w:type="dxa"/>
          </w:tcPr>
          <w:p w14:paraId="5EC60D01" w14:textId="77777777" w:rsidR="00A13E24" w:rsidRPr="00153D0F" w:rsidRDefault="00A13E24" w:rsidP="007C4108">
            <w:pPr>
              <w:pStyle w:val="Tabletext"/>
            </w:pPr>
            <w:r w:rsidRPr="00153D0F">
              <w:t>Ongoing</w:t>
            </w:r>
          </w:p>
        </w:tc>
        <w:tc>
          <w:tcPr>
            <w:tcW w:w="5670" w:type="dxa"/>
          </w:tcPr>
          <w:p w14:paraId="6EEDC530" w14:textId="77777777" w:rsidR="00A13E24" w:rsidRPr="006F57FF" w:rsidRDefault="00A13E24" w:rsidP="00123E7F">
            <w:pPr>
              <w:pStyle w:val="Tablebullet"/>
            </w:pPr>
            <w:r w:rsidRPr="00123E7F">
              <w:t>We have been learning from COVID-19 experience and have released resources to help managers and staff to understand virtual team/matrix team working.</w:t>
            </w:r>
          </w:p>
          <w:p w14:paraId="32B2BCDF" w14:textId="77777777" w:rsidR="00A13E24" w:rsidRPr="00333DC0" w:rsidRDefault="00A13E24" w:rsidP="00123E7F">
            <w:pPr>
              <w:pStyle w:val="Tablebullet"/>
            </w:pPr>
            <w:r w:rsidRPr="00333DC0">
              <w:t xml:space="preserve">We have started a programme of work to standardise job descriptions, which will allow for a more flexible workforce in the future. </w:t>
            </w:r>
          </w:p>
          <w:p w14:paraId="0E04895C" w14:textId="77777777" w:rsidR="00A13E24" w:rsidRPr="00333DC0" w:rsidRDefault="00A13E24" w:rsidP="00123E7F">
            <w:pPr>
              <w:pStyle w:val="Tablebullet"/>
            </w:pPr>
            <w:r w:rsidRPr="00333DC0">
              <w:t>We have developed an interim organisational development action plan to support NICE Connect.</w:t>
            </w:r>
          </w:p>
          <w:p w14:paraId="5F1659CC" w14:textId="77777777" w:rsidR="00A13E24" w:rsidRPr="00333DC0" w:rsidRDefault="00A13E24" w:rsidP="00123E7F">
            <w:pPr>
              <w:pStyle w:val="Tablebullet"/>
            </w:pPr>
            <w:r w:rsidRPr="00333DC0">
              <w:t xml:space="preserve">We are investigating opportunities to continue to work flexibly post-COVID, which may include joint base contracts. </w:t>
            </w:r>
          </w:p>
        </w:tc>
      </w:tr>
      <w:tr w:rsidR="00A13E24" w:rsidRPr="00153D0F" w14:paraId="5C2A32DE" w14:textId="77777777" w:rsidTr="007C4108">
        <w:tc>
          <w:tcPr>
            <w:tcW w:w="6232" w:type="dxa"/>
          </w:tcPr>
          <w:p w14:paraId="7F4D0B94" w14:textId="77777777" w:rsidR="00A13E24" w:rsidRPr="00153D0F" w:rsidRDefault="00A13E24" w:rsidP="007C4108">
            <w:pPr>
              <w:pStyle w:val="Tabletext"/>
            </w:pPr>
            <w:r w:rsidRPr="00153D0F">
              <w:lastRenderedPageBreak/>
              <w:t>Implement the actions set out in the workforce strategy for 2020/21</w:t>
            </w:r>
          </w:p>
        </w:tc>
        <w:tc>
          <w:tcPr>
            <w:tcW w:w="1701" w:type="dxa"/>
          </w:tcPr>
          <w:p w14:paraId="49C225C6" w14:textId="77777777" w:rsidR="00A13E24" w:rsidRPr="00153D0F" w:rsidRDefault="00A13E24" w:rsidP="007C4108">
            <w:pPr>
              <w:pStyle w:val="Tabletext"/>
            </w:pPr>
            <w:r w:rsidRPr="00153D0F">
              <w:t>End of Q4</w:t>
            </w:r>
          </w:p>
        </w:tc>
        <w:tc>
          <w:tcPr>
            <w:tcW w:w="5670" w:type="dxa"/>
          </w:tcPr>
          <w:p w14:paraId="38300442" w14:textId="77777777" w:rsidR="00A13E24" w:rsidRPr="00123E7F" w:rsidRDefault="00A13E24" w:rsidP="00123E7F">
            <w:pPr>
              <w:pStyle w:val="Tablebullet"/>
            </w:pPr>
            <w:r w:rsidRPr="00123E7F">
              <w:t xml:space="preserve">We have now launched our values and behaviours, and our focus is now to embed them in a range of workstreams including induction, </w:t>
            </w:r>
            <w:proofErr w:type="gramStart"/>
            <w:r w:rsidRPr="00123E7F">
              <w:t>appraisal</w:t>
            </w:r>
            <w:proofErr w:type="gramEnd"/>
            <w:r w:rsidRPr="00123E7F">
              <w:t xml:space="preserve"> and recruitment. </w:t>
            </w:r>
          </w:p>
          <w:p w14:paraId="25201DF6" w14:textId="77777777" w:rsidR="00A13E24" w:rsidRPr="00333DC0" w:rsidRDefault="00A13E24" w:rsidP="00123E7F">
            <w:pPr>
              <w:pStyle w:val="Tablebullet"/>
            </w:pPr>
            <w:r w:rsidRPr="006F57FF">
              <w:t>We continue to deliver training (both in-house and outsourced) virtually.</w:t>
            </w:r>
          </w:p>
        </w:tc>
      </w:tr>
      <w:tr w:rsidR="00A13E24" w:rsidRPr="00153D0F" w14:paraId="59D19084" w14:textId="77777777" w:rsidTr="007C4108">
        <w:tc>
          <w:tcPr>
            <w:tcW w:w="6232" w:type="dxa"/>
          </w:tcPr>
          <w:p w14:paraId="59EE59F2" w14:textId="77777777" w:rsidR="00A13E24" w:rsidRPr="00153D0F" w:rsidRDefault="00A13E24" w:rsidP="007C4108">
            <w:pPr>
              <w:pStyle w:val="Tabletext"/>
            </w:pPr>
            <w:r w:rsidRPr="00153D0F">
              <w:t>Plan and deliver the move to the new London office, including transforming NICE’s IT arrangements to fit the multi-tenant site and adjusting working arrangements across the whole NICE workforce accordingly</w:t>
            </w:r>
          </w:p>
        </w:tc>
        <w:tc>
          <w:tcPr>
            <w:tcW w:w="1701" w:type="dxa"/>
          </w:tcPr>
          <w:p w14:paraId="27FD76F3" w14:textId="77777777" w:rsidR="00A13E24" w:rsidRPr="00153D0F" w:rsidRDefault="00A13E24" w:rsidP="007C4108">
            <w:pPr>
              <w:pStyle w:val="Tabletext"/>
            </w:pPr>
            <w:r w:rsidRPr="00153D0F">
              <w:t>End of Q4</w:t>
            </w:r>
          </w:p>
        </w:tc>
        <w:tc>
          <w:tcPr>
            <w:tcW w:w="5670" w:type="dxa"/>
          </w:tcPr>
          <w:p w14:paraId="41C9208B" w14:textId="3B7D84AC" w:rsidR="00A13E24" w:rsidRPr="00333DC0" w:rsidRDefault="00A13E24" w:rsidP="00123E7F">
            <w:pPr>
              <w:pStyle w:val="Tablebullet"/>
            </w:pPr>
            <w:r w:rsidRPr="00123E7F">
              <w:t xml:space="preserve">The date for the opening of the Stratford office is </w:t>
            </w:r>
            <w:r w:rsidR="003643D4" w:rsidRPr="00123E7F">
              <w:t>still expected to be January 2021</w:t>
            </w:r>
            <w:r w:rsidRPr="00123E7F">
              <w:t xml:space="preserve">. </w:t>
            </w:r>
            <w:r w:rsidR="003643D4" w:rsidRPr="00123E7F">
              <w:t>Some i</w:t>
            </w:r>
            <w:r w:rsidRPr="006F57FF">
              <w:t>ssues h</w:t>
            </w:r>
            <w:r w:rsidRPr="00333DC0">
              <w:t>ave been identified with the configuration of the main equipment room (server room</w:t>
            </w:r>
            <w:proofErr w:type="gramStart"/>
            <w:r w:rsidRPr="00333DC0">
              <w:t>)</w:t>
            </w:r>
            <w:proofErr w:type="gramEnd"/>
            <w:r w:rsidRPr="00333DC0">
              <w:t xml:space="preserve"> but remedial action is being planned.</w:t>
            </w:r>
          </w:p>
          <w:p w14:paraId="5BF24D49" w14:textId="77777777" w:rsidR="00A13E24" w:rsidRPr="00333DC0" w:rsidRDefault="00A13E24" w:rsidP="00123E7F">
            <w:pPr>
              <w:pStyle w:val="Tablebullet"/>
            </w:pPr>
            <w:r w:rsidRPr="00333DC0">
              <w:t xml:space="preserve">A final report on COVID-19 Secure operations shows changes in the placement of desks and the use of screens means the number of desks available could be increased significantly, even within the 2m Social Distancing rules. </w:t>
            </w:r>
          </w:p>
          <w:p w14:paraId="798BCCB9" w14:textId="77777777" w:rsidR="00A13E24" w:rsidRPr="00333DC0" w:rsidRDefault="00A13E24" w:rsidP="00123E7F">
            <w:pPr>
              <w:pStyle w:val="Tablebullet"/>
            </w:pPr>
            <w:r w:rsidRPr="00333DC0">
              <w:t>The development of the shared IT solutions has continued, and the high-level design for the shared infrastructure has been signed off.</w:t>
            </w:r>
          </w:p>
          <w:p w14:paraId="0339C1EF" w14:textId="77777777" w:rsidR="00A13E24" w:rsidRPr="00333DC0" w:rsidRDefault="00A13E24" w:rsidP="00123E7F">
            <w:pPr>
              <w:pStyle w:val="Tablebullet"/>
            </w:pPr>
            <w:r w:rsidRPr="00333DC0">
              <w:t>The office has been handed over to DHSC on 2nd November for fit-out.</w:t>
            </w:r>
          </w:p>
        </w:tc>
      </w:tr>
      <w:tr w:rsidR="00A13E24" w:rsidRPr="00153D0F" w14:paraId="4633836A" w14:textId="77777777" w:rsidTr="007C4108">
        <w:tc>
          <w:tcPr>
            <w:tcW w:w="6232" w:type="dxa"/>
          </w:tcPr>
          <w:p w14:paraId="57A1F59D" w14:textId="77777777" w:rsidR="00A13E24" w:rsidRPr="00153D0F" w:rsidRDefault="00A13E24" w:rsidP="007C4108">
            <w:pPr>
              <w:pStyle w:val="Tabletext"/>
            </w:pPr>
            <w:r w:rsidRPr="00153D0F">
              <w:t>Begin a programme of improvements to the Manchester office to ensure best use of the space availabl</w:t>
            </w:r>
            <w:r>
              <w:t>e</w:t>
            </w:r>
          </w:p>
        </w:tc>
        <w:tc>
          <w:tcPr>
            <w:tcW w:w="1701" w:type="dxa"/>
          </w:tcPr>
          <w:p w14:paraId="7B587AD2" w14:textId="77777777" w:rsidR="00A13E24" w:rsidRPr="00153D0F" w:rsidRDefault="00A13E24" w:rsidP="007C4108">
            <w:pPr>
              <w:pStyle w:val="Tabletext"/>
            </w:pPr>
            <w:r w:rsidRPr="00153D0F">
              <w:t>End of Q4</w:t>
            </w:r>
          </w:p>
        </w:tc>
        <w:tc>
          <w:tcPr>
            <w:tcW w:w="5670" w:type="dxa"/>
          </w:tcPr>
          <w:p w14:paraId="0C6CD4FC" w14:textId="3ACE20B6" w:rsidR="00A13E24" w:rsidRPr="006F57FF" w:rsidRDefault="00A13E24" w:rsidP="00123E7F">
            <w:pPr>
              <w:pStyle w:val="Tablebullet"/>
            </w:pPr>
            <w:r w:rsidRPr="00123E7F">
              <w:t>The Manchester office re-opened on 8 October</w:t>
            </w:r>
            <w:r w:rsidR="001A5E4C" w:rsidRPr="00123E7F">
              <w:t xml:space="preserve"> as </w:t>
            </w:r>
            <w:r w:rsidRPr="00123E7F">
              <w:t xml:space="preserve">a phased return.  However, </w:t>
            </w:r>
            <w:proofErr w:type="gramStart"/>
            <w:r w:rsidRPr="00123E7F">
              <w:t>as a result of</w:t>
            </w:r>
            <w:proofErr w:type="gramEnd"/>
            <w:r w:rsidRPr="00123E7F">
              <w:t xml:space="preserve"> the second lockdown we are closing the office.  The office will be open one day a week for essential maintenance and IT roll out and other staff will be supported to work in the office on that day.</w:t>
            </w:r>
          </w:p>
        </w:tc>
      </w:tr>
    </w:tbl>
    <w:p w14:paraId="161797A1" w14:textId="77777777" w:rsidR="003F112A" w:rsidRDefault="003F112A" w:rsidP="003F112A">
      <w:pPr>
        <w:rPr>
          <w:rFonts w:ascii="Arial" w:hAnsi="Arial"/>
          <w:b/>
          <w:bCs/>
          <w:color w:val="004650"/>
          <w:kern w:val="32"/>
          <w:sz w:val="36"/>
          <w:szCs w:val="36"/>
        </w:rPr>
      </w:pPr>
      <w:r>
        <w:br w:type="page"/>
      </w:r>
    </w:p>
    <w:p w14:paraId="2220BEB3" w14:textId="6302E80E" w:rsidR="003F112A" w:rsidRPr="008B4B1E" w:rsidRDefault="003F112A" w:rsidP="003F112A">
      <w:pPr>
        <w:pStyle w:val="Heading1boardreport"/>
      </w:pPr>
      <w:r w:rsidRPr="008B4B1E">
        <w:lastRenderedPageBreak/>
        <w:t xml:space="preserve">Appendix </w:t>
      </w:r>
      <w:r>
        <w:t>2</w:t>
      </w:r>
      <w:r w:rsidRPr="008B4B1E">
        <w:t>: Guidance development</w:t>
      </w:r>
      <w:r>
        <w:t xml:space="preserve"> - </w:t>
      </w:r>
      <w:r w:rsidRPr="008B4B1E">
        <w:t xml:space="preserve">variation against plan </w:t>
      </w:r>
      <w:r w:rsidR="00C374A7">
        <w:t>April 2020 to October 2020</w:t>
      </w:r>
      <w:r>
        <w:t xml:space="preserve"> </w:t>
      </w:r>
    </w:p>
    <w:p w14:paraId="3777E9BD" w14:textId="2E2CAFBE" w:rsidR="008F78FA" w:rsidRDefault="008F78FA" w:rsidP="00DA0736">
      <w:pPr>
        <w:pStyle w:val="NICEnormal"/>
      </w:pPr>
      <w:r w:rsidRPr="00E74585">
        <w:t>The variation against the business plan is explained below:</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dd the table title (caption) here"/>
        <w:tblDescription w:val="Add a brief description summarising the contents of the table"/>
      </w:tblPr>
      <w:tblGrid>
        <w:gridCol w:w="4508"/>
        <w:gridCol w:w="8670"/>
      </w:tblGrid>
      <w:tr w:rsidR="00375764" w14:paraId="45B82F03" w14:textId="77777777" w:rsidTr="00350EF5">
        <w:tc>
          <w:tcPr>
            <w:tcW w:w="4508" w:type="dxa"/>
          </w:tcPr>
          <w:p w14:paraId="0A8B8532" w14:textId="7BD5D937" w:rsidR="00375764" w:rsidRPr="00375764" w:rsidRDefault="00375764" w:rsidP="00375764">
            <w:pPr>
              <w:pStyle w:val="Tableheadingboardreport"/>
            </w:pPr>
            <w:r>
              <w:t>COVID-19 rapid guidelines</w:t>
            </w:r>
          </w:p>
        </w:tc>
        <w:tc>
          <w:tcPr>
            <w:tcW w:w="8670" w:type="dxa"/>
          </w:tcPr>
          <w:p w14:paraId="7352ACB2" w14:textId="1105672A" w:rsidR="00375764" w:rsidRPr="00375764" w:rsidRDefault="00375764" w:rsidP="00350EF5">
            <w:pPr>
              <w:pStyle w:val="Tabletext"/>
            </w:pPr>
            <w:r>
              <w:t>No variation against plan 2020/21.</w:t>
            </w:r>
          </w:p>
        </w:tc>
      </w:tr>
      <w:tr w:rsidR="00375764" w14:paraId="21B04A67" w14:textId="77777777" w:rsidTr="00350EF5">
        <w:tc>
          <w:tcPr>
            <w:tcW w:w="4508" w:type="dxa"/>
          </w:tcPr>
          <w:p w14:paraId="45F053CA" w14:textId="1DB5F640" w:rsidR="00375764" w:rsidRPr="00375764" w:rsidRDefault="00375764" w:rsidP="00375764">
            <w:pPr>
              <w:pStyle w:val="Tableheadingboardreport"/>
            </w:pPr>
            <w:r w:rsidRPr="00375764">
              <w:t>Clinical guidelines</w:t>
            </w:r>
          </w:p>
        </w:tc>
        <w:tc>
          <w:tcPr>
            <w:tcW w:w="8670" w:type="dxa"/>
          </w:tcPr>
          <w:p w14:paraId="26659275" w14:textId="17535FD9" w:rsidR="00375764" w:rsidRPr="00375764" w:rsidRDefault="00375764" w:rsidP="00350EF5">
            <w:pPr>
              <w:pStyle w:val="Tabletext"/>
            </w:pPr>
            <w:r w:rsidRPr="00375764">
              <w:t>No variation against plan 2020/21</w:t>
            </w:r>
            <w:r>
              <w:t>.</w:t>
            </w:r>
          </w:p>
        </w:tc>
      </w:tr>
      <w:tr w:rsidR="00375764" w14:paraId="59572763" w14:textId="77777777" w:rsidTr="00350EF5">
        <w:tc>
          <w:tcPr>
            <w:tcW w:w="4508" w:type="dxa"/>
          </w:tcPr>
          <w:p w14:paraId="0323183B" w14:textId="1BF8FDE6" w:rsidR="00375764" w:rsidRPr="00375764" w:rsidRDefault="00375764" w:rsidP="00375764">
            <w:pPr>
              <w:pStyle w:val="Tableheadingboardreport"/>
            </w:pPr>
            <w:r w:rsidRPr="00375764">
              <w:t>Interventional procedures</w:t>
            </w:r>
          </w:p>
        </w:tc>
        <w:tc>
          <w:tcPr>
            <w:tcW w:w="8670" w:type="dxa"/>
          </w:tcPr>
          <w:p w14:paraId="325C6A16" w14:textId="1B2C6402" w:rsidR="00375764" w:rsidRDefault="00375764" w:rsidP="00350EF5">
            <w:pPr>
              <w:pStyle w:val="Tabletext"/>
            </w:pPr>
            <w:r w:rsidRPr="00375764">
              <w:t>1 topic delayed</w:t>
            </w:r>
            <w:r>
              <w:t>:</w:t>
            </w:r>
            <w:r w:rsidRPr="00375764">
              <w:t xml:space="preserve"> </w:t>
            </w:r>
          </w:p>
          <w:p w14:paraId="69C22D77" w14:textId="1EAE2E21" w:rsidR="00375764" w:rsidRPr="00375764" w:rsidRDefault="00375764" w:rsidP="00375764">
            <w:pPr>
              <w:pStyle w:val="Tablebullet"/>
            </w:pPr>
            <w:r w:rsidRPr="00375764">
              <w:t>Swallowable gastric balloon capsule for weight loss: Resolution request received. Guidance publication on hold.</w:t>
            </w:r>
          </w:p>
        </w:tc>
      </w:tr>
      <w:tr w:rsidR="00375764" w14:paraId="6A91B229" w14:textId="77777777" w:rsidTr="00375764">
        <w:tc>
          <w:tcPr>
            <w:tcW w:w="4508" w:type="dxa"/>
          </w:tcPr>
          <w:p w14:paraId="3803D195" w14:textId="3BC19D6E" w:rsidR="00375764" w:rsidRPr="00375764" w:rsidRDefault="00375764" w:rsidP="00375764">
            <w:pPr>
              <w:pStyle w:val="Tableheadingboardreport"/>
            </w:pPr>
            <w:r w:rsidRPr="00375764">
              <w:t>Medical technologies</w:t>
            </w:r>
          </w:p>
        </w:tc>
        <w:tc>
          <w:tcPr>
            <w:tcW w:w="8670" w:type="dxa"/>
          </w:tcPr>
          <w:p w14:paraId="058C186D" w14:textId="2950B1FC" w:rsidR="00375764" w:rsidRPr="00375764" w:rsidRDefault="00F9635F" w:rsidP="00F9635F">
            <w:pPr>
              <w:pStyle w:val="Tabletext"/>
            </w:pPr>
            <w:r>
              <w:t>No variation against plan 2020/21.</w:t>
            </w:r>
          </w:p>
        </w:tc>
      </w:tr>
      <w:tr w:rsidR="004422A5" w14:paraId="59CFD0A9" w14:textId="77777777" w:rsidTr="00375764">
        <w:tc>
          <w:tcPr>
            <w:tcW w:w="4508" w:type="dxa"/>
          </w:tcPr>
          <w:p w14:paraId="0AB73C89" w14:textId="1F0C4735" w:rsidR="004422A5" w:rsidRPr="00375764" w:rsidRDefault="004422A5" w:rsidP="004422A5">
            <w:pPr>
              <w:pStyle w:val="Tableheadingboardreport"/>
            </w:pPr>
            <w:r w:rsidRPr="004422A5">
              <w:t>Public health</w:t>
            </w:r>
          </w:p>
        </w:tc>
        <w:tc>
          <w:tcPr>
            <w:tcW w:w="8670" w:type="dxa"/>
          </w:tcPr>
          <w:p w14:paraId="329A0573" w14:textId="41788F27" w:rsidR="004422A5" w:rsidRPr="004422A5" w:rsidRDefault="004422A5" w:rsidP="004422A5">
            <w:pPr>
              <w:pStyle w:val="Tabletext"/>
            </w:pPr>
            <w:r>
              <w:t>No variation against plan 2020/21.</w:t>
            </w:r>
          </w:p>
        </w:tc>
      </w:tr>
      <w:tr w:rsidR="004422A5" w14:paraId="3089E9B1" w14:textId="77777777" w:rsidTr="00375764">
        <w:tc>
          <w:tcPr>
            <w:tcW w:w="4508" w:type="dxa"/>
          </w:tcPr>
          <w:p w14:paraId="394A6147" w14:textId="76D7277D" w:rsidR="004422A5" w:rsidRPr="00375764" w:rsidRDefault="004422A5" w:rsidP="004422A5">
            <w:pPr>
              <w:pStyle w:val="Tableheadingboardreport"/>
            </w:pPr>
            <w:r w:rsidRPr="004422A5">
              <w:t>Quality standards</w:t>
            </w:r>
          </w:p>
        </w:tc>
        <w:tc>
          <w:tcPr>
            <w:tcW w:w="8670" w:type="dxa"/>
          </w:tcPr>
          <w:p w14:paraId="7582A892" w14:textId="6C4F85F6" w:rsidR="004422A5" w:rsidRPr="004422A5" w:rsidRDefault="004422A5" w:rsidP="004422A5">
            <w:pPr>
              <w:pStyle w:val="Tabletext"/>
            </w:pPr>
            <w:r>
              <w:t>No variation against plan 2020/21.</w:t>
            </w:r>
          </w:p>
        </w:tc>
      </w:tr>
      <w:tr w:rsidR="004422A5" w14:paraId="0F8F1B92" w14:textId="77777777" w:rsidTr="00375764">
        <w:tc>
          <w:tcPr>
            <w:tcW w:w="4508" w:type="dxa"/>
          </w:tcPr>
          <w:p w14:paraId="2531BBD5" w14:textId="41507D42" w:rsidR="004422A5" w:rsidRPr="004422A5" w:rsidRDefault="004422A5" w:rsidP="004422A5">
            <w:pPr>
              <w:pStyle w:val="Tableheadingboardreport"/>
            </w:pPr>
            <w:r>
              <w:t>Diagnostics</w:t>
            </w:r>
          </w:p>
        </w:tc>
        <w:tc>
          <w:tcPr>
            <w:tcW w:w="8670" w:type="dxa"/>
          </w:tcPr>
          <w:p w14:paraId="03AD7B4B" w14:textId="77777777" w:rsidR="004422A5" w:rsidRPr="004422A5" w:rsidRDefault="004422A5" w:rsidP="00350EF5">
            <w:pPr>
              <w:pStyle w:val="Tabletext"/>
            </w:pPr>
            <w:r>
              <w:t>1 topic published earlier than planned:</w:t>
            </w:r>
          </w:p>
          <w:p w14:paraId="7FFFB351" w14:textId="3A0F89F1" w:rsidR="004422A5" w:rsidRDefault="004422A5" w:rsidP="00350EF5">
            <w:pPr>
              <w:pStyle w:val="Tablebullet"/>
            </w:pPr>
            <w:r w:rsidRPr="009E4D30">
              <w:t>Testing strategies for Lynch syndrome in people with endometrial cancer</w:t>
            </w:r>
            <w:r w:rsidRPr="004422A5">
              <w:t>: Published in October 2020 (Q3 2020/21).</w:t>
            </w:r>
          </w:p>
        </w:tc>
      </w:tr>
      <w:tr w:rsidR="004422A5" w14:paraId="79C1B5C4" w14:textId="77777777" w:rsidTr="00375764">
        <w:tc>
          <w:tcPr>
            <w:tcW w:w="4508" w:type="dxa"/>
          </w:tcPr>
          <w:p w14:paraId="719BB3C5" w14:textId="51331B79" w:rsidR="004422A5" w:rsidRPr="004422A5" w:rsidRDefault="004422A5" w:rsidP="004422A5">
            <w:pPr>
              <w:pStyle w:val="Tableheadingboardreport"/>
            </w:pPr>
            <w:r>
              <w:t>Technology appraisals and highly specialised technologies</w:t>
            </w:r>
          </w:p>
        </w:tc>
        <w:tc>
          <w:tcPr>
            <w:tcW w:w="8670" w:type="dxa"/>
          </w:tcPr>
          <w:p w14:paraId="7D4C78C2" w14:textId="636240A0" w:rsidR="004422A5" w:rsidRDefault="004422A5" w:rsidP="004422A5">
            <w:pPr>
              <w:pStyle w:val="Tabletext"/>
            </w:pPr>
            <w:r>
              <w:t>No variation against plan 2020/21.</w:t>
            </w:r>
          </w:p>
        </w:tc>
      </w:tr>
      <w:tr w:rsidR="004422A5" w14:paraId="644E95D0" w14:textId="77777777" w:rsidTr="00375764">
        <w:tc>
          <w:tcPr>
            <w:tcW w:w="4508" w:type="dxa"/>
          </w:tcPr>
          <w:p w14:paraId="301F28C5" w14:textId="4E4F7A4D" w:rsidR="004422A5" w:rsidRPr="004422A5" w:rsidRDefault="004422A5" w:rsidP="004422A5">
            <w:pPr>
              <w:pStyle w:val="Tableheadingboardreport"/>
            </w:pPr>
            <w:r>
              <w:t>Social Care</w:t>
            </w:r>
          </w:p>
        </w:tc>
        <w:tc>
          <w:tcPr>
            <w:tcW w:w="8670" w:type="dxa"/>
          </w:tcPr>
          <w:p w14:paraId="366BE575" w14:textId="11313872" w:rsidR="004422A5" w:rsidRDefault="004422A5" w:rsidP="004422A5">
            <w:pPr>
              <w:pStyle w:val="Tabletext"/>
            </w:pPr>
            <w:r>
              <w:t>No variation against plan 2020/21.</w:t>
            </w:r>
          </w:p>
        </w:tc>
      </w:tr>
      <w:tr w:rsidR="004422A5" w14:paraId="7E22AC47" w14:textId="77777777" w:rsidTr="00375764">
        <w:tc>
          <w:tcPr>
            <w:tcW w:w="4508" w:type="dxa"/>
          </w:tcPr>
          <w:p w14:paraId="3A0CBD34" w14:textId="3BF07C75" w:rsidR="004422A5" w:rsidRDefault="004422A5" w:rsidP="004422A5">
            <w:pPr>
              <w:pStyle w:val="Tableheadingboardreport"/>
            </w:pPr>
            <w:r w:rsidRPr="004422A5">
              <w:t>Managing common infections</w:t>
            </w:r>
          </w:p>
        </w:tc>
        <w:tc>
          <w:tcPr>
            <w:tcW w:w="8670" w:type="dxa"/>
          </w:tcPr>
          <w:p w14:paraId="14365FDA" w14:textId="73D76005" w:rsidR="004422A5" w:rsidRPr="004422A5" w:rsidRDefault="004422A5" w:rsidP="004422A5">
            <w:pPr>
              <w:pStyle w:val="Tabletext"/>
            </w:pPr>
            <w:r w:rsidRPr="004422A5">
              <w:t xml:space="preserve">1 topic </w:t>
            </w:r>
            <w:r>
              <w:t xml:space="preserve">was </w:t>
            </w:r>
            <w:r w:rsidRPr="004422A5">
              <w:t>delayed:</w:t>
            </w:r>
          </w:p>
          <w:p w14:paraId="15C33DB3" w14:textId="672261D6" w:rsidR="004422A5" w:rsidRDefault="004422A5" w:rsidP="00350EF5">
            <w:pPr>
              <w:pStyle w:val="Tablebullet"/>
            </w:pPr>
            <w:r w:rsidRPr="004422A5">
              <w:t xml:space="preserve">Animal and human bites: Delayed due to COVID-19 restrictions. </w:t>
            </w:r>
            <w:r>
              <w:t>Published in November (Q3 2020/21)</w:t>
            </w:r>
            <w:r w:rsidRPr="004422A5">
              <w:t>.</w:t>
            </w:r>
          </w:p>
        </w:tc>
      </w:tr>
    </w:tbl>
    <w:p w14:paraId="061263CE" w14:textId="77777777" w:rsidR="00375764" w:rsidRPr="00E74585" w:rsidRDefault="00375764" w:rsidP="008F78FA">
      <w:pPr>
        <w:rPr>
          <w:rFonts w:ascii="Arial" w:hAnsi="Arial" w:cs="Arial"/>
        </w:rPr>
      </w:pPr>
    </w:p>
    <w:p w14:paraId="3553C366" w14:textId="77777777" w:rsidR="00F9635F" w:rsidRDefault="00F9635F">
      <w:pPr>
        <w:rPr>
          <w:rFonts w:ascii="Arial" w:hAnsi="Arial" w:cs="Arial"/>
          <w:b/>
          <w:bCs/>
          <w:color w:val="00506A"/>
          <w:kern w:val="32"/>
          <w:sz w:val="32"/>
          <w:szCs w:val="32"/>
        </w:rPr>
      </w:pPr>
      <w:r>
        <w:br w:type="page"/>
      </w:r>
    </w:p>
    <w:p w14:paraId="07B06902" w14:textId="22FBEA2F" w:rsidR="003F112A" w:rsidRPr="008B4B1E" w:rsidRDefault="003F112A" w:rsidP="003F112A">
      <w:pPr>
        <w:pStyle w:val="Heading1boardreport"/>
      </w:pPr>
      <w:r w:rsidRPr="008B4B1E">
        <w:lastRenderedPageBreak/>
        <w:t xml:space="preserve">Appendix </w:t>
      </w:r>
      <w:r>
        <w:t>3</w:t>
      </w:r>
      <w:r w:rsidRPr="008B4B1E">
        <w:t xml:space="preserve">:  Guidance </w:t>
      </w:r>
      <w:r>
        <w:t xml:space="preserve">and advice </w:t>
      </w:r>
      <w:r w:rsidRPr="008B4B1E">
        <w:t xml:space="preserve">published since the Board meeting in </w:t>
      </w:r>
      <w:r w:rsidR="00F9635F">
        <w:t>September</w:t>
      </w:r>
      <w:r w:rsidR="00C374A7">
        <w:t xml:space="preserve"> 2020 </w:t>
      </w:r>
    </w:p>
    <w:p w14:paraId="0FD73024" w14:textId="45BFA6C2" w:rsidR="008F78FA" w:rsidRDefault="008F78FA" w:rsidP="00350EF5">
      <w:pPr>
        <w:pStyle w:val="NICEnormal"/>
      </w:pPr>
      <w:r w:rsidRPr="00066135">
        <w:t xml:space="preserve">Since the </w:t>
      </w:r>
      <w:r>
        <w:t xml:space="preserve">report to the </w:t>
      </w:r>
      <w:r w:rsidRPr="00066135">
        <w:t xml:space="preserve">Board meeting in </w:t>
      </w:r>
      <w:r>
        <w:t>September 2020</w:t>
      </w:r>
      <w:r w:rsidRPr="00066135">
        <w:t xml:space="preserve"> the Institute has published the following guidance</w:t>
      </w:r>
      <w:r w:rsidR="00921C91">
        <w:t xml:space="preserve"> and advice products.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111"/>
        <w:gridCol w:w="5811"/>
      </w:tblGrid>
      <w:tr w:rsidR="00E41D8C" w14:paraId="0C52AADF" w14:textId="77777777" w:rsidTr="00350EF5">
        <w:trPr>
          <w:tblHeader/>
        </w:trPr>
        <w:tc>
          <w:tcPr>
            <w:tcW w:w="3681" w:type="dxa"/>
          </w:tcPr>
          <w:p w14:paraId="356E2974" w14:textId="646D2A81" w:rsidR="00E41D8C" w:rsidRPr="00E41D8C" w:rsidRDefault="00921C91" w:rsidP="00E41D8C">
            <w:pPr>
              <w:pStyle w:val="Tableheadingboardreport"/>
            </w:pPr>
            <w:r>
              <w:t>Product</w:t>
            </w:r>
          </w:p>
        </w:tc>
        <w:tc>
          <w:tcPr>
            <w:tcW w:w="4111" w:type="dxa"/>
          </w:tcPr>
          <w:p w14:paraId="5E3918D0" w14:textId="3056DF8C" w:rsidR="00E41D8C" w:rsidRPr="00E41D8C" w:rsidRDefault="00E41D8C" w:rsidP="00E41D8C">
            <w:pPr>
              <w:pStyle w:val="Tableheadingboardreport"/>
            </w:pPr>
            <w:r>
              <w:t>Topic</w:t>
            </w:r>
          </w:p>
        </w:tc>
        <w:tc>
          <w:tcPr>
            <w:tcW w:w="5811" w:type="dxa"/>
          </w:tcPr>
          <w:p w14:paraId="4F79BCF4" w14:textId="76FE0308" w:rsidR="00E41D8C" w:rsidRPr="00E41D8C" w:rsidRDefault="00E41D8C" w:rsidP="00E41D8C">
            <w:pPr>
              <w:pStyle w:val="Tableheadingboardreport"/>
            </w:pPr>
            <w:r>
              <w:t>Recommendation</w:t>
            </w:r>
          </w:p>
        </w:tc>
      </w:tr>
      <w:tr w:rsidR="00E41D8C" w14:paraId="08C45FED" w14:textId="77777777" w:rsidTr="00350EF5">
        <w:tc>
          <w:tcPr>
            <w:tcW w:w="3681" w:type="dxa"/>
          </w:tcPr>
          <w:p w14:paraId="5A71D266" w14:textId="4BC15DDA" w:rsidR="00E41D8C" w:rsidRPr="00E41D8C" w:rsidRDefault="00E41D8C" w:rsidP="00E41D8C">
            <w:pPr>
              <w:pStyle w:val="Tabletext"/>
            </w:pPr>
            <w:r>
              <w:t>COVID-19 rapid guidelines</w:t>
            </w:r>
          </w:p>
        </w:tc>
        <w:tc>
          <w:tcPr>
            <w:tcW w:w="4111" w:type="dxa"/>
          </w:tcPr>
          <w:p w14:paraId="5BA18565" w14:textId="20841151" w:rsidR="00E41D8C" w:rsidRPr="00E41D8C" w:rsidRDefault="005B159B" w:rsidP="00E41D8C">
            <w:pPr>
              <w:pStyle w:val="Tabletext"/>
            </w:pPr>
            <w:r>
              <w:t>D</w:t>
            </w:r>
            <w:r w:rsidR="00E41D8C" w:rsidRPr="00E41D8C">
              <w:t>ialysis service delivery</w:t>
            </w:r>
          </w:p>
        </w:tc>
        <w:tc>
          <w:tcPr>
            <w:tcW w:w="5811" w:type="dxa"/>
          </w:tcPr>
          <w:p w14:paraId="5E875492" w14:textId="707C0A99" w:rsidR="00E41D8C" w:rsidRPr="00E41D8C" w:rsidRDefault="00E41D8C" w:rsidP="00E41D8C">
            <w:pPr>
              <w:pStyle w:val="Tabletext"/>
            </w:pPr>
            <w:r>
              <w:t>General guidance</w:t>
            </w:r>
          </w:p>
        </w:tc>
      </w:tr>
      <w:tr w:rsidR="00E41D8C" w14:paraId="0D90ECDC" w14:textId="77777777" w:rsidTr="00350EF5">
        <w:tc>
          <w:tcPr>
            <w:tcW w:w="3681" w:type="dxa"/>
          </w:tcPr>
          <w:p w14:paraId="70A0B660" w14:textId="49874166" w:rsidR="00E41D8C" w:rsidRPr="00E41D8C" w:rsidRDefault="00E41D8C" w:rsidP="00E41D8C">
            <w:pPr>
              <w:pStyle w:val="Tabletext"/>
            </w:pPr>
            <w:r>
              <w:t>COVID-19 rapid guidelines</w:t>
            </w:r>
          </w:p>
        </w:tc>
        <w:tc>
          <w:tcPr>
            <w:tcW w:w="4111" w:type="dxa"/>
          </w:tcPr>
          <w:p w14:paraId="60817251" w14:textId="1EB6B3D2" w:rsidR="00E41D8C" w:rsidRPr="00E41D8C" w:rsidRDefault="005B159B" w:rsidP="00350EF5">
            <w:pPr>
              <w:pStyle w:val="Tabletext"/>
            </w:pPr>
            <w:r>
              <w:t>C</w:t>
            </w:r>
            <w:r w:rsidR="00E41D8C" w:rsidRPr="00E41D8C">
              <w:t>ritical care in adults</w:t>
            </w:r>
          </w:p>
        </w:tc>
        <w:tc>
          <w:tcPr>
            <w:tcW w:w="5811" w:type="dxa"/>
          </w:tcPr>
          <w:p w14:paraId="610B6790" w14:textId="544A38B5" w:rsidR="00E41D8C" w:rsidRPr="00E41D8C" w:rsidRDefault="00E41D8C" w:rsidP="00350EF5">
            <w:pPr>
              <w:pStyle w:val="Tabletext"/>
            </w:pPr>
            <w:r>
              <w:t>General guidance</w:t>
            </w:r>
          </w:p>
        </w:tc>
      </w:tr>
      <w:tr w:rsidR="00E41D8C" w14:paraId="2FB405C3" w14:textId="77777777" w:rsidTr="00E41D8C">
        <w:tc>
          <w:tcPr>
            <w:tcW w:w="3681" w:type="dxa"/>
          </w:tcPr>
          <w:p w14:paraId="6E4492AF" w14:textId="3DB4B231" w:rsidR="00E41D8C" w:rsidRDefault="00E41D8C" w:rsidP="00E41D8C">
            <w:pPr>
              <w:pStyle w:val="Tabletext"/>
            </w:pPr>
            <w:r w:rsidRPr="00E170CC">
              <w:t>COVID-19 rapid guidelines</w:t>
            </w:r>
          </w:p>
        </w:tc>
        <w:tc>
          <w:tcPr>
            <w:tcW w:w="4111" w:type="dxa"/>
          </w:tcPr>
          <w:p w14:paraId="57BC2BF3" w14:textId="40C02989" w:rsidR="00E41D8C" w:rsidRPr="00E41D8C" w:rsidRDefault="005B159B" w:rsidP="00E41D8C">
            <w:pPr>
              <w:pStyle w:val="Tabletext"/>
            </w:pPr>
            <w:r>
              <w:t>C</w:t>
            </w:r>
            <w:r w:rsidR="00E41D8C" w:rsidRPr="00E41D8C">
              <w:t>ystic fibrosis</w:t>
            </w:r>
          </w:p>
        </w:tc>
        <w:tc>
          <w:tcPr>
            <w:tcW w:w="5811" w:type="dxa"/>
          </w:tcPr>
          <w:p w14:paraId="68EEE42A" w14:textId="74030D5A" w:rsidR="00E41D8C" w:rsidRDefault="00E41D8C" w:rsidP="00E41D8C">
            <w:pPr>
              <w:pStyle w:val="Tabletext"/>
            </w:pPr>
            <w:r w:rsidRPr="00D6228B">
              <w:t>General guidance</w:t>
            </w:r>
          </w:p>
        </w:tc>
      </w:tr>
      <w:tr w:rsidR="00E41D8C" w14:paraId="686B7B75" w14:textId="77777777" w:rsidTr="00E41D8C">
        <w:tc>
          <w:tcPr>
            <w:tcW w:w="3681" w:type="dxa"/>
          </w:tcPr>
          <w:p w14:paraId="6349E877" w14:textId="5824CD07" w:rsidR="00E41D8C" w:rsidRDefault="00E41D8C" w:rsidP="00E41D8C">
            <w:pPr>
              <w:pStyle w:val="Tabletext"/>
            </w:pPr>
            <w:r w:rsidRPr="00E170CC">
              <w:t>COVID-19 rapid guidelines</w:t>
            </w:r>
          </w:p>
        </w:tc>
        <w:tc>
          <w:tcPr>
            <w:tcW w:w="4111" w:type="dxa"/>
          </w:tcPr>
          <w:p w14:paraId="25681857" w14:textId="21398424" w:rsidR="00E41D8C" w:rsidRPr="00E41D8C" w:rsidRDefault="005B159B" w:rsidP="00E41D8C">
            <w:pPr>
              <w:pStyle w:val="Tabletext"/>
            </w:pPr>
            <w:r>
              <w:t>A</w:t>
            </w:r>
            <w:r w:rsidR="00E41D8C" w:rsidRPr="00E41D8C">
              <w:t>ntibiotics for pneumonia in adults in hospital</w:t>
            </w:r>
          </w:p>
        </w:tc>
        <w:tc>
          <w:tcPr>
            <w:tcW w:w="5811" w:type="dxa"/>
          </w:tcPr>
          <w:p w14:paraId="257A85CB" w14:textId="34242D5B" w:rsidR="00E41D8C" w:rsidRDefault="00E41D8C" w:rsidP="00E41D8C">
            <w:pPr>
              <w:pStyle w:val="Tabletext"/>
            </w:pPr>
            <w:r w:rsidRPr="00D6228B">
              <w:t>General guidance</w:t>
            </w:r>
          </w:p>
        </w:tc>
      </w:tr>
      <w:tr w:rsidR="00E41D8C" w14:paraId="6BB6BCD1" w14:textId="77777777" w:rsidTr="00E41D8C">
        <w:tc>
          <w:tcPr>
            <w:tcW w:w="3681" w:type="dxa"/>
          </w:tcPr>
          <w:p w14:paraId="67C25B8A" w14:textId="26BC0530" w:rsidR="00E41D8C" w:rsidRPr="00E170CC" w:rsidRDefault="00E41D8C" w:rsidP="00E41D8C">
            <w:pPr>
              <w:pStyle w:val="Tabletext"/>
            </w:pPr>
            <w:r w:rsidRPr="00E41D8C">
              <w:t>Clinical guidelines</w:t>
            </w:r>
          </w:p>
        </w:tc>
        <w:tc>
          <w:tcPr>
            <w:tcW w:w="4111" w:type="dxa"/>
          </w:tcPr>
          <w:p w14:paraId="263E9B78" w14:textId="10CB9CF9" w:rsidR="00E41D8C" w:rsidRPr="00E41D8C" w:rsidRDefault="00E41D8C" w:rsidP="00E41D8C">
            <w:pPr>
              <w:pStyle w:val="Tabletext"/>
            </w:pPr>
            <w:r>
              <w:t>No publications</w:t>
            </w:r>
          </w:p>
        </w:tc>
        <w:tc>
          <w:tcPr>
            <w:tcW w:w="5811" w:type="dxa"/>
          </w:tcPr>
          <w:p w14:paraId="4ADF185E" w14:textId="264B2631" w:rsidR="00E41D8C" w:rsidRPr="00D6228B" w:rsidRDefault="00E41D8C" w:rsidP="00E41D8C">
            <w:pPr>
              <w:pStyle w:val="Tabletext"/>
            </w:pPr>
            <w:r>
              <w:t>Not applicable</w:t>
            </w:r>
          </w:p>
        </w:tc>
      </w:tr>
      <w:tr w:rsidR="00E41D8C" w14:paraId="0B98A3FB" w14:textId="77777777" w:rsidTr="00E41D8C">
        <w:tc>
          <w:tcPr>
            <w:tcW w:w="3681" w:type="dxa"/>
          </w:tcPr>
          <w:p w14:paraId="44F98E57" w14:textId="60F22D4F" w:rsidR="00E41D8C" w:rsidRPr="00E41D8C" w:rsidRDefault="00E41D8C" w:rsidP="00E41D8C">
            <w:pPr>
              <w:pStyle w:val="Tabletext"/>
            </w:pPr>
            <w:r>
              <w:t>Public health</w:t>
            </w:r>
          </w:p>
        </w:tc>
        <w:tc>
          <w:tcPr>
            <w:tcW w:w="4111" w:type="dxa"/>
          </w:tcPr>
          <w:p w14:paraId="34D67FE4" w14:textId="1F78E1BF" w:rsidR="00E41D8C" w:rsidRDefault="00E41D8C" w:rsidP="00E41D8C">
            <w:pPr>
              <w:pStyle w:val="Tabletext"/>
            </w:pPr>
            <w:r w:rsidRPr="00E41D8C">
              <w:t>Behaviour change: digital and mobile health interventions</w:t>
            </w:r>
          </w:p>
        </w:tc>
        <w:tc>
          <w:tcPr>
            <w:tcW w:w="5811" w:type="dxa"/>
          </w:tcPr>
          <w:p w14:paraId="23F510F7" w14:textId="19FE6611" w:rsidR="00E41D8C" w:rsidRDefault="00E41D8C" w:rsidP="00E41D8C">
            <w:pPr>
              <w:pStyle w:val="Tabletext"/>
            </w:pPr>
            <w:r>
              <w:t>General guidance</w:t>
            </w:r>
          </w:p>
        </w:tc>
      </w:tr>
      <w:tr w:rsidR="00E41D8C" w14:paraId="45471E6A" w14:textId="77777777" w:rsidTr="00E41D8C">
        <w:tc>
          <w:tcPr>
            <w:tcW w:w="3681" w:type="dxa"/>
          </w:tcPr>
          <w:p w14:paraId="7F5835A2" w14:textId="76CBB854" w:rsidR="00E41D8C" w:rsidRDefault="00CB76CB" w:rsidP="00E41D8C">
            <w:pPr>
              <w:pStyle w:val="Tabletext"/>
            </w:pPr>
            <w:r>
              <w:t>Managing common infections</w:t>
            </w:r>
          </w:p>
        </w:tc>
        <w:tc>
          <w:tcPr>
            <w:tcW w:w="4111" w:type="dxa"/>
          </w:tcPr>
          <w:p w14:paraId="760E862D" w14:textId="69CBCE19" w:rsidR="00E41D8C" w:rsidRPr="00E41D8C" w:rsidRDefault="00CB76CB" w:rsidP="00E41D8C">
            <w:pPr>
              <w:pStyle w:val="Tabletext"/>
            </w:pPr>
            <w:r w:rsidRPr="00CB76CB">
              <w:t>Insect bites and stings: antimicrobial prescribing</w:t>
            </w:r>
          </w:p>
        </w:tc>
        <w:tc>
          <w:tcPr>
            <w:tcW w:w="5811" w:type="dxa"/>
          </w:tcPr>
          <w:p w14:paraId="263E7625" w14:textId="70D356C6" w:rsidR="00E41D8C" w:rsidRDefault="00CB76CB" w:rsidP="00E41D8C">
            <w:pPr>
              <w:pStyle w:val="Tabletext"/>
            </w:pPr>
            <w:r>
              <w:t>General guidance</w:t>
            </w:r>
          </w:p>
        </w:tc>
      </w:tr>
      <w:tr w:rsidR="00CB76CB" w14:paraId="72B1CE7A" w14:textId="77777777" w:rsidTr="00E41D8C">
        <w:tc>
          <w:tcPr>
            <w:tcW w:w="3681" w:type="dxa"/>
          </w:tcPr>
          <w:p w14:paraId="07027A26" w14:textId="2F0661F4" w:rsidR="00CB76CB" w:rsidRDefault="00CB76CB" w:rsidP="00E41D8C">
            <w:pPr>
              <w:pStyle w:val="Tabletext"/>
            </w:pPr>
            <w:r>
              <w:t>Social care</w:t>
            </w:r>
          </w:p>
        </w:tc>
        <w:tc>
          <w:tcPr>
            <w:tcW w:w="4111" w:type="dxa"/>
          </w:tcPr>
          <w:p w14:paraId="0514AC45" w14:textId="1136BE8D" w:rsidR="00CB76CB" w:rsidRPr="00CB76CB" w:rsidRDefault="00CB76CB" w:rsidP="00E41D8C">
            <w:pPr>
              <w:pStyle w:val="Tabletext"/>
            </w:pPr>
            <w:r>
              <w:t>No publications</w:t>
            </w:r>
          </w:p>
        </w:tc>
        <w:tc>
          <w:tcPr>
            <w:tcW w:w="5811" w:type="dxa"/>
          </w:tcPr>
          <w:p w14:paraId="052189D8" w14:textId="6CBA24D1" w:rsidR="00CB76CB" w:rsidRDefault="00CB76CB" w:rsidP="00E41D8C">
            <w:pPr>
              <w:pStyle w:val="Tabletext"/>
            </w:pPr>
            <w:r>
              <w:t>Not applicable</w:t>
            </w:r>
          </w:p>
        </w:tc>
      </w:tr>
      <w:tr w:rsidR="00CB76CB" w14:paraId="3F37E1B7" w14:textId="77777777" w:rsidTr="00E41D8C">
        <w:tc>
          <w:tcPr>
            <w:tcW w:w="3681" w:type="dxa"/>
          </w:tcPr>
          <w:p w14:paraId="185AA9A1" w14:textId="7236C19D" w:rsidR="00CB76CB" w:rsidRDefault="00CB76CB" w:rsidP="00CB76CB">
            <w:pPr>
              <w:pStyle w:val="Tabletext"/>
            </w:pPr>
            <w:r>
              <w:t>Interventional procedures</w:t>
            </w:r>
          </w:p>
        </w:tc>
        <w:tc>
          <w:tcPr>
            <w:tcW w:w="4111" w:type="dxa"/>
          </w:tcPr>
          <w:p w14:paraId="692A55CF" w14:textId="313BFB23" w:rsidR="00CB76CB" w:rsidRDefault="00CB76CB" w:rsidP="00CB76CB">
            <w:pPr>
              <w:pStyle w:val="Tabletext"/>
            </w:pPr>
            <w:r w:rsidRPr="00CB76CB">
              <w:t>Transcranial magnetic stimulation for auditory hallucinations</w:t>
            </w:r>
          </w:p>
        </w:tc>
        <w:tc>
          <w:tcPr>
            <w:tcW w:w="5811" w:type="dxa"/>
          </w:tcPr>
          <w:p w14:paraId="182ADB9D" w14:textId="18B9040E" w:rsidR="00CB76CB" w:rsidRDefault="00CB76CB" w:rsidP="00CB76CB">
            <w:pPr>
              <w:pStyle w:val="Tabletext"/>
            </w:pPr>
            <w:r>
              <w:t>Research</w:t>
            </w:r>
          </w:p>
        </w:tc>
      </w:tr>
      <w:tr w:rsidR="00CB76CB" w14:paraId="50749C1D" w14:textId="77777777" w:rsidTr="00E41D8C">
        <w:tc>
          <w:tcPr>
            <w:tcW w:w="3681" w:type="dxa"/>
          </w:tcPr>
          <w:p w14:paraId="14C48079" w14:textId="4133F5B8" w:rsidR="00CB76CB" w:rsidRDefault="00CB76CB" w:rsidP="00CB76CB">
            <w:pPr>
              <w:pStyle w:val="Tabletext"/>
            </w:pPr>
            <w:r>
              <w:t>Interventional procedures</w:t>
            </w:r>
          </w:p>
        </w:tc>
        <w:tc>
          <w:tcPr>
            <w:tcW w:w="4111" w:type="dxa"/>
          </w:tcPr>
          <w:p w14:paraId="51816731" w14:textId="651E406F" w:rsidR="00CB76CB" w:rsidRDefault="00CB76CB" w:rsidP="00CB76CB">
            <w:pPr>
              <w:pStyle w:val="Tabletext"/>
            </w:pPr>
            <w:r w:rsidRPr="00CB76CB">
              <w:t>Pressurised intraperitoneal aerosol chemotherapy for peritoneal carcinomatosis</w:t>
            </w:r>
          </w:p>
        </w:tc>
        <w:tc>
          <w:tcPr>
            <w:tcW w:w="5811" w:type="dxa"/>
          </w:tcPr>
          <w:p w14:paraId="6C609658" w14:textId="1264713F" w:rsidR="00CB76CB" w:rsidRDefault="00CB76CB" w:rsidP="00CB76CB">
            <w:pPr>
              <w:pStyle w:val="Tabletext"/>
            </w:pPr>
            <w:r>
              <w:t>Research</w:t>
            </w:r>
          </w:p>
        </w:tc>
      </w:tr>
      <w:tr w:rsidR="00CB76CB" w14:paraId="63A9C101" w14:textId="77777777" w:rsidTr="00E41D8C">
        <w:tc>
          <w:tcPr>
            <w:tcW w:w="3681" w:type="dxa"/>
          </w:tcPr>
          <w:p w14:paraId="0658151A" w14:textId="01665C9A" w:rsidR="00CB76CB" w:rsidRDefault="00CB76CB" w:rsidP="00CB76CB">
            <w:pPr>
              <w:pStyle w:val="Tabletext"/>
            </w:pPr>
            <w:r>
              <w:t>Interventional procedures</w:t>
            </w:r>
          </w:p>
        </w:tc>
        <w:tc>
          <w:tcPr>
            <w:tcW w:w="4111" w:type="dxa"/>
          </w:tcPr>
          <w:p w14:paraId="7C2E3605" w14:textId="549AD08B" w:rsidR="00CB76CB" w:rsidRDefault="00CB76CB" w:rsidP="00CB76CB">
            <w:pPr>
              <w:pStyle w:val="Tabletext"/>
            </w:pPr>
            <w:r w:rsidRPr="00CB76CB">
              <w:t>Balloon cryoablation for Barrett’s oesophagus</w:t>
            </w:r>
          </w:p>
        </w:tc>
        <w:tc>
          <w:tcPr>
            <w:tcW w:w="5811" w:type="dxa"/>
          </w:tcPr>
          <w:p w14:paraId="13DB6B22" w14:textId="309EF8BB" w:rsidR="00CB76CB" w:rsidRDefault="00CB76CB" w:rsidP="00CB76CB">
            <w:pPr>
              <w:pStyle w:val="Tabletext"/>
            </w:pPr>
            <w:r>
              <w:t>Research</w:t>
            </w:r>
          </w:p>
        </w:tc>
      </w:tr>
      <w:tr w:rsidR="00CB76CB" w14:paraId="02830C7E" w14:textId="77777777" w:rsidTr="00E41D8C">
        <w:tc>
          <w:tcPr>
            <w:tcW w:w="3681" w:type="dxa"/>
          </w:tcPr>
          <w:p w14:paraId="100D2E14" w14:textId="0A0ACFAF" w:rsidR="00CB76CB" w:rsidRDefault="00CB76CB" w:rsidP="00CB76CB">
            <w:pPr>
              <w:pStyle w:val="Tabletext"/>
            </w:pPr>
            <w:r>
              <w:t>Interventional procedures</w:t>
            </w:r>
          </w:p>
        </w:tc>
        <w:tc>
          <w:tcPr>
            <w:tcW w:w="4111" w:type="dxa"/>
          </w:tcPr>
          <w:p w14:paraId="64AD7FBE" w14:textId="2139BA44" w:rsidR="00CB76CB" w:rsidRDefault="00CB76CB" w:rsidP="00CB76CB">
            <w:pPr>
              <w:pStyle w:val="Tabletext"/>
            </w:pPr>
            <w:r w:rsidRPr="00CB76CB">
              <w:t>Balloon cryoablation for squamous dysplasia of the oesophagus</w:t>
            </w:r>
          </w:p>
        </w:tc>
        <w:tc>
          <w:tcPr>
            <w:tcW w:w="5811" w:type="dxa"/>
          </w:tcPr>
          <w:p w14:paraId="6F0A8AFD" w14:textId="31B2F892" w:rsidR="00CB76CB" w:rsidRDefault="00CB76CB" w:rsidP="00CB76CB">
            <w:pPr>
              <w:pStyle w:val="Tabletext"/>
            </w:pPr>
            <w:r>
              <w:t>Research</w:t>
            </w:r>
          </w:p>
        </w:tc>
      </w:tr>
      <w:tr w:rsidR="00CB76CB" w14:paraId="23BE9D0E" w14:textId="77777777" w:rsidTr="00E41D8C">
        <w:tc>
          <w:tcPr>
            <w:tcW w:w="3681" w:type="dxa"/>
          </w:tcPr>
          <w:p w14:paraId="55EA6A63" w14:textId="1F843EB5" w:rsidR="00CB76CB" w:rsidRDefault="00CB76CB" w:rsidP="00CB76CB">
            <w:pPr>
              <w:pStyle w:val="Tabletext"/>
            </w:pPr>
            <w:r>
              <w:t>Medical technologies</w:t>
            </w:r>
          </w:p>
        </w:tc>
        <w:tc>
          <w:tcPr>
            <w:tcW w:w="4111" w:type="dxa"/>
          </w:tcPr>
          <w:p w14:paraId="1D002CB6" w14:textId="1B944841" w:rsidR="00CB76CB" w:rsidRDefault="00CB76CB" w:rsidP="00CB76CB">
            <w:pPr>
              <w:pStyle w:val="Tabletext"/>
            </w:pPr>
            <w:proofErr w:type="spellStart"/>
            <w:r w:rsidRPr="00CB76CB">
              <w:t>Axonics</w:t>
            </w:r>
            <w:proofErr w:type="spellEnd"/>
            <w:r w:rsidRPr="00CB76CB">
              <w:t xml:space="preserve"> sacral neuromodulation system for treating refractory overactive bladder</w:t>
            </w:r>
          </w:p>
        </w:tc>
        <w:tc>
          <w:tcPr>
            <w:tcW w:w="5811" w:type="dxa"/>
          </w:tcPr>
          <w:p w14:paraId="2AC0064E" w14:textId="13D697BD" w:rsidR="00CB76CB" w:rsidRDefault="00CB76CB" w:rsidP="00CB76CB">
            <w:pPr>
              <w:pStyle w:val="Tabletext"/>
            </w:pPr>
            <w:r w:rsidRPr="00CB76CB">
              <w:t>Case for adoption is fully supported</w:t>
            </w:r>
          </w:p>
        </w:tc>
      </w:tr>
      <w:tr w:rsidR="00CB76CB" w14:paraId="4AC0A5EF" w14:textId="77777777" w:rsidTr="00E41D8C">
        <w:tc>
          <w:tcPr>
            <w:tcW w:w="3681" w:type="dxa"/>
          </w:tcPr>
          <w:p w14:paraId="7FD23ADB" w14:textId="2190028D" w:rsidR="00CB76CB" w:rsidRDefault="00CB76CB" w:rsidP="00CB76CB">
            <w:pPr>
              <w:pStyle w:val="Tabletext"/>
            </w:pPr>
            <w:r>
              <w:t>Medical technologies</w:t>
            </w:r>
          </w:p>
        </w:tc>
        <w:tc>
          <w:tcPr>
            <w:tcW w:w="4111" w:type="dxa"/>
          </w:tcPr>
          <w:p w14:paraId="3F28E689" w14:textId="22A4957F" w:rsidR="00CB76CB" w:rsidRDefault="00CB76CB" w:rsidP="00CB76CB">
            <w:pPr>
              <w:pStyle w:val="Tabletext"/>
            </w:pPr>
            <w:r w:rsidRPr="00CB76CB">
              <w:t>SEM Scanner 200 for preventing pressure ulcers</w:t>
            </w:r>
          </w:p>
        </w:tc>
        <w:tc>
          <w:tcPr>
            <w:tcW w:w="5811" w:type="dxa"/>
          </w:tcPr>
          <w:p w14:paraId="1F20DCBB" w14:textId="2A87F2F8" w:rsidR="00CB76CB" w:rsidRDefault="00CB76CB" w:rsidP="00CB76CB">
            <w:pPr>
              <w:pStyle w:val="Tabletext"/>
            </w:pPr>
            <w:r w:rsidRPr="00CB76CB">
              <w:t>Research recommendation</w:t>
            </w:r>
          </w:p>
        </w:tc>
      </w:tr>
      <w:tr w:rsidR="00CB76CB" w14:paraId="3AA235FA" w14:textId="77777777" w:rsidTr="00E41D8C">
        <w:tc>
          <w:tcPr>
            <w:tcW w:w="3681" w:type="dxa"/>
          </w:tcPr>
          <w:p w14:paraId="2C406B18" w14:textId="6247789E" w:rsidR="00CB76CB" w:rsidRDefault="00CB76CB" w:rsidP="00CB76CB">
            <w:pPr>
              <w:pStyle w:val="Tabletext"/>
            </w:pPr>
            <w:r>
              <w:lastRenderedPageBreak/>
              <w:t>Diagnostics</w:t>
            </w:r>
          </w:p>
        </w:tc>
        <w:tc>
          <w:tcPr>
            <w:tcW w:w="4111" w:type="dxa"/>
          </w:tcPr>
          <w:p w14:paraId="3E594A24" w14:textId="72A3AD6E" w:rsidR="00CB76CB" w:rsidRPr="00CB76CB" w:rsidRDefault="00CB76CB" w:rsidP="00CB76CB">
            <w:pPr>
              <w:pStyle w:val="Tabletext"/>
            </w:pPr>
            <w:r w:rsidRPr="00CB76CB">
              <w:t>Implantable cardiac monitors to detect atrial fibrillation after cryptogenic stroke</w:t>
            </w:r>
          </w:p>
        </w:tc>
        <w:tc>
          <w:tcPr>
            <w:tcW w:w="5811" w:type="dxa"/>
          </w:tcPr>
          <w:p w14:paraId="027E196E" w14:textId="0C41511F" w:rsidR="00CB76CB" w:rsidRPr="00CB76CB" w:rsidRDefault="00CB76CB" w:rsidP="00CB76CB">
            <w:pPr>
              <w:pStyle w:val="Tabletext"/>
            </w:pPr>
            <w:r w:rsidRPr="00CB76CB">
              <w:t xml:space="preserve">Reveal LINQ is recommended as an option. </w:t>
            </w:r>
            <w:proofErr w:type="spellStart"/>
            <w:r w:rsidRPr="00CB76CB">
              <w:t>BioMonitor</w:t>
            </w:r>
            <w:proofErr w:type="spellEnd"/>
            <w:r w:rsidRPr="00CB76CB">
              <w:t xml:space="preserve"> 2</w:t>
            </w:r>
            <w:r w:rsidRPr="00CB76CB">
              <w:noBreakHyphen/>
              <w:t>AF (or its successor device BIOMONITOR III) or Confirm Rx are not recommended. Further research is needed for these technologies.</w:t>
            </w:r>
          </w:p>
        </w:tc>
      </w:tr>
      <w:tr w:rsidR="00CB76CB" w14:paraId="035CE3DE" w14:textId="77777777" w:rsidTr="00E41D8C">
        <w:tc>
          <w:tcPr>
            <w:tcW w:w="3681" w:type="dxa"/>
          </w:tcPr>
          <w:p w14:paraId="4D88BC39" w14:textId="27B36293" w:rsidR="00CB76CB" w:rsidRDefault="00CB76CB" w:rsidP="00CB76CB">
            <w:pPr>
              <w:pStyle w:val="Tabletext"/>
            </w:pPr>
            <w:r>
              <w:t>Diagnostics</w:t>
            </w:r>
          </w:p>
        </w:tc>
        <w:tc>
          <w:tcPr>
            <w:tcW w:w="4111" w:type="dxa"/>
          </w:tcPr>
          <w:p w14:paraId="11A9B80B" w14:textId="40D1C4FD" w:rsidR="00CB76CB" w:rsidRPr="00CB76CB" w:rsidRDefault="00CB76CB" w:rsidP="00CB76CB">
            <w:pPr>
              <w:pStyle w:val="Tabletext"/>
            </w:pPr>
            <w:r w:rsidRPr="00CB76CB">
              <w:t>Testing strategies for Lynch syndrome in people with endometrial cancer</w:t>
            </w:r>
          </w:p>
        </w:tc>
        <w:tc>
          <w:tcPr>
            <w:tcW w:w="5811" w:type="dxa"/>
          </w:tcPr>
          <w:p w14:paraId="37062F99" w14:textId="4A7EF6A0" w:rsidR="00CB76CB" w:rsidRPr="00CB76CB" w:rsidRDefault="00CB76CB" w:rsidP="00CB76CB">
            <w:pPr>
              <w:pStyle w:val="Tabletext"/>
            </w:pPr>
            <w:r w:rsidRPr="00CB76CB">
              <w:t>The guidance recommends offering lynch syndrome testing to people who are diagnosed with endometrial cancer.</w:t>
            </w:r>
          </w:p>
        </w:tc>
      </w:tr>
      <w:tr w:rsidR="00CB76CB" w14:paraId="3BAC8894" w14:textId="77777777" w:rsidTr="00E41D8C">
        <w:tc>
          <w:tcPr>
            <w:tcW w:w="3681" w:type="dxa"/>
          </w:tcPr>
          <w:p w14:paraId="21AE155E" w14:textId="0F16AB29" w:rsidR="00CB76CB" w:rsidRDefault="00CB76CB" w:rsidP="00CB76CB">
            <w:pPr>
              <w:pStyle w:val="Tabletext"/>
            </w:pPr>
            <w:r>
              <w:t>Quality standards</w:t>
            </w:r>
          </w:p>
        </w:tc>
        <w:tc>
          <w:tcPr>
            <w:tcW w:w="4111" w:type="dxa"/>
          </w:tcPr>
          <w:p w14:paraId="2E766934" w14:textId="3C7BC10E" w:rsidR="00CB76CB" w:rsidRPr="00CB76CB" w:rsidRDefault="00CB76CB" w:rsidP="00CB76CB">
            <w:pPr>
              <w:pStyle w:val="Tabletext"/>
            </w:pPr>
            <w:r w:rsidRPr="00CB76CB">
              <w:t>Heavy menstrual bleeding</w:t>
            </w:r>
          </w:p>
        </w:tc>
        <w:tc>
          <w:tcPr>
            <w:tcW w:w="5811" w:type="dxa"/>
          </w:tcPr>
          <w:p w14:paraId="0FAEB042" w14:textId="72A9FD57" w:rsidR="00CB76CB" w:rsidRPr="00CB76CB" w:rsidRDefault="00CB76CB" w:rsidP="00CB76CB">
            <w:pPr>
              <w:pStyle w:val="Tabletext"/>
            </w:pPr>
            <w:r w:rsidRPr="00CB76CB">
              <w:t>Quality improvement</w:t>
            </w:r>
          </w:p>
        </w:tc>
      </w:tr>
      <w:tr w:rsidR="00CB76CB" w14:paraId="30CF37C5" w14:textId="77777777" w:rsidTr="00E41D8C">
        <w:tc>
          <w:tcPr>
            <w:tcW w:w="3681" w:type="dxa"/>
          </w:tcPr>
          <w:p w14:paraId="2E9B2EF0" w14:textId="09D0C116" w:rsidR="00CB76CB" w:rsidRDefault="00CB76CB" w:rsidP="00CB76CB">
            <w:pPr>
              <w:pStyle w:val="Tabletext"/>
            </w:pPr>
            <w:r>
              <w:t>Indicators</w:t>
            </w:r>
          </w:p>
        </w:tc>
        <w:tc>
          <w:tcPr>
            <w:tcW w:w="4111" w:type="dxa"/>
          </w:tcPr>
          <w:p w14:paraId="126476FF" w14:textId="141FC915" w:rsidR="00CB76CB" w:rsidRPr="00CB76CB" w:rsidRDefault="00CB76CB" w:rsidP="00CB76CB">
            <w:pPr>
              <w:pStyle w:val="Tabletext"/>
            </w:pPr>
            <w:r w:rsidRPr="00CB76CB">
              <w:t>Menu of indicators</w:t>
            </w:r>
          </w:p>
        </w:tc>
        <w:tc>
          <w:tcPr>
            <w:tcW w:w="5811" w:type="dxa"/>
          </w:tcPr>
          <w:p w14:paraId="3335C4E4" w14:textId="2271E034" w:rsidR="00CB76CB" w:rsidRPr="00CB76CB" w:rsidRDefault="00CB76CB" w:rsidP="00CB76CB">
            <w:pPr>
              <w:pStyle w:val="Tabletext"/>
            </w:pPr>
            <w:r w:rsidRPr="00CB76CB">
              <w:t>Quality improvement</w:t>
            </w:r>
          </w:p>
        </w:tc>
      </w:tr>
      <w:tr w:rsidR="00CB76CB" w14:paraId="12D197A4" w14:textId="77777777" w:rsidTr="00E41D8C">
        <w:tc>
          <w:tcPr>
            <w:tcW w:w="3681" w:type="dxa"/>
          </w:tcPr>
          <w:p w14:paraId="35F3DF26" w14:textId="37671D31" w:rsidR="00CB76CB" w:rsidRDefault="00CB76CB" w:rsidP="00CB76CB">
            <w:pPr>
              <w:pStyle w:val="Tabletext"/>
            </w:pPr>
            <w:r>
              <w:t>Technology appraisals</w:t>
            </w:r>
          </w:p>
        </w:tc>
        <w:tc>
          <w:tcPr>
            <w:tcW w:w="4111" w:type="dxa"/>
          </w:tcPr>
          <w:p w14:paraId="67C484E7" w14:textId="2941EEAF" w:rsidR="00CB76CB" w:rsidRPr="00CB76CB" w:rsidRDefault="00CB76CB" w:rsidP="00CB76CB">
            <w:pPr>
              <w:pStyle w:val="Tabletext"/>
            </w:pPr>
            <w:r w:rsidRPr="00CB76CB">
              <w:t xml:space="preserve">Eculizumab for treating relapsing neuromyelitis </w:t>
            </w:r>
            <w:proofErr w:type="spellStart"/>
            <w:r w:rsidRPr="00CB76CB">
              <w:t>optica</w:t>
            </w:r>
            <w:proofErr w:type="spellEnd"/>
          </w:p>
        </w:tc>
        <w:tc>
          <w:tcPr>
            <w:tcW w:w="5811" w:type="dxa"/>
          </w:tcPr>
          <w:p w14:paraId="792B726C" w14:textId="616E7CAC" w:rsidR="00CB76CB" w:rsidRPr="00CB76CB" w:rsidRDefault="00CB76CB" w:rsidP="00CB76CB">
            <w:pPr>
              <w:pStyle w:val="Tabletext"/>
            </w:pPr>
            <w:r w:rsidRPr="00CB76CB">
              <w:t>Terminated guidance</w:t>
            </w:r>
          </w:p>
        </w:tc>
      </w:tr>
      <w:tr w:rsidR="00CB76CB" w14:paraId="5FBC8D71" w14:textId="77777777" w:rsidTr="00E41D8C">
        <w:tc>
          <w:tcPr>
            <w:tcW w:w="3681" w:type="dxa"/>
          </w:tcPr>
          <w:p w14:paraId="2C89FBE9" w14:textId="0A32CBBE" w:rsidR="00CB76CB" w:rsidRPr="00CB76CB" w:rsidRDefault="00CB76CB" w:rsidP="00CB76CB">
            <w:pPr>
              <w:pStyle w:val="Tabletext"/>
            </w:pPr>
            <w:r w:rsidRPr="00CB76CB">
              <w:t>Technology appraisals</w:t>
            </w:r>
          </w:p>
        </w:tc>
        <w:tc>
          <w:tcPr>
            <w:tcW w:w="4111" w:type="dxa"/>
          </w:tcPr>
          <w:p w14:paraId="4491E027" w14:textId="66B1CF2A" w:rsidR="00CB76CB" w:rsidRPr="00CB76CB" w:rsidRDefault="00CB76CB" w:rsidP="00CB76CB">
            <w:pPr>
              <w:pStyle w:val="Tabletext"/>
            </w:pPr>
            <w:proofErr w:type="spellStart"/>
            <w:r w:rsidRPr="00CB76CB">
              <w:t>Glasdegib</w:t>
            </w:r>
            <w:proofErr w:type="spellEnd"/>
            <w:r w:rsidRPr="00CB76CB">
              <w:t xml:space="preserve"> with chemotherapy for untreated acute myeloid leukaemia</w:t>
            </w:r>
          </w:p>
        </w:tc>
        <w:tc>
          <w:tcPr>
            <w:tcW w:w="5811" w:type="dxa"/>
          </w:tcPr>
          <w:p w14:paraId="2B510F16" w14:textId="4E6561B0" w:rsidR="00CB76CB" w:rsidRPr="00CB76CB" w:rsidRDefault="00CB76CB" w:rsidP="00CB76CB">
            <w:pPr>
              <w:pStyle w:val="Tabletext"/>
            </w:pPr>
            <w:r w:rsidRPr="00CB76CB">
              <w:t>Terminated guidance</w:t>
            </w:r>
          </w:p>
        </w:tc>
      </w:tr>
      <w:tr w:rsidR="00CB76CB" w14:paraId="5DC3C5A4" w14:textId="77777777" w:rsidTr="00E41D8C">
        <w:tc>
          <w:tcPr>
            <w:tcW w:w="3681" w:type="dxa"/>
          </w:tcPr>
          <w:p w14:paraId="386AE781" w14:textId="59BEE0A2" w:rsidR="00CB76CB" w:rsidRPr="00CB76CB" w:rsidRDefault="00CB76CB" w:rsidP="00CB76CB">
            <w:pPr>
              <w:pStyle w:val="Tabletext"/>
            </w:pPr>
            <w:r w:rsidRPr="00CB76CB">
              <w:t>Technology appraisals</w:t>
            </w:r>
          </w:p>
        </w:tc>
        <w:tc>
          <w:tcPr>
            <w:tcW w:w="4111" w:type="dxa"/>
          </w:tcPr>
          <w:p w14:paraId="7840246A" w14:textId="22617834" w:rsidR="00CB76CB" w:rsidRPr="00CB76CB" w:rsidRDefault="00CB76CB" w:rsidP="00CB76CB">
            <w:pPr>
              <w:pStyle w:val="Tabletext"/>
            </w:pPr>
            <w:r w:rsidRPr="00CB76CB">
              <w:t xml:space="preserve">Avelumab with </w:t>
            </w:r>
            <w:proofErr w:type="spellStart"/>
            <w:r w:rsidRPr="00CB76CB">
              <w:t>axitinib</w:t>
            </w:r>
            <w:proofErr w:type="spellEnd"/>
            <w:r w:rsidRPr="00CB76CB">
              <w:t xml:space="preserve"> for untreated advanced renal cell carcinoma</w:t>
            </w:r>
          </w:p>
        </w:tc>
        <w:tc>
          <w:tcPr>
            <w:tcW w:w="5811" w:type="dxa"/>
          </w:tcPr>
          <w:p w14:paraId="4FC1ED91" w14:textId="104D1F83" w:rsidR="00CB76CB" w:rsidRPr="00CB76CB" w:rsidRDefault="00CB76CB" w:rsidP="00CB76CB">
            <w:pPr>
              <w:pStyle w:val="Tabletext"/>
            </w:pPr>
            <w:r w:rsidRPr="00CB76CB">
              <w:t>Recommended within CDF</w:t>
            </w:r>
          </w:p>
        </w:tc>
      </w:tr>
      <w:tr w:rsidR="00CB76CB" w14:paraId="3D40A679" w14:textId="77777777" w:rsidTr="00E41D8C">
        <w:tc>
          <w:tcPr>
            <w:tcW w:w="3681" w:type="dxa"/>
          </w:tcPr>
          <w:p w14:paraId="10B3F849" w14:textId="0ABC91ED" w:rsidR="00CB76CB" w:rsidRPr="00CB76CB" w:rsidRDefault="00CB76CB" w:rsidP="00CB76CB">
            <w:pPr>
              <w:pStyle w:val="Tabletext"/>
            </w:pPr>
            <w:r w:rsidRPr="00CB76CB">
              <w:t>Technology appraisals</w:t>
            </w:r>
          </w:p>
        </w:tc>
        <w:tc>
          <w:tcPr>
            <w:tcW w:w="4111" w:type="dxa"/>
          </w:tcPr>
          <w:p w14:paraId="6348B014" w14:textId="79BE960A" w:rsidR="00CB76CB" w:rsidRPr="00CB76CB" w:rsidRDefault="00CB76CB" w:rsidP="00CB76CB">
            <w:pPr>
              <w:pStyle w:val="Tabletext"/>
            </w:pPr>
            <w:r w:rsidRPr="00CB76CB">
              <w:t xml:space="preserve">Dupilumab for treating chronic rhinosinusitis with nasal polyps </w:t>
            </w:r>
          </w:p>
        </w:tc>
        <w:tc>
          <w:tcPr>
            <w:tcW w:w="5811" w:type="dxa"/>
          </w:tcPr>
          <w:p w14:paraId="7697EBDE" w14:textId="1F8EF957" w:rsidR="00CB76CB" w:rsidRPr="00CB76CB" w:rsidRDefault="00CB76CB" w:rsidP="00CB76CB">
            <w:pPr>
              <w:pStyle w:val="Tabletext"/>
            </w:pPr>
            <w:r w:rsidRPr="00CB76CB">
              <w:t xml:space="preserve">Terminated guidance </w:t>
            </w:r>
          </w:p>
        </w:tc>
      </w:tr>
      <w:tr w:rsidR="00CB76CB" w14:paraId="70609783" w14:textId="77777777" w:rsidTr="00E41D8C">
        <w:tc>
          <w:tcPr>
            <w:tcW w:w="3681" w:type="dxa"/>
          </w:tcPr>
          <w:p w14:paraId="6AE29BBC" w14:textId="7F36FA39" w:rsidR="00CB76CB" w:rsidRPr="00CB76CB" w:rsidRDefault="00CB76CB" w:rsidP="00CB76CB">
            <w:pPr>
              <w:pStyle w:val="Tabletext"/>
            </w:pPr>
            <w:r w:rsidRPr="00CB76CB">
              <w:t>Technology appraisals</w:t>
            </w:r>
          </w:p>
        </w:tc>
        <w:tc>
          <w:tcPr>
            <w:tcW w:w="4111" w:type="dxa"/>
          </w:tcPr>
          <w:p w14:paraId="127D6613" w14:textId="4B005440" w:rsidR="00CB76CB" w:rsidRPr="00CB76CB" w:rsidRDefault="00CB76CB" w:rsidP="00CB76CB">
            <w:pPr>
              <w:pStyle w:val="Tabletext"/>
            </w:pPr>
            <w:proofErr w:type="spellStart"/>
            <w:r w:rsidRPr="00CB76CB">
              <w:t>Polatuzumab</w:t>
            </w:r>
            <w:proofErr w:type="spellEnd"/>
            <w:r w:rsidRPr="00CB76CB">
              <w:t xml:space="preserve"> </w:t>
            </w:r>
            <w:proofErr w:type="spellStart"/>
            <w:r w:rsidRPr="00CB76CB">
              <w:t>vedotin</w:t>
            </w:r>
            <w:proofErr w:type="spellEnd"/>
            <w:r w:rsidRPr="00CB76CB">
              <w:t xml:space="preserve"> with rituximab and </w:t>
            </w:r>
            <w:proofErr w:type="spellStart"/>
            <w:r w:rsidRPr="00CB76CB">
              <w:t>bendamustine</w:t>
            </w:r>
            <w:proofErr w:type="spellEnd"/>
            <w:r w:rsidRPr="00CB76CB">
              <w:t xml:space="preserve"> for treating relapsed or refractory diffuse large B-cell lymphoma</w:t>
            </w:r>
          </w:p>
        </w:tc>
        <w:tc>
          <w:tcPr>
            <w:tcW w:w="5811" w:type="dxa"/>
          </w:tcPr>
          <w:p w14:paraId="6FC1943B" w14:textId="66ACE653" w:rsidR="00CB76CB" w:rsidRPr="00CB76CB" w:rsidRDefault="00CB76CB" w:rsidP="00CB76CB">
            <w:pPr>
              <w:pStyle w:val="Tabletext"/>
            </w:pPr>
            <w:r w:rsidRPr="00CB76CB">
              <w:t>Recommended</w:t>
            </w:r>
          </w:p>
        </w:tc>
      </w:tr>
      <w:tr w:rsidR="00CB76CB" w14:paraId="5E81A42F" w14:textId="77777777" w:rsidTr="00E41D8C">
        <w:tc>
          <w:tcPr>
            <w:tcW w:w="3681" w:type="dxa"/>
          </w:tcPr>
          <w:p w14:paraId="4D6A185E" w14:textId="7B2A67B2" w:rsidR="00CB76CB" w:rsidRPr="00CB76CB" w:rsidRDefault="00CB76CB" w:rsidP="00CB76CB">
            <w:pPr>
              <w:pStyle w:val="Tabletext"/>
            </w:pPr>
            <w:r w:rsidRPr="00CB76CB">
              <w:t>Technology appraisals</w:t>
            </w:r>
          </w:p>
        </w:tc>
        <w:tc>
          <w:tcPr>
            <w:tcW w:w="4111" w:type="dxa"/>
          </w:tcPr>
          <w:p w14:paraId="7A35BAB7" w14:textId="120CFE82" w:rsidR="00CB76CB" w:rsidRPr="00CB76CB" w:rsidRDefault="00CB76CB" w:rsidP="00CB76CB">
            <w:pPr>
              <w:pStyle w:val="Tabletext"/>
            </w:pPr>
            <w:proofErr w:type="spellStart"/>
            <w:r w:rsidRPr="00CB76CB">
              <w:t>Naldemedine</w:t>
            </w:r>
            <w:proofErr w:type="spellEnd"/>
            <w:r w:rsidRPr="00CB76CB">
              <w:t xml:space="preserve"> for treating opioid-induced constipation</w:t>
            </w:r>
          </w:p>
        </w:tc>
        <w:tc>
          <w:tcPr>
            <w:tcW w:w="5811" w:type="dxa"/>
          </w:tcPr>
          <w:p w14:paraId="7A49063F" w14:textId="178C7A79" w:rsidR="00CB76CB" w:rsidRPr="00CB76CB" w:rsidRDefault="00CB76CB" w:rsidP="00CB76CB">
            <w:pPr>
              <w:pStyle w:val="Tabletext"/>
            </w:pPr>
            <w:r w:rsidRPr="00CB76CB">
              <w:t>Recommended</w:t>
            </w:r>
          </w:p>
        </w:tc>
      </w:tr>
      <w:tr w:rsidR="00CB76CB" w14:paraId="40690238" w14:textId="77777777" w:rsidTr="00E41D8C">
        <w:tc>
          <w:tcPr>
            <w:tcW w:w="3681" w:type="dxa"/>
          </w:tcPr>
          <w:p w14:paraId="4B8EF6C5" w14:textId="24D915C5" w:rsidR="00CB76CB" w:rsidRPr="00CB76CB" w:rsidRDefault="00CB76CB" w:rsidP="00CB76CB">
            <w:pPr>
              <w:pStyle w:val="Tabletext"/>
            </w:pPr>
            <w:r w:rsidRPr="00CB76CB">
              <w:t>Technology appraisals</w:t>
            </w:r>
          </w:p>
        </w:tc>
        <w:tc>
          <w:tcPr>
            <w:tcW w:w="4111" w:type="dxa"/>
          </w:tcPr>
          <w:p w14:paraId="469DBE4E" w14:textId="0343451C" w:rsidR="00CB76CB" w:rsidRPr="00CB76CB" w:rsidRDefault="00CB76CB" w:rsidP="00CB76CB">
            <w:pPr>
              <w:pStyle w:val="Tabletext"/>
            </w:pPr>
            <w:r w:rsidRPr="00CB76CB">
              <w:t xml:space="preserve">Pembrolizumab with </w:t>
            </w:r>
            <w:proofErr w:type="spellStart"/>
            <w:r w:rsidRPr="00CB76CB">
              <w:t>axitinib</w:t>
            </w:r>
            <w:proofErr w:type="spellEnd"/>
            <w:r w:rsidRPr="00CB76CB">
              <w:t xml:space="preserve"> for untreated advanced renal cell carcinoma</w:t>
            </w:r>
          </w:p>
        </w:tc>
        <w:tc>
          <w:tcPr>
            <w:tcW w:w="5811" w:type="dxa"/>
          </w:tcPr>
          <w:p w14:paraId="2C9A8EE7" w14:textId="46BEEBC8" w:rsidR="00CB76CB" w:rsidRPr="00CB76CB" w:rsidRDefault="00CB76CB" w:rsidP="00CB76CB">
            <w:pPr>
              <w:pStyle w:val="Tabletext"/>
            </w:pPr>
            <w:r w:rsidRPr="00CB76CB">
              <w:t>Not recommended</w:t>
            </w:r>
          </w:p>
        </w:tc>
      </w:tr>
      <w:tr w:rsidR="00CB76CB" w14:paraId="595F2629" w14:textId="77777777" w:rsidTr="00E41D8C">
        <w:tc>
          <w:tcPr>
            <w:tcW w:w="3681" w:type="dxa"/>
          </w:tcPr>
          <w:p w14:paraId="47200941" w14:textId="3724F504" w:rsidR="00CB76CB" w:rsidRPr="00CB76CB" w:rsidRDefault="00CB76CB" w:rsidP="00CB76CB">
            <w:pPr>
              <w:pStyle w:val="Tabletext"/>
            </w:pPr>
            <w:r w:rsidRPr="00CB76CB">
              <w:t>Technology appraisals</w:t>
            </w:r>
          </w:p>
        </w:tc>
        <w:tc>
          <w:tcPr>
            <w:tcW w:w="4111" w:type="dxa"/>
          </w:tcPr>
          <w:p w14:paraId="330FEA04" w14:textId="256842BC" w:rsidR="00CB76CB" w:rsidRPr="00CB76CB" w:rsidRDefault="00CB76CB" w:rsidP="00CB76CB">
            <w:pPr>
              <w:pStyle w:val="Tabletext"/>
            </w:pPr>
            <w:proofErr w:type="spellStart"/>
            <w:r w:rsidRPr="00CB76CB">
              <w:t>Alpelisib</w:t>
            </w:r>
            <w:proofErr w:type="spellEnd"/>
            <w:r w:rsidRPr="00CB76CB">
              <w:t xml:space="preserve"> with </w:t>
            </w:r>
            <w:proofErr w:type="spellStart"/>
            <w:r w:rsidRPr="00CB76CB">
              <w:t>fulvestrant</w:t>
            </w:r>
            <w:proofErr w:type="spellEnd"/>
            <w:r w:rsidRPr="00CB76CB">
              <w:t xml:space="preserve"> for treating hormone-receptor positive, HER2-negative, PIK3CA-positive advanced breast cancer </w:t>
            </w:r>
          </w:p>
        </w:tc>
        <w:tc>
          <w:tcPr>
            <w:tcW w:w="5811" w:type="dxa"/>
          </w:tcPr>
          <w:p w14:paraId="04916869" w14:textId="2BD4E011" w:rsidR="00CB76CB" w:rsidRPr="00CB76CB" w:rsidRDefault="00CB76CB" w:rsidP="00CB76CB">
            <w:pPr>
              <w:pStyle w:val="Tabletext"/>
            </w:pPr>
            <w:r w:rsidRPr="00CB76CB">
              <w:t xml:space="preserve">Terminated guidance </w:t>
            </w:r>
          </w:p>
        </w:tc>
      </w:tr>
      <w:tr w:rsidR="00CB76CB" w14:paraId="06256B5F" w14:textId="77777777" w:rsidTr="00E41D8C">
        <w:tc>
          <w:tcPr>
            <w:tcW w:w="3681" w:type="dxa"/>
          </w:tcPr>
          <w:p w14:paraId="096DAB89" w14:textId="1FD87B1D" w:rsidR="00CB76CB" w:rsidRPr="00CB76CB" w:rsidRDefault="00CB76CB" w:rsidP="00CB76CB">
            <w:pPr>
              <w:pStyle w:val="Tabletext"/>
            </w:pPr>
            <w:r w:rsidRPr="00CB76CB">
              <w:lastRenderedPageBreak/>
              <w:t>Technology appraisals</w:t>
            </w:r>
          </w:p>
        </w:tc>
        <w:tc>
          <w:tcPr>
            <w:tcW w:w="4111" w:type="dxa"/>
          </w:tcPr>
          <w:p w14:paraId="4F5A5201" w14:textId="20A4C7BE" w:rsidR="00CB76CB" w:rsidRPr="00CB76CB" w:rsidRDefault="00CB76CB" w:rsidP="00CB76CB">
            <w:pPr>
              <w:pStyle w:val="Tabletext"/>
            </w:pPr>
            <w:r w:rsidRPr="00CB76CB">
              <w:t>Osimertinib for untreated EGFR mutation-positive non-small-cell lung cancer</w:t>
            </w:r>
          </w:p>
        </w:tc>
        <w:tc>
          <w:tcPr>
            <w:tcW w:w="5811" w:type="dxa"/>
          </w:tcPr>
          <w:p w14:paraId="5708C2C9" w14:textId="6C8F7626" w:rsidR="00CB76CB" w:rsidRPr="00CB76CB" w:rsidRDefault="00CB76CB" w:rsidP="00CB76CB">
            <w:pPr>
              <w:pStyle w:val="Tabletext"/>
            </w:pPr>
            <w:r w:rsidRPr="00CB76CB">
              <w:t>Optimised</w:t>
            </w:r>
          </w:p>
        </w:tc>
      </w:tr>
      <w:tr w:rsidR="00CB76CB" w14:paraId="4154F125" w14:textId="77777777" w:rsidTr="00E41D8C">
        <w:tc>
          <w:tcPr>
            <w:tcW w:w="3681" w:type="dxa"/>
          </w:tcPr>
          <w:p w14:paraId="08C97769" w14:textId="207A7AED" w:rsidR="00CB76CB" w:rsidRDefault="00CB76CB" w:rsidP="00CB76CB">
            <w:pPr>
              <w:pStyle w:val="Tabletext"/>
            </w:pPr>
            <w:r>
              <w:t>Technology appraisals</w:t>
            </w:r>
          </w:p>
        </w:tc>
        <w:tc>
          <w:tcPr>
            <w:tcW w:w="4111" w:type="dxa"/>
          </w:tcPr>
          <w:p w14:paraId="33F6B809" w14:textId="56B47D80" w:rsidR="00CB76CB" w:rsidRPr="00CB76CB" w:rsidRDefault="00CB76CB" w:rsidP="00CB76CB">
            <w:pPr>
              <w:pStyle w:val="Tabletext"/>
            </w:pPr>
            <w:r w:rsidRPr="00CB76CB">
              <w:t>Osimertinib for treating EGFR T790M mutation-positive advanced non-small-cell lung cancer</w:t>
            </w:r>
          </w:p>
        </w:tc>
        <w:tc>
          <w:tcPr>
            <w:tcW w:w="5811" w:type="dxa"/>
          </w:tcPr>
          <w:p w14:paraId="1AFEF049" w14:textId="653F6E57" w:rsidR="00CB76CB" w:rsidRPr="00CB76CB" w:rsidRDefault="00CB76CB" w:rsidP="00CB76CB">
            <w:pPr>
              <w:pStyle w:val="Tabletext"/>
            </w:pPr>
            <w:r w:rsidRPr="00CB76CB">
              <w:t>Optimised</w:t>
            </w:r>
          </w:p>
        </w:tc>
      </w:tr>
      <w:tr w:rsidR="00CB76CB" w14:paraId="5931045A" w14:textId="77777777" w:rsidTr="00E41D8C">
        <w:tc>
          <w:tcPr>
            <w:tcW w:w="3681" w:type="dxa"/>
          </w:tcPr>
          <w:p w14:paraId="11ADFD3D" w14:textId="15CAA1A1" w:rsidR="00CB76CB" w:rsidRDefault="00CB76CB" w:rsidP="00CB76CB">
            <w:pPr>
              <w:pStyle w:val="Tabletext"/>
            </w:pPr>
            <w:r>
              <w:t>Technology appraisals</w:t>
            </w:r>
          </w:p>
        </w:tc>
        <w:tc>
          <w:tcPr>
            <w:tcW w:w="4111" w:type="dxa"/>
          </w:tcPr>
          <w:p w14:paraId="5AD8DA56" w14:textId="4D78ED73" w:rsidR="00CB76CB" w:rsidRPr="00CB76CB" w:rsidRDefault="00CB76CB" w:rsidP="00CB76CB">
            <w:pPr>
              <w:pStyle w:val="Tabletext"/>
            </w:pPr>
            <w:r w:rsidRPr="00CB76CB">
              <w:t>Nivolumab for advanced squamous non-small-cell lung cancer after chemotherapy</w:t>
            </w:r>
          </w:p>
        </w:tc>
        <w:tc>
          <w:tcPr>
            <w:tcW w:w="5811" w:type="dxa"/>
          </w:tcPr>
          <w:p w14:paraId="4C3CF287" w14:textId="333A398F" w:rsidR="00CB76CB" w:rsidRPr="00CB76CB" w:rsidRDefault="00CB76CB" w:rsidP="00CB76CB">
            <w:pPr>
              <w:pStyle w:val="Tabletext"/>
            </w:pPr>
            <w:r w:rsidRPr="00CB76CB">
              <w:t>Optimised</w:t>
            </w:r>
          </w:p>
        </w:tc>
      </w:tr>
      <w:tr w:rsidR="00CB76CB" w14:paraId="54152355" w14:textId="77777777" w:rsidTr="00E41D8C">
        <w:tc>
          <w:tcPr>
            <w:tcW w:w="3681" w:type="dxa"/>
          </w:tcPr>
          <w:p w14:paraId="08FEBD25" w14:textId="3355521C" w:rsidR="00CB76CB" w:rsidRDefault="00CB76CB" w:rsidP="00CB76CB">
            <w:pPr>
              <w:pStyle w:val="Tabletext"/>
            </w:pPr>
            <w:r>
              <w:t>Highly specialised technologies</w:t>
            </w:r>
          </w:p>
        </w:tc>
        <w:tc>
          <w:tcPr>
            <w:tcW w:w="4111" w:type="dxa"/>
          </w:tcPr>
          <w:p w14:paraId="2FAAF867" w14:textId="24763846" w:rsidR="00CB76CB" w:rsidRPr="00CB76CB" w:rsidRDefault="00CB76CB" w:rsidP="00CB76CB">
            <w:pPr>
              <w:pStyle w:val="Tabletext"/>
            </w:pPr>
            <w:proofErr w:type="spellStart"/>
            <w:r w:rsidRPr="00CB76CB">
              <w:t>Volanesorsen</w:t>
            </w:r>
            <w:proofErr w:type="spellEnd"/>
            <w:r w:rsidRPr="00CB76CB">
              <w:t xml:space="preserve"> for treating familial chylomicronaemia syndrome</w:t>
            </w:r>
          </w:p>
        </w:tc>
        <w:tc>
          <w:tcPr>
            <w:tcW w:w="5811" w:type="dxa"/>
          </w:tcPr>
          <w:p w14:paraId="4D085797" w14:textId="66598DEC" w:rsidR="00CB76CB" w:rsidRPr="00CB76CB" w:rsidRDefault="00CB76CB" w:rsidP="00CB76CB">
            <w:pPr>
              <w:pStyle w:val="Tabletext"/>
            </w:pPr>
            <w:r w:rsidRPr="00CB76CB">
              <w:t>Recommended</w:t>
            </w:r>
          </w:p>
        </w:tc>
      </w:tr>
      <w:tr w:rsidR="00CB76CB" w14:paraId="001A736C" w14:textId="77777777" w:rsidTr="00E41D8C">
        <w:tc>
          <w:tcPr>
            <w:tcW w:w="3681" w:type="dxa"/>
          </w:tcPr>
          <w:p w14:paraId="36DEC053" w14:textId="7F1204EA"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1A851383" w14:textId="5DB9C71A" w:rsidR="00CB76CB" w:rsidRPr="00CB76CB" w:rsidRDefault="00CB76CB" w:rsidP="00CB76CB">
            <w:pPr>
              <w:pStyle w:val="Tabletext"/>
            </w:pPr>
            <w:r w:rsidRPr="00CB76CB">
              <w:t>Helge for detecting haemolysis</w:t>
            </w:r>
          </w:p>
        </w:tc>
        <w:tc>
          <w:tcPr>
            <w:tcW w:w="5811" w:type="dxa"/>
          </w:tcPr>
          <w:p w14:paraId="7E4A3684" w14:textId="3B180C15" w:rsidR="00CB76CB" w:rsidRPr="00CB76CB" w:rsidRDefault="00CB76CB" w:rsidP="00CB76CB">
            <w:pPr>
              <w:pStyle w:val="Tabletext"/>
            </w:pPr>
            <w:r w:rsidRPr="00CB76CB">
              <w:t>Summary of best available evidence</w:t>
            </w:r>
          </w:p>
        </w:tc>
      </w:tr>
      <w:tr w:rsidR="00CB76CB" w14:paraId="3B43DB22" w14:textId="77777777" w:rsidTr="00E41D8C">
        <w:tc>
          <w:tcPr>
            <w:tcW w:w="3681" w:type="dxa"/>
          </w:tcPr>
          <w:p w14:paraId="0557E4E4" w14:textId="44CE18AA"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17F4B2FB" w14:textId="24946117" w:rsidR="00CB76CB" w:rsidRPr="00CB76CB" w:rsidRDefault="00CB76CB" w:rsidP="00CB76CB">
            <w:pPr>
              <w:pStyle w:val="Tabletext"/>
            </w:pPr>
            <w:proofErr w:type="spellStart"/>
            <w:r w:rsidRPr="00CB76CB">
              <w:t>Synergo</w:t>
            </w:r>
            <w:proofErr w:type="spellEnd"/>
            <w:r w:rsidRPr="00CB76CB">
              <w:t xml:space="preserve"> for non-muscle-invasive bladder cancer</w:t>
            </w:r>
          </w:p>
        </w:tc>
        <w:tc>
          <w:tcPr>
            <w:tcW w:w="5811" w:type="dxa"/>
          </w:tcPr>
          <w:p w14:paraId="21830AD9" w14:textId="6B5D7290" w:rsidR="00CB76CB" w:rsidRPr="00CB76CB" w:rsidRDefault="00CB76CB" w:rsidP="00CB76CB">
            <w:pPr>
              <w:pStyle w:val="Tabletext"/>
            </w:pPr>
            <w:r w:rsidRPr="00CB76CB">
              <w:t>Summary of best available evidence</w:t>
            </w:r>
          </w:p>
        </w:tc>
      </w:tr>
      <w:tr w:rsidR="00CB76CB" w14:paraId="45486075" w14:textId="77777777" w:rsidTr="00E41D8C">
        <w:tc>
          <w:tcPr>
            <w:tcW w:w="3681" w:type="dxa"/>
          </w:tcPr>
          <w:p w14:paraId="72C8C4DC" w14:textId="319500A9"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1B351F64" w14:textId="7B00FBE4" w:rsidR="00CB76CB" w:rsidRPr="00CB76CB" w:rsidRDefault="00CB76CB" w:rsidP="00CB76CB">
            <w:pPr>
              <w:pStyle w:val="Tabletext"/>
            </w:pPr>
            <w:r w:rsidRPr="00CB76CB">
              <w:t>t:slim X2 insulin pump for managing blood glucose levels in type 1 diabetes</w:t>
            </w:r>
          </w:p>
        </w:tc>
        <w:tc>
          <w:tcPr>
            <w:tcW w:w="5811" w:type="dxa"/>
          </w:tcPr>
          <w:p w14:paraId="6001EF5B" w14:textId="6FCC4426" w:rsidR="00CB76CB" w:rsidRPr="00CB76CB" w:rsidRDefault="00CB76CB" w:rsidP="00CB76CB">
            <w:pPr>
              <w:pStyle w:val="Tabletext"/>
            </w:pPr>
            <w:r w:rsidRPr="00CB76CB">
              <w:t>Summary of best available evidence</w:t>
            </w:r>
          </w:p>
        </w:tc>
      </w:tr>
      <w:tr w:rsidR="00CB76CB" w14:paraId="725B58F1" w14:textId="77777777" w:rsidTr="00E41D8C">
        <w:tc>
          <w:tcPr>
            <w:tcW w:w="3681" w:type="dxa"/>
          </w:tcPr>
          <w:p w14:paraId="011D0019" w14:textId="3C471123"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50997721" w14:textId="0A5F5C6B" w:rsidR="00CB76CB" w:rsidRPr="00CB76CB" w:rsidRDefault="00CB76CB" w:rsidP="00CB76CB">
            <w:pPr>
              <w:pStyle w:val="Tabletext"/>
            </w:pPr>
            <w:proofErr w:type="spellStart"/>
            <w:r w:rsidRPr="00CB76CB">
              <w:t>Novii</w:t>
            </w:r>
            <w:proofErr w:type="spellEnd"/>
            <w:r w:rsidRPr="00CB76CB">
              <w:t xml:space="preserve"> Wireless Patch System for maternal and </w:t>
            </w:r>
            <w:proofErr w:type="spellStart"/>
            <w:r w:rsidRPr="00CB76CB">
              <w:t>fetal</w:t>
            </w:r>
            <w:proofErr w:type="spellEnd"/>
            <w:r w:rsidRPr="00CB76CB">
              <w:t xml:space="preserve"> monitoring</w:t>
            </w:r>
          </w:p>
        </w:tc>
        <w:tc>
          <w:tcPr>
            <w:tcW w:w="5811" w:type="dxa"/>
          </w:tcPr>
          <w:p w14:paraId="2A7C01BC" w14:textId="07693D08" w:rsidR="00CB76CB" w:rsidRPr="00CB76CB" w:rsidRDefault="00CB76CB" w:rsidP="00CB76CB">
            <w:pPr>
              <w:pStyle w:val="Tabletext"/>
            </w:pPr>
            <w:r w:rsidRPr="00CB76CB">
              <w:t>Summary of best available evidence</w:t>
            </w:r>
          </w:p>
        </w:tc>
      </w:tr>
      <w:tr w:rsidR="00CB76CB" w14:paraId="4BFFC48C" w14:textId="77777777" w:rsidTr="00E41D8C">
        <w:tc>
          <w:tcPr>
            <w:tcW w:w="3681" w:type="dxa"/>
          </w:tcPr>
          <w:p w14:paraId="56CDBCDE" w14:textId="0D6938F8"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2DD3858A" w14:textId="6B570C4F" w:rsidR="00CB76CB" w:rsidRPr="00CB76CB" w:rsidRDefault="00CB76CB" w:rsidP="00CB76CB">
            <w:pPr>
              <w:pStyle w:val="Tabletext"/>
            </w:pPr>
            <w:proofErr w:type="spellStart"/>
            <w:r w:rsidRPr="00CB76CB">
              <w:t>AnaConDa</w:t>
            </w:r>
            <w:proofErr w:type="spellEnd"/>
            <w:r w:rsidRPr="00CB76CB">
              <w:t>-S for sedation with volatile anaesthetics in intensive care</w:t>
            </w:r>
          </w:p>
        </w:tc>
        <w:tc>
          <w:tcPr>
            <w:tcW w:w="5811" w:type="dxa"/>
          </w:tcPr>
          <w:p w14:paraId="26B6C066" w14:textId="05801994" w:rsidR="00CB76CB" w:rsidRPr="00CB76CB" w:rsidRDefault="00CB76CB" w:rsidP="00CB76CB">
            <w:pPr>
              <w:pStyle w:val="Tabletext"/>
            </w:pPr>
            <w:r w:rsidRPr="00CB76CB">
              <w:t>Summary of best available evidence</w:t>
            </w:r>
          </w:p>
        </w:tc>
      </w:tr>
      <w:tr w:rsidR="00CB76CB" w14:paraId="6CA8C347" w14:textId="77777777" w:rsidTr="00E41D8C">
        <w:tc>
          <w:tcPr>
            <w:tcW w:w="3681" w:type="dxa"/>
          </w:tcPr>
          <w:p w14:paraId="6B31F636" w14:textId="18BB3FFD"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76BF55E6" w14:textId="1E620561" w:rsidR="00CB76CB" w:rsidRPr="00CB76CB" w:rsidRDefault="00CB76CB" w:rsidP="00CB76CB">
            <w:pPr>
              <w:pStyle w:val="Tabletext"/>
            </w:pPr>
            <w:r w:rsidRPr="00CB76CB">
              <w:t>Tegaderm CHG securement dressing for vascular access sites</w:t>
            </w:r>
          </w:p>
        </w:tc>
        <w:tc>
          <w:tcPr>
            <w:tcW w:w="5811" w:type="dxa"/>
          </w:tcPr>
          <w:p w14:paraId="254F4221" w14:textId="31752013" w:rsidR="00CB76CB" w:rsidRPr="00CB76CB" w:rsidRDefault="00CB76CB" w:rsidP="00CB76CB">
            <w:pPr>
              <w:pStyle w:val="Tabletext"/>
            </w:pPr>
            <w:r w:rsidRPr="00CB76CB">
              <w:t>Summary of best available evidence</w:t>
            </w:r>
          </w:p>
        </w:tc>
      </w:tr>
      <w:tr w:rsidR="00CB76CB" w14:paraId="3EBFDC69" w14:textId="77777777" w:rsidTr="00E41D8C">
        <w:tc>
          <w:tcPr>
            <w:tcW w:w="3681" w:type="dxa"/>
          </w:tcPr>
          <w:p w14:paraId="60D9823A" w14:textId="629281BC"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1365E774" w14:textId="755C3777" w:rsidR="00CB76CB" w:rsidRPr="00CB76CB" w:rsidRDefault="00CB76CB" w:rsidP="00CB76CB">
            <w:pPr>
              <w:pStyle w:val="Tabletext"/>
            </w:pPr>
            <w:r w:rsidRPr="00CB76CB">
              <w:t>3C Patch System for treating diabetic foot ulcers</w:t>
            </w:r>
          </w:p>
        </w:tc>
        <w:tc>
          <w:tcPr>
            <w:tcW w:w="5811" w:type="dxa"/>
          </w:tcPr>
          <w:p w14:paraId="476D14B2" w14:textId="6DC8C3C4" w:rsidR="00CB76CB" w:rsidRPr="00CB76CB" w:rsidRDefault="00CB76CB" w:rsidP="00CB76CB">
            <w:pPr>
              <w:pStyle w:val="Tabletext"/>
            </w:pPr>
            <w:r w:rsidRPr="00CB76CB">
              <w:t>Summary of best available evidence</w:t>
            </w:r>
          </w:p>
        </w:tc>
      </w:tr>
      <w:tr w:rsidR="00CB76CB" w14:paraId="08D8DD65" w14:textId="77777777" w:rsidTr="00E41D8C">
        <w:tc>
          <w:tcPr>
            <w:tcW w:w="3681" w:type="dxa"/>
          </w:tcPr>
          <w:p w14:paraId="5E2B9A34" w14:textId="2987E54F" w:rsidR="00CB76CB" w:rsidRDefault="00CB76CB" w:rsidP="00CB76CB">
            <w:pPr>
              <w:pStyle w:val="Tabletext"/>
            </w:pPr>
            <w:proofErr w:type="spellStart"/>
            <w:r w:rsidRPr="00CB76CB">
              <w:t>Medtech</w:t>
            </w:r>
            <w:proofErr w:type="spellEnd"/>
            <w:r w:rsidRPr="00CB76CB">
              <w:t xml:space="preserve"> innovation briefings</w:t>
            </w:r>
          </w:p>
        </w:tc>
        <w:tc>
          <w:tcPr>
            <w:tcW w:w="4111" w:type="dxa"/>
          </w:tcPr>
          <w:p w14:paraId="49C7A138" w14:textId="4A0B3A00" w:rsidR="00CB76CB" w:rsidRPr="00CB76CB" w:rsidRDefault="00CB76CB" w:rsidP="00CB76CB">
            <w:pPr>
              <w:pStyle w:val="Tabletext"/>
            </w:pPr>
            <w:proofErr w:type="spellStart"/>
            <w:r w:rsidRPr="00CB76CB">
              <w:t>KardiaMobile</w:t>
            </w:r>
            <w:proofErr w:type="spellEnd"/>
            <w:r w:rsidRPr="00CB76CB">
              <w:t xml:space="preserve"> for the ambulatory detection of atrial fibrillation</w:t>
            </w:r>
          </w:p>
        </w:tc>
        <w:tc>
          <w:tcPr>
            <w:tcW w:w="5811" w:type="dxa"/>
          </w:tcPr>
          <w:p w14:paraId="0A80C381" w14:textId="2BBCFF52" w:rsidR="00CB76CB" w:rsidRPr="00CB76CB" w:rsidRDefault="00CB76CB" w:rsidP="00CB76CB">
            <w:pPr>
              <w:pStyle w:val="Tabletext"/>
            </w:pPr>
            <w:r w:rsidRPr="00CB76CB">
              <w:t>Summary of best available evidence</w:t>
            </w:r>
          </w:p>
        </w:tc>
      </w:tr>
      <w:tr w:rsidR="00CB76CB" w14:paraId="764F050E" w14:textId="77777777" w:rsidTr="00E41D8C">
        <w:tc>
          <w:tcPr>
            <w:tcW w:w="3681" w:type="dxa"/>
          </w:tcPr>
          <w:p w14:paraId="2D48DD20" w14:textId="65753534" w:rsidR="00CB76CB" w:rsidRDefault="00CB76CB" w:rsidP="00CB76CB">
            <w:pPr>
              <w:pStyle w:val="Tabletext"/>
            </w:pPr>
            <w:r>
              <w:t>Guidance surveillance reviews</w:t>
            </w:r>
          </w:p>
        </w:tc>
        <w:tc>
          <w:tcPr>
            <w:tcW w:w="4111" w:type="dxa"/>
          </w:tcPr>
          <w:p w14:paraId="5F57ED43" w14:textId="6355DD90" w:rsidR="00CB76CB" w:rsidRPr="00CB76CB" w:rsidRDefault="00CB76CB" w:rsidP="00CB76CB">
            <w:pPr>
              <w:pStyle w:val="Tabletext"/>
            </w:pPr>
            <w:r w:rsidRPr="00CB76CB">
              <w:t>CG54 UTI in under 16s: diagnosis and management</w:t>
            </w:r>
          </w:p>
        </w:tc>
        <w:tc>
          <w:tcPr>
            <w:tcW w:w="5811" w:type="dxa"/>
          </w:tcPr>
          <w:p w14:paraId="4B361EF9" w14:textId="7021DABD" w:rsidR="00CB76CB" w:rsidRPr="00CB76CB" w:rsidRDefault="00CB76CB" w:rsidP="00CB76CB">
            <w:pPr>
              <w:pStyle w:val="Tabletext"/>
            </w:pPr>
            <w:r w:rsidRPr="00CB76CB">
              <w:t>Partial update</w:t>
            </w:r>
          </w:p>
        </w:tc>
      </w:tr>
      <w:tr w:rsidR="000A488F" w14:paraId="398DEEF0" w14:textId="77777777" w:rsidTr="00E41D8C">
        <w:tc>
          <w:tcPr>
            <w:tcW w:w="3681" w:type="dxa"/>
          </w:tcPr>
          <w:p w14:paraId="73B0FF64" w14:textId="0B2B4E41" w:rsidR="000A488F" w:rsidRDefault="000A488F" w:rsidP="000A488F">
            <w:pPr>
              <w:pStyle w:val="Tabletext"/>
            </w:pPr>
            <w:r>
              <w:t>Guidance surveillance reviews</w:t>
            </w:r>
          </w:p>
        </w:tc>
        <w:tc>
          <w:tcPr>
            <w:tcW w:w="4111" w:type="dxa"/>
          </w:tcPr>
          <w:p w14:paraId="6842A778" w14:textId="5DD18769" w:rsidR="000A488F" w:rsidRPr="00CB76CB" w:rsidRDefault="000A488F" w:rsidP="000A488F">
            <w:pPr>
              <w:pStyle w:val="Tabletext"/>
            </w:pPr>
            <w:r w:rsidRPr="00CB76CB">
              <w:t>NG50 Cirrhosis in over 16s: assessment and management</w:t>
            </w:r>
          </w:p>
        </w:tc>
        <w:tc>
          <w:tcPr>
            <w:tcW w:w="5811" w:type="dxa"/>
          </w:tcPr>
          <w:p w14:paraId="601FA871" w14:textId="4A449FA2" w:rsidR="000A488F" w:rsidRPr="00CB76CB" w:rsidRDefault="000A488F" w:rsidP="000A488F">
            <w:pPr>
              <w:pStyle w:val="Tabletext"/>
            </w:pPr>
            <w:r w:rsidRPr="00CB76CB">
              <w:t>Partial update</w:t>
            </w:r>
          </w:p>
        </w:tc>
      </w:tr>
      <w:tr w:rsidR="000A488F" w14:paraId="5F996A24" w14:textId="77777777" w:rsidTr="00E41D8C">
        <w:tc>
          <w:tcPr>
            <w:tcW w:w="3681" w:type="dxa"/>
          </w:tcPr>
          <w:p w14:paraId="7C98EFCD" w14:textId="1765D7A7" w:rsidR="000A488F" w:rsidRDefault="000A488F" w:rsidP="000A488F">
            <w:pPr>
              <w:pStyle w:val="Tabletext"/>
            </w:pPr>
            <w:r>
              <w:lastRenderedPageBreak/>
              <w:t>Guidance surveillance reviews</w:t>
            </w:r>
          </w:p>
        </w:tc>
        <w:tc>
          <w:tcPr>
            <w:tcW w:w="4111" w:type="dxa"/>
          </w:tcPr>
          <w:p w14:paraId="12349592" w14:textId="45ACF78C" w:rsidR="000A488F" w:rsidRPr="00CB76CB" w:rsidRDefault="000A488F" w:rsidP="000A488F">
            <w:pPr>
              <w:pStyle w:val="Tabletext"/>
            </w:pPr>
            <w:r w:rsidRPr="00CB76CB">
              <w:t>NG92 Stop smoking interventions and services – exceptional review</w:t>
            </w:r>
          </w:p>
        </w:tc>
        <w:tc>
          <w:tcPr>
            <w:tcW w:w="5811" w:type="dxa"/>
          </w:tcPr>
          <w:p w14:paraId="065AAC87" w14:textId="17A18CB4" w:rsidR="000A488F" w:rsidRPr="00CB76CB" w:rsidRDefault="000A488F" w:rsidP="000A488F">
            <w:pPr>
              <w:pStyle w:val="Tabletext"/>
            </w:pPr>
            <w:r w:rsidRPr="00CB76CB">
              <w:t>Partial update</w:t>
            </w:r>
          </w:p>
        </w:tc>
      </w:tr>
      <w:tr w:rsidR="000A488F" w14:paraId="219694B4" w14:textId="77777777" w:rsidTr="00E41D8C">
        <w:tc>
          <w:tcPr>
            <w:tcW w:w="3681" w:type="dxa"/>
          </w:tcPr>
          <w:p w14:paraId="506B936F" w14:textId="19ACF877" w:rsidR="000A488F" w:rsidRDefault="000A488F" w:rsidP="000A488F">
            <w:pPr>
              <w:pStyle w:val="Tabletext"/>
            </w:pPr>
            <w:r>
              <w:t>Medicines advice products</w:t>
            </w:r>
          </w:p>
        </w:tc>
        <w:tc>
          <w:tcPr>
            <w:tcW w:w="4111" w:type="dxa"/>
          </w:tcPr>
          <w:p w14:paraId="4A03EF9A" w14:textId="7B08999A" w:rsidR="000A488F" w:rsidRPr="00CB76CB" w:rsidRDefault="000A488F" w:rsidP="000A488F">
            <w:pPr>
              <w:pStyle w:val="Tabletext"/>
            </w:pPr>
            <w:r w:rsidRPr="000A488F">
              <w:t>New MHRA drug safety advice: June to August 2020</w:t>
            </w:r>
          </w:p>
        </w:tc>
        <w:tc>
          <w:tcPr>
            <w:tcW w:w="5811" w:type="dxa"/>
          </w:tcPr>
          <w:p w14:paraId="140BBE77" w14:textId="13F9A242" w:rsidR="000A488F" w:rsidRPr="00CB76CB" w:rsidRDefault="000A488F" w:rsidP="000A488F">
            <w:pPr>
              <w:pStyle w:val="Tabletext"/>
            </w:pPr>
            <w:r w:rsidRPr="000A488F">
              <w:t>Summary of best available evidence</w:t>
            </w:r>
          </w:p>
        </w:tc>
      </w:tr>
      <w:tr w:rsidR="000A488F" w14:paraId="5E74330C" w14:textId="77777777" w:rsidTr="00E41D8C">
        <w:tc>
          <w:tcPr>
            <w:tcW w:w="3681" w:type="dxa"/>
          </w:tcPr>
          <w:p w14:paraId="32C038F9" w14:textId="7DC00211" w:rsidR="000A488F" w:rsidRDefault="000A488F" w:rsidP="000A488F">
            <w:pPr>
              <w:pStyle w:val="Tabletext"/>
            </w:pPr>
            <w:r w:rsidRPr="0005145D">
              <w:t>Medicines advice products</w:t>
            </w:r>
          </w:p>
        </w:tc>
        <w:tc>
          <w:tcPr>
            <w:tcW w:w="4111" w:type="dxa"/>
          </w:tcPr>
          <w:p w14:paraId="135684B2" w14:textId="6AD27472" w:rsidR="000A488F" w:rsidRPr="00CB76CB" w:rsidRDefault="000A488F" w:rsidP="000A488F">
            <w:pPr>
              <w:pStyle w:val="Tabletext"/>
            </w:pPr>
            <w:r w:rsidRPr="000A488F">
              <w:t>Vitamin D supplementation for preventing intensive care admissions in people with COVID-19 associated pneumonia</w:t>
            </w:r>
          </w:p>
        </w:tc>
        <w:tc>
          <w:tcPr>
            <w:tcW w:w="5811" w:type="dxa"/>
          </w:tcPr>
          <w:p w14:paraId="792D6B24" w14:textId="26CA3BA4" w:rsidR="000A488F" w:rsidRPr="00CB76CB" w:rsidRDefault="000A488F" w:rsidP="000A488F">
            <w:pPr>
              <w:pStyle w:val="Tabletext"/>
            </w:pPr>
            <w:r w:rsidRPr="000A488F">
              <w:t>Summary of best available evidence</w:t>
            </w:r>
          </w:p>
        </w:tc>
      </w:tr>
      <w:tr w:rsidR="000A488F" w14:paraId="318B6E9E" w14:textId="77777777" w:rsidTr="00E41D8C">
        <w:tc>
          <w:tcPr>
            <w:tcW w:w="3681" w:type="dxa"/>
          </w:tcPr>
          <w:p w14:paraId="0083D6D1" w14:textId="4A1C45A1" w:rsidR="000A488F" w:rsidRDefault="000A488F" w:rsidP="000A488F">
            <w:pPr>
              <w:pStyle w:val="Tabletext"/>
            </w:pPr>
            <w:r w:rsidRPr="0005145D">
              <w:t>Medicines advice products</w:t>
            </w:r>
          </w:p>
        </w:tc>
        <w:tc>
          <w:tcPr>
            <w:tcW w:w="4111" w:type="dxa"/>
          </w:tcPr>
          <w:p w14:paraId="5CD4C68C" w14:textId="375ED0BB" w:rsidR="000A488F" w:rsidRPr="00CB76CB" w:rsidRDefault="000A488F" w:rsidP="000A488F">
            <w:pPr>
              <w:pStyle w:val="Tabletext"/>
            </w:pPr>
            <w:r w:rsidRPr="000A488F">
              <w:t>Vitamin D levels and severity of COVID-19 illness</w:t>
            </w:r>
          </w:p>
        </w:tc>
        <w:tc>
          <w:tcPr>
            <w:tcW w:w="5811" w:type="dxa"/>
          </w:tcPr>
          <w:p w14:paraId="69D1D2A8" w14:textId="4B7A5AB8" w:rsidR="000A488F" w:rsidRPr="00CB76CB" w:rsidRDefault="000A488F" w:rsidP="000A488F">
            <w:pPr>
              <w:pStyle w:val="Tabletext"/>
            </w:pPr>
            <w:r w:rsidRPr="000A488F">
              <w:t>Summary of best available evidence</w:t>
            </w:r>
          </w:p>
        </w:tc>
      </w:tr>
      <w:tr w:rsidR="000A488F" w14:paraId="7621CB2B" w14:textId="77777777" w:rsidTr="00E41D8C">
        <w:tc>
          <w:tcPr>
            <w:tcW w:w="3681" w:type="dxa"/>
          </w:tcPr>
          <w:p w14:paraId="5B690B3F" w14:textId="6713A68B" w:rsidR="000A488F" w:rsidRPr="000A488F" w:rsidRDefault="000A488F" w:rsidP="000A488F">
            <w:pPr>
              <w:pStyle w:val="Tabletext"/>
            </w:pPr>
            <w:r w:rsidRPr="000A488F">
              <w:t>Evidence reviews for NHSE&amp;I specialised commissioning (including COVID-19 rapid evidence summaries)</w:t>
            </w:r>
          </w:p>
        </w:tc>
        <w:tc>
          <w:tcPr>
            <w:tcW w:w="4111" w:type="dxa"/>
          </w:tcPr>
          <w:p w14:paraId="67E1594F" w14:textId="63C7CA37" w:rsidR="000A488F" w:rsidRPr="000A488F" w:rsidRDefault="000A488F" w:rsidP="000A488F">
            <w:pPr>
              <w:pStyle w:val="Tabletext"/>
            </w:pPr>
            <w:r w:rsidRPr="000A488F">
              <w:t>Gonadotrophin Releasing Hormone analogues for the treatment of children and adolescents who have gender dysphoria</w:t>
            </w:r>
          </w:p>
        </w:tc>
        <w:tc>
          <w:tcPr>
            <w:tcW w:w="5811" w:type="dxa"/>
          </w:tcPr>
          <w:p w14:paraId="4B2C1B58" w14:textId="02A58C08" w:rsidR="000A488F" w:rsidRPr="000A488F" w:rsidRDefault="000A488F" w:rsidP="000A488F">
            <w:pPr>
              <w:pStyle w:val="Tabletext"/>
            </w:pPr>
            <w:r w:rsidRPr="000A488F">
              <w:t>Summary of best available evidence</w:t>
            </w:r>
          </w:p>
        </w:tc>
      </w:tr>
      <w:tr w:rsidR="000A488F" w14:paraId="349287CA" w14:textId="77777777" w:rsidTr="00E41D8C">
        <w:tc>
          <w:tcPr>
            <w:tcW w:w="3681" w:type="dxa"/>
          </w:tcPr>
          <w:p w14:paraId="63387BAF" w14:textId="77E9063A" w:rsidR="000A488F" w:rsidRPr="000A488F" w:rsidRDefault="000A488F" w:rsidP="000A488F">
            <w:pPr>
              <w:pStyle w:val="Tabletext"/>
            </w:pPr>
            <w:r w:rsidRPr="000A488F">
              <w:t>Evidence reviews for NHSE&amp;I specialised commissioning (including COVID-19 rapid evidence summaries)</w:t>
            </w:r>
          </w:p>
        </w:tc>
        <w:tc>
          <w:tcPr>
            <w:tcW w:w="4111" w:type="dxa"/>
          </w:tcPr>
          <w:p w14:paraId="08EDDF6A" w14:textId="23F9BF89" w:rsidR="000A488F" w:rsidRPr="000A488F" w:rsidRDefault="000A488F" w:rsidP="000A488F">
            <w:pPr>
              <w:pStyle w:val="Tabletext"/>
            </w:pPr>
            <w:r w:rsidRPr="000A488F">
              <w:t>Gender-affirming hormone treatment for children and adolescents who have gender dysphoria</w:t>
            </w:r>
          </w:p>
        </w:tc>
        <w:tc>
          <w:tcPr>
            <w:tcW w:w="5811" w:type="dxa"/>
          </w:tcPr>
          <w:p w14:paraId="28A09C22" w14:textId="3F35C031" w:rsidR="000A488F" w:rsidRPr="000A488F" w:rsidRDefault="000A488F" w:rsidP="000A488F">
            <w:pPr>
              <w:pStyle w:val="Tabletext"/>
            </w:pPr>
            <w:r w:rsidRPr="000A488F">
              <w:t>Summary of best available evidence</w:t>
            </w:r>
          </w:p>
        </w:tc>
      </w:tr>
      <w:tr w:rsidR="000A488F" w14:paraId="1D4946A3" w14:textId="77777777" w:rsidTr="00E41D8C">
        <w:tc>
          <w:tcPr>
            <w:tcW w:w="3681" w:type="dxa"/>
          </w:tcPr>
          <w:p w14:paraId="568A8FC1" w14:textId="0EECDC2E" w:rsidR="000A488F" w:rsidRPr="000A488F" w:rsidRDefault="000A488F" w:rsidP="000A488F">
            <w:pPr>
              <w:pStyle w:val="Tabletext"/>
            </w:pPr>
            <w:r>
              <w:t>Antimicrobial evidence summaries</w:t>
            </w:r>
          </w:p>
        </w:tc>
        <w:tc>
          <w:tcPr>
            <w:tcW w:w="4111" w:type="dxa"/>
          </w:tcPr>
          <w:p w14:paraId="1CB9CEC2" w14:textId="0166FF25" w:rsidR="000A488F" w:rsidRPr="000A488F" w:rsidRDefault="000A488F" w:rsidP="000A488F">
            <w:pPr>
              <w:pStyle w:val="Tabletext"/>
            </w:pPr>
            <w:proofErr w:type="spellStart"/>
            <w:r w:rsidRPr="000A488F">
              <w:t>Recarbrio</w:t>
            </w:r>
            <w:proofErr w:type="spellEnd"/>
            <w:r w:rsidRPr="000A488F">
              <w:t xml:space="preserve"> (imipenem, </w:t>
            </w:r>
            <w:proofErr w:type="spellStart"/>
            <w:r w:rsidRPr="000A488F">
              <w:t>cilastatin</w:t>
            </w:r>
            <w:proofErr w:type="spellEnd"/>
            <w:r w:rsidRPr="000A488F">
              <w:t xml:space="preserve"> and </w:t>
            </w:r>
            <w:proofErr w:type="spellStart"/>
            <w:r w:rsidRPr="000A488F">
              <w:t>relebactam</w:t>
            </w:r>
            <w:proofErr w:type="spellEnd"/>
            <w:r w:rsidRPr="000A488F">
              <w:t>) for the treatment of infections due to aerobic Gram-negative organisms</w:t>
            </w:r>
          </w:p>
        </w:tc>
        <w:tc>
          <w:tcPr>
            <w:tcW w:w="5811" w:type="dxa"/>
          </w:tcPr>
          <w:p w14:paraId="1F3DB4AE" w14:textId="6756E9DC" w:rsidR="000A488F" w:rsidRPr="000A488F" w:rsidRDefault="000A488F" w:rsidP="000A488F">
            <w:pPr>
              <w:pStyle w:val="Tabletext"/>
            </w:pPr>
            <w:r w:rsidRPr="000A488F">
              <w:t>Summary of best available evidence</w:t>
            </w:r>
          </w:p>
        </w:tc>
      </w:tr>
      <w:tr w:rsidR="000A488F" w14:paraId="3AF3F229" w14:textId="77777777" w:rsidTr="00E41D8C">
        <w:tc>
          <w:tcPr>
            <w:tcW w:w="3681" w:type="dxa"/>
          </w:tcPr>
          <w:p w14:paraId="4F96C505" w14:textId="77C921BC" w:rsidR="000A488F" w:rsidRPr="000A488F" w:rsidRDefault="000A488F" w:rsidP="000A488F">
            <w:pPr>
              <w:pStyle w:val="Tabletext"/>
            </w:pPr>
            <w:r>
              <w:t>Shared learning</w:t>
            </w:r>
          </w:p>
        </w:tc>
        <w:tc>
          <w:tcPr>
            <w:tcW w:w="4111" w:type="dxa"/>
          </w:tcPr>
          <w:p w14:paraId="6611360B" w14:textId="7E159251" w:rsidR="000A488F" w:rsidRPr="000A488F" w:rsidRDefault="000A488F" w:rsidP="000A488F">
            <w:pPr>
              <w:pStyle w:val="Tabletext"/>
            </w:pPr>
            <w:r w:rsidRPr="000A488F">
              <w:t>Developing and implementing guidance for staff delegating clinical tasks to informal carers and relatives during the COVID-19 pandemic</w:t>
            </w:r>
          </w:p>
        </w:tc>
        <w:tc>
          <w:tcPr>
            <w:tcW w:w="5811" w:type="dxa"/>
          </w:tcPr>
          <w:p w14:paraId="3D532D0C" w14:textId="1C9B1D72" w:rsidR="000A488F" w:rsidRPr="000A488F" w:rsidRDefault="000A488F" w:rsidP="000A488F">
            <w:pPr>
              <w:pStyle w:val="Tabletext"/>
            </w:pPr>
            <w:r w:rsidRPr="000A488F">
              <w:t>Shared Learning example</w:t>
            </w:r>
          </w:p>
        </w:tc>
      </w:tr>
      <w:tr w:rsidR="000A488F" w14:paraId="3B8D50F8" w14:textId="77777777" w:rsidTr="00E41D8C">
        <w:tc>
          <w:tcPr>
            <w:tcW w:w="3681" w:type="dxa"/>
          </w:tcPr>
          <w:p w14:paraId="33C2CA21" w14:textId="2053505F" w:rsidR="000A488F" w:rsidRPr="000A488F" w:rsidRDefault="000A488F" w:rsidP="000A488F">
            <w:pPr>
              <w:pStyle w:val="Tabletext"/>
            </w:pPr>
            <w:r w:rsidRPr="009A6E7F">
              <w:t>Shared learning</w:t>
            </w:r>
          </w:p>
        </w:tc>
        <w:tc>
          <w:tcPr>
            <w:tcW w:w="4111" w:type="dxa"/>
          </w:tcPr>
          <w:p w14:paraId="52D1317F" w14:textId="05C5672C" w:rsidR="000A488F" w:rsidRPr="000A488F" w:rsidRDefault="000A488F" w:rsidP="000A488F">
            <w:pPr>
              <w:pStyle w:val="Tabletext"/>
            </w:pPr>
            <w:r w:rsidRPr="000A488F">
              <w:t>A risk-stratified approach to planned cancer care during the COVID-19 pandemic: the Royal Marsden experience</w:t>
            </w:r>
          </w:p>
        </w:tc>
        <w:tc>
          <w:tcPr>
            <w:tcW w:w="5811" w:type="dxa"/>
          </w:tcPr>
          <w:p w14:paraId="3E64C95A" w14:textId="0113C4C7" w:rsidR="000A488F" w:rsidRPr="000A488F" w:rsidRDefault="000A488F" w:rsidP="000A488F">
            <w:pPr>
              <w:pStyle w:val="Tabletext"/>
            </w:pPr>
            <w:r w:rsidRPr="000A488F">
              <w:t>Shared Learning example</w:t>
            </w:r>
          </w:p>
        </w:tc>
      </w:tr>
      <w:tr w:rsidR="000A488F" w14:paraId="16328C6C" w14:textId="77777777" w:rsidTr="00E41D8C">
        <w:tc>
          <w:tcPr>
            <w:tcW w:w="3681" w:type="dxa"/>
          </w:tcPr>
          <w:p w14:paraId="05998985" w14:textId="373F13D8" w:rsidR="000A488F" w:rsidRPr="000A488F" w:rsidRDefault="000A488F" w:rsidP="000A488F">
            <w:pPr>
              <w:pStyle w:val="Tabletext"/>
            </w:pPr>
            <w:r w:rsidRPr="009A6E7F">
              <w:lastRenderedPageBreak/>
              <w:t>Shared learning</w:t>
            </w:r>
          </w:p>
        </w:tc>
        <w:tc>
          <w:tcPr>
            <w:tcW w:w="4111" w:type="dxa"/>
          </w:tcPr>
          <w:p w14:paraId="6E3D752D" w14:textId="6E70A5D6" w:rsidR="000A488F" w:rsidRPr="000A488F" w:rsidRDefault="000A488F" w:rsidP="000A488F">
            <w:pPr>
              <w:pStyle w:val="Tabletext"/>
            </w:pPr>
            <w:r w:rsidRPr="000A488F">
              <w:t>Delivering a paediatric elective surgery service during the COVID-19 pandemic</w:t>
            </w:r>
          </w:p>
        </w:tc>
        <w:tc>
          <w:tcPr>
            <w:tcW w:w="5811" w:type="dxa"/>
          </w:tcPr>
          <w:p w14:paraId="46C53296" w14:textId="7296EEA3" w:rsidR="000A488F" w:rsidRPr="000A488F" w:rsidRDefault="000A488F" w:rsidP="000A488F">
            <w:pPr>
              <w:pStyle w:val="Tabletext"/>
            </w:pPr>
            <w:r w:rsidRPr="000A488F">
              <w:t>Shared Learning example</w:t>
            </w:r>
          </w:p>
        </w:tc>
      </w:tr>
      <w:tr w:rsidR="000A488F" w14:paraId="2813C2EC" w14:textId="77777777" w:rsidTr="00E41D8C">
        <w:tc>
          <w:tcPr>
            <w:tcW w:w="3681" w:type="dxa"/>
          </w:tcPr>
          <w:p w14:paraId="5B9FCE76" w14:textId="09E91C50" w:rsidR="000A488F" w:rsidRPr="000A488F" w:rsidRDefault="000A488F" w:rsidP="000A488F">
            <w:pPr>
              <w:pStyle w:val="Tabletext"/>
            </w:pPr>
            <w:r w:rsidRPr="009A6E7F">
              <w:t>Shared learning</w:t>
            </w:r>
          </w:p>
        </w:tc>
        <w:tc>
          <w:tcPr>
            <w:tcW w:w="4111" w:type="dxa"/>
          </w:tcPr>
          <w:p w14:paraId="1CC0781C" w14:textId="234DDE2D" w:rsidR="000A488F" w:rsidRPr="000A488F" w:rsidRDefault="000A488F" w:rsidP="000A488F">
            <w:pPr>
              <w:pStyle w:val="Tabletext"/>
            </w:pPr>
            <w:r w:rsidRPr="000A488F">
              <w:t>Help to Care Mobile App: Supporting care workers and carers to identify and prevent deterioration</w:t>
            </w:r>
          </w:p>
        </w:tc>
        <w:tc>
          <w:tcPr>
            <w:tcW w:w="5811" w:type="dxa"/>
          </w:tcPr>
          <w:p w14:paraId="1ECC8B96" w14:textId="7D511AAB" w:rsidR="000A488F" w:rsidRPr="000A488F" w:rsidRDefault="000A488F" w:rsidP="000A488F">
            <w:pPr>
              <w:pStyle w:val="Tabletext"/>
            </w:pPr>
            <w:r w:rsidRPr="000A488F">
              <w:t>Shared Learning example</w:t>
            </w:r>
          </w:p>
        </w:tc>
      </w:tr>
      <w:tr w:rsidR="000A488F" w14:paraId="44718A50" w14:textId="77777777" w:rsidTr="00E41D8C">
        <w:tc>
          <w:tcPr>
            <w:tcW w:w="3681" w:type="dxa"/>
          </w:tcPr>
          <w:p w14:paraId="3412CC5C" w14:textId="4EEFF08B" w:rsidR="000A488F" w:rsidRPr="000A488F" w:rsidRDefault="000A488F" w:rsidP="000A488F">
            <w:pPr>
              <w:pStyle w:val="Tabletext"/>
            </w:pPr>
            <w:r>
              <w:t>Shared learning</w:t>
            </w:r>
          </w:p>
        </w:tc>
        <w:tc>
          <w:tcPr>
            <w:tcW w:w="4111" w:type="dxa"/>
          </w:tcPr>
          <w:p w14:paraId="5036AA21" w14:textId="2B790669" w:rsidR="000A488F" w:rsidRPr="000A488F" w:rsidRDefault="000A488F" w:rsidP="000A488F">
            <w:pPr>
              <w:pStyle w:val="Tabletext"/>
            </w:pPr>
            <w:r w:rsidRPr="000A488F">
              <w:t>Virtual care coordination for people diagnosed with intellectual disability and comorbidities: improving patient safety and health care outcomes</w:t>
            </w:r>
          </w:p>
        </w:tc>
        <w:tc>
          <w:tcPr>
            <w:tcW w:w="5811" w:type="dxa"/>
          </w:tcPr>
          <w:p w14:paraId="5C29A37B" w14:textId="5CF7C063" w:rsidR="000A488F" w:rsidRPr="000A488F" w:rsidRDefault="000A488F" w:rsidP="000A488F">
            <w:pPr>
              <w:pStyle w:val="Tabletext"/>
            </w:pPr>
            <w:r w:rsidRPr="000A488F">
              <w:t>Shared Learning example</w:t>
            </w:r>
          </w:p>
        </w:tc>
      </w:tr>
      <w:tr w:rsidR="000A488F" w14:paraId="5D9208F9" w14:textId="77777777" w:rsidTr="00E41D8C">
        <w:tc>
          <w:tcPr>
            <w:tcW w:w="3681" w:type="dxa"/>
          </w:tcPr>
          <w:p w14:paraId="43E380E2" w14:textId="724F4245" w:rsidR="000A488F" w:rsidRDefault="000A488F" w:rsidP="000A488F">
            <w:pPr>
              <w:pStyle w:val="Tabletext"/>
            </w:pPr>
            <w:r>
              <w:t>Endorsement statements</w:t>
            </w:r>
          </w:p>
        </w:tc>
        <w:tc>
          <w:tcPr>
            <w:tcW w:w="4111" w:type="dxa"/>
          </w:tcPr>
          <w:p w14:paraId="09D440F0" w14:textId="74F6CE67" w:rsidR="000A488F" w:rsidRPr="000A488F" w:rsidRDefault="000A488F" w:rsidP="000A488F">
            <w:pPr>
              <w:pStyle w:val="Tabletext"/>
            </w:pPr>
            <w:r w:rsidRPr="000A488F">
              <w:t>Dialysis Decision Aid</w:t>
            </w:r>
          </w:p>
        </w:tc>
        <w:tc>
          <w:tcPr>
            <w:tcW w:w="5811" w:type="dxa"/>
          </w:tcPr>
          <w:p w14:paraId="2ECBDAB4" w14:textId="3B593CEE" w:rsidR="000A488F" w:rsidRPr="000A488F" w:rsidRDefault="000A488F" w:rsidP="000A488F">
            <w:pPr>
              <w:pStyle w:val="Tabletext"/>
            </w:pPr>
            <w:r w:rsidRPr="000A488F">
              <w:t>Uptake of NICE guidance and standards</w:t>
            </w:r>
          </w:p>
        </w:tc>
      </w:tr>
      <w:tr w:rsidR="000A488F" w14:paraId="3E5E004B" w14:textId="77777777" w:rsidTr="00E41D8C">
        <w:tc>
          <w:tcPr>
            <w:tcW w:w="3681" w:type="dxa"/>
          </w:tcPr>
          <w:p w14:paraId="5CEF6150" w14:textId="5FA033BB" w:rsidR="000A488F" w:rsidRDefault="000A488F" w:rsidP="000A488F">
            <w:pPr>
              <w:pStyle w:val="Tabletext"/>
            </w:pPr>
            <w:r w:rsidRPr="00F36D6B">
              <w:t>Endorsement statements</w:t>
            </w:r>
          </w:p>
        </w:tc>
        <w:tc>
          <w:tcPr>
            <w:tcW w:w="4111" w:type="dxa"/>
          </w:tcPr>
          <w:p w14:paraId="66753205" w14:textId="69834582" w:rsidR="000A488F" w:rsidRPr="000A488F" w:rsidRDefault="000A488F" w:rsidP="000A488F">
            <w:pPr>
              <w:pStyle w:val="Tabletext"/>
            </w:pPr>
            <w:r w:rsidRPr="000A488F">
              <w:t>E242 – Stopping antidepressants</w:t>
            </w:r>
          </w:p>
        </w:tc>
        <w:tc>
          <w:tcPr>
            <w:tcW w:w="5811" w:type="dxa"/>
          </w:tcPr>
          <w:p w14:paraId="390CE29A" w14:textId="6C0E7E44" w:rsidR="000A488F" w:rsidRPr="000A488F" w:rsidRDefault="000A488F" w:rsidP="000A488F">
            <w:pPr>
              <w:pStyle w:val="Tabletext"/>
            </w:pPr>
            <w:r w:rsidRPr="000A488F">
              <w:t>Uptake of NICE guidance and standards</w:t>
            </w:r>
          </w:p>
        </w:tc>
      </w:tr>
      <w:tr w:rsidR="000A488F" w14:paraId="3F740B53" w14:textId="77777777" w:rsidTr="00E41D8C">
        <w:tc>
          <w:tcPr>
            <w:tcW w:w="3681" w:type="dxa"/>
          </w:tcPr>
          <w:p w14:paraId="7F0667E4" w14:textId="1FED7E01" w:rsidR="000A488F" w:rsidRDefault="000A488F" w:rsidP="000A488F">
            <w:pPr>
              <w:pStyle w:val="Tabletext"/>
            </w:pPr>
            <w:r w:rsidRPr="00F36D6B">
              <w:t>Endorsement statements</w:t>
            </w:r>
          </w:p>
        </w:tc>
        <w:tc>
          <w:tcPr>
            <w:tcW w:w="4111" w:type="dxa"/>
          </w:tcPr>
          <w:p w14:paraId="33CCA372" w14:textId="030EE214" w:rsidR="000A488F" w:rsidRPr="000A488F" w:rsidRDefault="000A488F" w:rsidP="000A488F">
            <w:pPr>
              <w:pStyle w:val="Tabletext"/>
            </w:pPr>
            <w:r w:rsidRPr="000A488F">
              <w:t>E246 – A dialysis and conservative care decision aid: living with kidney disease</w:t>
            </w:r>
          </w:p>
        </w:tc>
        <w:tc>
          <w:tcPr>
            <w:tcW w:w="5811" w:type="dxa"/>
          </w:tcPr>
          <w:p w14:paraId="4CA70B94" w14:textId="6D03D7FA" w:rsidR="000A488F" w:rsidRPr="000A488F" w:rsidRDefault="000A488F" w:rsidP="000A488F">
            <w:pPr>
              <w:pStyle w:val="Tabletext"/>
            </w:pPr>
            <w:r w:rsidRPr="000A488F">
              <w:t>Uptake of NICE guidance and standards</w:t>
            </w:r>
          </w:p>
        </w:tc>
      </w:tr>
    </w:tbl>
    <w:p w14:paraId="13DDCD03" w14:textId="77777777" w:rsidR="008F78FA" w:rsidRPr="00916AB8" w:rsidRDefault="008F78FA" w:rsidP="008F78FA">
      <w:pPr>
        <w:pStyle w:val="Paragraph"/>
        <w:numPr>
          <w:ilvl w:val="0"/>
          <w:numId w:val="0"/>
        </w:numPr>
        <w:ind w:left="567" w:hanging="501"/>
      </w:pPr>
    </w:p>
    <w:p w14:paraId="7CE03606" w14:textId="77777777" w:rsidR="003F112A" w:rsidRDefault="003F112A" w:rsidP="005C26D9">
      <w:pPr>
        <w:pStyle w:val="Heading2boardreport"/>
      </w:pPr>
      <w:r w:rsidRPr="00E515E8">
        <w:t xml:space="preserve">Key to </w:t>
      </w:r>
      <w:r w:rsidRPr="005C26D9">
        <w:t>recommendation</w:t>
      </w:r>
      <w:r w:rsidRPr="00E515E8">
        <w:t xml:space="preserve"> types</w:t>
      </w:r>
    </w:p>
    <w:p w14:paraId="40856ECE" w14:textId="77777777" w:rsidR="003F112A" w:rsidRDefault="003F112A" w:rsidP="006D2357">
      <w:pPr>
        <w:pStyle w:val="Heading3boardreport"/>
      </w:pPr>
      <w:bookmarkStart w:id="2" w:name="_Hlk40082654"/>
      <w:r>
        <w:t>Guidelines (clinical, social care and public health):</w:t>
      </w:r>
    </w:p>
    <w:p w14:paraId="59F89A98" w14:textId="77777777" w:rsidR="003F112A" w:rsidRDefault="003F112A" w:rsidP="006D2357">
      <w:pPr>
        <w:pStyle w:val="NICEnormal"/>
      </w:pPr>
      <w:r>
        <w:t>General guidance: NICE guidelines each cover a range of practice and interventions, with recommendations ranging from ‘must do’ (where compliance with legislation is required) and ‘should do’ (where there is strong evidence of effectiveness), to ‘don’t do’, where compelling evidence that an intervention is ineffective or harmful has been identified.</w:t>
      </w:r>
    </w:p>
    <w:bookmarkEnd w:id="2"/>
    <w:p w14:paraId="55679102" w14:textId="77777777" w:rsidR="003F112A" w:rsidRDefault="003F112A" w:rsidP="003F112A">
      <w:pPr>
        <w:pStyle w:val="Heading3boardreport"/>
      </w:pPr>
      <w:r w:rsidRPr="00936D24">
        <w:t>Interventional</w:t>
      </w:r>
      <w:r w:rsidRPr="00E515E8">
        <w:t xml:space="preserve"> Procedures</w:t>
      </w:r>
      <w:r>
        <w:t>:</w:t>
      </w:r>
    </w:p>
    <w:p w14:paraId="0132D6A4" w14:textId="77777777" w:rsidR="003F112A" w:rsidRDefault="003F112A" w:rsidP="006D2357">
      <w:pPr>
        <w:pStyle w:val="NICEnormal"/>
      </w:pPr>
      <w:r>
        <w:t xml:space="preserve">Interventional procedures offer advice about the safety and effectiveness of surgical techniques and some other kinds of procedures. Advice normally relates to the kind of consent (normal or special) required from patients before the procedure is </w:t>
      </w:r>
      <w:r>
        <w:lastRenderedPageBreak/>
        <w:t>undertaken, but in a small number of cases, where major safety concerns have been identified, a ‘do not use’ recommendation is made.</w:t>
      </w:r>
    </w:p>
    <w:p w14:paraId="2464AC3E" w14:textId="77777777" w:rsidR="003F112A" w:rsidRDefault="003F112A" w:rsidP="003F112A">
      <w:pPr>
        <w:pStyle w:val="Heading3boardreport"/>
      </w:pPr>
      <w:r w:rsidRPr="00E515E8">
        <w:t>Medical technologies:</w:t>
      </w:r>
    </w:p>
    <w:p w14:paraId="4530893F" w14:textId="77777777" w:rsidR="003F112A" w:rsidRDefault="003F112A" w:rsidP="006D2357">
      <w:pPr>
        <w:pStyle w:val="NICEnormal"/>
      </w:pPr>
      <w:r>
        <w:t>Guidance on new medical technologies (medical devices</w:t>
      </w:r>
      <w:r w:rsidRPr="00A72FED">
        <w:t xml:space="preserve">) is normally framed in terms of </w:t>
      </w:r>
      <w:proofErr w:type="gramStart"/>
      <w:r w:rsidRPr="00A72FED">
        <w:t>whether or not</w:t>
      </w:r>
      <w:proofErr w:type="gramEnd"/>
      <w:r w:rsidRPr="00A72FED">
        <w:t xml:space="preserve"> the case for use in the NHS has been successfully</w:t>
      </w:r>
      <w:r>
        <w:t xml:space="preserve"> made by the manufacturer.</w:t>
      </w:r>
    </w:p>
    <w:p w14:paraId="21EF8397" w14:textId="77777777" w:rsidR="003F112A" w:rsidRDefault="003F112A" w:rsidP="003F112A">
      <w:pPr>
        <w:pStyle w:val="Heading3boardreport"/>
      </w:pPr>
      <w:r w:rsidRPr="00A72FED">
        <w:t xml:space="preserve">Diagnostics guidance: </w:t>
      </w:r>
    </w:p>
    <w:p w14:paraId="7C97EEED" w14:textId="77777777" w:rsidR="003F112A" w:rsidRDefault="003F112A" w:rsidP="006D2357">
      <w:pPr>
        <w:pStyle w:val="NICEnormal"/>
      </w:pPr>
      <w:r w:rsidRPr="00A72FED">
        <w:t>New diagnostic techniques are recommended or not recommended for routine use in the NHS</w:t>
      </w:r>
      <w:r>
        <w:t>, or sometimes for research.</w:t>
      </w:r>
    </w:p>
    <w:p w14:paraId="3C78EE84" w14:textId="77777777" w:rsidR="003F112A" w:rsidRPr="001B21FD" w:rsidRDefault="003F112A" w:rsidP="003F112A">
      <w:pPr>
        <w:pStyle w:val="Heading3boardreport"/>
      </w:pPr>
      <w:r w:rsidRPr="009E37BD">
        <w:t>Management of common infections:</w:t>
      </w:r>
    </w:p>
    <w:p w14:paraId="066305D0" w14:textId="77777777" w:rsidR="003F112A" w:rsidRDefault="003F112A" w:rsidP="006D2357">
      <w:pPr>
        <w:pStyle w:val="NICEnormal"/>
      </w:pPr>
      <w:r>
        <w:t>These guidelines help the NHS make the best use of antibiotics, as part of the broader antimicrobial stewardship effort.</w:t>
      </w:r>
    </w:p>
    <w:p w14:paraId="57A4D480" w14:textId="77777777" w:rsidR="003F112A" w:rsidRPr="009E37BD" w:rsidRDefault="003F112A" w:rsidP="003F112A">
      <w:pPr>
        <w:pStyle w:val="Heading3boardreport"/>
      </w:pPr>
      <w:r w:rsidRPr="009E37BD">
        <w:t>Quality standards:</w:t>
      </w:r>
    </w:p>
    <w:p w14:paraId="697919E6" w14:textId="77777777" w:rsidR="003F112A" w:rsidRDefault="003F112A" w:rsidP="006D2357">
      <w:pPr>
        <w:pStyle w:val="NICEnormal"/>
      </w:pPr>
      <w:r>
        <w:t>The statements in our Quality Standards identify important aspects of practice in which there is significant variation across the NHS.</w:t>
      </w:r>
    </w:p>
    <w:p w14:paraId="7A75FE0D" w14:textId="77777777" w:rsidR="008F78FA" w:rsidRDefault="008F78FA" w:rsidP="008F78FA">
      <w:pPr>
        <w:pStyle w:val="Heading3boardreport"/>
      </w:pPr>
      <w:r>
        <w:t xml:space="preserve">Indicators: </w:t>
      </w:r>
    </w:p>
    <w:p w14:paraId="1BA021B3" w14:textId="77777777" w:rsidR="008F78FA" w:rsidRPr="008F78FA" w:rsidRDefault="008F78FA" w:rsidP="008F78FA">
      <w:pPr>
        <w:pStyle w:val="NICEnormal"/>
      </w:pPr>
      <w:r>
        <w:t>NICE indicators measure outcomes that reflect the quality of care, or processes linked, by evidence, to improved outcomes.</w:t>
      </w:r>
    </w:p>
    <w:p w14:paraId="63AD5664" w14:textId="77777777" w:rsidR="003F112A" w:rsidRPr="009E37BD" w:rsidRDefault="003F112A" w:rsidP="003F112A">
      <w:pPr>
        <w:pStyle w:val="Heading3boardreport"/>
      </w:pPr>
      <w:r w:rsidRPr="009E37BD">
        <w:lastRenderedPageBreak/>
        <w:t>Technology appraisals and highly specialised technologies:</w:t>
      </w:r>
    </w:p>
    <w:p w14:paraId="0BD82601" w14:textId="77777777" w:rsidR="003F112A" w:rsidRDefault="003F112A" w:rsidP="006D2357">
      <w:pPr>
        <w:pStyle w:val="NICEnormal"/>
      </w:pPr>
      <w:r>
        <w:t xml:space="preserve">This guidance can ‘recommend’ the use of a new drug or other treatment, ‘optimised use’, in which the recommendation is positive for some but not all uses, or ‘not recommend’ routine use in the NHS. Research only use is also sometimes recommended. Positive recommendations are subject to a legal funding requirement. </w:t>
      </w:r>
    </w:p>
    <w:p w14:paraId="11EB939E" w14:textId="77777777" w:rsidR="003F112A" w:rsidRPr="009E37BD" w:rsidRDefault="003F112A" w:rsidP="003F112A">
      <w:pPr>
        <w:pStyle w:val="Heading3boardreport"/>
      </w:pPr>
      <w:r w:rsidRPr="009E37BD">
        <w:t xml:space="preserve">Evidence summaries and </w:t>
      </w:r>
      <w:proofErr w:type="spellStart"/>
      <w:r w:rsidRPr="009E37BD">
        <w:t>medtech</w:t>
      </w:r>
      <w:proofErr w:type="spellEnd"/>
      <w:r w:rsidRPr="009E37BD">
        <w:t xml:space="preserve"> innovation briefings:</w:t>
      </w:r>
    </w:p>
    <w:p w14:paraId="158AC8C7" w14:textId="77777777" w:rsidR="003F112A" w:rsidRDefault="003F112A" w:rsidP="003F112A">
      <w:pPr>
        <w:rPr>
          <w:rFonts w:ascii="Arial" w:hAnsi="Arial" w:cs="Arial"/>
        </w:rPr>
      </w:pPr>
      <w:r>
        <w:rPr>
          <w:rFonts w:ascii="Arial" w:hAnsi="Arial" w:cs="Arial"/>
        </w:rPr>
        <w:t>Both publications provide information (but not guidance) about a particular topic.</w:t>
      </w:r>
    </w:p>
    <w:p w14:paraId="60C8D26F" w14:textId="77777777" w:rsidR="003F112A" w:rsidRPr="00320A2A" w:rsidRDefault="003F112A" w:rsidP="003F112A">
      <w:pPr>
        <w:pStyle w:val="Heading3boardreport"/>
      </w:pPr>
      <w:r w:rsidRPr="00320A2A">
        <w:t>Surveillance reviews:</w:t>
      </w:r>
    </w:p>
    <w:p w14:paraId="133DE569" w14:textId="3066FD87" w:rsidR="003F112A" w:rsidRDefault="003F112A" w:rsidP="006D2357">
      <w:pPr>
        <w:pStyle w:val="NICEnormal"/>
      </w:pPr>
      <w:r>
        <w:t>Provide the basis for decision about whether to update current NICE guidance.</w:t>
      </w:r>
    </w:p>
    <w:p w14:paraId="29F92DFC" w14:textId="77777777" w:rsidR="008F78FA" w:rsidRDefault="008F78FA" w:rsidP="008F78FA">
      <w:pPr>
        <w:pStyle w:val="Heading3boardreport"/>
      </w:pPr>
      <w:r>
        <w:t>Shared learning examples:</w:t>
      </w:r>
    </w:p>
    <w:p w14:paraId="5765E766" w14:textId="77777777" w:rsidR="008F78FA" w:rsidRDefault="008F78FA" w:rsidP="008F78FA">
      <w:pPr>
        <w:pStyle w:val="NICEnormal"/>
      </w:pPr>
      <w:r>
        <w:t>These publications</w:t>
      </w:r>
      <w:r w:rsidRPr="00916AB8">
        <w:t xml:space="preserve"> are quality-assured practical case studies written by local organisations and describe their use of NICE guidance and/or quality standards to change and improve local practice in their services.</w:t>
      </w:r>
    </w:p>
    <w:p w14:paraId="7B6B1F80" w14:textId="77777777" w:rsidR="008F78FA" w:rsidRDefault="008F78FA" w:rsidP="008F78FA">
      <w:pPr>
        <w:pStyle w:val="Heading3boardreport"/>
      </w:pPr>
      <w:r>
        <w:t>Endorsement statements:</w:t>
      </w:r>
    </w:p>
    <w:p w14:paraId="57A45D78" w14:textId="77777777" w:rsidR="008F78FA" w:rsidRPr="00916AB8" w:rsidRDefault="008F78FA" w:rsidP="008F78FA">
      <w:pPr>
        <w:pStyle w:val="NICEnormal"/>
      </w:pPr>
      <w:r>
        <w:t>Tools to support the uptake of NICE guidance and standards.</w:t>
      </w:r>
    </w:p>
    <w:p w14:paraId="7A18F197" w14:textId="77777777" w:rsidR="008F78FA" w:rsidRDefault="008F78FA" w:rsidP="006D2357">
      <w:pPr>
        <w:pStyle w:val="NICEnormal"/>
      </w:pPr>
    </w:p>
    <w:p w14:paraId="4896B500" w14:textId="77777777" w:rsidR="003F112A" w:rsidRDefault="003F112A" w:rsidP="003F112A">
      <w:pPr>
        <w:rPr>
          <w:rFonts w:ascii="Arial" w:hAnsi="Arial"/>
          <w:szCs w:val="26"/>
        </w:rPr>
      </w:pPr>
      <w:r>
        <w:br w:type="page"/>
      </w:r>
    </w:p>
    <w:p w14:paraId="58AAA241" w14:textId="321431DE" w:rsidR="003F112A" w:rsidRDefault="003F112A" w:rsidP="003F112A">
      <w:pPr>
        <w:pStyle w:val="Heading1boardreport"/>
      </w:pPr>
      <w:r>
        <w:lastRenderedPageBreak/>
        <w:t xml:space="preserve">Appendix 4: Balanced scorecard </w:t>
      </w:r>
      <w:r w:rsidR="00C374A7">
        <w:t xml:space="preserve">April 2020 to </w:t>
      </w:r>
      <w:r w:rsidR="00795BC5">
        <w:t>September</w:t>
      </w:r>
      <w:r w:rsidR="00C374A7">
        <w:t xml:space="preserve"> 2020</w:t>
      </w:r>
    </w:p>
    <w:p w14:paraId="3736E998" w14:textId="5A8836A8" w:rsidR="008F78FA" w:rsidRDefault="008F78FA" w:rsidP="00301D86">
      <w:pPr>
        <w:pStyle w:val="Caption"/>
      </w:pPr>
      <w:r>
        <w:t xml:space="preserve">Guidance, standards, </w:t>
      </w:r>
      <w:proofErr w:type="gramStart"/>
      <w:r>
        <w:t>indicators</w:t>
      </w:r>
      <w:proofErr w:type="gramEnd"/>
      <w:r>
        <w:t xml:space="preserve"> and evidence</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
        <w:gridCol w:w="1972"/>
        <w:gridCol w:w="1821"/>
        <w:gridCol w:w="1415"/>
        <w:gridCol w:w="1267"/>
        <w:gridCol w:w="56"/>
        <w:gridCol w:w="1361"/>
        <w:gridCol w:w="1335"/>
        <w:gridCol w:w="1559"/>
        <w:gridCol w:w="16"/>
        <w:gridCol w:w="1312"/>
      </w:tblGrid>
      <w:tr w:rsidR="00FF5BAD" w14:paraId="4A30B9C0" w14:textId="0F3F60DD" w:rsidTr="00DA0736">
        <w:trPr>
          <w:tblHeader/>
        </w:trPr>
        <w:tc>
          <w:tcPr>
            <w:tcW w:w="1834" w:type="dxa"/>
            <w:gridSpan w:val="2"/>
          </w:tcPr>
          <w:p w14:paraId="65A88329" w14:textId="4B3C5DCC" w:rsidR="00D7033D" w:rsidRPr="005A2A4F" w:rsidRDefault="00D7033D" w:rsidP="005A2A4F">
            <w:pPr>
              <w:pStyle w:val="Tableheadingboardreport"/>
            </w:pPr>
            <w:r>
              <w:t>Success criteria</w:t>
            </w:r>
          </w:p>
        </w:tc>
        <w:tc>
          <w:tcPr>
            <w:tcW w:w="1972" w:type="dxa"/>
          </w:tcPr>
          <w:p w14:paraId="0CBC9C68" w14:textId="17FA31A2" w:rsidR="00D7033D" w:rsidRPr="005A2A4F" w:rsidRDefault="00D7033D" w:rsidP="005A2A4F">
            <w:pPr>
              <w:pStyle w:val="Tableheadingboardreport"/>
            </w:pPr>
            <w:r w:rsidRPr="00D7033D">
              <w:t>Planned output to year end</w:t>
            </w:r>
          </w:p>
        </w:tc>
        <w:tc>
          <w:tcPr>
            <w:tcW w:w="1821" w:type="dxa"/>
          </w:tcPr>
          <w:p w14:paraId="3AC8F376" w14:textId="2E520EE6" w:rsidR="00D7033D" w:rsidRPr="005A2A4F" w:rsidRDefault="00D7033D" w:rsidP="005A2A4F">
            <w:pPr>
              <w:pStyle w:val="Tableheadingboardreport"/>
            </w:pPr>
            <w:bookmarkStart w:id="3" w:name="_Hlk55892222"/>
            <w:r w:rsidRPr="00D7033D">
              <w:t>Forecast revised output due to COVID-19</w:t>
            </w:r>
            <w:bookmarkEnd w:id="3"/>
          </w:p>
        </w:tc>
        <w:tc>
          <w:tcPr>
            <w:tcW w:w="1415" w:type="dxa"/>
          </w:tcPr>
          <w:p w14:paraId="431310F8" w14:textId="144EFECA" w:rsidR="00D7033D" w:rsidRPr="007277C3" w:rsidRDefault="00D7033D" w:rsidP="005A2A4F">
            <w:pPr>
              <w:pStyle w:val="Tableheadingboardreport"/>
            </w:pPr>
            <w:r>
              <w:t>Key measures</w:t>
            </w:r>
          </w:p>
        </w:tc>
        <w:tc>
          <w:tcPr>
            <w:tcW w:w="1323" w:type="dxa"/>
            <w:gridSpan w:val="2"/>
          </w:tcPr>
          <w:p w14:paraId="55B4FB50" w14:textId="3AB6105B" w:rsidR="00D7033D" w:rsidRPr="007277C3" w:rsidRDefault="00D7033D" w:rsidP="005A2A4F">
            <w:pPr>
              <w:pStyle w:val="Tableheadingboardreport"/>
            </w:pPr>
            <w:r w:rsidRPr="00D7033D">
              <w:t>Target (against forecast revised output)</w:t>
            </w:r>
          </w:p>
        </w:tc>
        <w:tc>
          <w:tcPr>
            <w:tcW w:w="1361" w:type="dxa"/>
          </w:tcPr>
          <w:p w14:paraId="13368C98" w14:textId="0A3CCE43" w:rsidR="00D7033D" w:rsidRPr="007277C3" w:rsidRDefault="00D7033D" w:rsidP="005A2A4F">
            <w:pPr>
              <w:pStyle w:val="Tableheadingboardreport"/>
            </w:pPr>
            <w:r w:rsidRPr="00D7033D">
              <w:t>Planned YTD (revised output)</w:t>
            </w:r>
          </w:p>
        </w:tc>
        <w:tc>
          <w:tcPr>
            <w:tcW w:w="1335" w:type="dxa"/>
          </w:tcPr>
          <w:p w14:paraId="123DA129" w14:textId="77777777" w:rsidR="00D7033D" w:rsidRPr="00D7033D" w:rsidRDefault="00D7033D" w:rsidP="00D7033D">
            <w:pPr>
              <w:pStyle w:val="Tableheadingboardreport"/>
            </w:pPr>
            <w:r w:rsidRPr="00D7033D">
              <w:t xml:space="preserve">Actual </w:t>
            </w:r>
          </w:p>
          <w:p w14:paraId="24CE2FCE" w14:textId="615C6F4B" w:rsidR="00D7033D" w:rsidRPr="007277C3" w:rsidRDefault="00D7033D" w:rsidP="00D7033D">
            <w:pPr>
              <w:pStyle w:val="Tableheadingboardreport"/>
            </w:pPr>
            <w:r w:rsidRPr="00D7033D">
              <w:t>YTD</w:t>
            </w:r>
          </w:p>
        </w:tc>
        <w:tc>
          <w:tcPr>
            <w:tcW w:w="1575" w:type="dxa"/>
            <w:gridSpan w:val="2"/>
          </w:tcPr>
          <w:p w14:paraId="4995303B" w14:textId="752C0EAC" w:rsidR="00D7033D" w:rsidRPr="007277C3" w:rsidRDefault="00D7033D" w:rsidP="005A2A4F">
            <w:pPr>
              <w:pStyle w:val="Tableheadingboardreport"/>
            </w:pPr>
            <w:r w:rsidRPr="00D7033D">
              <w:t>Cumulative performance</w:t>
            </w:r>
          </w:p>
        </w:tc>
        <w:tc>
          <w:tcPr>
            <w:tcW w:w="1312" w:type="dxa"/>
          </w:tcPr>
          <w:p w14:paraId="0D73B044" w14:textId="11CC46EF" w:rsidR="00D7033D" w:rsidRPr="007277C3" w:rsidRDefault="00D7033D" w:rsidP="005A2A4F">
            <w:pPr>
              <w:pStyle w:val="Tableheadingboardreport"/>
            </w:pPr>
            <w:r w:rsidRPr="00D7033D">
              <w:t>RAG status</w:t>
            </w:r>
          </w:p>
        </w:tc>
      </w:tr>
      <w:tr w:rsidR="00D7033D" w14:paraId="08C9355B" w14:textId="2A3DDA1A" w:rsidTr="00DA0736">
        <w:tc>
          <w:tcPr>
            <w:tcW w:w="1834" w:type="dxa"/>
            <w:gridSpan w:val="2"/>
            <w:shd w:val="clear" w:color="auto" w:fill="FFFFFF"/>
          </w:tcPr>
          <w:p w14:paraId="4A52EA51" w14:textId="5AA46B1C" w:rsidR="00D7033D" w:rsidRPr="00D7033D" w:rsidRDefault="00D7033D" w:rsidP="00D7033D">
            <w:pPr>
              <w:pStyle w:val="Tabletext"/>
            </w:pPr>
            <w:r w:rsidRPr="00D7033D">
              <w:t>Publish guidelines: clinical areas</w:t>
            </w:r>
          </w:p>
        </w:tc>
        <w:tc>
          <w:tcPr>
            <w:tcW w:w="1972" w:type="dxa"/>
            <w:shd w:val="clear" w:color="auto" w:fill="FFFFFF"/>
          </w:tcPr>
          <w:p w14:paraId="69F41105" w14:textId="5FB26EFF" w:rsidR="00D7033D" w:rsidRPr="00D7033D" w:rsidRDefault="00D7033D" w:rsidP="00D7033D">
            <w:pPr>
              <w:pStyle w:val="Tabletext"/>
            </w:pPr>
            <w:r w:rsidRPr="00D7033D">
              <w:t>13</w:t>
            </w:r>
          </w:p>
        </w:tc>
        <w:tc>
          <w:tcPr>
            <w:tcW w:w="1821" w:type="dxa"/>
            <w:shd w:val="clear" w:color="auto" w:fill="FFFFFF"/>
          </w:tcPr>
          <w:p w14:paraId="533DE6B9" w14:textId="024BBD22" w:rsidR="00D7033D" w:rsidRPr="00D7033D" w:rsidRDefault="00D7033D" w:rsidP="00D7033D">
            <w:pPr>
              <w:pStyle w:val="Tabletext"/>
            </w:pPr>
            <w:r w:rsidRPr="00D7033D">
              <w:t>3</w:t>
            </w:r>
          </w:p>
        </w:tc>
        <w:tc>
          <w:tcPr>
            <w:tcW w:w="1415" w:type="dxa"/>
            <w:shd w:val="clear" w:color="auto" w:fill="FFFFFF"/>
          </w:tcPr>
          <w:p w14:paraId="16EE39FB" w14:textId="2EA3737B" w:rsidR="00D7033D" w:rsidRPr="007277C3" w:rsidRDefault="00D7033D" w:rsidP="00D7033D">
            <w:pPr>
              <w:pStyle w:val="Tabletext"/>
            </w:pPr>
            <w:r w:rsidRPr="00D7033D">
              <w:t>Publication within stated year</w:t>
            </w:r>
          </w:p>
        </w:tc>
        <w:tc>
          <w:tcPr>
            <w:tcW w:w="1323" w:type="dxa"/>
            <w:gridSpan w:val="2"/>
            <w:shd w:val="clear" w:color="auto" w:fill="FFFFFF"/>
          </w:tcPr>
          <w:p w14:paraId="53F63755" w14:textId="4F91FD04" w:rsidR="00D7033D" w:rsidRPr="007277C3" w:rsidRDefault="00D7033D" w:rsidP="00D7033D">
            <w:pPr>
              <w:pStyle w:val="Tabletext"/>
            </w:pPr>
            <w:r w:rsidRPr="00D7033D">
              <w:t>80%</w:t>
            </w:r>
          </w:p>
        </w:tc>
        <w:tc>
          <w:tcPr>
            <w:tcW w:w="1361" w:type="dxa"/>
            <w:shd w:val="clear" w:color="auto" w:fill="FFFFFF"/>
          </w:tcPr>
          <w:p w14:paraId="0A036017" w14:textId="2EA4704D" w:rsidR="00D7033D" w:rsidRPr="007277C3" w:rsidRDefault="00D7033D" w:rsidP="00D7033D">
            <w:pPr>
              <w:pStyle w:val="Tabletext"/>
            </w:pPr>
            <w:r w:rsidRPr="00D7033D">
              <w:t>1</w:t>
            </w:r>
          </w:p>
        </w:tc>
        <w:tc>
          <w:tcPr>
            <w:tcW w:w="1335" w:type="dxa"/>
            <w:shd w:val="clear" w:color="auto" w:fill="FFFFFF"/>
          </w:tcPr>
          <w:p w14:paraId="2461FAE1" w14:textId="7574F863" w:rsidR="00D7033D" w:rsidRPr="007277C3" w:rsidRDefault="00D7033D" w:rsidP="00D7033D">
            <w:pPr>
              <w:pStyle w:val="Tabletext"/>
            </w:pPr>
            <w:r w:rsidRPr="00D7033D">
              <w:t>1</w:t>
            </w:r>
          </w:p>
        </w:tc>
        <w:tc>
          <w:tcPr>
            <w:tcW w:w="1575" w:type="dxa"/>
            <w:gridSpan w:val="2"/>
            <w:shd w:val="clear" w:color="auto" w:fill="FFFFFF"/>
          </w:tcPr>
          <w:p w14:paraId="64896F55" w14:textId="2369D392" w:rsidR="00D7033D" w:rsidRPr="007277C3" w:rsidRDefault="00D7033D" w:rsidP="00D7033D">
            <w:pPr>
              <w:pStyle w:val="Tabletext"/>
            </w:pPr>
            <w:r w:rsidRPr="00D7033D">
              <w:t>100%</w:t>
            </w:r>
          </w:p>
        </w:tc>
        <w:tc>
          <w:tcPr>
            <w:tcW w:w="1312" w:type="dxa"/>
            <w:shd w:val="clear" w:color="auto" w:fill="FFFFFF"/>
          </w:tcPr>
          <w:p w14:paraId="21E4D02B" w14:textId="2DE64734" w:rsidR="00D7033D" w:rsidRPr="007277C3" w:rsidRDefault="00D7033D" w:rsidP="00D7033D">
            <w:pPr>
              <w:pStyle w:val="Tabletext"/>
            </w:pPr>
            <w:r w:rsidRPr="00D7033D">
              <w:t>Green</w:t>
            </w:r>
          </w:p>
        </w:tc>
      </w:tr>
      <w:tr w:rsidR="00D7033D" w14:paraId="04981A7F" w14:textId="6212C85A" w:rsidTr="00DA0736">
        <w:tc>
          <w:tcPr>
            <w:tcW w:w="1834" w:type="dxa"/>
            <w:gridSpan w:val="2"/>
            <w:shd w:val="clear" w:color="auto" w:fill="FFFFFF"/>
          </w:tcPr>
          <w:p w14:paraId="2A1097FC" w14:textId="309165F0" w:rsidR="00D7033D" w:rsidRPr="00D7033D" w:rsidRDefault="00D7033D" w:rsidP="00D7033D">
            <w:pPr>
              <w:pStyle w:val="Tabletext"/>
            </w:pPr>
            <w:r w:rsidRPr="00D7033D">
              <w:t>Publish guidelines: public health</w:t>
            </w:r>
          </w:p>
        </w:tc>
        <w:tc>
          <w:tcPr>
            <w:tcW w:w="1972" w:type="dxa"/>
            <w:shd w:val="clear" w:color="auto" w:fill="FFFFFF"/>
          </w:tcPr>
          <w:p w14:paraId="59A373AA" w14:textId="0F413B74" w:rsidR="00D7033D" w:rsidRPr="00D7033D" w:rsidRDefault="00D7033D" w:rsidP="00350EF5">
            <w:pPr>
              <w:pStyle w:val="Tabletext"/>
            </w:pPr>
            <w:r w:rsidRPr="00D7033D">
              <w:t>2</w:t>
            </w:r>
          </w:p>
        </w:tc>
        <w:tc>
          <w:tcPr>
            <w:tcW w:w="1821" w:type="dxa"/>
            <w:shd w:val="clear" w:color="auto" w:fill="FFFFFF"/>
          </w:tcPr>
          <w:p w14:paraId="6E9927C8" w14:textId="5492781A" w:rsidR="00D7033D" w:rsidRPr="00D7033D" w:rsidRDefault="00D7033D" w:rsidP="00350EF5">
            <w:pPr>
              <w:pStyle w:val="Tabletext"/>
            </w:pPr>
            <w:r w:rsidRPr="00D7033D">
              <w:t>1</w:t>
            </w:r>
          </w:p>
        </w:tc>
        <w:tc>
          <w:tcPr>
            <w:tcW w:w="1415" w:type="dxa"/>
            <w:shd w:val="clear" w:color="auto" w:fill="FFFFFF"/>
          </w:tcPr>
          <w:p w14:paraId="5CFCAF99" w14:textId="121668AC" w:rsidR="00D7033D" w:rsidRDefault="00D7033D" w:rsidP="00350EF5">
            <w:pPr>
              <w:pStyle w:val="Tabletext"/>
            </w:pPr>
            <w:r w:rsidRPr="00D7033D">
              <w:t>Publication within stated year</w:t>
            </w:r>
          </w:p>
        </w:tc>
        <w:tc>
          <w:tcPr>
            <w:tcW w:w="1323" w:type="dxa"/>
            <w:gridSpan w:val="2"/>
            <w:shd w:val="clear" w:color="auto" w:fill="FFFFFF"/>
          </w:tcPr>
          <w:p w14:paraId="7FC8C1CA" w14:textId="00BA3F31" w:rsidR="00D7033D" w:rsidRDefault="00D7033D" w:rsidP="00350EF5">
            <w:pPr>
              <w:pStyle w:val="Tabletext"/>
            </w:pPr>
            <w:r w:rsidRPr="00D7033D">
              <w:t>80%</w:t>
            </w:r>
          </w:p>
        </w:tc>
        <w:tc>
          <w:tcPr>
            <w:tcW w:w="1361" w:type="dxa"/>
            <w:shd w:val="clear" w:color="auto" w:fill="FFFFFF"/>
          </w:tcPr>
          <w:p w14:paraId="50A6E732" w14:textId="0416F0D4" w:rsidR="00D7033D" w:rsidRDefault="00D7033D" w:rsidP="00350EF5">
            <w:pPr>
              <w:pStyle w:val="Tabletext"/>
            </w:pPr>
            <w:r w:rsidRPr="00D7033D">
              <w:t>0</w:t>
            </w:r>
          </w:p>
        </w:tc>
        <w:tc>
          <w:tcPr>
            <w:tcW w:w="1335" w:type="dxa"/>
            <w:shd w:val="clear" w:color="auto" w:fill="FFFFFF"/>
          </w:tcPr>
          <w:p w14:paraId="4D783FF3" w14:textId="7F21A711" w:rsidR="00D7033D" w:rsidRDefault="00D7033D" w:rsidP="00350EF5">
            <w:pPr>
              <w:pStyle w:val="Tabletext"/>
            </w:pPr>
            <w:r w:rsidRPr="00D7033D">
              <w:t>0</w:t>
            </w:r>
          </w:p>
        </w:tc>
        <w:tc>
          <w:tcPr>
            <w:tcW w:w="1575" w:type="dxa"/>
            <w:gridSpan w:val="2"/>
            <w:shd w:val="clear" w:color="auto" w:fill="FFFFFF"/>
          </w:tcPr>
          <w:p w14:paraId="7B759CC4" w14:textId="49132966" w:rsidR="00D7033D" w:rsidRDefault="00D7033D" w:rsidP="00350EF5">
            <w:pPr>
              <w:pStyle w:val="Tabletext"/>
            </w:pPr>
            <w:r w:rsidRPr="00D7033D">
              <w:t>100%</w:t>
            </w:r>
          </w:p>
        </w:tc>
        <w:tc>
          <w:tcPr>
            <w:tcW w:w="1312" w:type="dxa"/>
            <w:shd w:val="clear" w:color="auto" w:fill="FFFFFF"/>
          </w:tcPr>
          <w:p w14:paraId="059D1085" w14:textId="7F281022" w:rsidR="00D7033D" w:rsidRDefault="00D7033D" w:rsidP="00350EF5">
            <w:pPr>
              <w:pStyle w:val="Tabletext"/>
            </w:pPr>
            <w:r w:rsidRPr="00D7033D">
              <w:t>Green</w:t>
            </w:r>
          </w:p>
        </w:tc>
      </w:tr>
      <w:tr w:rsidR="00D7033D" w14:paraId="0910C280" w14:textId="77777777" w:rsidTr="00DA0736">
        <w:tc>
          <w:tcPr>
            <w:tcW w:w="1834" w:type="dxa"/>
            <w:gridSpan w:val="2"/>
            <w:shd w:val="clear" w:color="auto" w:fill="FFFFFF"/>
          </w:tcPr>
          <w:p w14:paraId="47868E64" w14:textId="62BAA11B" w:rsidR="00D7033D" w:rsidRPr="00D7033D" w:rsidRDefault="00D7033D" w:rsidP="00D7033D">
            <w:pPr>
              <w:pStyle w:val="Tabletext"/>
            </w:pPr>
            <w:r w:rsidRPr="00D7033D">
              <w:t xml:space="preserve">Publish guidelines: social care </w:t>
            </w:r>
          </w:p>
        </w:tc>
        <w:tc>
          <w:tcPr>
            <w:tcW w:w="1972" w:type="dxa"/>
            <w:shd w:val="clear" w:color="auto" w:fill="FFFFFF"/>
          </w:tcPr>
          <w:p w14:paraId="10115FF5" w14:textId="2CC37A8D" w:rsidR="00D7033D" w:rsidRPr="00D7033D" w:rsidRDefault="00D7033D" w:rsidP="00D7033D">
            <w:pPr>
              <w:pStyle w:val="Tabletext"/>
            </w:pPr>
            <w:r w:rsidRPr="00D7033D">
              <w:t>1</w:t>
            </w:r>
          </w:p>
        </w:tc>
        <w:tc>
          <w:tcPr>
            <w:tcW w:w="1821" w:type="dxa"/>
            <w:shd w:val="clear" w:color="auto" w:fill="FFFFFF"/>
          </w:tcPr>
          <w:p w14:paraId="059AF460" w14:textId="624142B8" w:rsidR="00D7033D" w:rsidRPr="00D7033D" w:rsidRDefault="00D7033D" w:rsidP="00D7033D">
            <w:pPr>
              <w:pStyle w:val="Tabletext"/>
            </w:pPr>
            <w:r w:rsidRPr="00D7033D">
              <w:t>0</w:t>
            </w:r>
          </w:p>
        </w:tc>
        <w:tc>
          <w:tcPr>
            <w:tcW w:w="1415" w:type="dxa"/>
            <w:shd w:val="clear" w:color="auto" w:fill="FFFFFF"/>
          </w:tcPr>
          <w:p w14:paraId="249DCD76" w14:textId="7CA98254" w:rsidR="00D7033D" w:rsidRPr="00D7033D" w:rsidRDefault="00D7033D" w:rsidP="00D7033D">
            <w:pPr>
              <w:pStyle w:val="Tabletext"/>
            </w:pPr>
            <w:r w:rsidRPr="00D7033D">
              <w:t>Publication within stated year</w:t>
            </w:r>
          </w:p>
        </w:tc>
        <w:tc>
          <w:tcPr>
            <w:tcW w:w="1323" w:type="dxa"/>
            <w:gridSpan w:val="2"/>
            <w:shd w:val="clear" w:color="auto" w:fill="FFFFFF"/>
          </w:tcPr>
          <w:p w14:paraId="54DFDF63" w14:textId="0DF9C987" w:rsidR="00D7033D" w:rsidRPr="00D7033D" w:rsidRDefault="00D7033D" w:rsidP="00D7033D">
            <w:pPr>
              <w:pStyle w:val="Tabletext"/>
            </w:pPr>
            <w:r w:rsidRPr="00D7033D">
              <w:t>80%</w:t>
            </w:r>
          </w:p>
        </w:tc>
        <w:tc>
          <w:tcPr>
            <w:tcW w:w="1361" w:type="dxa"/>
            <w:shd w:val="clear" w:color="auto" w:fill="FFFFFF"/>
          </w:tcPr>
          <w:p w14:paraId="2B89C9A9" w14:textId="42B50102" w:rsidR="00D7033D" w:rsidRPr="00D7033D" w:rsidRDefault="00D7033D" w:rsidP="00D7033D">
            <w:pPr>
              <w:pStyle w:val="Tabletext"/>
            </w:pPr>
            <w:r w:rsidRPr="00D7033D">
              <w:t>0</w:t>
            </w:r>
          </w:p>
        </w:tc>
        <w:tc>
          <w:tcPr>
            <w:tcW w:w="1335" w:type="dxa"/>
            <w:shd w:val="clear" w:color="auto" w:fill="FFFFFF"/>
          </w:tcPr>
          <w:p w14:paraId="600A1310" w14:textId="34F46FB6" w:rsidR="00D7033D" w:rsidRPr="00D7033D" w:rsidRDefault="00D7033D" w:rsidP="00D7033D">
            <w:pPr>
              <w:pStyle w:val="Tabletext"/>
            </w:pPr>
            <w:r w:rsidRPr="00D7033D">
              <w:t>0</w:t>
            </w:r>
          </w:p>
        </w:tc>
        <w:tc>
          <w:tcPr>
            <w:tcW w:w="1575" w:type="dxa"/>
            <w:gridSpan w:val="2"/>
            <w:shd w:val="clear" w:color="auto" w:fill="FFFFFF"/>
          </w:tcPr>
          <w:p w14:paraId="7D8A2F44" w14:textId="206E659F" w:rsidR="00D7033D" w:rsidRPr="00D7033D" w:rsidRDefault="00D7033D" w:rsidP="00D7033D">
            <w:pPr>
              <w:pStyle w:val="Tabletext"/>
            </w:pPr>
            <w:r w:rsidRPr="00D7033D">
              <w:t>100%</w:t>
            </w:r>
          </w:p>
        </w:tc>
        <w:tc>
          <w:tcPr>
            <w:tcW w:w="1312" w:type="dxa"/>
            <w:shd w:val="clear" w:color="auto" w:fill="FFFFFF"/>
          </w:tcPr>
          <w:p w14:paraId="39443778" w14:textId="463D49B2" w:rsidR="00D7033D" w:rsidRPr="00D7033D" w:rsidRDefault="00D7033D" w:rsidP="00D7033D">
            <w:pPr>
              <w:pStyle w:val="Tabletext"/>
            </w:pPr>
            <w:r w:rsidRPr="00D7033D">
              <w:t>Green</w:t>
            </w:r>
          </w:p>
        </w:tc>
      </w:tr>
      <w:tr w:rsidR="00D7033D" w14:paraId="084BBA92" w14:textId="77777777" w:rsidTr="00DA0736">
        <w:tc>
          <w:tcPr>
            <w:tcW w:w="1834" w:type="dxa"/>
            <w:gridSpan w:val="2"/>
            <w:shd w:val="clear" w:color="auto" w:fill="FFFFFF"/>
          </w:tcPr>
          <w:p w14:paraId="2024FA88" w14:textId="38410FB3" w:rsidR="00D7033D" w:rsidRPr="00D7033D" w:rsidRDefault="00D7033D" w:rsidP="00D7033D">
            <w:pPr>
              <w:pStyle w:val="Tabletext"/>
            </w:pPr>
            <w:r w:rsidRPr="00D7033D">
              <w:t>Publish guidelines: managing common infections</w:t>
            </w:r>
          </w:p>
        </w:tc>
        <w:tc>
          <w:tcPr>
            <w:tcW w:w="1972" w:type="dxa"/>
            <w:shd w:val="clear" w:color="auto" w:fill="FFFFFF"/>
          </w:tcPr>
          <w:p w14:paraId="45AC053A" w14:textId="33041E4B" w:rsidR="00D7033D" w:rsidRPr="00D7033D" w:rsidRDefault="00D7033D" w:rsidP="00D7033D">
            <w:pPr>
              <w:pStyle w:val="Tabletext"/>
            </w:pPr>
            <w:r w:rsidRPr="00D7033D">
              <w:t>4</w:t>
            </w:r>
          </w:p>
        </w:tc>
        <w:tc>
          <w:tcPr>
            <w:tcW w:w="1821" w:type="dxa"/>
            <w:shd w:val="clear" w:color="auto" w:fill="FFFFFF"/>
          </w:tcPr>
          <w:p w14:paraId="73516965" w14:textId="400AFC09" w:rsidR="00D7033D" w:rsidRPr="00D7033D" w:rsidRDefault="00D7033D" w:rsidP="00D7033D">
            <w:pPr>
              <w:pStyle w:val="Tabletext"/>
            </w:pPr>
            <w:r w:rsidRPr="00D7033D">
              <w:t>0</w:t>
            </w:r>
          </w:p>
        </w:tc>
        <w:tc>
          <w:tcPr>
            <w:tcW w:w="1415" w:type="dxa"/>
            <w:shd w:val="clear" w:color="auto" w:fill="FFFFFF"/>
          </w:tcPr>
          <w:p w14:paraId="1545340A" w14:textId="0073C87B" w:rsidR="00D7033D" w:rsidRPr="00D7033D" w:rsidRDefault="00D7033D" w:rsidP="00D7033D">
            <w:pPr>
              <w:pStyle w:val="Tabletext"/>
            </w:pPr>
            <w:r w:rsidRPr="00D7033D">
              <w:t>Publication within stated year</w:t>
            </w:r>
          </w:p>
        </w:tc>
        <w:tc>
          <w:tcPr>
            <w:tcW w:w="1323" w:type="dxa"/>
            <w:gridSpan w:val="2"/>
            <w:shd w:val="clear" w:color="auto" w:fill="FFFFFF"/>
          </w:tcPr>
          <w:p w14:paraId="1AEA3049" w14:textId="74DEB6AD" w:rsidR="00D7033D" w:rsidRPr="00D7033D" w:rsidRDefault="00D7033D" w:rsidP="00D7033D">
            <w:pPr>
              <w:pStyle w:val="Tabletext"/>
            </w:pPr>
            <w:r w:rsidRPr="00D7033D">
              <w:t>80%</w:t>
            </w:r>
          </w:p>
        </w:tc>
        <w:tc>
          <w:tcPr>
            <w:tcW w:w="1361" w:type="dxa"/>
            <w:shd w:val="clear" w:color="auto" w:fill="FFFFFF"/>
          </w:tcPr>
          <w:p w14:paraId="254B3364" w14:textId="1F12FA32" w:rsidR="00D7033D" w:rsidRPr="00D7033D" w:rsidRDefault="00D7033D" w:rsidP="00D7033D">
            <w:pPr>
              <w:pStyle w:val="Tabletext"/>
            </w:pPr>
            <w:r w:rsidRPr="00D7033D">
              <w:t>2</w:t>
            </w:r>
          </w:p>
        </w:tc>
        <w:tc>
          <w:tcPr>
            <w:tcW w:w="1335" w:type="dxa"/>
            <w:shd w:val="clear" w:color="auto" w:fill="FFFFFF"/>
          </w:tcPr>
          <w:p w14:paraId="50FF591F" w14:textId="36150C08" w:rsidR="00D7033D" w:rsidRPr="00D7033D" w:rsidRDefault="00D7033D" w:rsidP="00D7033D">
            <w:pPr>
              <w:pStyle w:val="Tabletext"/>
            </w:pPr>
            <w:r w:rsidRPr="00D7033D">
              <w:t>1</w:t>
            </w:r>
          </w:p>
        </w:tc>
        <w:tc>
          <w:tcPr>
            <w:tcW w:w="1575" w:type="dxa"/>
            <w:gridSpan w:val="2"/>
            <w:shd w:val="clear" w:color="auto" w:fill="FFFFFF"/>
          </w:tcPr>
          <w:p w14:paraId="6F0AD346" w14:textId="607B6DC4" w:rsidR="00D7033D" w:rsidRPr="00D7033D" w:rsidRDefault="00D7033D" w:rsidP="00D7033D">
            <w:pPr>
              <w:pStyle w:val="Tabletext"/>
            </w:pPr>
            <w:r w:rsidRPr="00D7033D">
              <w:t>50%</w:t>
            </w:r>
          </w:p>
        </w:tc>
        <w:tc>
          <w:tcPr>
            <w:tcW w:w="1312" w:type="dxa"/>
            <w:shd w:val="clear" w:color="auto" w:fill="FFFFFF"/>
          </w:tcPr>
          <w:p w14:paraId="0D581C8B" w14:textId="7A2ED064" w:rsidR="00D7033D" w:rsidRPr="00D7033D" w:rsidRDefault="00D7033D" w:rsidP="00D7033D">
            <w:pPr>
              <w:pStyle w:val="Tabletext"/>
            </w:pPr>
            <w:r w:rsidRPr="00D7033D">
              <w:t>Amber (see note 1)</w:t>
            </w:r>
          </w:p>
        </w:tc>
      </w:tr>
      <w:tr w:rsidR="00D7033D" w14:paraId="45BBA8AD" w14:textId="77777777" w:rsidTr="00DA0736">
        <w:tc>
          <w:tcPr>
            <w:tcW w:w="1834" w:type="dxa"/>
            <w:gridSpan w:val="2"/>
            <w:shd w:val="clear" w:color="auto" w:fill="FFFFFF"/>
          </w:tcPr>
          <w:p w14:paraId="0145BE40" w14:textId="70FD8483" w:rsidR="00D7033D" w:rsidRPr="00D7033D" w:rsidRDefault="00D7033D" w:rsidP="00D7033D">
            <w:pPr>
              <w:pStyle w:val="Tabletext"/>
            </w:pPr>
            <w:r w:rsidRPr="00D7033D">
              <w:t>Publish guidelines: COVID-19 rapid guidelines</w:t>
            </w:r>
          </w:p>
        </w:tc>
        <w:tc>
          <w:tcPr>
            <w:tcW w:w="1972" w:type="dxa"/>
            <w:shd w:val="clear" w:color="auto" w:fill="FFFFFF"/>
          </w:tcPr>
          <w:p w14:paraId="6BA03B12" w14:textId="48D17CEA" w:rsidR="00D7033D" w:rsidRPr="00D7033D" w:rsidRDefault="00D7033D" w:rsidP="00D7033D">
            <w:pPr>
              <w:pStyle w:val="Tabletext"/>
            </w:pPr>
            <w:r w:rsidRPr="00D7033D">
              <w:t>0</w:t>
            </w:r>
          </w:p>
        </w:tc>
        <w:tc>
          <w:tcPr>
            <w:tcW w:w="1821" w:type="dxa"/>
            <w:shd w:val="clear" w:color="auto" w:fill="FFFFFF"/>
          </w:tcPr>
          <w:p w14:paraId="7D07069D" w14:textId="27B2096E" w:rsidR="00D7033D" w:rsidRPr="00D7033D" w:rsidRDefault="00D7033D" w:rsidP="00D7033D">
            <w:pPr>
              <w:pStyle w:val="Tabletext"/>
            </w:pPr>
            <w:r w:rsidRPr="00D7033D">
              <w:t>21</w:t>
            </w:r>
          </w:p>
        </w:tc>
        <w:tc>
          <w:tcPr>
            <w:tcW w:w="1415" w:type="dxa"/>
            <w:shd w:val="clear" w:color="auto" w:fill="FFFFFF"/>
          </w:tcPr>
          <w:p w14:paraId="1195C221" w14:textId="7420946E" w:rsidR="00D7033D" w:rsidRPr="00D7033D" w:rsidRDefault="00D7033D" w:rsidP="00D7033D">
            <w:pPr>
              <w:pStyle w:val="Tabletext"/>
            </w:pPr>
            <w:r w:rsidRPr="00D7033D">
              <w:t>Publication within stated year</w:t>
            </w:r>
          </w:p>
        </w:tc>
        <w:tc>
          <w:tcPr>
            <w:tcW w:w="1323" w:type="dxa"/>
            <w:gridSpan w:val="2"/>
            <w:shd w:val="clear" w:color="auto" w:fill="FFFFFF"/>
          </w:tcPr>
          <w:p w14:paraId="394520AA" w14:textId="20EB2724" w:rsidR="00D7033D" w:rsidRPr="00D7033D" w:rsidRDefault="00D7033D" w:rsidP="00D7033D">
            <w:pPr>
              <w:pStyle w:val="Tabletext"/>
            </w:pPr>
            <w:r w:rsidRPr="00D7033D">
              <w:t>80%</w:t>
            </w:r>
          </w:p>
        </w:tc>
        <w:tc>
          <w:tcPr>
            <w:tcW w:w="1361" w:type="dxa"/>
            <w:shd w:val="clear" w:color="auto" w:fill="FFFFFF"/>
          </w:tcPr>
          <w:p w14:paraId="2C02E7D6" w14:textId="78494832" w:rsidR="00D7033D" w:rsidRPr="00D7033D" w:rsidRDefault="00D7033D" w:rsidP="00D7033D">
            <w:pPr>
              <w:pStyle w:val="Tabletext"/>
            </w:pPr>
            <w:r w:rsidRPr="00D7033D">
              <w:t>19</w:t>
            </w:r>
          </w:p>
        </w:tc>
        <w:tc>
          <w:tcPr>
            <w:tcW w:w="1335" w:type="dxa"/>
            <w:shd w:val="clear" w:color="auto" w:fill="FFFFFF"/>
          </w:tcPr>
          <w:p w14:paraId="0684BA90" w14:textId="2E63A83E" w:rsidR="00D7033D" w:rsidRPr="00D7033D" w:rsidRDefault="00D7033D" w:rsidP="00D7033D">
            <w:pPr>
              <w:pStyle w:val="Tabletext"/>
            </w:pPr>
            <w:r w:rsidRPr="00D7033D">
              <w:t>19</w:t>
            </w:r>
          </w:p>
        </w:tc>
        <w:tc>
          <w:tcPr>
            <w:tcW w:w="1575" w:type="dxa"/>
            <w:gridSpan w:val="2"/>
            <w:shd w:val="clear" w:color="auto" w:fill="FFFFFF"/>
          </w:tcPr>
          <w:p w14:paraId="2CF5D42C" w14:textId="403A1296" w:rsidR="00D7033D" w:rsidRPr="00D7033D" w:rsidRDefault="00D7033D" w:rsidP="00D7033D">
            <w:pPr>
              <w:pStyle w:val="Tabletext"/>
            </w:pPr>
            <w:r w:rsidRPr="00D7033D">
              <w:t>100%</w:t>
            </w:r>
          </w:p>
        </w:tc>
        <w:tc>
          <w:tcPr>
            <w:tcW w:w="1312" w:type="dxa"/>
            <w:shd w:val="clear" w:color="auto" w:fill="FFFFFF"/>
          </w:tcPr>
          <w:p w14:paraId="6DD955C0" w14:textId="0EE7E9F3" w:rsidR="00D7033D" w:rsidRPr="00D7033D" w:rsidRDefault="00D7033D" w:rsidP="00D7033D">
            <w:pPr>
              <w:pStyle w:val="Tabletext"/>
            </w:pPr>
            <w:r w:rsidRPr="00D7033D">
              <w:t>Green</w:t>
            </w:r>
          </w:p>
        </w:tc>
      </w:tr>
      <w:tr w:rsidR="00D7033D" w14:paraId="0BF577E1" w14:textId="77777777" w:rsidTr="00DA0736">
        <w:tc>
          <w:tcPr>
            <w:tcW w:w="1834" w:type="dxa"/>
            <w:gridSpan w:val="2"/>
            <w:shd w:val="clear" w:color="auto" w:fill="FFFFFF"/>
          </w:tcPr>
          <w:p w14:paraId="6669B076" w14:textId="7206C081" w:rsidR="00D7033D" w:rsidRPr="00D7033D" w:rsidRDefault="00D7033D" w:rsidP="00D7033D">
            <w:pPr>
              <w:pStyle w:val="Tabletext"/>
            </w:pPr>
            <w:r w:rsidRPr="00D7033D">
              <w:t xml:space="preserve">Publish technology appraisals and highly specialised </w:t>
            </w:r>
            <w:r w:rsidRPr="00D7033D">
              <w:lastRenderedPageBreak/>
              <w:t xml:space="preserve">technologies guidance </w:t>
            </w:r>
          </w:p>
        </w:tc>
        <w:tc>
          <w:tcPr>
            <w:tcW w:w="1972" w:type="dxa"/>
            <w:shd w:val="clear" w:color="auto" w:fill="FFFFFF"/>
          </w:tcPr>
          <w:p w14:paraId="7FA38D9C" w14:textId="0813FBAB" w:rsidR="00D7033D" w:rsidRPr="00D7033D" w:rsidRDefault="00D7033D" w:rsidP="00D7033D">
            <w:pPr>
              <w:pStyle w:val="Tabletext"/>
            </w:pPr>
            <w:r w:rsidRPr="00D7033D">
              <w:lastRenderedPageBreak/>
              <w:t>98</w:t>
            </w:r>
          </w:p>
        </w:tc>
        <w:tc>
          <w:tcPr>
            <w:tcW w:w="1821" w:type="dxa"/>
            <w:shd w:val="clear" w:color="auto" w:fill="FFFFFF"/>
          </w:tcPr>
          <w:p w14:paraId="407C8558" w14:textId="01AA8AB1" w:rsidR="00D7033D" w:rsidRPr="00D7033D" w:rsidRDefault="00D7033D" w:rsidP="00D7033D">
            <w:pPr>
              <w:pStyle w:val="Tabletext"/>
            </w:pPr>
            <w:r w:rsidRPr="00D7033D">
              <w:t>Up to 70</w:t>
            </w:r>
          </w:p>
        </w:tc>
        <w:tc>
          <w:tcPr>
            <w:tcW w:w="1415" w:type="dxa"/>
            <w:shd w:val="clear" w:color="auto" w:fill="FFFFFF"/>
          </w:tcPr>
          <w:p w14:paraId="04145B90" w14:textId="06976B4A" w:rsidR="00D7033D" w:rsidRPr="00D7033D" w:rsidRDefault="00D7033D" w:rsidP="00D7033D">
            <w:pPr>
              <w:pStyle w:val="Tabletext"/>
            </w:pPr>
            <w:r w:rsidRPr="00D7033D">
              <w:t>Publication within stated year</w:t>
            </w:r>
          </w:p>
        </w:tc>
        <w:tc>
          <w:tcPr>
            <w:tcW w:w="1323" w:type="dxa"/>
            <w:gridSpan w:val="2"/>
            <w:shd w:val="clear" w:color="auto" w:fill="FFFFFF"/>
          </w:tcPr>
          <w:p w14:paraId="1C094795" w14:textId="79FBB832" w:rsidR="00D7033D" w:rsidRPr="00D7033D" w:rsidRDefault="00D7033D" w:rsidP="00D7033D">
            <w:pPr>
              <w:pStyle w:val="Tabletext"/>
            </w:pPr>
            <w:r w:rsidRPr="00D7033D">
              <w:t>80%</w:t>
            </w:r>
          </w:p>
        </w:tc>
        <w:tc>
          <w:tcPr>
            <w:tcW w:w="1361" w:type="dxa"/>
            <w:shd w:val="clear" w:color="auto" w:fill="FFFFFF"/>
          </w:tcPr>
          <w:p w14:paraId="2B0BCF4F" w14:textId="48D63D7B" w:rsidR="00D7033D" w:rsidRPr="00D7033D" w:rsidRDefault="00D7033D" w:rsidP="00D7033D">
            <w:pPr>
              <w:pStyle w:val="Tabletext"/>
            </w:pPr>
            <w:r w:rsidRPr="00D7033D">
              <w:t>26</w:t>
            </w:r>
          </w:p>
        </w:tc>
        <w:tc>
          <w:tcPr>
            <w:tcW w:w="1335" w:type="dxa"/>
            <w:shd w:val="clear" w:color="auto" w:fill="FFFFFF"/>
          </w:tcPr>
          <w:p w14:paraId="7F1CDBAB" w14:textId="5E0174D1" w:rsidR="00D7033D" w:rsidRPr="00D7033D" w:rsidRDefault="00D7033D" w:rsidP="00D7033D">
            <w:pPr>
              <w:pStyle w:val="Tabletext"/>
            </w:pPr>
            <w:r w:rsidRPr="00D7033D">
              <w:t>26</w:t>
            </w:r>
          </w:p>
        </w:tc>
        <w:tc>
          <w:tcPr>
            <w:tcW w:w="1575" w:type="dxa"/>
            <w:gridSpan w:val="2"/>
            <w:shd w:val="clear" w:color="auto" w:fill="FFFFFF"/>
          </w:tcPr>
          <w:p w14:paraId="11242463" w14:textId="78EB6DA8" w:rsidR="00D7033D" w:rsidRPr="00D7033D" w:rsidRDefault="00D7033D" w:rsidP="00D7033D">
            <w:pPr>
              <w:pStyle w:val="Tabletext"/>
            </w:pPr>
            <w:r w:rsidRPr="00D7033D">
              <w:t>100%</w:t>
            </w:r>
          </w:p>
        </w:tc>
        <w:tc>
          <w:tcPr>
            <w:tcW w:w="1312" w:type="dxa"/>
            <w:shd w:val="clear" w:color="auto" w:fill="FFFFFF"/>
          </w:tcPr>
          <w:p w14:paraId="3294A7C8" w14:textId="7ADAD045" w:rsidR="00D7033D" w:rsidRPr="00D7033D" w:rsidRDefault="00D7033D" w:rsidP="00D7033D">
            <w:pPr>
              <w:pStyle w:val="Tabletext"/>
            </w:pPr>
            <w:r w:rsidRPr="00D7033D">
              <w:t>Green</w:t>
            </w:r>
          </w:p>
        </w:tc>
      </w:tr>
      <w:tr w:rsidR="00D7033D" w14:paraId="64E3905D" w14:textId="77777777" w:rsidTr="00DA0736">
        <w:tc>
          <w:tcPr>
            <w:tcW w:w="1834" w:type="dxa"/>
            <w:gridSpan w:val="2"/>
            <w:shd w:val="clear" w:color="auto" w:fill="FFFFFF"/>
          </w:tcPr>
          <w:p w14:paraId="1AD03D8B" w14:textId="3774EC37" w:rsidR="00D7033D" w:rsidRPr="00D7033D" w:rsidRDefault="00D7033D" w:rsidP="00D7033D">
            <w:pPr>
              <w:pStyle w:val="Tabletext"/>
            </w:pPr>
            <w:r w:rsidRPr="00D7033D">
              <w:t>Publish interventional procedures guidance</w:t>
            </w:r>
          </w:p>
        </w:tc>
        <w:tc>
          <w:tcPr>
            <w:tcW w:w="1972" w:type="dxa"/>
            <w:shd w:val="clear" w:color="auto" w:fill="FFFFFF"/>
          </w:tcPr>
          <w:p w14:paraId="41D5C0C8" w14:textId="1B96CB48" w:rsidR="00D7033D" w:rsidRPr="00D7033D" w:rsidRDefault="00D7033D" w:rsidP="00D7033D">
            <w:pPr>
              <w:pStyle w:val="Tabletext"/>
            </w:pPr>
            <w:r w:rsidRPr="00D7033D">
              <w:t>33</w:t>
            </w:r>
          </w:p>
        </w:tc>
        <w:tc>
          <w:tcPr>
            <w:tcW w:w="1821" w:type="dxa"/>
            <w:shd w:val="clear" w:color="auto" w:fill="FFFFFF"/>
          </w:tcPr>
          <w:p w14:paraId="405196D7" w14:textId="03013FB5" w:rsidR="00D7033D" w:rsidRPr="00D7033D" w:rsidRDefault="00D7033D" w:rsidP="00D7033D">
            <w:pPr>
              <w:pStyle w:val="Tabletext"/>
            </w:pPr>
            <w:r w:rsidRPr="00D7033D">
              <w:t>Up to 25</w:t>
            </w:r>
          </w:p>
        </w:tc>
        <w:tc>
          <w:tcPr>
            <w:tcW w:w="1415" w:type="dxa"/>
            <w:shd w:val="clear" w:color="auto" w:fill="FFFFFF"/>
          </w:tcPr>
          <w:p w14:paraId="15149C50" w14:textId="61F5BF38" w:rsidR="00D7033D" w:rsidRPr="00D7033D" w:rsidRDefault="00D7033D" w:rsidP="00D7033D">
            <w:pPr>
              <w:pStyle w:val="Tabletext"/>
            </w:pPr>
            <w:r w:rsidRPr="00D7033D">
              <w:t>Publication within stated quarter</w:t>
            </w:r>
          </w:p>
        </w:tc>
        <w:tc>
          <w:tcPr>
            <w:tcW w:w="1323" w:type="dxa"/>
            <w:gridSpan w:val="2"/>
            <w:shd w:val="clear" w:color="auto" w:fill="FFFFFF"/>
          </w:tcPr>
          <w:p w14:paraId="52BD533F" w14:textId="2BB5B797" w:rsidR="00D7033D" w:rsidRPr="00D7033D" w:rsidRDefault="00D7033D" w:rsidP="00D7033D">
            <w:pPr>
              <w:pStyle w:val="Tabletext"/>
            </w:pPr>
            <w:r w:rsidRPr="00D7033D">
              <w:t>80%</w:t>
            </w:r>
          </w:p>
        </w:tc>
        <w:tc>
          <w:tcPr>
            <w:tcW w:w="1361" w:type="dxa"/>
            <w:shd w:val="clear" w:color="auto" w:fill="FFFFFF"/>
          </w:tcPr>
          <w:p w14:paraId="442F7BD7" w14:textId="7550EA14" w:rsidR="00D7033D" w:rsidRPr="00D7033D" w:rsidRDefault="00D7033D" w:rsidP="00D7033D">
            <w:pPr>
              <w:pStyle w:val="Tabletext"/>
            </w:pPr>
            <w:r w:rsidRPr="00D7033D">
              <w:t>8</w:t>
            </w:r>
          </w:p>
        </w:tc>
        <w:tc>
          <w:tcPr>
            <w:tcW w:w="1335" w:type="dxa"/>
            <w:shd w:val="clear" w:color="auto" w:fill="FFFFFF"/>
          </w:tcPr>
          <w:p w14:paraId="6CAECCC8" w14:textId="3CF5C2A7" w:rsidR="00D7033D" w:rsidRPr="00D7033D" w:rsidRDefault="00D7033D" w:rsidP="00D7033D">
            <w:pPr>
              <w:pStyle w:val="Tabletext"/>
            </w:pPr>
            <w:r w:rsidRPr="00D7033D">
              <w:t>8</w:t>
            </w:r>
          </w:p>
        </w:tc>
        <w:tc>
          <w:tcPr>
            <w:tcW w:w="1575" w:type="dxa"/>
            <w:gridSpan w:val="2"/>
            <w:shd w:val="clear" w:color="auto" w:fill="FFFFFF"/>
          </w:tcPr>
          <w:p w14:paraId="08F30128" w14:textId="246B86B7" w:rsidR="00D7033D" w:rsidRPr="00D7033D" w:rsidRDefault="00D7033D" w:rsidP="00D7033D">
            <w:pPr>
              <w:pStyle w:val="Tabletext"/>
            </w:pPr>
            <w:r w:rsidRPr="00D7033D">
              <w:t>100%</w:t>
            </w:r>
          </w:p>
        </w:tc>
        <w:tc>
          <w:tcPr>
            <w:tcW w:w="1312" w:type="dxa"/>
            <w:shd w:val="clear" w:color="auto" w:fill="FFFFFF"/>
          </w:tcPr>
          <w:p w14:paraId="6D800F9B" w14:textId="4C1BF07F" w:rsidR="00D7033D" w:rsidRPr="00D7033D" w:rsidRDefault="00D7033D" w:rsidP="00D7033D">
            <w:pPr>
              <w:pStyle w:val="Tabletext"/>
            </w:pPr>
            <w:r w:rsidRPr="00D7033D">
              <w:t>Green</w:t>
            </w:r>
          </w:p>
        </w:tc>
      </w:tr>
      <w:tr w:rsidR="00D7033D" w14:paraId="4291B8FA" w14:textId="77777777" w:rsidTr="00DA0736">
        <w:tc>
          <w:tcPr>
            <w:tcW w:w="1834" w:type="dxa"/>
            <w:gridSpan w:val="2"/>
            <w:shd w:val="clear" w:color="auto" w:fill="FFFFFF"/>
          </w:tcPr>
          <w:p w14:paraId="3D322821" w14:textId="66E6260E" w:rsidR="00D7033D" w:rsidRPr="00D7033D" w:rsidRDefault="00D7033D" w:rsidP="00D7033D">
            <w:pPr>
              <w:pStyle w:val="Tabletext"/>
            </w:pPr>
            <w:r w:rsidRPr="00D7033D">
              <w:t xml:space="preserve">Publish diagnostics guidance </w:t>
            </w:r>
          </w:p>
        </w:tc>
        <w:tc>
          <w:tcPr>
            <w:tcW w:w="1972" w:type="dxa"/>
            <w:shd w:val="clear" w:color="auto" w:fill="FFFFFF"/>
          </w:tcPr>
          <w:p w14:paraId="483A51E1" w14:textId="264ED2D6" w:rsidR="00D7033D" w:rsidRPr="00D7033D" w:rsidRDefault="00D7033D" w:rsidP="00D7033D">
            <w:pPr>
              <w:pStyle w:val="Tabletext"/>
            </w:pPr>
            <w:r w:rsidRPr="00D7033D">
              <w:t>Up to 11</w:t>
            </w:r>
          </w:p>
        </w:tc>
        <w:tc>
          <w:tcPr>
            <w:tcW w:w="1821" w:type="dxa"/>
            <w:shd w:val="clear" w:color="auto" w:fill="FFFFFF"/>
          </w:tcPr>
          <w:p w14:paraId="0064010E" w14:textId="38FB16DD" w:rsidR="00D7033D" w:rsidRPr="00D7033D" w:rsidRDefault="00D7033D" w:rsidP="00D7033D">
            <w:pPr>
              <w:pStyle w:val="Tabletext"/>
            </w:pPr>
            <w:r w:rsidRPr="00D7033D">
              <w:t>Range from 5 to 7</w:t>
            </w:r>
          </w:p>
        </w:tc>
        <w:tc>
          <w:tcPr>
            <w:tcW w:w="1415" w:type="dxa"/>
            <w:shd w:val="clear" w:color="auto" w:fill="FFFFFF"/>
          </w:tcPr>
          <w:p w14:paraId="1789212C" w14:textId="13A8DBD4" w:rsidR="00D7033D" w:rsidRPr="00D7033D" w:rsidRDefault="00D7033D" w:rsidP="00D7033D">
            <w:pPr>
              <w:pStyle w:val="Tabletext"/>
            </w:pPr>
            <w:r w:rsidRPr="00D7033D">
              <w:t>Publication within stated quarter</w:t>
            </w:r>
          </w:p>
        </w:tc>
        <w:tc>
          <w:tcPr>
            <w:tcW w:w="1323" w:type="dxa"/>
            <w:gridSpan w:val="2"/>
            <w:shd w:val="clear" w:color="auto" w:fill="FFFFFF"/>
          </w:tcPr>
          <w:p w14:paraId="02CA5979" w14:textId="500608B1" w:rsidR="00D7033D" w:rsidRPr="00D7033D" w:rsidRDefault="00D7033D" w:rsidP="00D7033D">
            <w:pPr>
              <w:pStyle w:val="Tabletext"/>
            </w:pPr>
            <w:r w:rsidRPr="00D7033D">
              <w:t>80%</w:t>
            </w:r>
          </w:p>
        </w:tc>
        <w:tc>
          <w:tcPr>
            <w:tcW w:w="1361" w:type="dxa"/>
            <w:shd w:val="clear" w:color="auto" w:fill="FFFFFF"/>
          </w:tcPr>
          <w:p w14:paraId="27D7398D" w14:textId="12883C61" w:rsidR="00D7033D" w:rsidRPr="00D7033D" w:rsidRDefault="00D7033D" w:rsidP="00D7033D">
            <w:pPr>
              <w:pStyle w:val="Tabletext"/>
            </w:pPr>
            <w:r w:rsidRPr="00D7033D">
              <w:t>3</w:t>
            </w:r>
          </w:p>
        </w:tc>
        <w:tc>
          <w:tcPr>
            <w:tcW w:w="1335" w:type="dxa"/>
            <w:shd w:val="clear" w:color="auto" w:fill="FFFFFF"/>
          </w:tcPr>
          <w:p w14:paraId="06C7A3E9" w14:textId="0F81130F" w:rsidR="00D7033D" w:rsidRPr="00D7033D" w:rsidRDefault="00D7033D" w:rsidP="00D7033D">
            <w:pPr>
              <w:pStyle w:val="Tabletext"/>
            </w:pPr>
            <w:r w:rsidRPr="00D7033D">
              <w:t>3</w:t>
            </w:r>
          </w:p>
        </w:tc>
        <w:tc>
          <w:tcPr>
            <w:tcW w:w="1575" w:type="dxa"/>
            <w:gridSpan w:val="2"/>
            <w:shd w:val="clear" w:color="auto" w:fill="FFFFFF"/>
          </w:tcPr>
          <w:p w14:paraId="33E7DB74" w14:textId="65C4D44E" w:rsidR="00D7033D" w:rsidRPr="00D7033D" w:rsidRDefault="00D7033D" w:rsidP="00D7033D">
            <w:pPr>
              <w:pStyle w:val="Tabletext"/>
            </w:pPr>
            <w:r w:rsidRPr="00D7033D">
              <w:t>100%</w:t>
            </w:r>
          </w:p>
        </w:tc>
        <w:tc>
          <w:tcPr>
            <w:tcW w:w="1312" w:type="dxa"/>
            <w:shd w:val="clear" w:color="auto" w:fill="FFFFFF"/>
          </w:tcPr>
          <w:p w14:paraId="60DABD01" w14:textId="4B119478" w:rsidR="00D7033D" w:rsidRPr="00D7033D" w:rsidRDefault="00D7033D" w:rsidP="00D7033D">
            <w:pPr>
              <w:pStyle w:val="Tabletext"/>
            </w:pPr>
            <w:r w:rsidRPr="00D7033D">
              <w:t>Green</w:t>
            </w:r>
          </w:p>
        </w:tc>
      </w:tr>
      <w:tr w:rsidR="00D7033D" w14:paraId="0CBAA69B" w14:textId="77777777" w:rsidTr="00DA0736">
        <w:tc>
          <w:tcPr>
            <w:tcW w:w="1834" w:type="dxa"/>
            <w:gridSpan w:val="2"/>
            <w:shd w:val="clear" w:color="auto" w:fill="FFFFFF"/>
          </w:tcPr>
          <w:p w14:paraId="3401CD68" w14:textId="7C799B27" w:rsidR="00D7033D" w:rsidRPr="00D7033D" w:rsidRDefault="00D7033D" w:rsidP="00D7033D">
            <w:pPr>
              <w:pStyle w:val="Tabletext"/>
            </w:pPr>
            <w:r w:rsidRPr="00D7033D">
              <w:t>Publish medical technologies guidance</w:t>
            </w:r>
          </w:p>
        </w:tc>
        <w:tc>
          <w:tcPr>
            <w:tcW w:w="1972" w:type="dxa"/>
            <w:shd w:val="clear" w:color="auto" w:fill="FFFFFF"/>
          </w:tcPr>
          <w:p w14:paraId="4431D48A" w14:textId="60422605" w:rsidR="00D7033D" w:rsidRPr="00D7033D" w:rsidRDefault="00D7033D" w:rsidP="00D7033D">
            <w:pPr>
              <w:pStyle w:val="Tabletext"/>
            </w:pPr>
            <w:r w:rsidRPr="00D7033D">
              <w:t>Up to 14</w:t>
            </w:r>
          </w:p>
        </w:tc>
        <w:tc>
          <w:tcPr>
            <w:tcW w:w="1821" w:type="dxa"/>
            <w:shd w:val="clear" w:color="auto" w:fill="FFFFFF"/>
          </w:tcPr>
          <w:p w14:paraId="46B39018" w14:textId="64B97B96" w:rsidR="00D7033D" w:rsidRPr="00D7033D" w:rsidRDefault="00D7033D" w:rsidP="00D7033D">
            <w:pPr>
              <w:pStyle w:val="Tabletext"/>
            </w:pPr>
            <w:r w:rsidRPr="00D7033D">
              <w:t>Range from 5 to 10</w:t>
            </w:r>
          </w:p>
        </w:tc>
        <w:tc>
          <w:tcPr>
            <w:tcW w:w="1415" w:type="dxa"/>
            <w:shd w:val="clear" w:color="auto" w:fill="FFFFFF"/>
          </w:tcPr>
          <w:p w14:paraId="71ABBA03" w14:textId="3AC7074E" w:rsidR="00D7033D" w:rsidRPr="00D7033D" w:rsidRDefault="00D7033D" w:rsidP="00D7033D">
            <w:pPr>
              <w:pStyle w:val="Tabletext"/>
            </w:pPr>
            <w:r w:rsidRPr="00D7033D">
              <w:t>Publication within stated year</w:t>
            </w:r>
          </w:p>
        </w:tc>
        <w:tc>
          <w:tcPr>
            <w:tcW w:w="1323" w:type="dxa"/>
            <w:gridSpan w:val="2"/>
            <w:shd w:val="clear" w:color="auto" w:fill="FFFFFF"/>
          </w:tcPr>
          <w:p w14:paraId="640C085D" w14:textId="006FFEB3" w:rsidR="00D7033D" w:rsidRPr="00D7033D" w:rsidRDefault="00D7033D" w:rsidP="00D7033D">
            <w:pPr>
              <w:pStyle w:val="Tabletext"/>
            </w:pPr>
            <w:r w:rsidRPr="00D7033D">
              <w:t>80%</w:t>
            </w:r>
          </w:p>
        </w:tc>
        <w:tc>
          <w:tcPr>
            <w:tcW w:w="1361" w:type="dxa"/>
            <w:shd w:val="clear" w:color="auto" w:fill="FFFFFF"/>
          </w:tcPr>
          <w:p w14:paraId="3CA9BA9E" w14:textId="0E73201A" w:rsidR="00D7033D" w:rsidRPr="00D7033D" w:rsidRDefault="004F17A8" w:rsidP="00D7033D">
            <w:pPr>
              <w:pStyle w:val="Tabletext"/>
            </w:pPr>
            <w:r>
              <w:t>4</w:t>
            </w:r>
          </w:p>
        </w:tc>
        <w:tc>
          <w:tcPr>
            <w:tcW w:w="1335" w:type="dxa"/>
            <w:shd w:val="clear" w:color="auto" w:fill="FFFFFF"/>
          </w:tcPr>
          <w:p w14:paraId="56690947" w14:textId="60864F02" w:rsidR="00D7033D" w:rsidRPr="00D7033D" w:rsidRDefault="00D7033D" w:rsidP="00D7033D">
            <w:pPr>
              <w:pStyle w:val="Tabletext"/>
            </w:pPr>
            <w:r w:rsidRPr="00D7033D">
              <w:t>3</w:t>
            </w:r>
          </w:p>
        </w:tc>
        <w:tc>
          <w:tcPr>
            <w:tcW w:w="1575" w:type="dxa"/>
            <w:gridSpan w:val="2"/>
            <w:shd w:val="clear" w:color="auto" w:fill="FFFFFF"/>
          </w:tcPr>
          <w:p w14:paraId="1695C662" w14:textId="563A288F" w:rsidR="00D7033D" w:rsidRPr="00D7033D" w:rsidRDefault="004F17A8" w:rsidP="00D7033D">
            <w:pPr>
              <w:pStyle w:val="Tabletext"/>
            </w:pPr>
            <w:r>
              <w:t>75</w:t>
            </w:r>
            <w:r w:rsidR="00D7033D" w:rsidRPr="00D7033D">
              <w:t>%</w:t>
            </w:r>
          </w:p>
        </w:tc>
        <w:tc>
          <w:tcPr>
            <w:tcW w:w="1312" w:type="dxa"/>
            <w:shd w:val="clear" w:color="auto" w:fill="FFFFFF"/>
          </w:tcPr>
          <w:p w14:paraId="0AE84C10" w14:textId="184666C6" w:rsidR="00D7033D" w:rsidRPr="00D7033D" w:rsidRDefault="004F17A8" w:rsidP="00D7033D">
            <w:pPr>
              <w:pStyle w:val="Tabletext"/>
            </w:pPr>
            <w:r>
              <w:t>Amber</w:t>
            </w:r>
            <w:r w:rsidR="00D7033D" w:rsidRPr="00D7033D">
              <w:t xml:space="preserve"> (see note 2)</w:t>
            </w:r>
          </w:p>
        </w:tc>
      </w:tr>
      <w:tr w:rsidR="00D7033D" w14:paraId="7FDF74D4" w14:textId="77777777" w:rsidTr="00DA0736">
        <w:tc>
          <w:tcPr>
            <w:tcW w:w="1834" w:type="dxa"/>
            <w:gridSpan w:val="2"/>
            <w:shd w:val="clear" w:color="auto" w:fill="FFFFFF"/>
          </w:tcPr>
          <w:p w14:paraId="789DFFD7" w14:textId="76817D00" w:rsidR="00D7033D" w:rsidRPr="00D7033D" w:rsidRDefault="00D7033D" w:rsidP="00D7033D">
            <w:pPr>
              <w:pStyle w:val="Tabletext"/>
            </w:pPr>
            <w:r w:rsidRPr="00D7033D">
              <w:t xml:space="preserve">Publish </w:t>
            </w:r>
            <w:proofErr w:type="spellStart"/>
            <w:r w:rsidRPr="00D7033D">
              <w:t>medtech</w:t>
            </w:r>
            <w:proofErr w:type="spellEnd"/>
            <w:r w:rsidRPr="00D7033D">
              <w:t xml:space="preserve"> innovation briefings (MIBs)</w:t>
            </w:r>
          </w:p>
        </w:tc>
        <w:tc>
          <w:tcPr>
            <w:tcW w:w="1972" w:type="dxa"/>
            <w:shd w:val="clear" w:color="auto" w:fill="FFFFFF"/>
          </w:tcPr>
          <w:p w14:paraId="606CD5FC" w14:textId="60A56A53" w:rsidR="00D7033D" w:rsidRPr="00D7033D" w:rsidRDefault="00D7033D" w:rsidP="00D7033D">
            <w:pPr>
              <w:pStyle w:val="Tabletext"/>
            </w:pPr>
            <w:r w:rsidRPr="00D7033D">
              <w:t>Up to 46</w:t>
            </w:r>
          </w:p>
        </w:tc>
        <w:tc>
          <w:tcPr>
            <w:tcW w:w="1821" w:type="dxa"/>
            <w:shd w:val="clear" w:color="auto" w:fill="FFFFFF"/>
          </w:tcPr>
          <w:p w14:paraId="4A5A208E" w14:textId="44ECDFC6" w:rsidR="00D7033D" w:rsidRPr="00D7033D" w:rsidRDefault="00D7033D" w:rsidP="00D7033D">
            <w:pPr>
              <w:pStyle w:val="Tabletext"/>
            </w:pPr>
            <w:r w:rsidRPr="00D7033D">
              <w:t>Range from 20 to 30</w:t>
            </w:r>
          </w:p>
        </w:tc>
        <w:tc>
          <w:tcPr>
            <w:tcW w:w="1415" w:type="dxa"/>
            <w:shd w:val="clear" w:color="auto" w:fill="FFFFFF"/>
          </w:tcPr>
          <w:p w14:paraId="7E9FB2A9" w14:textId="4E517ECD" w:rsidR="00D7033D" w:rsidRPr="00D7033D" w:rsidRDefault="00D7033D" w:rsidP="00D7033D">
            <w:pPr>
              <w:pStyle w:val="Tabletext"/>
            </w:pPr>
            <w:r w:rsidRPr="00D7033D">
              <w:t>Publication within stated year</w:t>
            </w:r>
          </w:p>
        </w:tc>
        <w:tc>
          <w:tcPr>
            <w:tcW w:w="1323" w:type="dxa"/>
            <w:gridSpan w:val="2"/>
            <w:shd w:val="clear" w:color="auto" w:fill="FFFFFF"/>
          </w:tcPr>
          <w:p w14:paraId="4F95FDBF" w14:textId="277A7071" w:rsidR="00D7033D" w:rsidRPr="00D7033D" w:rsidRDefault="00D7033D" w:rsidP="00D7033D">
            <w:pPr>
              <w:pStyle w:val="Tabletext"/>
            </w:pPr>
            <w:r w:rsidRPr="00D7033D">
              <w:t>80%</w:t>
            </w:r>
          </w:p>
        </w:tc>
        <w:tc>
          <w:tcPr>
            <w:tcW w:w="1361" w:type="dxa"/>
            <w:shd w:val="clear" w:color="auto" w:fill="FFFFFF"/>
          </w:tcPr>
          <w:p w14:paraId="48346812" w14:textId="1F385D18" w:rsidR="00D7033D" w:rsidRPr="00D7033D" w:rsidRDefault="00D7033D" w:rsidP="00D7033D">
            <w:pPr>
              <w:pStyle w:val="Tabletext"/>
            </w:pPr>
            <w:r w:rsidRPr="00D7033D">
              <w:t>21</w:t>
            </w:r>
          </w:p>
        </w:tc>
        <w:tc>
          <w:tcPr>
            <w:tcW w:w="1335" w:type="dxa"/>
            <w:shd w:val="clear" w:color="auto" w:fill="FFFFFF"/>
          </w:tcPr>
          <w:p w14:paraId="1D8952A8" w14:textId="5058247B" w:rsidR="00D7033D" w:rsidRPr="00D7033D" w:rsidRDefault="00D7033D" w:rsidP="00D7033D">
            <w:pPr>
              <w:pStyle w:val="Tabletext"/>
            </w:pPr>
            <w:r w:rsidRPr="00D7033D">
              <w:t>19</w:t>
            </w:r>
          </w:p>
        </w:tc>
        <w:tc>
          <w:tcPr>
            <w:tcW w:w="1575" w:type="dxa"/>
            <w:gridSpan w:val="2"/>
            <w:shd w:val="clear" w:color="auto" w:fill="FFFFFF"/>
          </w:tcPr>
          <w:p w14:paraId="3834C1E3" w14:textId="607C5674" w:rsidR="00D7033D" w:rsidRPr="00D7033D" w:rsidRDefault="00D7033D" w:rsidP="00D7033D">
            <w:pPr>
              <w:pStyle w:val="Tabletext"/>
            </w:pPr>
            <w:r w:rsidRPr="00D7033D">
              <w:t>90%</w:t>
            </w:r>
          </w:p>
        </w:tc>
        <w:tc>
          <w:tcPr>
            <w:tcW w:w="1312" w:type="dxa"/>
            <w:shd w:val="clear" w:color="auto" w:fill="FFFFFF"/>
          </w:tcPr>
          <w:p w14:paraId="5AFEE68C" w14:textId="1D0D7CD4" w:rsidR="00D7033D" w:rsidRPr="00D7033D" w:rsidRDefault="00D7033D" w:rsidP="00D7033D">
            <w:pPr>
              <w:pStyle w:val="Tabletext"/>
            </w:pPr>
            <w:r w:rsidRPr="00D7033D">
              <w:t>Green</w:t>
            </w:r>
          </w:p>
        </w:tc>
      </w:tr>
      <w:tr w:rsidR="00D7033D" w14:paraId="6F2AF585" w14:textId="77777777" w:rsidTr="00DA0736">
        <w:tc>
          <w:tcPr>
            <w:tcW w:w="1834" w:type="dxa"/>
            <w:gridSpan w:val="2"/>
            <w:shd w:val="clear" w:color="auto" w:fill="FFFFFF"/>
          </w:tcPr>
          <w:p w14:paraId="5451A685" w14:textId="297A9EF1" w:rsidR="00D7033D" w:rsidRPr="00D7033D" w:rsidRDefault="00D7033D" w:rsidP="00D7033D">
            <w:pPr>
              <w:pStyle w:val="Tabletext"/>
            </w:pPr>
            <w:r w:rsidRPr="00D7033D">
              <w:t>Deliver commercial briefing notes for NHSE&amp;I to support discussions with companies</w:t>
            </w:r>
          </w:p>
        </w:tc>
        <w:tc>
          <w:tcPr>
            <w:tcW w:w="1972" w:type="dxa"/>
            <w:shd w:val="clear" w:color="auto" w:fill="FFFFFF"/>
          </w:tcPr>
          <w:p w14:paraId="5B6E2F68" w14:textId="603059CB" w:rsidR="00D7033D" w:rsidRPr="00D7033D" w:rsidRDefault="00D7033D" w:rsidP="00D7033D">
            <w:pPr>
              <w:pStyle w:val="Tabletext"/>
            </w:pPr>
            <w:r w:rsidRPr="00D7033D">
              <w:t>Up to 60</w:t>
            </w:r>
          </w:p>
        </w:tc>
        <w:tc>
          <w:tcPr>
            <w:tcW w:w="1821" w:type="dxa"/>
            <w:shd w:val="clear" w:color="auto" w:fill="FFFFFF"/>
          </w:tcPr>
          <w:p w14:paraId="2D1D829F" w14:textId="39F19D35" w:rsidR="00D7033D" w:rsidRPr="00D7033D" w:rsidRDefault="00D7033D" w:rsidP="00D7033D">
            <w:pPr>
              <w:pStyle w:val="Tabletext"/>
            </w:pPr>
            <w:r w:rsidRPr="00D7033D">
              <w:t>Up to 40</w:t>
            </w:r>
          </w:p>
        </w:tc>
        <w:tc>
          <w:tcPr>
            <w:tcW w:w="1415" w:type="dxa"/>
            <w:shd w:val="clear" w:color="auto" w:fill="FFFFFF"/>
          </w:tcPr>
          <w:p w14:paraId="6028DF6F" w14:textId="0528D9A4" w:rsidR="00D7033D" w:rsidRPr="00D7033D" w:rsidRDefault="00D7033D" w:rsidP="00D7033D">
            <w:pPr>
              <w:pStyle w:val="Tabletext"/>
            </w:pPr>
            <w:r w:rsidRPr="00D7033D">
              <w:t>Delivery within stated year</w:t>
            </w:r>
          </w:p>
        </w:tc>
        <w:tc>
          <w:tcPr>
            <w:tcW w:w="1323" w:type="dxa"/>
            <w:gridSpan w:val="2"/>
            <w:shd w:val="clear" w:color="auto" w:fill="FFFFFF"/>
          </w:tcPr>
          <w:p w14:paraId="1B107EB7" w14:textId="0B3224D3" w:rsidR="00D7033D" w:rsidRPr="00D7033D" w:rsidRDefault="00D7033D" w:rsidP="00D7033D">
            <w:pPr>
              <w:pStyle w:val="Tabletext"/>
            </w:pPr>
            <w:r w:rsidRPr="00D7033D">
              <w:t>80%</w:t>
            </w:r>
          </w:p>
        </w:tc>
        <w:tc>
          <w:tcPr>
            <w:tcW w:w="1361" w:type="dxa"/>
            <w:shd w:val="clear" w:color="auto" w:fill="FFFFFF"/>
          </w:tcPr>
          <w:p w14:paraId="62DA00B4" w14:textId="1DBB67A1" w:rsidR="00D7033D" w:rsidRPr="00D7033D" w:rsidRDefault="00D7033D" w:rsidP="00D7033D">
            <w:pPr>
              <w:pStyle w:val="Tabletext"/>
            </w:pPr>
            <w:r w:rsidRPr="00D7033D">
              <w:t>20</w:t>
            </w:r>
          </w:p>
        </w:tc>
        <w:tc>
          <w:tcPr>
            <w:tcW w:w="1335" w:type="dxa"/>
            <w:shd w:val="clear" w:color="auto" w:fill="FFFFFF"/>
          </w:tcPr>
          <w:p w14:paraId="6059EB81" w14:textId="39834F13" w:rsidR="00D7033D" w:rsidRPr="00D7033D" w:rsidRDefault="00D7033D" w:rsidP="00D7033D">
            <w:pPr>
              <w:pStyle w:val="Tabletext"/>
            </w:pPr>
            <w:r w:rsidRPr="00D7033D">
              <w:t>33</w:t>
            </w:r>
          </w:p>
        </w:tc>
        <w:tc>
          <w:tcPr>
            <w:tcW w:w="1575" w:type="dxa"/>
            <w:gridSpan w:val="2"/>
            <w:shd w:val="clear" w:color="auto" w:fill="FFFFFF"/>
          </w:tcPr>
          <w:p w14:paraId="74ACA633" w14:textId="7D7D5F98" w:rsidR="00D7033D" w:rsidRPr="00D7033D" w:rsidRDefault="00D7033D" w:rsidP="00D7033D">
            <w:pPr>
              <w:pStyle w:val="Tabletext"/>
            </w:pPr>
            <w:r w:rsidRPr="00D7033D">
              <w:t>165%</w:t>
            </w:r>
          </w:p>
        </w:tc>
        <w:tc>
          <w:tcPr>
            <w:tcW w:w="1312" w:type="dxa"/>
            <w:shd w:val="clear" w:color="auto" w:fill="FFFFFF"/>
          </w:tcPr>
          <w:p w14:paraId="1E70F9C6" w14:textId="4DC9464D" w:rsidR="00D7033D" w:rsidRPr="00D7033D" w:rsidRDefault="00D7033D" w:rsidP="00D7033D">
            <w:pPr>
              <w:pStyle w:val="Tabletext"/>
            </w:pPr>
            <w:r w:rsidRPr="00D7033D">
              <w:t>Green</w:t>
            </w:r>
          </w:p>
        </w:tc>
      </w:tr>
      <w:tr w:rsidR="00D7033D" w14:paraId="2EACAFE5" w14:textId="77777777" w:rsidTr="00DA0736">
        <w:tc>
          <w:tcPr>
            <w:tcW w:w="1834" w:type="dxa"/>
            <w:gridSpan w:val="2"/>
            <w:shd w:val="clear" w:color="auto" w:fill="FFFFFF"/>
          </w:tcPr>
          <w:p w14:paraId="7FABCAB6" w14:textId="3D9ACA05" w:rsidR="00D7033D" w:rsidRPr="00D7033D" w:rsidRDefault="00D7033D" w:rsidP="00D7033D">
            <w:pPr>
              <w:pStyle w:val="Tabletext"/>
            </w:pPr>
            <w:r w:rsidRPr="00D7033D">
              <w:t>Advise on ‘Patient Access Schemes’</w:t>
            </w:r>
          </w:p>
        </w:tc>
        <w:tc>
          <w:tcPr>
            <w:tcW w:w="1972" w:type="dxa"/>
            <w:shd w:val="clear" w:color="auto" w:fill="FFFFFF"/>
          </w:tcPr>
          <w:p w14:paraId="7C8CB2BB" w14:textId="7644F7AE" w:rsidR="00D7033D" w:rsidRPr="00D7033D" w:rsidRDefault="00D7033D" w:rsidP="00D7033D">
            <w:pPr>
              <w:pStyle w:val="Tabletext"/>
            </w:pPr>
            <w:r w:rsidRPr="00D7033D">
              <w:t>Up to 55</w:t>
            </w:r>
          </w:p>
        </w:tc>
        <w:tc>
          <w:tcPr>
            <w:tcW w:w="1821" w:type="dxa"/>
            <w:shd w:val="clear" w:color="auto" w:fill="FFFFFF"/>
          </w:tcPr>
          <w:p w14:paraId="3CB1B1A3" w14:textId="4EDED48F" w:rsidR="00D7033D" w:rsidRPr="00D7033D" w:rsidRDefault="00D7033D" w:rsidP="00D7033D">
            <w:pPr>
              <w:pStyle w:val="Tabletext"/>
            </w:pPr>
            <w:r w:rsidRPr="00D7033D">
              <w:t>Up to 37</w:t>
            </w:r>
          </w:p>
        </w:tc>
        <w:tc>
          <w:tcPr>
            <w:tcW w:w="1415" w:type="dxa"/>
            <w:shd w:val="clear" w:color="auto" w:fill="FFFFFF"/>
          </w:tcPr>
          <w:p w14:paraId="07F87DE1" w14:textId="558D3FA6" w:rsidR="00D7033D" w:rsidRPr="00D7033D" w:rsidRDefault="00D7033D" w:rsidP="00D7033D">
            <w:pPr>
              <w:pStyle w:val="Tabletext"/>
            </w:pPr>
            <w:r w:rsidRPr="00D7033D">
              <w:t>Delivery within stated year</w:t>
            </w:r>
          </w:p>
        </w:tc>
        <w:tc>
          <w:tcPr>
            <w:tcW w:w="1323" w:type="dxa"/>
            <w:gridSpan w:val="2"/>
            <w:shd w:val="clear" w:color="auto" w:fill="FFFFFF"/>
          </w:tcPr>
          <w:p w14:paraId="6301D509" w14:textId="26CFAB02" w:rsidR="00D7033D" w:rsidRPr="00D7033D" w:rsidRDefault="00D7033D" w:rsidP="00D7033D">
            <w:pPr>
              <w:pStyle w:val="Tabletext"/>
            </w:pPr>
            <w:r w:rsidRPr="00D7033D">
              <w:t>80%</w:t>
            </w:r>
          </w:p>
        </w:tc>
        <w:tc>
          <w:tcPr>
            <w:tcW w:w="1361" w:type="dxa"/>
            <w:shd w:val="clear" w:color="auto" w:fill="FFFFFF"/>
          </w:tcPr>
          <w:p w14:paraId="5856B23B" w14:textId="07E02E31" w:rsidR="00D7033D" w:rsidRPr="00D7033D" w:rsidRDefault="00D7033D" w:rsidP="00D7033D">
            <w:pPr>
              <w:pStyle w:val="Tabletext"/>
            </w:pPr>
            <w:r w:rsidRPr="00D7033D">
              <w:t>18</w:t>
            </w:r>
          </w:p>
        </w:tc>
        <w:tc>
          <w:tcPr>
            <w:tcW w:w="1335" w:type="dxa"/>
            <w:shd w:val="clear" w:color="auto" w:fill="FFFFFF"/>
          </w:tcPr>
          <w:p w14:paraId="110053DC" w14:textId="3E58C5B3" w:rsidR="00D7033D" w:rsidRPr="00D7033D" w:rsidRDefault="00D7033D" w:rsidP="00D7033D">
            <w:pPr>
              <w:pStyle w:val="Tabletext"/>
            </w:pPr>
            <w:r w:rsidRPr="00D7033D">
              <w:t>24</w:t>
            </w:r>
          </w:p>
        </w:tc>
        <w:tc>
          <w:tcPr>
            <w:tcW w:w="1575" w:type="dxa"/>
            <w:gridSpan w:val="2"/>
            <w:shd w:val="clear" w:color="auto" w:fill="FFFFFF"/>
          </w:tcPr>
          <w:p w14:paraId="549DCAE7" w14:textId="6EA52AD5" w:rsidR="00D7033D" w:rsidRPr="00D7033D" w:rsidRDefault="00D7033D" w:rsidP="00D7033D">
            <w:pPr>
              <w:pStyle w:val="Tabletext"/>
            </w:pPr>
            <w:r w:rsidRPr="00D7033D">
              <w:t>133%</w:t>
            </w:r>
          </w:p>
        </w:tc>
        <w:tc>
          <w:tcPr>
            <w:tcW w:w="1312" w:type="dxa"/>
            <w:shd w:val="clear" w:color="auto" w:fill="FFFFFF"/>
          </w:tcPr>
          <w:p w14:paraId="447DF1A9" w14:textId="5169202B" w:rsidR="00D7033D" w:rsidRPr="00D7033D" w:rsidRDefault="00D7033D" w:rsidP="00D7033D">
            <w:pPr>
              <w:pStyle w:val="Tabletext"/>
            </w:pPr>
            <w:r w:rsidRPr="00D7033D">
              <w:t>Green</w:t>
            </w:r>
          </w:p>
        </w:tc>
      </w:tr>
      <w:tr w:rsidR="00D7033D" w14:paraId="5BA50CF2" w14:textId="77777777" w:rsidTr="00DA0736">
        <w:tc>
          <w:tcPr>
            <w:tcW w:w="1834" w:type="dxa"/>
            <w:gridSpan w:val="2"/>
            <w:shd w:val="clear" w:color="auto" w:fill="FFFFFF"/>
          </w:tcPr>
          <w:p w14:paraId="4C34A699" w14:textId="4903F5F3" w:rsidR="00D7033D" w:rsidRPr="00D7033D" w:rsidRDefault="00D7033D" w:rsidP="00D7033D">
            <w:pPr>
              <w:pStyle w:val="Tabletext"/>
            </w:pPr>
            <w:r w:rsidRPr="00D7033D">
              <w:lastRenderedPageBreak/>
              <w:t>Deliver new data collection agreements</w:t>
            </w:r>
          </w:p>
        </w:tc>
        <w:tc>
          <w:tcPr>
            <w:tcW w:w="1972" w:type="dxa"/>
            <w:shd w:val="clear" w:color="auto" w:fill="FFFFFF"/>
          </w:tcPr>
          <w:p w14:paraId="1AE81C3E" w14:textId="37FF4D6F" w:rsidR="00D7033D" w:rsidRPr="00D7033D" w:rsidRDefault="00D7033D" w:rsidP="00D7033D">
            <w:pPr>
              <w:pStyle w:val="Tabletext"/>
            </w:pPr>
            <w:r w:rsidRPr="00D7033D">
              <w:t>Up to 22</w:t>
            </w:r>
          </w:p>
        </w:tc>
        <w:tc>
          <w:tcPr>
            <w:tcW w:w="1821" w:type="dxa"/>
            <w:shd w:val="clear" w:color="auto" w:fill="FFFFFF"/>
          </w:tcPr>
          <w:p w14:paraId="55903623" w14:textId="584A7337" w:rsidR="00D7033D" w:rsidRPr="00D7033D" w:rsidRDefault="00D7033D" w:rsidP="00D7033D">
            <w:pPr>
              <w:pStyle w:val="Tabletext"/>
            </w:pPr>
            <w:r w:rsidRPr="00D7033D">
              <w:t>Up to 15</w:t>
            </w:r>
          </w:p>
        </w:tc>
        <w:tc>
          <w:tcPr>
            <w:tcW w:w="1415" w:type="dxa"/>
            <w:shd w:val="clear" w:color="auto" w:fill="FFFFFF"/>
          </w:tcPr>
          <w:p w14:paraId="1879BEB9" w14:textId="3B32E14B" w:rsidR="00D7033D" w:rsidRPr="00D7033D" w:rsidRDefault="00D7033D" w:rsidP="00D7033D">
            <w:pPr>
              <w:pStyle w:val="Tabletext"/>
            </w:pPr>
            <w:r w:rsidRPr="00D7033D">
              <w:t>Delivery within stated year</w:t>
            </w:r>
          </w:p>
        </w:tc>
        <w:tc>
          <w:tcPr>
            <w:tcW w:w="1323" w:type="dxa"/>
            <w:gridSpan w:val="2"/>
            <w:shd w:val="clear" w:color="auto" w:fill="FFFFFF"/>
          </w:tcPr>
          <w:p w14:paraId="1196892A" w14:textId="29F9CBB2" w:rsidR="00D7033D" w:rsidRPr="00D7033D" w:rsidRDefault="00D7033D" w:rsidP="00D7033D">
            <w:pPr>
              <w:pStyle w:val="Tabletext"/>
            </w:pPr>
            <w:r w:rsidRPr="00D7033D">
              <w:t>80%</w:t>
            </w:r>
          </w:p>
        </w:tc>
        <w:tc>
          <w:tcPr>
            <w:tcW w:w="1361" w:type="dxa"/>
            <w:shd w:val="clear" w:color="auto" w:fill="FFFFFF"/>
          </w:tcPr>
          <w:p w14:paraId="5718CE72" w14:textId="6F083025" w:rsidR="00D7033D" w:rsidRPr="00D7033D" w:rsidRDefault="00D7033D" w:rsidP="00D7033D">
            <w:pPr>
              <w:pStyle w:val="Tabletext"/>
            </w:pPr>
            <w:r w:rsidRPr="00D7033D">
              <w:t>Up to 4</w:t>
            </w:r>
          </w:p>
        </w:tc>
        <w:tc>
          <w:tcPr>
            <w:tcW w:w="1335" w:type="dxa"/>
            <w:shd w:val="clear" w:color="auto" w:fill="FFFFFF"/>
          </w:tcPr>
          <w:p w14:paraId="6DB4E279" w14:textId="282BFC65" w:rsidR="00D7033D" w:rsidRPr="00D7033D" w:rsidRDefault="00D7033D" w:rsidP="00D7033D">
            <w:pPr>
              <w:pStyle w:val="Tabletext"/>
            </w:pPr>
            <w:r w:rsidRPr="00D7033D">
              <w:t>4</w:t>
            </w:r>
          </w:p>
        </w:tc>
        <w:tc>
          <w:tcPr>
            <w:tcW w:w="1575" w:type="dxa"/>
            <w:gridSpan w:val="2"/>
            <w:shd w:val="clear" w:color="auto" w:fill="FFFFFF"/>
          </w:tcPr>
          <w:p w14:paraId="4F612DD9" w14:textId="3A7E7965" w:rsidR="00D7033D" w:rsidRPr="00D7033D" w:rsidRDefault="00D7033D" w:rsidP="00D7033D">
            <w:pPr>
              <w:pStyle w:val="Tabletext"/>
            </w:pPr>
            <w:r w:rsidRPr="00D7033D">
              <w:t>100%</w:t>
            </w:r>
          </w:p>
        </w:tc>
        <w:tc>
          <w:tcPr>
            <w:tcW w:w="1312" w:type="dxa"/>
            <w:shd w:val="clear" w:color="auto" w:fill="FFFFFF"/>
          </w:tcPr>
          <w:p w14:paraId="5E28BB44" w14:textId="2103F534" w:rsidR="00D7033D" w:rsidRPr="00D7033D" w:rsidRDefault="00D7033D" w:rsidP="00D7033D">
            <w:pPr>
              <w:pStyle w:val="Tabletext"/>
            </w:pPr>
            <w:r w:rsidRPr="00D7033D">
              <w:t>Green</w:t>
            </w:r>
          </w:p>
        </w:tc>
      </w:tr>
      <w:tr w:rsidR="00D7033D" w14:paraId="5739CA08" w14:textId="77777777" w:rsidTr="00DA0736">
        <w:tc>
          <w:tcPr>
            <w:tcW w:w="1834" w:type="dxa"/>
            <w:gridSpan w:val="2"/>
            <w:shd w:val="clear" w:color="auto" w:fill="FFFFFF"/>
          </w:tcPr>
          <w:p w14:paraId="7B189EDF" w14:textId="2FE299BE" w:rsidR="00D7033D" w:rsidRPr="00D7033D" w:rsidRDefault="00D7033D" w:rsidP="00D7033D">
            <w:pPr>
              <w:pStyle w:val="Tabletext"/>
            </w:pPr>
            <w:r w:rsidRPr="00D7033D">
              <w:t>Complete data collection projects and associated managed access agreement exits</w:t>
            </w:r>
          </w:p>
        </w:tc>
        <w:tc>
          <w:tcPr>
            <w:tcW w:w="1972" w:type="dxa"/>
            <w:shd w:val="clear" w:color="auto" w:fill="FFFFFF"/>
          </w:tcPr>
          <w:p w14:paraId="7A93B8DC" w14:textId="2330DD4D" w:rsidR="00D7033D" w:rsidRPr="00D7033D" w:rsidRDefault="00D7033D" w:rsidP="00D7033D">
            <w:pPr>
              <w:pStyle w:val="Tabletext"/>
            </w:pPr>
            <w:r w:rsidRPr="00D7033D">
              <w:t>Up to 12</w:t>
            </w:r>
          </w:p>
        </w:tc>
        <w:tc>
          <w:tcPr>
            <w:tcW w:w="1821" w:type="dxa"/>
            <w:shd w:val="clear" w:color="auto" w:fill="FFFFFF"/>
          </w:tcPr>
          <w:p w14:paraId="1027D23A" w14:textId="24A68D32" w:rsidR="00D7033D" w:rsidRPr="00D7033D" w:rsidRDefault="00D7033D" w:rsidP="00D7033D">
            <w:pPr>
              <w:pStyle w:val="Tabletext"/>
            </w:pPr>
            <w:r w:rsidRPr="00D7033D">
              <w:t>Up to 12</w:t>
            </w:r>
          </w:p>
        </w:tc>
        <w:tc>
          <w:tcPr>
            <w:tcW w:w="1415" w:type="dxa"/>
            <w:shd w:val="clear" w:color="auto" w:fill="FFFFFF"/>
          </w:tcPr>
          <w:p w14:paraId="62B8A9C0" w14:textId="24836FD0" w:rsidR="00D7033D" w:rsidRPr="00D7033D" w:rsidRDefault="00D7033D" w:rsidP="00D7033D">
            <w:pPr>
              <w:pStyle w:val="Tabletext"/>
            </w:pPr>
            <w:r w:rsidRPr="00D7033D">
              <w:t>Delivery within stated year</w:t>
            </w:r>
          </w:p>
        </w:tc>
        <w:tc>
          <w:tcPr>
            <w:tcW w:w="1323" w:type="dxa"/>
            <w:gridSpan w:val="2"/>
            <w:shd w:val="clear" w:color="auto" w:fill="FFFFFF"/>
          </w:tcPr>
          <w:p w14:paraId="61550ACE" w14:textId="61653E53" w:rsidR="00D7033D" w:rsidRPr="00D7033D" w:rsidRDefault="00D7033D" w:rsidP="00D7033D">
            <w:pPr>
              <w:pStyle w:val="Tabletext"/>
            </w:pPr>
            <w:r w:rsidRPr="00D7033D">
              <w:t>80%</w:t>
            </w:r>
          </w:p>
        </w:tc>
        <w:tc>
          <w:tcPr>
            <w:tcW w:w="1361" w:type="dxa"/>
            <w:shd w:val="clear" w:color="auto" w:fill="FFFFFF"/>
          </w:tcPr>
          <w:p w14:paraId="168C7BCC" w14:textId="0414E619" w:rsidR="00D7033D" w:rsidRPr="00D7033D" w:rsidRDefault="00D7033D" w:rsidP="00D7033D">
            <w:pPr>
              <w:pStyle w:val="Tabletext"/>
            </w:pPr>
            <w:r w:rsidRPr="00D7033D">
              <w:t>Up to 3</w:t>
            </w:r>
          </w:p>
        </w:tc>
        <w:tc>
          <w:tcPr>
            <w:tcW w:w="1335" w:type="dxa"/>
            <w:shd w:val="clear" w:color="auto" w:fill="FFFFFF"/>
          </w:tcPr>
          <w:p w14:paraId="2675F75C" w14:textId="30CC0ECC" w:rsidR="00D7033D" w:rsidRPr="00D7033D" w:rsidRDefault="00D7033D" w:rsidP="00D7033D">
            <w:pPr>
              <w:pStyle w:val="Tabletext"/>
            </w:pPr>
            <w:r w:rsidRPr="00D7033D">
              <w:t>1</w:t>
            </w:r>
          </w:p>
        </w:tc>
        <w:tc>
          <w:tcPr>
            <w:tcW w:w="1575" w:type="dxa"/>
            <w:gridSpan w:val="2"/>
            <w:shd w:val="clear" w:color="auto" w:fill="FFFFFF"/>
          </w:tcPr>
          <w:p w14:paraId="169F4B62" w14:textId="1F60670D" w:rsidR="00D7033D" w:rsidRPr="00D7033D" w:rsidRDefault="00D7033D" w:rsidP="00D7033D">
            <w:pPr>
              <w:pStyle w:val="Tabletext"/>
            </w:pPr>
            <w:r w:rsidRPr="00D7033D">
              <w:t>33%</w:t>
            </w:r>
          </w:p>
        </w:tc>
        <w:tc>
          <w:tcPr>
            <w:tcW w:w="1312" w:type="dxa"/>
            <w:shd w:val="clear" w:color="auto" w:fill="FFFFFF"/>
          </w:tcPr>
          <w:p w14:paraId="781BA299" w14:textId="505E2760" w:rsidR="00D7033D" w:rsidRPr="00D7033D" w:rsidRDefault="00D7033D" w:rsidP="00D7033D">
            <w:pPr>
              <w:pStyle w:val="Tabletext"/>
            </w:pPr>
            <w:r w:rsidRPr="00D7033D">
              <w:t>Red (see note 3)</w:t>
            </w:r>
          </w:p>
        </w:tc>
      </w:tr>
      <w:tr w:rsidR="00D7033D" w14:paraId="7384483E" w14:textId="77777777" w:rsidTr="00DA0736">
        <w:tc>
          <w:tcPr>
            <w:tcW w:w="1834" w:type="dxa"/>
            <w:gridSpan w:val="2"/>
            <w:shd w:val="clear" w:color="auto" w:fill="FFFFFF"/>
          </w:tcPr>
          <w:p w14:paraId="06324204" w14:textId="47197CEB" w:rsidR="00D7033D" w:rsidRPr="00D7033D" w:rsidRDefault="00D7033D" w:rsidP="00D7033D">
            <w:pPr>
              <w:pStyle w:val="Tabletext"/>
            </w:pPr>
            <w:r w:rsidRPr="00D7033D">
              <w:t>Actively monitor existing data collection projects</w:t>
            </w:r>
          </w:p>
        </w:tc>
        <w:tc>
          <w:tcPr>
            <w:tcW w:w="1972" w:type="dxa"/>
            <w:shd w:val="clear" w:color="auto" w:fill="FFFFFF"/>
          </w:tcPr>
          <w:p w14:paraId="511B4ECC" w14:textId="37DA248E" w:rsidR="00D7033D" w:rsidRPr="00D7033D" w:rsidRDefault="00D7033D" w:rsidP="00D7033D">
            <w:pPr>
              <w:pStyle w:val="Tabletext"/>
            </w:pPr>
            <w:r w:rsidRPr="00D7033D">
              <w:t>Up to 52</w:t>
            </w:r>
          </w:p>
        </w:tc>
        <w:tc>
          <w:tcPr>
            <w:tcW w:w="1821" w:type="dxa"/>
            <w:shd w:val="clear" w:color="auto" w:fill="FFFFFF"/>
          </w:tcPr>
          <w:p w14:paraId="1FAABC8E" w14:textId="46B9259D" w:rsidR="00D7033D" w:rsidRPr="00D7033D" w:rsidRDefault="00D7033D" w:rsidP="00D7033D">
            <w:pPr>
              <w:pStyle w:val="Tabletext"/>
            </w:pPr>
            <w:r w:rsidRPr="00D7033D">
              <w:t>Up to 52</w:t>
            </w:r>
          </w:p>
        </w:tc>
        <w:tc>
          <w:tcPr>
            <w:tcW w:w="1415" w:type="dxa"/>
            <w:shd w:val="clear" w:color="auto" w:fill="FFFFFF"/>
          </w:tcPr>
          <w:p w14:paraId="74106242" w14:textId="47E4E38F" w:rsidR="00D7033D" w:rsidRPr="00D7033D" w:rsidRDefault="00D7033D" w:rsidP="00D7033D">
            <w:pPr>
              <w:pStyle w:val="Tabletext"/>
            </w:pPr>
            <w:r w:rsidRPr="00D7033D">
              <w:t>Delivery within stated year</w:t>
            </w:r>
          </w:p>
        </w:tc>
        <w:tc>
          <w:tcPr>
            <w:tcW w:w="1323" w:type="dxa"/>
            <w:gridSpan w:val="2"/>
            <w:shd w:val="clear" w:color="auto" w:fill="FFFFFF"/>
          </w:tcPr>
          <w:p w14:paraId="3396738A" w14:textId="32FAB187" w:rsidR="00D7033D" w:rsidRPr="00D7033D" w:rsidRDefault="00D7033D" w:rsidP="00D7033D">
            <w:pPr>
              <w:pStyle w:val="Tabletext"/>
            </w:pPr>
            <w:r w:rsidRPr="00D7033D">
              <w:t>80%</w:t>
            </w:r>
          </w:p>
        </w:tc>
        <w:tc>
          <w:tcPr>
            <w:tcW w:w="1361" w:type="dxa"/>
            <w:shd w:val="clear" w:color="auto" w:fill="FFFFFF"/>
          </w:tcPr>
          <w:p w14:paraId="2DDB4ED3" w14:textId="567953F2" w:rsidR="00D7033D" w:rsidRPr="00D7033D" w:rsidRDefault="00D7033D" w:rsidP="00D7033D">
            <w:pPr>
              <w:pStyle w:val="Tabletext"/>
            </w:pPr>
            <w:r w:rsidRPr="00D7033D">
              <w:t>Up to 13</w:t>
            </w:r>
          </w:p>
        </w:tc>
        <w:tc>
          <w:tcPr>
            <w:tcW w:w="1335" w:type="dxa"/>
            <w:shd w:val="clear" w:color="auto" w:fill="FFFFFF"/>
          </w:tcPr>
          <w:p w14:paraId="516BB863" w14:textId="079644D5" w:rsidR="00D7033D" w:rsidRPr="00D7033D" w:rsidRDefault="00D7033D" w:rsidP="00D7033D">
            <w:pPr>
              <w:pStyle w:val="Tabletext"/>
            </w:pPr>
            <w:r w:rsidRPr="00D7033D">
              <w:t>26</w:t>
            </w:r>
          </w:p>
        </w:tc>
        <w:tc>
          <w:tcPr>
            <w:tcW w:w="1575" w:type="dxa"/>
            <w:gridSpan w:val="2"/>
            <w:shd w:val="clear" w:color="auto" w:fill="FFFFFF"/>
          </w:tcPr>
          <w:p w14:paraId="2C8D8F99" w14:textId="2ADB51A8" w:rsidR="00D7033D" w:rsidRPr="00D7033D" w:rsidRDefault="00D7033D" w:rsidP="00D7033D">
            <w:pPr>
              <w:pStyle w:val="Tabletext"/>
            </w:pPr>
            <w:r w:rsidRPr="00D7033D">
              <w:t>200%</w:t>
            </w:r>
          </w:p>
        </w:tc>
        <w:tc>
          <w:tcPr>
            <w:tcW w:w="1312" w:type="dxa"/>
            <w:shd w:val="clear" w:color="auto" w:fill="FFFFFF"/>
          </w:tcPr>
          <w:p w14:paraId="4DCAAE0F" w14:textId="3AD86F4D" w:rsidR="00D7033D" w:rsidRPr="00D7033D" w:rsidRDefault="00D7033D" w:rsidP="00D7033D">
            <w:pPr>
              <w:pStyle w:val="Tabletext"/>
            </w:pPr>
            <w:r w:rsidRPr="00D7033D">
              <w:t>Green</w:t>
            </w:r>
          </w:p>
        </w:tc>
      </w:tr>
      <w:tr w:rsidR="00D7033D" w14:paraId="58B6E372" w14:textId="77777777" w:rsidTr="00DA0736">
        <w:tc>
          <w:tcPr>
            <w:tcW w:w="1834" w:type="dxa"/>
            <w:gridSpan w:val="2"/>
            <w:shd w:val="clear" w:color="auto" w:fill="FFFFFF"/>
          </w:tcPr>
          <w:p w14:paraId="46CD3364" w14:textId="1C32AB93" w:rsidR="00D7033D" w:rsidRPr="00D7033D" w:rsidRDefault="00D7033D" w:rsidP="00D7033D">
            <w:pPr>
              <w:pStyle w:val="Tabletext"/>
            </w:pPr>
            <w:r w:rsidRPr="00D7033D">
              <w:t xml:space="preserve">Manage portfolio of evaluative commissioning projects for NHSE&amp;I </w:t>
            </w:r>
          </w:p>
        </w:tc>
        <w:tc>
          <w:tcPr>
            <w:tcW w:w="1972" w:type="dxa"/>
            <w:shd w:val="clear" w:color="auto" w:fill="FFFFFF"/>
          </w:tcPr>
          <w:p w14:paraId="49396BA1" w14:textId="5EECEEA2" w:rsidR="00D7033D" w:rsidRPr="00D7033D" w:rsidRDefault="00D7033D" w:rsidP="00D7033D">
            <w:pPr>
              <w:pStyle w:val="Tabletext"/>
            </w:pPr>
            <w:r w:rsidRPr="00D7033D">
              <w:t>Up to 2</w:t>
            </w:r>
          </w:p>
        </w:tc>
        <w:tc>
          <w:tcPr>
            <w:tcW w:w="1821" w:type="dxa"/>
            <w:shd w:val="clear" w:color="auto" w:fill="FFFFFF"/>
          </w:tcPr>
          <w:p w14:paraId="3AE2D355" w14:textId="428B9A96" w:rsidR="00D7033D" w:rsidRPr="00D7033D" w:rsidRDefault="00D7033D" w:rsidP="00D7033D">
            <w:pPr>
              <w:pStyle w:val="Tabletext"/>
            </w:pPr>
            <w:r w:rsidRPr="00D7033D">
              <w:t>Up to 1</w:t>
            </w:r>
          </w:p>
        </w:tc>
        <w:tc>
          <w:tcPr>
            <w:tcW w:w="1415" w:type="dxa"/>
            <w:shd w:val="clear" w:color="auto" w:fill="FFFFFF"/>
          </w:tcPr>
          <w:p w14:paraId="2AD24789" w14:textId="00B64F40" w:rsidR="00D7033D" w:rsidRPr="00D7033D" w:rsidRDefault="00D7033D" w:rsidP="00D7033D">
            <w:pPr>
              <w:pStyle w:val="Tabletext"/>
            </w:pPr>
            <w:r w:rsidRPr="00D7033D">
              <w:t>Submission to NHS England Clinical Panel within stated quarter</w:t>
            </w:r>
          </w:p>
        </w:tc>
        <w:tc>
          <w:tcPr>
            <w:tcW w:w="1323" w:type="dxa"/>
            <w:gridSpan w:val="2"/>
            <w:shd w:val="clear" w:color="auto" w:fill="FFFFFF"/>
          </w:tcPr>
          <w:p w14:paraId="600F1C93" w14:textId="6D0B0D29" w:rsidR="00D7033D" w:rsidRPr="00D7033D" w:rsidRDefault="00D7033D" w:rsidP="00D7033D">
            <w:pPr>
              <w:pStyle w:val="Tabletext"/>
            </w:pPr>
            <w:r w:rsidRPr="00D7033D">
              <w:t>80%</w:t>
            </w:r>
          </w:p>
        </w:tc>
        <w:tc>
          <w:tcPr>
            <w:tcW w:w="1361" w:type="dxa"/>
            <w:shd w:val="clear" w:color="auto" w:fill="FFFFFF"/>
          </w:tcPr>
          <w:p w14:paraId="3EC80A05" w14:textId="5C04BF9A" w:rsidR="00D7033D" w:rsidRPr="00D7033D" w:rsidRDefault="00D7033D" w:rsidP="00D7033D">
            <w:pPr>
              <w:pStyle w:val="Tabletext"/>
            </w:pPr>
            <w:r w:rsidRPr="00D7033D">
              <w:t>1</w:t>
            </w:r>
          </w:p>
        </w:tc>
        <w:tc>
          <w:tcPr>
            <w:tcW w:w="1335" w:type="dxa"/>
            <w:shd w:val="clear" w:color="auto" w:fill="FFFFFF"/>
          </w:tcPr>
          <w:p w14:paraId="1B353AC2" w14:textId="3D3756EE" w:rsidR="00D7033D" w:rsidRPr="00D7033D" w:rsidRDefault="00D7033D" w:rsidP="00D7033D">
            <w:pPr>
              <w:pStyle w:val="Tabletext"/>
            </w:pPr>
            <w:r w:rsidRPr="00D7033D">
              <w:t>1</w:t>
            </w:r>
          </w:p>
        </w:tc>
        <w:tc>
          <w:tcPr>
            <w:tcW w:w="1575" w:type="dxa"/>
            <w:gridSpan w:val="2"/>
            <w:shd w:val="clear" w:color="auto" w:fill="FFFFFF"/>
          </w:tcPr>
          <w:p w14:paraId="641BEF41" w14:textId="0F0EB617" w:rsidR="00D7033D" w:rsidRPr="00D7033D" w:rsidRDefault="00D7033D" w:rsidP="00D7033D">
            <w:pPr>
              <w:pStyle w:val="Tabletext"/>
            </w:pPr>
            <w:r w:rsidRPr="00D7033D">
              <w:t>100%</w:t>
            </w:r>
          </w:p>
        </w:tc>
        <w:tc>
          <w:tcPr>
            <w:tcW w:w="1312" w:type="dxa"/>
            <w:shd w:val="clear" w:color="auto" w:fill="FFFFFF"/>
          </w:tcPr>
          <w:p w14:paraId="1EB67518" w14:textId="426C4ABA" w:rsidR="00D7033D" w:rsidRPr="00D7033D" w:rsidRDefault="00D7033D" w:rsidP="00D7033D">
            <w:pPr>
              <w:pStyle w:val="Tabletext"/>
            </w:pPr>
            <w:r w:rsidRPr="00D7033D">
              <w:t>Green</w:t>
            </w:r>
          </w:p>
        </w:tc>
      </w:tr>
      <w:tr w:rsidR="00D7033D" w14:paraId="2680075D" w14:textId="77777777" w:rsidTr="00DA0736">
        <w:tc>
          <w:tcPr>
            <w:tcW w:w="1834" w:type="dxa"/>
            <w:gridSpan w:val="2"/>
            <w:shd w:val="clear" w:color="auto" w:fill="FFFFFF"/>
          </w:tcPr>
          <w:p w14:paraId="63DA472B" w14:textId="4F7B8827" w:rsidR="00D7033D" w:rsidRPr="00D7033D" w:rsidRDefault="00D7033D" w:rsidP="00D7033D">
            <w:pPr>
              <w:pStyle w:val="Tabletext"/>
            </w:pPr>
            <w:r w:rsidRPr="00D7033D">
              <w:t xml:space="preserve">Publish guideline surveillance reviews </w:t>
            </w:r>
          </w:p>
        </w:tc>
        <w:tc>
          <w:tcPr>
            <w:tcW w:w="1972" w:type="dxa"/>
            <w:shd w:val="clear" w:color="auto" w:fill="FFFFFF"/>
          </w:tcPr>
          <w:p w14:paraId="47E92153" w14:textId="51231E0D" w:rsidR="00D7033D" w:rsidRPr="00D7033D" w:rsidRDefault="00D7033D" w:rsidP="00D7033D">
            <w:pPr>
              <w:pStyle w:val="Tabletext"/>
            </w:pPr>
            <w:r w:rsidRPr="00D7033D">
              <w:t>20</w:t>
            </w:r>
          </w:p>
        </w:tc>
        <w:tc>
          <w:tcPr>
            <w:tcW w:w="1821" w:type="dxa"/>
            <w:shd w:val="clear" w:color="auto" w:fill="FFFFFF"/>
          </w:tcPr>
          <w:p w14:paraId="55B04BC9" w14:textId="4B44C96A" w:rsidR="00D7033D" w:rsidRPr="00D7033D" w:rsidRDefault="00D7033D" w:rsidP="00D7033D">
            <w:pPr>
              <w:pStyle w:val="Tabletext"/>
            </w:pPr>
            <w:r w:rsidRPr="00D7033D">
              <w:t>Up to 20</w:t>
            </w:r>
          </w:p>
        </w:tc>
        <w:tc>
          <w:tcPr>
            <w:tcW w:w="1415" w:type="dxa"/>
            <w:shd w:val="clear" w:color="auto" w:fill="FFFFFF"/>
          </w:tcPr>
          <w:p w14:paraId="675847AB" w14:textId="28EFC88B" w:rsidR="00D7033D" w:rsidRPr="00D7033D" w:rsidRDefault="00D7033D" w:rsidP="00D7033D">
            <w:pPr>
              <w:pStyle w:val="Tabletext"/>
            </w:pPr>
            <w:r w:rsidRPr="00D7033D">
              <w:t>Publication within stated year</w:t>
            </w:r>
          </w:p>
        </w:tc>
        <w:tc>
          <w:tcPr>
            <w:tcW w:w="1323" w:type="dxa"/>
            <w:gridSpan w:val="2"/>
            <w:shd w:val="clear" w:color="auto" w:fill="FFFFFF"/>
          </w:tcPr>
          <w:p w14:paraId="40C2494E" w14:textId="11ED3897" w:rsidR="00D7033D" w:rsidRPr="00D7033D" w:rsidRDefault="00D7033D" w:rsidP="00D7033D">
            <w:pPr>
              <w:pStyle w:val="Tabletext"/>
            </w:pPr>
            <w:r w:rsidRPr="00D7033D">
              <w:t>80%</w:t>
            </w:r>
          </w:p>
        </w:tc>
        <w:tc>
          <w:tcPr>
            <w:tcW w:w="1361" w:type="dxa"/>
            <w:shd w:val="clear" w:color="auto" w:fill="FFFFFF"/>
          </w:tcPr>
          <w:p w14:paraId="78831B89" w14:textId="54A0C641" w:rsidR="00D7033D" w:rsidRPr="00D7033D" w:rsidRDefault="00D7033D" w:rsidP="00D7033D">
            <w:pPr>
              <w:pStyle w:val="Tabletext"/>
            </w:pPr>
            <w:r w:rsidRPr="00D7033D">
              <w:t>4</w:t>
            </w:r>
          </w:p>
        </w:tc>
        <w:tc>
          <w:tcPr>
            <w:tcW w:w="1335" w:type="dxa"/>
            <w:shd w:val="clear" w:color="auto" w:fill="FFFFFF"/>
          </w:tcPr>
          <w:p w14:paraId="58C44DAE" w14:textId="36E29DCE" w:rsidR="00D7033D" w:rsidRPr="00D7033D" w:rsidRDefault="00D7033D" w:rsidP="00D7033D">
            <w:pPr>
              <w:pStyle w:val="Tabletext"/>
            </w:pPr>
            <w:r w:rsidRPr="00D7033D">
              <w:t>3</w:t>
            </w:r>
          </w:p>
        </w:tc>
        <w:tc>
          <w:tcPr>
            <w:tcW w:w="1575" w:type="dxa"/>
            <w:gridSpan w:val="2"/>
            <w:shd w:val="clear" w:color="auto" w:fill="FFFFFF"/>
          </w:tcPr>
          <w:p w14:paraId="7DE4F03D" w14:textId="2ECCBAC8" w:rsidR="00D7033D" w:rsidRPr="00D7033D" w:rsidRDefault="00D7033D" w:rsidP="00D7033D">
            <w:pPr>
              <w:pStyle w:val="Tabletext"/>
            </w:pPr>
            <w:r w:rsidRPr="00D7033D">
              <w:t>75%</w:t>
            </w:r>
          </w:p>
        </w:tc>
        <w:tc>
          <w:tcPr>
            <w:tcW w:w="1312" w:type="dxa"/>
            <w:shd w:val="clear" w:color="auto" w:fill="FFFFFF"/>
          </w:tcPr>
          <w:p w14:paraId="52E140CE" w14:textId="7F26676A" w:rsidR="00D7033D" w:rsidRPr="00D7033D" w:rsidRDefault="00D7033D" w:rsidP="00D7033D">
            <w:pPr>
              <w:pStyle w:val="Tabletext"/>
            </w:pPr>
            <w:r w:rsidRPr="00D7033D">
              <w:t>Amber (see note 4)</w:t>
            </w:r>
          </w:p>
        </w:tc>
      </w:tr>
      <w:tr w:rsidR="00D7033D" w14:paraId="40A6E7C2" w14:textId="77777777" w:rsidTr="00DA0736">
        <w:tc>
          <w:tcPr>
            <w:tcW w:w="1834" w:type="dxa"/>
            <w:gridSpan w:val="2"/>
            <w:shd w:val="clear" w:color="auto" w:fill="FFFFFF"/>
          </w:tcPr>
          <w:p w14:paraId="7534A5FF" w14:textId="7F5A48C3" w:rsidR="00D7033D" w:rsidRPr="00D7033D" w:rsidRDefault="00D7033D" w:rsidP="00D7033D">
            <w:pPr>
              <w:pStyle w:val="Tabletext"/>
            </w:pPr>
            <w:r w:rsidRPr="00D7033D">
              <w:t xml:space="preserve">Deliver evidence summaries – </w:t>
            </w:r>
            <w:r w:rsidRPr="00D7033D">
              <w:lastRenderedPageBreak/>
              <w:t>antimicrobial prescribing</w:t>
            </w:r>
          </w:p>
        </w:tc>
        <w:tc>
          <w:tcPr>
            <w:tcW w:w="1972" w:type="dxa"/>
            <w:shd w:val="clear" w:color="auto" w:fill="FFFFFF"/>
          </w:tcPr>
          <w:p w14:paraId="7FD10D89" w14:textId="45A65966" w:rsidR="00D7033D" w:rsidRPr="00D7033D" w:rsidRDefault="00D7033D" w:rsidP="00D7033D">
            <w:pPr>
              <w:pStyle w:val="Tabletext"/>
            </w:pPr>
            <w:r w:rsidRPr="00D7033D">
              <w:lastRenderedPageBreak/>
              <w:t>Up to 4</w:t>
            </w:r>
          </w:p>
        </w:tc>
        <w:tc>
          <w:tcPr>
            <w:tcW w:w="1821" w:type="dxa"/>
            <w:shd w:val="clear" w:color="auto" w:fill="FFFFFF"/>
          </w:tcPr>
          <w:p w14:paraId="1201422C" w14:textId="19C081F0" w:rsidR="00D7033D" w:rsidRPr="00D7033D" w:rsidRDefault="00D7033D" w:rsidP="00D7033D">
            <w:pPr>
              <w:pStyle w:val="Tabletext"/>
            </w:pPr>
            <w:r w:rsidRPr="00D7033D">
              <w:t>Up to 4</w:t>
            </w:r>
          </w:p>
        </w:tc>
        <w:tc>
          <w:tcPr>
            <w:tcW w:w="1415" w:type="dxa"/>
            <w:shd w:val="clear" w:color="auto" w:fill="FFFFFF"/>
          </w:tcPr>
          <w:p w14:paraId="55546022" w14:textId="09458C8A" w:rsidR="00D7033D" w:rsidRPr="00D7033D" w:rsidRDefault="00D7033D" w:rsidP="00D7033D">
            <w:pPr>
              <w:pStyle w:val="Tabletext"/>
            </w:pPr>
            <w:r w:rsidRPr="00D7033D">
              <w:t>Publication within stated year</w:t>
            </w:r>
          </w:p>
        </w:tc>
        <w:tc>
          <w:tcPr>
            <w:tcW w:w="1323" w:type="dxa"/>
            <w:gridSpan w:val="2"/>
            <w:shd w:val="clear" w:color="auto" w:fill="FFFFFF"/>
          </w:tcPr>
          <w:p w14:paraId="20F8E380" w14:textId="4C2D2E06" w:rsidR="00D7033D" w:rsidRPr="00D7033D" w:rsidRDefault="00D7033D" w:rsidP="00D7033D">
            <w:pPr>
              <w:pStyle w:val="Tabletext"/>
            </w:pPr>
            <w:r w:rsidRPr="00D7033D">
              <w:t>75%</w:t>
            </w:r>
          </w:p>
        </w:tc>
        <w:tc>
          <w:tcPr>
            <w:tcW w:w="1361" w:type="dxa"/>
            <w:shd w:val="clear" w:color="auto" w:fill="FFFFFF"/>
          </w:tcPr>
          <w:p w14:paraId="073C759A" w14:textId="7C4B763D" w:rsidR="00D7033D" w:rsidRPr="00D7033D" w:rsidRDefault="00D7033D" w:rsidP="00D7033D">
            <w:pPr>
              <w:pStyle w:val="Tabletext"/>
            </w:pPr>
            <w:r w:rsidRPr="00D7033D">
              <w:t>1</w:t>
            </w:r>
          </w:p>
        </w:tc>
        <w:tc>
          <w:tcPr>
            <w:tcW w:w="1335" w:type="dxa"/>
            <w:shd w:val="clear" w:color="auto" w:fill="FFFFFF"/>
          </w:tcPr>
          <w:p w14:paraId="35784F17" w14:textId="76040F19" w:rsidR="00D7033D" w:rsidRPr="00D7033D" w:rsidRDefault="00D7033D" w:rsidP="00D7033D">
            <w:pPr>
              <w:pStyle w:val="Tabletext"/>
            </w:pPr>
            <w:r w:rsidRPr="00D7033D">
              <w:t>0</w:t>
            </w:r>
          </w:p>
        </w:tc>
        <w:tc>
          <w:tcPr>
            <w:tcW w:w="1575" w:type="dxa"/>
            <w:gridSpan w:val="2"/>
            <w:shd w:val="clear" w:color="auto" w:fill="FFFFFF"/>
          </w:tcPr>
          <w:p w14:paraId="637EFD65" w14:textId="14C4258D" w:rsidR="00D7033D" w:rsidRPr="00D7033D" w:rsidRDefault="00D7033D" w:rsidP="00D7033D">
            <w:pPr>
              <w:pStyle w:val="Tabletext"/>
            </w:pPr>
            <w:r w:rsidRPr="00D7033D">
              <w:t>0%</w:t>
            </w:r>
          </w:p>
        </w:tc>
        <w:tc>
          <w:tcPr>
            <w:tcW w:w="1312" w:type="dxa"/>
            <w:shd w:val="clear" w:color="auto" w:fill="FFFFFF"/>
          </w:tcPr>
          <w:p w14:paraId="19CBF5F1" w14:textId="43E14240" w:rsidR="00D7033D" w:rsidRPr="00D7033D" w:rsidRDefault="00D7033D" w:rsidP="00D7033D">
            <w:pPr>
              <w:pStyle w:val="Tabletext"/>
            </w:pPr>
            <w:r w:rsidRPr="00D7033D">
              <w:t>Red (see note 5)</w:t>
            </w:r>
          </w:p>
        </w:tc>
      </w:tr>
      <w:tr w:rsidR="00FF5BAD" w:rsidRPr="00AF3CE1" w14:paraId="348C441F" w14:textId="77777777" w:rsidTr="00DA0736">
        <w:tc>
          <w:tcPr>
            <w:tcW w:w="1827" w:type="dxa"/>
            <w:shd w:val="clear" w:color="auto" w:fill="FFFFFF"/>
          </w:tcPr>
          <w:p w14:paraId="5891DBEA" w14:textId="041E222C" w:rsidR="00D7033D" w:rsidRPr="00D7033D" w:rsidRDefault="00D7033D" w:rsidP="00350EF5">
            <w:pPr>
              <w:pStyle w:val="Tabletext"/>
            </w:pPr>
            <w:r w:rsidRPr="00D7033D">
              <w:t>Deliver evidence reviews for NHSE&amp;I specialised commissioning (including COVID-19 rapid evidence summaries)</w:t>
            </w:r>
          </w:p>
        </w:tc>
        <w:tc>
          <w:tcPr>
            <w:tcW w:w="1979" w:type="dxa"/>
            <w:gridSpan w:val="2"/>
            <w:shd w:val="clear" w:color="auto" w:fill="FFFFFF"/>
          </w:tcPr>
          <w:p w14:paraId="6EAE8DC6" w14:textId="13119B59" w:rsidR="00D7033D" w:rsidRPr="00D7033D" w:rsidRDefault="00D7033D" w:rsidP="00350EF5">
            <w:pPr>
              <w:pStyle w:val="Tabletext"/>
            </w:pPr>
            <w:r w:rsidRPr="00D7033D">
              <w:t>Up to 10</w:t>
            </w:r>
          </w:p>
        </w:tc>
        <w:tc>
          <w:tcPr>
            <w:tcW w:w="1821" w:type="dxa"/>
            <w:shd w:val="clear" w:color="auto" w:fill="FFFFFF"/>
          </w:tcPr>
          <w:p w14:paraId="3981E91B" w14:textId="25816300" w:rsidR="00D7033D" w:rsidRPr="00D7033D" w:rsidRDefault="00D7033D" w:rsidP="00350EF5">
            <w:pPr>
              <w:pStyle w:val="Tabletext"/>
            </w:pPr>
            <w:r w:rsidRPr="00D7033D">
              <w:t>3</w:t>
            </w:r>
          </w:p>
        </w:tc>
        <w:tc>
          <w:tcPr>
            <w:tcW w:w="1415" w:type="dxa"/>
            <w:shd w:val="clear" w:color="auto" w:fill="FFFFFF"/>
          </w:tcPr>
          <w:p w14:paraId="47D8742B" w14:textId="6FBFBD48" w:rsidR="00D7033D" w:rsidRPr="00D7033D" w:rsidRDefault="00D7033D" w:rsidP="00350EF5">
            <w:pPr>
              <w:pStyle w:val="Tabletext"/>
            </w:pPr>
            <w:r w:rsidRPr="00D7033D">
              <w:t>Delivery to NHS England within year</w:t>
            </w:r>
          </w:p>
        </w:tc>
        <w:tc>
          <w:tcPr>
            <w:tcW w:w="1267" w:type="dxa"/>
            <w:shd w:val="clear" w:color="auto" w:fill="FFFFFF"/>
          </w:tcPr>
          <w:p w14:paraId="55ED7AC6" w14:textId="29CD5B88" w:rsidR="00D7033D" w:rsidRPr="00D7033D" w:rsidRDefault="00D7033D" w:rsidP="00350EF5">
            <w:pPr>
              <w:pStyle w:val="Tabletext"/>
            </w:pPr>
            <w:r w:rsidRPr="00D7033D">
              <w:t>80%</w:t>
            </w:r>
          </w:p>
        </w:tc>
        <w:tc>
          <w:tcPr>
            <w:tcW w:w="1417" w:type="dxa"/>
            <w:gridSpan w:val="2"/>
            <w:shd w:val="clear" w:color="auto" w:fill="FFFFFF"/>
          </w:tcPr>
          <w:p w14:paraId="128BE004" w14:textId="463D4B4B" w:rsidR="00D7033D" w:rsidRPr="00D7033D" w:rsidRDefault="00D7033D" w:rsidP="00350EF5">
            <w:pPr>
              <w:pStyle w:val="Tabletext"/>
            </w:pPr>
            <w:r w:rsidRPr="00D7033D">
              <w:t>0</w:t>
            </w:r>
          </w:p>
        </w:tc>
        <w:tc>
          <w:tcPr>
            <w:tcW w:w="1335" w:type="dxa"/>
            <w:shd w:val="clear" w:color="auto" w:fill="FFFFFF"/>
          </w:tcPr>
          <w:p w14:paraId="1B1DA404" w14:textId="387E62C0" w:rsidR="00D7033D" w:rsidRPr="00D7033D" w:rsidRDefault="00D7033D" w:rsidP="00350EF5">
            <w:pPr>
              <w:pStyle w:val="Tabletext"/>
            </w:pPr>
            <w:r w:rsidRPr="00D7033D">
              <w:t>7</w:t>
            </w:r>
          </w:p>
        </w:tc>
        <w:tc>
          <w:tcPr>
            <w:tcW w:w="1559" w:type="dxa"/>
            <w:shd w:val="clear" w:color="auto" w:fill="FFFFFF"/>
          </w:tcPr>
          <w:p w14:paraId="5B29E785" w14:textId="639F25CE" w:rsidR="00D7033D" w:rsidRPr="00D7033D" w:rsidRDefault="00D7033D" w:rsidP="00350EF5">
            <w:pPr>
              <w:pStyle w:val="Tabletext"/>
            </w:pPr>
            <w:r w:rsidRPr="00D7033D">
              <w:t>700%</w:t>
            </w:r>
          </w:p>
        </w:tc>
        <w:tc>
          <w:tcPr>
            <w:tcW w:w="1328" w:type="dxa"/>
            <w:gridSpan w:val="2"/>
            <w:shd w:val="clear" w:color="auto" w:fill="FFFFFF"/>
          </w:tcPr>
          <w:p w14:paraId="71A3D0C0" w14:textId="6B7A49AB" w:rsidR="00D7033D" w:rsidRPr="00D7033D" w:rsidRDefault="00D7033D" w:rsidP="00350EF5">
            <w:pPr>
              <w:pStyle w:val="Tabletext"/>
            </w:pPr>
            <w:r w:rsidRPr="00D7033D">
              <w:t>Green</w:t>
            </w:r>
          </w:p>
        </w:tc>
      </w:tr>
      <w:tr w:rsidR="00FF5BAD" w:rsidRPr="00AF3CE1" w14:paraId="0D8E5A9E" w14:textId="77777777" w:rsidTr="00DA0736">
        <w:tc>
          <w:tcPr>
            <w:tcW w:w="1827" w:type="dxa"/>
            <w:shd w:val="clear" w:color="auto" w:fill="FFFFFF"/>
          </w:tcPr>
          <w:p w14:paraId="30035E03" w14:textId="77777777" w:rsidR="00D7033D" w:rsidRPr="00D7033D" w:rsidRDefault="00D7033D" w:rsidP="00350EF5">
            <w:pPr>
              <w:pStyle w:val="Tabletext"/>
            </w:pPr>
            <w:r w:rsidRPr="00D7033D">
              <w:t>Deliver quality standards</w:t>
            </w:r>
          </w:p>
        </w:tc>
        <w:tc>
          <w:tcPr>
            <w:tcW w:w="1979" w:type="dxa"/>
            <w:gridSpan w:val="2"/>
            <w:shd w:val="clear" w:color="auto" w:fill="FFFFFF"/>
          </w:tcPr>
          <w:p w14:paraId="0C3A6E10" w14:textId="77777777" w:rsidR="00D7033D" w:rsidRPr="00D7033D" w:rsidRDefault="00D7033D" w:rsidP="00350EF5">
            <w:pPr>
              <w:pStyle w:val="Tabletext"/>
            </w:pPr>
            <w:r w:rsidRPr="00D7033D">
              <w:t>16</w:t>
            </w:r>
          </w:p>
        </w:tc>
        <w:tc>
          <w:tcPr>
            <w:tcW w:w="1821" w:type="dxa"/>
            <w:shd w:val="clear" w:color="auto" w:fill="FFFFFF"/>
          </w:tcPr>
          <w:p w14:paraId="389D0E8A" w14:textId="77777777" w:rsidR="00D7033D" w:rsidRPr="00D7033D" w:rsidRDefault="00D7033D" w:rsidP="00350EF5">
            <w:pPr>
              <w:pStyle w:val="Tabletext"/>
            </w:pPr>
            <w:r w:rsidRPr="00D7033D">
              <w:t>8</w:t>
            </w:r>
          </w:p>
        </w:tc>
        <w:tc>
          <w:tcPr>
            <w:tcW w:w="1415" w:type="dxa"/>
            <w:shd w:val="clear" w:color="auto" w:fill="FFFFFF"/>
          </w:tcPr>
          <w:p w14:paraId="7C439CD8" w14:textId="77777777" w:rsidR="00D7033D" w:rsidRPr="00D7033D" w:rsidRDefault="00D7033D" w:rsidP="00350EF5">
            <w:pPr>
              <w:pStyle w:val="Tabletext"/>
            </w:pPr>
            <w:r w:rsidRPr="00D7033D">
              <w:t>Publication within stated quarter</w:t>
            </w:r>
          </w:p>
        </w:tc>
        <w:tc>
          <w:tcPr>
            <w:tcW w:w="1267" w:type="dxa"/>
            <w:shd w:val="clear" w:color="auto" w:fill="FFFFFF"/>
          </w:tcPr>
          <w:p w14:paraId="48E50D12" w14:textId="77777777" w:rsidR="00D7033D" w:rsidRPr="00D7033D" w:rsidRDefault="00D7033D" w:rsidP="00350EF5">
            <w:pPr>
              <w:pStyle w:val="Tabletext"/>
            </w:pPr>
            <w:r w:rsidRPr="00D7033D">
              <w:t>80%</w:t>
            </w:r>
          </w:p>
        </w:tc>
        <w:tc>
          <w:tcPr>
            <w:tcW w:w="1417" w:type="dxa"/>
            <w:gridSpan w:val="2"/>
            <w:shd w:val="clear" w:color="auto" w:fill="FFFFFF"/>
          </w:tcPr>
          <w:p w14:paraId="16333618" w14:textId="77777777" w:rsidR="00D7033D" w:rsidRPr="00D7033D" w:rsidRDefault="00D7033D" w:rsidP="00350EF5">
            <w:pPr>
              <w:pStyle w:val="Tabletext"/>
            </w:pPr>
            <w:r w:rsidRPr="00D7033D">
              <w:t>5</w:t>
            </w:r>
          </w:p>
        </w:tc>
        <w:tc>
          <w:tcPr>
            <w:tcW w:w="1335" w:type="dxa"/>
            <w:shd w:val="clear" w:color="auto" w:fill="FFFFFF"/>
          </w:tcPr>
          <w:p w14:paraId="45AF064B" w14:textId="77777777" w:rsidR="00D7033D" w:rsidRPr="00D7033D" w:rsidRDefault="00D7033D" w:rsidP="00350EF5">
            <w:pPr>
              <w:pStyle w:val="Tabletext"/>
            </w:pPr>
            <w:r w:rsidRPr="00D7033D">
              <w:t>5</w:t>
            </w:r>
          </w:p>
        </w:tc>
        <w:tc>
          <w:tcPr>
            <w:tcW w:w="1559" w:type="dxa"/>
            <w:shd w:val="clear" w:color="auto" w:fill="FFFFFF"/>
          </w:tcPr>
          <w:p w14:paraId="66914156" w14:textId="77777777" w:rsidR="00D7033D" w:rsidRPr="00D7033D" w:rsidRDefault="00D7033D" w:rsidP="00350EF5">
            <w:pPr>
              <w:pStyle w:val="Tabletext"/>
            </w:pPr>
            <w:r w:rsidRPr="00D7033D">
              <w:t>100%</w:t>
            </w:r>
          </w:p>
        </w:tc>
        <w:tc>
          <w:tcPr>
            <w:tcW w:w="1328" w:type="dxa"/>
            <w:gridSpan w:val="2"/>
            <w:shd w:val="clear" w:color="auto" w:fill="FFFFFF"/>
          </w:tcPr>
          <w:p w14:paraId="6D847521" w14:textId="77777777" w:rsidR="00D7033D" w:rsidRPr="00D7033D" w:rsidRDefault="00D7033D" w:rsidP="00350EF5">
            <w:pPr>
              <w:pStyle w:val="Tabletext"/>
            </w:pPr>
            <w:r w:rsidRPr="00D7033D">
              <w:t>Green</w:t>
            </w:r>
          </w:p>
        </w:tc>
      </w:tr>
      <w:tr w:rsidR="00FF5BAD" w:rsidRPr="00AF3CE1" w14:paraId="7991CF64" w14:textId="77777777" w:rsidTr="00DA0736">
        <w:tc>
          <w:tcPr>
            <w:tcW w:w="1827" w:type="dxa"/>
            <w:shd w:val="clear" w:color="auto" w:fill="FFFFFF"/>
          </w:tcPr>
          <w:p w14:paraId="29371AF8" w14:textId="77777777" w:rsidR="00D7033D" w:rsidRPr="00D7033D" w:rsidRDefault="00D7033D" w:rsidP="00350EF5">
            <w:pPr>
              <w:pStyle w:val="Tabletext"/>
            </w:pPr>
            <w:r w:rsidRPr="00D7033D">
              <w:t xml:space="preserve">Deliver indicator menu </w:t>
            </w:r>
          </w:p>
        </w:tc>
        <w:tc>
          <w:tcPr>
            <w:tcW w:w="1979" w:type="dxa"/>
            <w:gridSpan w:val="2"/>
            <w:shd w:val="clear" w:color="auto" w:fill="FFFFFF"/>
          </w:tcPr>
          <w:p w14:paraId="42125F14" w14:textId="77777777" w:rsidR="00D7033D" w:rsidRPr="00D7033D" w:rsidRDefault="00D7033D" w:rsidP="00350EF5">
            <w:pPr>
              <w:pStyle w:val="Tabletext"/>
            </w:pPr>
            <w:r w:rsidRPr="00D7033D">
              <w:t>1</w:t>
            </w:r>
          </w:p>
        </w:tc>
        <w:tc>
          <w:tcPr>
            <w:tcW w:w="1821" w:type="dxa"/>
            <w:shd w:val="clear" w:color="auto" w:fill="FFFFFF"/>
          </w:tcPr>
          <w:p w14:paraId="55D66AF0" w14:textId="77777777" w:rsidR="00D7033D" w:rsidRPr="00D7033D" w:rsidRDefault="00D7033D" w:rsidP="00350EF5">
            <w:pPr>
              <w:pStyle w:val="Tabletext"/>
            </w:pPr>
            <w:r w:rsidRPr="00D7033D">
              <w:t>1</w:t>
            </w:r>
          </w:p>
        </w:tc>
        <w:tc>
          <w:tcPr>
            <w:tcW w:w="1415" w:type="dxa"/>
            <w:shd w:val="clear" w:color="auto" w:fill="FFFFFF"/>
          </w:tcPr>
          <w:p w14:paraId="1DD16FE0" w14:textId="77777777" w:rsidR="00D7033D" w:rsidRPr="00D7033D" w:rsidRDefault="00D7033D" w:rsidP="00350EF5">
            <w:pPr>
              <w:pStyle w:val="Tabletext"/>
            </w:pPr>
            <w:r w:rsidRPr="00D7033D">
              <w:t>Publication within stated year</w:t>
            </w:r>
          </w:p>
        </w:tc>
        <w:tc>
          <w:tcPr>
            <w:tcW w:w="1267" w:type="dxa"/>
            <w:shd w:val="clear" w:color="auto" w:fill="FFFFFF"/>
          </w:tcPr>
          <w:p w14:paraId="06BDB36E" w14:textId="77777777" w:rsidR="00D7033D" w:rsidRPr="00D7033D" w:rsidRDefault="00D7033D" w:rsidP="00350EF5">
            <w:pPr>
              <w:pStyle w:val="Tabletext"/>
            </w:pPr>
            <w:r w:rsidRPr="00D7033D">
              <w:t>100%</w:t>
            </w:r>
          </w:p>
        </w:tc>
        <w:tc>
          <w:tcPr>
            <w:tcW w:w="1417" w:type="dxa"/>
            <w:gridSpan w:val="2"/>
            <w:shd w:val="clear" w:color="auto" w:fill="FFFFFF"/>
          </w:tcPr>
          <w:p w14:paraId="36992847" w14:textId="77777777" w:rsidR="00D7033D" w:rsidRPr="00D7033D" w:rsidRDefault="00D7033D" w:rsidP="00350EF5">
            <w:pPr>
              <w:pStyle w:val="Tabletext"/>
            </w:pPr>
            <w:r w:rsidRPr="00D7033D">
              <w:t>1</w:t>
            </w:r>
          </w:p>
        </w:tc>
        <w:tc>
          <w:tcPr>
            <w:tcW w:w="1335" w:type="dxa"/>
            <w:shd w:val="clear" w:color="auto" w:fill="FFFFFF"/>
          </w:tcPr>
          <w:p w14:paraId="2CAAF0CE" w14:textId="77777777" w:rsidR="00D7033D" w:rsidRPr="00D7033D" w:rsidRDefault="00D7033D" w:rsidP="00350EF5">
            <w:pPr>
              <w:pStyle w:val="Tabletext"/>
            </w:pPr>
            <w:r w:rsidRPr="00D7033D">
              <w:t>1</w:t>
            </w:r>
          </w:p>
        </w:tc>
        <w:tc>
          <w:tcPr>
            <w:tcW w:w="1559" w:type="dxa"/>
            <w:shd w:val="clear" w:color="auto" w:fill="FFFFFF"/>
          </w:tcPr>
          <w:p w14:paraId="34E4CD7A" w14:textId="77777777" w:rsidR="00D7033D" w:rsidRPr="00D7033D" w:rsidRDefault="00D7033D" w:rsidP="00350EF5">
            <w:pPr>
              <w:pStyle w:val="Tabletext"/>
            </w:pPr>
            <w:r w:rsidRPr="00D7033D">
              <w:t>100%</w:t>
            </w:r>
          </w:p>
        </w:tc>
        <w:tc>
          <w:tcPr>
            <w:tcW w:w="1328" w:type="dxa"/>
            <w:gridSpan w:val="2"/>
            <w:shd w:val="clear" w:color="auto" w:fill="FFFFFF"/>
          </w:tcPr>
          <w:p w14:paraId="48AB9577" w14:textId="77777777" w:rsidR="00D7033D" w:rsidRPr="00D7033D" w:rsidRDefault="00D7033D" w:rsidP="00350EF5">
            <w:pPr>
              <w:pStyle w:val="Tabletext"/>
            </w:pPr>
            <w:r w:rsidRPr="00D7033D">
              <w:t>Green</w:t>
            </w:r>
          </w:p>
        </w:tc>
      </w:tr>
      <w:tr w:rsidR="00FF5BAD" w:rsidRPr="00AF3CE1" w14:paraId="52BF7BFA" w14:textId="77777777" w:rsidTr="00DA0736">
        <w:tc>
          <w:tcPr>
            <w:tcW w:w="1827" w:type="dxa"/>
            <w:shd w:val="clear" w:color="auto" w:fill="FFFFFF"/>
          </w:tcPr>
          <w:p w14:paraId="69CE355F" w14:textId="77777777" w:rsidR="00D7033D" w:rsidRPr="00D7033D" w:rsidRDefault="00D7033D" w:rsidP="00350EF5">
            <w:pPr>
              <w:pStyle w:val="Tabletext"/>
            </w:pPr>
            <w:r w:rsidRPr="00D7033D">
              <w:t>Deliver endorsement statements</w:t>
            </w:r>
          </w:p>
        </w:tc>
        <w:tc>
          <w:tcPr>
            <w:tcW w:w="1979" w:type="dxa"/>
            <w:gridSpan w:val="2"/>
            <w:shd w:val="clear" w:color="auto" w:fill="FFFFFF"/>
          </w:tcPr>
          <w:p w14:paraId="26E27C11" w14:textId="77777777" w:rsidR="00D7033D" w:rsidRPr="00D7033D" w:rsidRDefault="00D7033D" w:rsidP="00350EF5">
            <w:pPr>
              <w:pStyle w:val="Tabletext"/>
            </w:pPr>
            <w:r w:rsidRPr="00D7033D">
              <w:t>30</w:t>
            </w:r>
          </w:p>
        </w:tc>
        <w:tc>
          <w:tcPr>
            <w:tcW w:w="1821" w:type="dxa"/>
            <w:shd w:val="clear" w:color="auto" w:fill="FFFFFF"/>
          </w:tcPr>
          <w:p w14:paraId="59BE69FF" w14:textId="77777777" w:rsidR="00D7033D" w:rsidRPr="00D7033D" w:rsidRDefault="00D7033D" w:rsidP="00350EF5">
            <w:pPr>
              <w:pStyle w:val="Tabletext"/>
            </w:pPr>
            <w:r w:rsidRPr="00D7033D">
              <w:t>20</w:t>
            </w:r>
          </w:p>
        </w:tc>
        <w:tc>
          <w:tcPr>
            <w:tcW w:w="1415" w:type="dxa"/>
            <w:shd w:val="clear" w:color="auto" w:fill="FFFFFF"/>
          </w:tcPr>
          <w:p w14:paraId="78F542F6" w14:textId="77777777" w:rsidR="00D7033D" w:rsidRPr="00D7033D" w:rsidRDefault="00D7033D" w:rsidP="00350EF5">
            <w:pPr>
              <w:pStyle w:val="Tabletext"/>
            </w:pPr>
            <w:r w:rsidRPr="00D7033D">
              <w:t>Publication within stated quarter</w:t>
            </w:r>
          </w:p>
        </w:tc>
        <w:tc>
          <w:tcPr>
            <w:tcW w:w="1267" w:type="dxa"/>
            <w:shd w:val="clear" w:color="auto" w:fill="FFFFFF"/>
          </w:tcPr>
          <w:p w14:paraId="7416C3B6" w14:textId="77777777" w:rsidR="00D7033D" w:rsidRPr="00D7033D" w:rsidRDefault="00D7033D" w:rsidP="00350EF5">
            <w:pPr>
              <w:pStyle w:val="Tabletext"/>
            </w:pPr>
            <w:r w:rsidRPr="00D7033D">
              <w:t>80%</w:t>
            </w:r>
          </w:p>
        </w:tc>
        <w:tc>
          <w:tcPr>
            <w:tcW w:w="1417" w:type="dxa"/>
            <w:gridSpan w:val="2"/>
            <w:shd w:val="clear" w:color="auto" w:fill="FFFFFF"/>
          </w:tcPr>
          <w:p w14:paraId="285F1022" w14:textId="77777777" w:rsidR="00D7033D" w:rsidRPr="00D7033D" w:rsidRDefault="00D7033D" w:rsidP="00350EF5">
            <w:pPr>
              <w:pStyle w:val="Tabletext"/>
            </w:pPr>
            <w:r w:rsidRPr="00D7033D">
              <w:t>9</w:t>
            </w:r>
          </w:p>
        </w:tc>
        <w:tc>
          <w:tcPr>
            <w:tcW w:w="1335" w:type="dxa"/>
            <w:shd w:val="clear" w:color="auto" w:fill="FFFFFF"/>
          </w:tcPr>
          <w:p w14:paraId="61FABB4C" w14:textId="77777777" w:rsidR="00D7033D" w:rsidRPr="00D7033D" w:rsidRDefault="00D7033D" w:rsidP="00350EF5">
            <w:pPr>
              <w:pStyle w:val="Tabletext"/>
            </w:pPr>
            <w:r w:rsidRPr="00D7033D">
              <w:t>8</w:t>
            </w:r>
          </w:p>
        </w:tc>
        <w:tc>
          <w:tcPr>
            <w:tcW w:w="1559" w:type="dxa"/>
            <w:shd w:val="clear" w:color="auto" w:fill="FFFFFF"/>
          </w:tcPr>
          <w:p w14:paraId="6AF02F5E" w14:textId="77777777" w:rsidR="00D7033D" w:rsidRPr="00D7033D" w:rsidRDefault="00D7033D" w:rsidP="00350EF5">
            <w:pPr>
              <w:pStyle w:val="Tabletext"/>
            </w:pPr>
            <w:r w:rsidRPr="00D7033D">
              <w:t>89%</w:t>
            </w:r>
          </w:p>
        </w:tc>
        <w:tc>
          <w:tcPr>
            <w:tcW w:w="1328" w:type="dxa"/>
            <w:gridSpan w:val="2"/>
            <w:shd w:val="clear" w:color="auto" w:fill="FFFFFF"/>
          </w:tcPr>
          <w:p w14:paraId="1B562468" w14:textId="77777777" w:rsidR="00D7033D" w:rsidRPr="00D7033D" w:rsidRDefault="00D7033D" w:rsidP="00350EF5">
            <w:pPr>
              <w:pStyle w:val="Tabletext"/>
            </w:pPr>
            <w:r w:rsidRPr="00D7033D">
              <w:t>Green</w:t>
            </w:r>
          </w:p>
        </w:tc>
      </w:tr>
      <w:tr w:rsidR="00FF5BAD" w:rsidRPr="00AF3CE1" w14:paraId="4812BD6D" w14:textId="77777777" w:rsidTr="00DA0736">
        <w:tc>
          <w:tcPr>
            <w:tcW w:w="1827" w:type="dxa"/>
            <w:shd w:val="clear" w:color="auto" w:fill="FFFFFF"/>
          </w:tcPr>
          <w:p w14:paraId="170409A1" w14:textId="77777777" w:rsidR="00D7033D" w:rsidRPr="00D7033D" w:rsidRDefault="00D7033D" w:rsidP="00350EF5">
            <w:pPr>
              <w:pStyle w:val="Tabletext"/>
            </w:pPr>
            <w:r w:rsidRPr="00D7033D">
              <w:t>Deliver shared learning examples</w:t>
            </w:r>
          </w:p>
        </w:tc>
        <w:tc>
          <w:tcPr>
            <w:tcW w:w="1979" w:type="dxa"/>
            <w:gridSpan w:val="2"/>
            <w:shd w:val="clear" w:color="auto" w:fill="FFFFFF"/>
          </w:tcPr>
          <w:p w14:paraId="10F216DF" w14:textId="77777777" w:rsidR="00D7033D" w:rsidRPr="00D7033D" w:rsidRDefault="00D7033D" w:rsidP="00350EF5">
            <w:pPr>
              <w:pStyle w:val="Tabletext"/>
            </w:pPr>
            <w:r w:rsidRPr="00D7033D">
              <w:t>50</w:t>
            </w:r>
          </w:p>
        </w:tc>
        <w:tc>
          <w:tcPr>
            <w:tcW w:w="1821" w:type="dxa"/>
            <w:shd w:val="clear" w:color="auto" w:fill="FFFFFF"/>
          </w:tcPr>
          <w:p w14:paraId="32641106" w14:textId="77777777" w:rsidR="00D7033D" w:rsidRPr="00D7033D" w:rsidRDefault="00D7033D" w:rsidP="00350EF5">
            <w:pPr>
              <w:pStyle w:val="Tabletext"/>
            </w:pPr>
            <w:r w:rsidRPr="00D7033D">
              <w:t>25</w:t>
            </w:r>
          </w:p>
        </w:tc>
        <w:tc>
          <w:tcPr>
            <w:tcW w:w="1415" w:type="dxa"/>
            <w:shd w:val="clear" w:color="auto" w:fill="FFFFFF"/>
          </w:tcPr>
          <w:p w14:paraId="43EDECDE" w14:textId="77777777" w:rsidR="00D7033D" w:rsidRPr="00D7033D" w:rsidRDefault="00D7033D" w:rsidP="00350EF5">
            <w:pPr>
              <w:pStyle w:val="Tabletext"/>
            </w:pPr>
            <w:r w:rsidRPr="00D7033D">
              <w:t>Publication within stated quarter</w:t>
            </w:r>
          </w:p>
        </w:tc>
        <w:tc>
          <w:tcPr>
            <w:tcW w:w="1267" w:type="dxa"/>
            <w:shd w:val="clear" w:color="auto" w:fill="FFFFFF"/>
          </w:tcPr>
          <w:p w14:paraId="19A4EAC0" w14:textId="77777777" w:rsidR="00D7033D" w:rsidRPr="00D7033D" w:rsidRDefault="00D7033D" w:rsidP="00350EF5">
            <w:pPr>
              <w:pStyle w:val="Tabletext"/>
            </w:pPr>
            <w:r w:rsidRPr="00D7033D">
              <w:t>80%</w:t>
            </w:r>
          </w:p>
        </w:tc>
        <w:tc>
          <w:tcPr>
            <w:tcW w:w="1417" w:type="dxa"/>
            <w:gridSpan w:val="2"/>
            <w:shd w:val="clear" w:color="auto" w:fill="FFFFFF"/>
          </w:tcPr>
          <w:p w14:paraId="66CE8304" w14:textId="77777777" w:rsidR="00D7033D" w:rsidRPr="00D7033D" w:rsidRDefault="00D7033D" w:rsidP="00350EF5">
            <w:pPr>
              <w:pStyle w:val="Tabletext"/>
            </w:pPr>
            <w:r w:rsidRPr="00D7033D">
              <w:t>20</w:t>
            </w:r>
          </w:p>
        </w:tc>
        <w:tc>
          <w:tcPr>
            <w:tcW w:w="1335" w:type="dxa"/>
            <w:shd w:val="clear" w:color="auto" w:fill="FFFFFF"/>
          </w:tcPr>
          <w:p w14:paraId="1B85244B" w14:textId="77777777" w:rsidR="00D7033D" w:rsidRPr="00D7033D" w:rsidRDefault="00D7033D" w:rsidP="00350EF5">
            <w:pPr>
              <w:pStyle w:val="Tabletext"/>
            </w:pPr>
            <w:r w:rsidRPr="00D7033D">
              <w:t>22</w:t>
            </w:r>
          </w:p>
        </w:tc>
        <w:tc>
          <w:tcPr>
            <w:tcW w:w="1559" w:type="dxa"/>
            <w:shd w:val="clear" w:color="auto" w:fill="FFFFFF"/>
          </w:tcPr>
          <w:p w14:paraId="5DCE240A" w14:textId="77777777" w:rsidR="00D7033D" w:rsidRPr="00D7033D" w:rsidRDefault="00D7033D" w:rsidP="00350EF5">
            <w:pPr>
              <w:pStyle w:val="Tabletext"/>
            </w:pPr>
            <w:r w:rsidRPr="00D7033D">
              <w:t>110%</w:t>
            </w:r>
          </w:p>
        </w:tc>
        <w:tc>
          <w:tcPr>
            <w:tcW w:w="1328" w:type="dxa"/>
            <w:gridSpan w:val="2"/>
            <w:shd w:val="clear" w:color="auto" w:fill="FFFFFF"/>
          </w:tcPr>
          <w:p w14:paraId="484988D2" w14:textId="77777777" w:rsidR="00D7033D" w:rsidRPr="00D7033D" w:rsidRDefault="00D7033D" w:rsidP="00350EF5">
            <w:pPr>
              <w:pStyle w:val="Tabletext"/>
            </w:pPr>
            <w:r w:rsidRPr="00D7033D">
              <w:t>Green</w:t>
            </w:r>
          </w:p>
        </w:tc>
      </w:tr>
      <w:tr w:rsidR="00FF5BAD" w:rsidRPr="00AF3CE1" w14:paraId="0A6A41CC" w14:textId="77777777" w:rsidTr="00DA0736">
        <w:tc>
          <w:tcPr>
            <w:tcW w:w="1827" w:type="dxa"/>
            <w:shd w:val="clear" w:color="auto" w:fill="FFFFFF"/>
          </w:tcPr>
          <w:p w14:paraId="11F9CFF9" w14:textId="77777777" w:rsidR="00D7033D" w:rsidRPr="00D7033D" w:rsidRDefault="00D7033D" w:rsidP="00350EF5">
            <w:pPr>
              <w:pStyle w:val="Tabletext"/>
            </w:pPr>
            <w:r w:rsidRPr="00D7033D">
              <w:lastRenderedPageBreak/>
              <w:t>Publish monthly updates of the BNF and BNF C content</w:t>
            </w:r>
          </w:p>
        </w:tc>
        <w:tc>
          <w:tcPr>
            <w:tcW w:w="1979" w:type="dxa"/>
            <w:gridSpan w:val="2"/>
            <w:shd w:val="clear" w:color="auto" w:fill="FFFFFF"/>
          </w:tcPr>
          <w:p w14:paraId="37AC40F9" w14:textId="77777777" w:rsidR="00D7033D" w:rsidRPr="00D7033D" w:rsidRDefault="00D7033D" w:rsidP="00350EF5">
            <w:pPr>
              <w:pStyle w:val="Tabletext"/>
            </w:pPr>
            <w:r w:rsidRPr="00D7033D">
              <w:t>12</w:t>
            </w:r>
          </w:p>
        </w:tc>
        <w:tc>
          <w:tcPr>
            <w:tcW w:w="1821" w:type="dxa"/>
            <w:shd w:val="clear" w:color="auto" w:fill="FFFFFF"/>
          </w:tcPr>
          <w:p w14:paraId="66456F2A" w14:textId="77777777" w:rsidR="00D7033D" w:rsidRPr="00D7033D" w:rsidRDefault="00D7033D" w:rsidP="00350EF5">
            <w:pPr>
              <w:pStyle w:val="Tabletext"/>
            </w:pPr>
            <w:r w:rsidRPr="00D7033D">
              <w:t>12</w:t>
            </w:r>
          </w:p>
        </w:tc>
        <w:tc>
          <w:tcPr>
            <w:tcW w:w="1415" w:type="dxa"/>
            <w:shd w:val="clear" w:color="auto" w:fill="FFFFFF"/>
          </w:tcPr>
          <w:p w14:paraId="10C68EE1" w14:textId="77777777" w:rsidR="00D7033D" w:rsidRPr="00D7033D" w:rsidRDefault="00D7033D" w:rsidP="00350EF5">
            <w:pPr>
              <w:pStyle w:val="Tabletext"/>
            </w:pPr>
            <w:r w:rsidRPr="00D7033D">
              <w:t>Publication within stated quarter</w:t>
            </w:r>
          </w:p>
        </w:tc>
        <w:tc>
          <w:tcPr>
            <w:tcW w:w="1267" w:type="dxa"/>
            <w:shd w:val="clear" w:color="auto" w:fill="FFFFFF"/>
          </w:tcPr>
          <w:p w14:paraId="2C640171" w14:textId="77777777" w:rsidR="00D7033D" w:rsidRPr="00D7033D" w:rsidRDefault="00D7033D" w:rsidP="00350EF5">
            <w:pPr>
              <w:pStyle w:val="Tabletext"/>
            </w:pPr>
            <w:r w:rsidRPr="00D7033D">
              <w:t>80%</w:t>
            </w:r>
          </w:p>
        </w:tc>
        <w:tc>
          <w:tcPr>
            <w:tcW w:w="1417" w:type="dxa"/>
            <w:gridSpan w:val="2"/>
            <w:shd w:val="clear" w:color="auto" w:fill="FFFFFF"/>
          </w:tcPr>
          <w:p w14:paraId="13980C44" w14:textId="77777777" w:rsidR="00D7033D" w:rsidRPr="00D7033D" w:rsidRDefault="00D7033D" w:rsidP="00350EF5">
            <w:pPr>
              <w:pStyle w:val="Tabletext"/>
            </w:pPr>
            <w:r w:rsidRPr="00D7033D">
              <w:t>7</w:t>
            </w:r>
          </w:p>
        </w:tc>
        <w:tc>
          <w:tcPr>
            <w:tcW w:w="1335" w:type="dxa"/>
            <w:shd w:val="clear" w:color="auto" w:fill="FFFFFF"/>
          </w:tcPr>
          <w:p w14:paraId="4B1B59BB" w14:textId="77777777" w:rsidR="00D7033D" w:rsidRPr="00D7033D" w:rsidRDefault="00D7033D" w:rsidP="00350EF5">
            <w:pPr>
              <w:pStyle w:val="Tabletext"/>
            </w:pPr>
            <w:r w:rsidRPr="00D7033D">
              <w:t>7</w:t>
            </w:r>
          </w:p>
        </w:tc>
        <w:tc>
          <w:tcPr>
            <w:tcW w:w="1559" w:type="dxa"/>
            <w:shd w:val="clear" w:color="auto" w:fill="FFFFFF"/>
          </w:tcPr>
          <w:p w14:paraId="734E2A48" w14:textId="77777777" w:rsidR="00D7033D" w:rsidRPr="00D7033D" w:rsidRDefault="00D7033D" w:rsidP="00350EF5">
            <w:pPr>
              <w:pStyle w:val="Tabletext"/>
            </w:pPr>
            <w:r w:rsidRPr="00D7033D">
              <w:t>100%</w:t>
            </w:r>
          </w:p>
        </w:tc>
        <w:tc>
          <w:tcPr>
            <w:tcW w:w="1328" w:type="dxa"/>
            <w:gridSpan w:val="2"/>
            <w:shd w:val="clear" w:color="auto" w:fill="FFFFFF"/>
          </w:tcPr>
          <w:p w14:paraId="18B8F3B6" w14:textId="77777777" w:rsidR="00D7033D" w:rsidRPr="00D7033D" w:rsidRDefault="00D7033D" w:rsidP="00350EF5">
            <w:pPr>
              <w:pStyle w:val="Tabletext"/>
            </w:pPr>
            <w:r w:rsidRPr="00D7033D">
              <w:t>Green</w:t>
            </w:r>
          </w:p>
        </w:tc>
      </w:tr>
      <w:tr w:rsidR="00FF5BAD" w:rsidRPr="00AF3CE1" w14:paraId="459FDDA1" w14:textId="77777777" w:rsidTr="00DA0736">
        <w:tc>
          <w:tcPr>
            <w:tcW w:w="1827" w:type="dxa"/>
            <w:shd w:val="clear" w:color="auto" w:fill="FFFFFF"/>
          </w:tcPr>
          <w:p w14:paraId="296AD6D3" w14:textId="77777777" w:rsidR="00D7033D" w:rsidRPr="00D7033D" w:rsidRDefault="00D7033D" w:rsidP="00350EF5">
            <w:pPr>
              <w:pStyle w:val="Tabletext"/>
            </w:pPr>
            <w:r w:rsidRPr="00D7033D">
              <w:t xml:space="preserve">Deliver a regular medicine awareness service </w:t>
            </w:r>
          </w:p>
        </w:tc>
        <w:tc>
          <w:tcPr>
            <w:tcW w:w="1979" w:type="dxa"/>
            <w:gridSpan w:val="2"/>
            <w:shd w:val="clear" w:color="auto" w:fill="FFFFFF"/>
          </w:tcPr>
          <w:p w14:paraId="02C01A79" w14:textId="77777777" w:rsidR="00D7033D" w:rsidRPr="00D7033D" w:rsidRDefault="00D7033D" w:rsidP="00350EF5">
            <w:pPr>
              <w:pStyle w:val="Tabletext"/>
            </w:pPr>
            <w:r w:rsidRPr="00D7033D">
              <w:t>50</w:t>
            </w:r>
          </w:p>
        </w:tc>
        <w:tc>
          <w:tcPr>
            <w:tcW w:w="1821" w:type="dxa"/>
            <w:shd w:val="clear" w:color="auto" w:fill="FFFFFF"/>
          </w:tcPr>
          <w:p w14:paraId="1EC441D1" w14:textId="77777777" w:rsidR="00D7033D" w:rsidRPr="00D7033D" w:rsidRDefault="00D7033D" w:rsidP="00350EF5">
            <w:pPr>
              <w:pStyle w:val="Tabletext"/>
            </w:pPr>
            <w:r w:rsidRPr="00D7033D">
              <w:t>50</w:t>
            </w:r>
          </w:p>
        </w:tc>
        <w:tc>
          <w:tcPr>
            <w:tcW w:w="1415" w:type="dxa"/>
            <w:shd w:val="clear" w:color="auto" w:fill="FFFFFF"/>
          </w:tcPr>
          <w:p w14:paraId="6A1DA8B2" w14:textId="77777777" w:rsidR="00D7033D" w:rsidRPr="00D7033D" w:rsidRDefault="00D7033D" w:rsidP="00350EF5">
            <w:pPr>
              <w:pStyle w:val="Tabletext"/>
            </w:pPr>
            <w:r w:rsidRPr="00D7033D">
              <w:t>Publication to regular schedule</w:t>
            </w:r>
          </w:p>
        </w:tc>
        <w:tc>
          <w:tcPr>
            <w:tcW w:w="1267" w:type="dxa"/>
            <w:shd w:val="clear" w:color="auto" w:fill="FFFFFF"/>
          </w:tcPr>
          <w:p w14:paraId="0EDDA73C" w14:textId="77777777" w:rsidR="00D7033D" w:rsidRPr="00D7033D" w:rsidRDefault="00D7033D" w:rsidP="00350EF5">
            <w:pPr>
              <w:pStyle w:val="Tabletext"/>
            </w:pPr>
            <w:r w:rsidRPr="00D7033D">
              <w:t>90%</w:t>
            </w:r>
          </w:p>
        </w:tc>
        <w:tc>
          <w:tcPr>
            <w:tcW w:w="1417" w:type="dxa"/>
            <w:gridSpan w:val="2"/>
            <w:shd w:val="clear" w:color="auto" w:fill="FFFFFF"/>
          </w:tcPr>
          <w:p w14:paraId="686551DB" w14:textId="77777777" w:rsidR="00D7033D" w:rsidRPr="00D7033D" w:rsidRDefault="00D7033D" w:rsidP="00350EF5">
            <w:pPr>
              <w:pStyle w:val="Tabletext"/>
            </w:pPr>
            <w:r w:rsidRPr="00D7033D">
              <w:t>26</w:t>
            </w:r>
          </w:p>
        </w:tc>
        <w:tc>
          <w:tcPr>
            <w:tcW w:w="1335" w:type="dxa"/>
            <w:shd w:val="clear" w:color="auto" w:fill="FFFFFF"/>
          </w:tcPr>
          <w:p w14:paraId="12022D15" w14:textId="77777777" w:rsidR="00D7033D" w:rsidRPr="00D7033D" w:rsidRDefault="00D7033D" w:rsidP="00350EF5">
            <w:pPr>
              <w:pStyle w:val="Tabletext"/>
            </w:pPr>
            <w:r w:rsidRPr="00D7033D">
              <w:t>26</w:t>
            </w:r>
          </w:p>
        </w:tc>
        <w:tc>
          <w:tcPr>
            <w:tcW w:w="1559" w:type="dxa"/>
            <w:shd w:val="clear" w:color="auto" w:fill="FFFFFF"/>
          </w:tcPr>
          <w:p w14:paraId="78882F08" w14:textId="77777777" w:rsidR="00D7033D" w:rsidRPr="00D7033D" w:rsidRDefault="00D7033D" w:rsidP="00350EF5">
            <w:pPr>
              <w:pStyle w:val="Tabletext"/>
            </w:pPr>
            <w:r w:rsidRPr="00D7033D">
              <w:t>100%</w:t>
            </w:r>
          </w:p>
        </w:tc>
        <w:tc>
          <w:tcPr>
            <w:tcW w:w="1328" w:type="dxa"/>
            <w:gridSpan w:val="2"/>
            <w:shd w:val="clear" w:color="auto" w:fill="FFFFFF"/>
          </w:tcPr>
          <w:p w14:paraId="1B812CC9" w14:textId="77777777" w:rsidR="00D7033D" w:rsidRPr="00D7033D" w:rsidRDefault="00D7033D" w:rsidP="00350EF5">
            <w:pPr>
              <w:pStyle w:val="Tabletext"/>
            </w:pPr>
            <w:r w:rsidRPr="00D7033D">
              <w:t>Green</w:t>
            </w:r>
          </w:p>
        </w:tc>
      </w:tr>
      <w:tr w:rsidR="00FF5BAD" w:rsidRPr="00AF3CE1" w14:paraId="6F1DC52A" w14:textId="77777777" w:rsidTr="00DA0736">
        <w:tc>
          <w:tcPr>
            <w:tcW w:w="1827" w:type="dxa"/>
            <w:shd w:val="clear" w:color="auto" w:fill="FFFFFF"/>
          </w:tcPr>
          <w:p w14:paraId="210655B0" w14:textId="77777777" w:rsidR="00D7033D" w:rsidRPr="00D7033D" w:rsidRDefault="00D7033D" w:rsidP="00350EF5">
            <w:pPr>
              <w:pStyle w:val="Tabletext"/>
            </w:pPr>
            <w:r w:rsidRPr="00D7033D">
              <w:t>Deliver medicines advice products</w:t>
            </w:r>
          </w:p>
        </w:tc>
        <w:tc>
          <w:tcPr>
            <w:tcW w:w="1979" w:type="dxa"/>
            <w:gridSpan w:val="2"/>
            <w:shd w:val="clear" w:color="auto" w:fill="FFFFFF"/>
          </w:tcPr>
          <w:p w14:paraId="0B11FF82" w14:textId="77777777" w:rsidR="00D7033D" w:rsidRPr="00D7033D" w:rsidRDefault="00D7033D" w:rsidP="00350EF5">
            <w:pPr>
              <w:pStyle w:val="Tabletext"/>
            </w:pPr>
            <w:r w:rsidRPr="00D7033D">
              <w:t>10</w:t>
            </w:r>
          </w:p>
        </w:tc>
        <w:tc>
          <w:tcPr>
            <w:tcW w:w="1821" w:type="dxa"/>
            <w:shd w:val="clear" w:color="auto" w:fill="FFFFFF"/>
          </w:tcPr>
          <w:p w14:paraId="4C83C50A" w14:textId="77777777" w:rsidR="00D7033D" w:rsidRPr="00D7033D" w:rsidRDefault="00D7033D" w:rsidP="00350EF5">
            <w:pPr>
              <w:pStyle w:val="Tabletext"/>
            </w:pPr>
            <w:r w:rsidRPr="00D7033D">
              <w:t>10</w:t>
            </w:r>
          </w:p>
        </w:tc>
        <w:tc>
          <w:tcPr>
            <w:tcW w:w="1415" w:type="dxa"/>
            <w:shd w:val="clear" w:color="auto" w:fill="FFFFFF"/>
          </w:tcPr>
          <w:p w14:paraId="762AEDEA" w14:textId="77777777" w:rsidR="00D7033D" w:rsidRPr="00D7033D" w:rsidRDefault="00D7033D" w:rsidP="00350EF5">
            <w:pPr>
              <w:pStyle w:val="Tabletext"/>
            </w:pPr>
            <w:r w:rsidRPr="00D7033D">
              <w:t>Publication within stated quarter</w:t>
            </w:r>
          </w:p>
        </w:tc>
        <w:tc>
          <w:tcPr>
            <w:tcW w:w="1267" w:type="dxa"/>
            <w:shd w:val="clear" w:color="auto" w:fill="FFFFFF"/>
          </w:tcPr>
          <w:p w14:paraId="67F62FAE" w14:textId="77777777" w:rsidR="00D7033D" w:rsidRPr="00D7033D" w:rsidRDefault="00D7033D" w:rsidP="00350EF5">
            <w:pPr>
              <w:pStyle w:val="Tabletext"/>
            </w:pPr>
            <w:r w:rsidRPr="00D7033D">
              <w:t>80%</w:t>
            </w:r>
          </w:p>
        </w:tc>
        <w:tc>
          <w:tcPr>
            <w:tcW w:w="1417" w:type="dxa"/>
            <w:gridSpan w:val="2"/>
            <w:shd w:val="clear" w:color="auto" w:fill="FFFFFF"/>
          </w:tcPr>
          <w:p w14:paraId="6A9001D9" w14:textId="77777777" w:rsidR="00D7033D" w:rsidRPr="00D7033D" w:rsidRDefault="00D7033D" w:rsidP="00350EF5">
            <w:pPr>
              <w:pStyle w:val="Tabletext"/>
            </w:pPr>
            <w:r w:rsidRPr="00D7033D">
              <w:t>6</w:t>
            </w:r>
          </w:p>
        </w:tc>
        <w:tc>
          <w:tcPr>
            <w:tcW w:w="1335" w:type="dxa"/>
            <w:shd w:val="clear" w:color="auto" w:fill="FFFFFF"/>
          </w:tcPr>
          <w:p w14:paraId="31A3C14B" w14:textId="77777777" w:rsidR="00D7033D" w:rsidRPr="00D7033D" w:rsidRDefault="00D7033D" w:rsidP="00350EF5">
            <w:pPr>
              <w:pStyle w:val="Tabletext"/>
            </w:pPr>
            <w:r w:rsidRPr="00D7033D">
              <w:t>6</w:t>
            </w:r>
          </w:p>
        </w:tc>
        <w:tc>
          <w:tcPr>
            <w:tcW w:w="1559" w:type="dxa"/>
            <w:shd w:val="clear" w:color="auto" w:fill="FFFFFF"/>
          </w:tcPr>
          <w:p w14:paraId="723B1D74" w14:textId="77777777" w:rsidR="00D7033D" w:rsidRPr="00D7033D" w:rsidRDefault="00D7033D" w:rsidP="00350EF5">
            <w:pPr>
              <w:pStyle w:val="Tabletext"/>
            </w:pPr>
            <w:r w:rsidRPr="00D7033D">
              <w:t>100%</w:t>
            </w:r>
          </w:p>
        </w:tc>
        <w:tc>
          <w:tcPr>
            <w:tcW w:w="1328" w:type="dxa"/>
            <w:gridSpan w:val="2"/>
            <w:shd w:val="clear" w:color="auto" w:fill="FFFFFF"/>
          </w:tcPr>
          <w:p w14:paraId="60E5E8B8" w14:textId="77777777" w:rsidR="00D7033D" w:rsidRPr="00D7033D" w:rsidRDefault="00D7033D" w:rsidP="00350EF5">
            <w:pPr>
              <w:pStyle w:val="Tabletext"/>
            </w:pPr>
            <w:r w:rsidRPr="00D7033D">
              <w:t>Green</w:t>
            </w:r>
          </w:p>
        </w:tc>
      </w:tr>
      <w:tr w:rsidR="00FF5BAD" w:rsidRPr="00AF3CE1" w14:paraId="1644B5C2" w14:textId="77777777" w:rsidTr="00DA0736">
        <w:tc>
          <w:tcPr>
            <w:tcW w:w="1827" w:type="dxa"/>
            <w:shd w:val="clear" w:color="auto" w:fill="FFFFFF"/>
          </w:tcPr>
          <w:p w14:paraId="6421D2CB" w14:textId="77777777" w:rsidR="00D7033D" w:rsidRPr="00D7033D" w:rsidRDefault="00D7033D" w:rsidP="00350EF5">
            <w:pPr>
              <w:pStyle w:val="Tabletext"/>
            </w:pPr>
            <w:r w:rsidRPr="00D7033D">
              <w:t>Develop ‘rapid action plans’ in context of RAPID-C19</w:t>
            </w:r>
          </w:p>
        </w:tc>
        <w:tc>
          <w:tcPr>
            <w:tcW w:w="1979" w:type="dxa"/>
            <w:gridSpan w:val="2"/>
            <w:shd w:val="clear" w:color="auto" w:fill="FFFFFF"/>
          </w:tcPr>
          <w:p w14:paraId="00A09D60" w14:textId="77777777" w:rsidR="00D7033D" w:rsidRPr="00D7033D" w:rsidRDefault="00D7033D" w:rsidP="00350EF5">
            <w:pPr>
              <w:pStyle w:val="Tabletext"/>
            </w:pPr>
            <w:r w:rsidRPr="00D7033D">
              <w:t>0</w:t>
            </w:r>
          </w:p>
        </w:tc>
        <w:tc>
          <w:tcPr>
            <w:tcW w:w="1821" w:type="dxa"/>
            <w:shd w:val="clear" w:color="auto" w:fill="FFFFFF"/>
          </w:tcPr>
          <w:p w14:paraId="2CC2275F" w14:textId="77777777" w:rsidR="00D7033D" w:rsidRPr="00D7033D" w:rsidRDefault="00D7033D" w:rsidP="00350EF5">
            <w:pPr>
              <w:pStyle w:val="Tabletext"/>
            </w:pPr>
            <w:r w:rsidRPr="00D7033D">
              <w:t>Up to 15</w:t>
            </w:r>
          </w:p>
        </w:tc>
        <w:tc>
          <w:tcPr>
            <w:tcW w:w="1415" w:type="dxa"/>
            <w:shd w:val="clear" w:color="auto" w:fill="FFFFFF"/>
          </w:tcPr>
          <w:p w14:paraId="2F6D2388" w14:textId="77777777" w:rsidR="00D7033D" w:rsidRPr="00D7033D" w:rsidRDefault="00D7033D" w:rsidP="00350EF5">
            <w:pPr>
              <w:pStyle w:val="Tabletext"/>
            </w:pPr>
            <w:r w:rsidRPr="00D7033D">
              <w:t>Develop within stated year</w:t>
            </w:r>
          </w:p>
        </w:tc>
        <w:tc>
          <w:tcPr>
            <w:tcW w:w="1267" w:type="dxa"/>
            <w:shd w:val="clear" w:color="auto" w:fill="FFFFFF"/>
          </w:tcPr>
          <w:p w14:paraId="08F8EA58" w14:textId="77777777" w:rsidR="00D7033D" w:rsidRPr="00D7033D" w:rsidRDefault="00D7033D" w:rsidP="00350EF5">
            <w:pPr>
              <w:pStyle w:val="Tabletext"/>
            </w:pPr>
            <w:r w:rsidRPr="00D7033D">
              <w:t>80%</w:t>
            </w:r>
          </w:p>
        </w:tc>
        <w:tc>
          <w:tcPr>
            <w:tcW w:w="1417" w:type="dxa"/>
            <w:gridSpan w:val="2"/>
            <w:shd w:val="clear" w:color="auto" w:fill="FFFFFF"/>
          </w:tcPr>
          <w:p w14:paraId="5042EA34" w14:textId="77777777" w:rsidR="00D7033D" w:rsidRPr="00D7033D" w:rsidRDefault="00D7033D" w:rsidP="00350EF5">
            <w:pPr>
              <w:pStyle w:val="Tabletext"/>
            </w:pPr>
            <w:r w:rsidRPr="00D7033D">
              <w:t>N/A</w:t>
            </w:r>
          </w:p>
        </w:tc>
        <w:tc>
          <w:tcPr>
            <w:tcW w:w="1335" w:type="dxa"/>
            <w:shd w:val="clear" w:color="auto" w:fill="FFFFFF"/>
          </w:tcPr>
          <w:p w14:paraId="321F9FE0" w14:textId="77777777" w:rsidR="00D7033D" w:rsidRPr="00D7033D" w:rsidRDefault="00D7033D" w:rsidP="00350EF5">
            <w:pPr>
              <w:pStyle w:val="Tabletext"/>
            </w:pPr>
            <w:r w:rsidRPr="00D7033D">
              <w:t>33</w:t>
            </w:r>
          </w:p>
        </w:tc>
        <w:tc>
          <w:tcPr>
            <w:tcW w:w="1559" w:type="dxa"/>
            <w:shd w:val="clear" w:color="auto" w:fill="FFFFFF"/>
          </w:tcPr>
          <w:p w14:paraId="02452168" w14:textId="77777777" w:rsidR="00D7033D" w:rsidRPr="00D7033D" w:rsidRDefault="00D7033D" w:rsidP="00350EF5">
            <w:pPr>
              <w:pStyle w:val="Tabletext"/>
            </w:pPr>
            <w:r w:rsidRPr="00D7033D">
              <w:t>220%</w:t>
            </w:r>
          </w:p>
        </w:tc>
        <w:tc>
          <w:tcPr>
            <w:tcW w:w="1328" w:type="dxa"/>
            <w:gridSpan w:val="2"/>
            <w:shd w:val="clear" w:color="auto" w:fill="FFFFFF"/>
          </w:tcPr>
          <w:p w14:paraId="311F3BC5" w14:textId="77777777" w:rsidR="00D7033D" w:rsidRPr="00D7033D" w:rsidRDefault="00D7033D" w:rsidP="00350EF5">
            <w:pPr>
              <w:pStyle w:val="Tabletext"/>
            </w:pPr>
            <w:r w:rsidRPr="00D7033D">
              <w:t>Green</w:t>
            </w:r>
          </w:p>
        </w:tc>
      </w:tr>
    </w:tbl>
    <w:p w14:paraId="36A5B01C" w14:textId="77777777" w:rsidR="005A2A4F" w:rsidRPr="005A2A4F" w:rsidRDefault="005A2A4F" w:rsidP="00350EF5">
      <w:pPr>
        <w:pStyle w:val="NICEnormal"/>
      </w:pPr>
    </w:p>
    <w:p w14:paraId="1A4F5067" w14:textId="1F4D4CB8" w:rsidR="008F78FA" w:rsidRPr="00E4734C" w:rsidRDefault="008F78FA" w:rsidP="00350EF5">
      <w:pPr>
        <w:pStyle w:val="NICEnormal"/>
      </w:pPr>
      <w:r w:rsidRPr="00E4734C">
        <w:t xml:space="preserve">Note 1: </w:t>
      </w:r>
      <w:r>
        <w:t xml:space="preserve">1 </w:t>
      </w:r>
      <w:r w:rsidRPr="00E4734C">
        <w:t>delayed</w:t>
      </w:r>
      <w:r>
        <w:t xml:space="preserve"> antimicrobial prescribing guideline</w:t>
      </w:r>
      <w:r w:rsidRPr="00E4734C">
        <w:t xml:space="preserve"> topic</w:t>
      </w:r>
      <w:r w:rsidR="0020350C">
        <w:t xml:space="preserve"> due to COVID-19</w:t>
      </w:r>
      <w:r w:rsidRPr="00E4734C">
        <w:t xml:space="preserve">: </w:t>
      </w:r>
      <w:r w:rsidRPr="00220ECD">
        <w:t>Animal and human bites</w:t>
      </w:r>
      <w:r w:rsidRPr="00E4734C">
        <w:t>.</w:t>
      </w:r>
      <w:r w:rsidR="0020350C">
        <w:t xml:space="preserve"> </w:t>
      </w:r>
      <w:r w:rsidR="00703B09">
        <w:t>Published in November 2020.</w:t>
      </w:r>
    </w:p>
    <w:p w14:paraId="6FCC391C" w14:textId="0B45E92E" w:rsidR="008F78FA" w:rsidRPr="00E4734C" w:rsidRDefault="008F78FA" w:rsidP="00350EF5">
      <w:pPr>
        <w:pStyle w:val="NICEnormal"/>
      </w:pPr>
      <w:r w:rsidRPr="00E4734C">
        <w:t xml:space="preserve">Note </w:t>
      </w:r>
      <w:r>
        <w:t>2</w:t>
      </w:r>
      <w:r w:rsidRPr="00E4734C">
        <w:t xml:space="preserve">: </w:t>
      </w:r>
      <w:r w:rsidR="004F17A8">
        <w:t>1</w:t>
      </w:r>
      <w:r w:rsidRPr="00E4734C">
        <w:t xml:space="preserve"> delayed medical technologies guidance topic</w:t>
      </w:r>
      <w:r>
        <w:t xml:space="preserve">: </w:t>
      </w:r>
      <w:r w:rsidRPr="00057BAF">
        <w:t>SEM scanner</w:t>
      </w:r>
      <w:r>
        <w:t xml:space="preserve">. </w:t>
      </w:r>
      <w:r w:rsidRPr="00057BAF">
        <w:t>SEM scanner</w:t>
      </w:r>
      <w:r>
        <w:t xml:space="preserve"> published in October 2020.</w:t>
      </w:r>
    </w:p>
    <w:p w14:paraId="08B7E222" w14:textId="77777777" w:rsidR="008F78FA" w:rsidRPr="00E4734C" w:rsidRDefault="008F78FA" w:rsidP="00350EF5">
      <w:pPr>
        <w:pStyle w:val="NICEnormal"/>
      </w:pPr>
      <w:r w:rsidRPr="00E4734C">
        <w:t>Note 3:</w:t>
      </w:r>
      <w:r w:rsidRPr="000D1AC8">
        <w:rPr>
          <w:bCs/>
        </w:rPr>
        <w:t xml:space="preserve"> </w:t>
      </w:r>
      <w:r w:rsidRPr="002C37F7">
        <w:rPr>
          <w:bCs/>
        </w:rPr>
        <w:t>CDF guidance reviews were paused in response to C</w:t>
      </w:r>
      <w:r>
        <w:rPr>
          <w:bCs/>
        </w:rPr>
        <w:t>OVID</w:t>
      </w:r>
      <w:r w:rsidRPr="002C37F7">
        <w:rPr>
          <w:bCs/>
        </w:rPr>
        <w:t xml:space="preserve">-19. These </w:t>
      </w:r>
      <w:r>
        <w:rPr>
          <w:bCs/>
        </w:rPr>
        <w:t>have</w:t>
      </w:r>
      <w:r w:rsidRPr="002C37F7">
        <w:rPr>
          <w:bCs/>
        </w:rPr>
        <w:t xml:space="preserve"> now be</w:t>
      </w:r>
      <w:r>
        <w:rPr>
          <w:bCs/>
        </w:rPr>
        <w:t>en</w:t>
      </w:r>
      <w:r w:rsidRPr="002C37F7">
        <w:rPr>
          <w:bCs/>
        </w:rPr>
        <w:t xml:space="preserve"> rescheduled and </w:t>
      </w:r>
      <w:r>
        <w:rPr>
          <w:bCs/>
        </w:rPr>
        <w:t xml:space="preserve">are expected to publish by </w:t>
      </w:r>
      <w:r w:rsidRPr="002C37F7">
        <w:rPr>
          <w:bCs/>
        </w:rPr>
        <w:t>Q4</w:t>
      </w:r>
      <w:r>
        <w:rPr>
          <w:bCs/>
        </w:rPr>
        <w:t xml:space="preserve"> 2020/21.</w:t>
      </w:r>
    </w:p>
    <w:p w14:paraId="116AE8AE" w14:textId="26B759F1" w:rsidR="008F78FA" w:rsidRPr="00E4734C" w:rsidRDefault="008F78FA" w:rsidP="00350EF5">
      <w:pPr>
        <w:pStyle w:val="NICEnormal"/>
        <w:rPr>
          <w:bCs/>
        </w:rPr>
      </w:pPr>
      <w:r w:rsidRPr="00E4734C">
        <w:lastRenderedPageBreak/>
        <w:t>Note 4:</w:t>
      </w:r>
      <w:r w:rsidRPr="00334F03">
        <w:t xml:space="preserve"> </w:t>
      </w:r>
      <w:r>
        <w:rPr>
          <w:bCs/>
        </w:rPr>
        <w:t>1 delayed guid</w:t>
      </w:r>
      <w:r w:rsidR="00703B09">
        <w:t>eline</w:t>
      </w:r>
      <w:r>
        <w:rPr>
          <w:bCs/>
        </w:rPr>
        <w:t xml:space="preserve"> surveillance review due to COVID-19: </w:t>
      </w:r>
      <w:r w:rsidRPr="006F7F8C">
        <w:rPr>
          <w:bCs/>
        </w:rPr>
        <w:t>CG54 UTI in under 16s: diagnosis and management</w:t>
      </w:r>
      <w:r>
        <w:rPr>
          <w:bCs/>
        </w:rPr>
        <w:t>. This review published in October 2020.</w:t>
      </w:r>
    </w:p>
    <w:p w14:paraId="4D6D02C6" w14:textId="77777777" w:rsidR="008F78FA" w:rsidRDefault="008F78FA" w:rsidP="00350EF5">
      <w:pPr>
        <w:pStyle w:val="NICEnormal"/>
        <w:rPr>
          <w:bCs/>
        </w:rPr>
      </w:pPr>
      <w:r w:rsidRPr="00E4734C">
        <w:rPr>
          <w:bCs/>
        </w:rPr>
        <w:t>Note 5:</w:t>
      </w:r>
      <w:r>
        <w:rPr>
          <w:bCs/>
        </w:rPr>
        <w:t xml:space="preserve"> 1 antimicrobial evidence summary</w:t>
      </w:r>
      <w:r w:rsidRPr="000D1AC8">
        <w:rPr>
          <w:bCs/>
        </w:rPr>
        <w:t xml:space="preserve"> </w:t>
      </w:r>
      <w:r>
        <w:rPr>
          <w:bCs/>
        </w:rPr>
        <w:t xml:space="preserve">delayed </w:t>
      </w:r>
      <w:proofErr w:type="gramStart"/>
      <w:r>
        <w:rPr>
          <w:bCs/>
        </w:rPr>
        <w:t xml:space="preserve">to </w:t>
      </w:r>
      <w:r w:rsidRPr="000D1AC8">
        <w:rPr>
          <w:bCs/>
        </w:rPr>
        <w:t>include</w:t>
      </w:r>
      <w:proofErr w:type="gramEnd"/>
      <w:r w:rsidRPr="000D1AC8">
        <w:rPr>
          <w:bCs/>
        </w:rPr>
        <w:t xml:space="preserve"> a new study published at a late stage of the </w:t>
      </w:r>
      <w:r>
        <w:rPr>
          <w:bCs/>
        </w:rPr>
        <w:t>evidence summary’s</w:t>
      </w:r>
      <w:r w:rsidRPr="000D1AC8">
        <w:rPr>
          <w:bCs/>
        </w:rPr>
        <w:t xml:space="preserve"> development</w:t>
      </w:r>
      <w:r>
        <w:rPr>
          <w:bCs/>
        </w:rPr>
        <w:t xml:space="preserve">: </w:t>
      </w:r>
      <w:proofErr w:type="spellStart"/>
      <w:r w:rsidRPr="000D1AC8">
        <w:rPr>
          <w:bCs/>
        </w:rPr>
        <w:t>Recarbrio</w:t>
      </w:r>
      <w:proofErr w:type="spellEnd"/>
      <w:r w:rsidRPr="000D1AC8">
        <w:rPr>
          <w:bCs/>
        </w:rPr>
        <w:t xml:space="preserve"> (imipenem, </w:t>
      </w:r>
      <w:proofErr w:type="spellStart"/>
      <w:r w:rsidRPr="000D1AC8">
        <w:rPr>
          <w:bCs/>
        </w:rPr>
        <w:t>cilastatin</w:t>
      </w:r>
      <w:proofErr w:type="spellEnd"/>
      <w:r w:rsidRPr="000D1AC8">
        <w:rPr>
          <w:bCs/>
        </w:rPr>
        <w:t xml:space="preserve"> and </w:t>
      </w:r>
      <w:proofErr w:type="spellStart"/>
      <w:r w:rsidRPr="000D1AC8">
        <w:rPr>
          <w:bCs/>
        </w:rPr>
        <w:t>relebactam</w:t>
      </w:r>
      <w:proofErr w:type="spellEnd"/>
      <w:r w:rsidRPr="000D1AC8">
        <w:rPr>
          <w:bCs/>
        </w:rPr>
        <w:t>) for the treatment of infections due to aerobic Gram-negative organisms</w:t>
      </w:r>
      <w:r>
        <w:rPr>
          <w:bCs/>
        </w:rPr>
        <w:t>. Published in October 2020.</w:t>
      </w:r>
    </w:p>
    <w:p w14:paraId="6A103C2B" w14:textId="12D9B1D9" w:rsidR="008F78FA" w:rsidRDefault="008F78FA" w:rsidP="00301D86">
      <w:pPr>
        <w:pStyle w:val="Caption"/>
      </w:pPr>
      <w:r>
        <w:t>Adoption and impact</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76"/>
        <w:gridCol w:w="1985"/>
        <w:gridCol w:w="2126"/>
        <w:gridCol w:w="1985"/>
        <w:gridCol w:w="2126"/>
      </w:tblGrid>
      <w:tr w:rsidR="00C070CC" w14:paraId="72FC5109" w14:textId="6838F170" w:rsidTr="00C070CC">
        <w:tc>
          <w:tcPr>
            <w:tcW w:w="2689" w:type="dxa"/>
          </w:tcPr>
          <w:p w14:paraId="6B226FEE" w14:textId="794465DB" w:rsidR="00C070CC" w:rsidRPr="003170CC" w:rsidRDefault="00C070CC" w:rsidP="003170CC">
            <w:pPr>
              <w:pStyle w:val="Tableheadingboardreport"/>
            </w:pPr>
            <w:r>
              <w:t>Outputs</w:t>
            </w:r>
          </w:p>
        </w:tc>
        <w:tc>
          <w:tcPr>
            <w:tcW w:w="2976" w:type="dxa"/>
          </w:tcPr>
          <w:p w14:paraId="232CDFB2" w14:textId="76F1DF70" w:rsidR="00C070CC" w:rsidRPr="003170CC" w:rsidRDefault="00C070CC" w:rsidP="003170CC">
            <w:pPr>
              <w:pStyle w:val="Tableheadingboardreport"/>
            </w:pPr>
            <w:r>
              <w:t>Measure</w:t>
            </w:r>
          </w:p>
        </w:tc>
        <w:tc>
          <w:tcPr>
            <w:tcW w:w="1985" w:type="dxa"/>
          </w:tcPr>
          <w:p w14:paraId="0B8E73C7" w14:textId="4C038247" w:rsidR="00C070CC" w:rsidRPr="003170CC" w:rsidRDefault="00C070CC" w:rsidP="003170CC">
            <w:pPr>
              <w:pStyle w:val="Tableheadingboardreport"/>
            </w:pPr>
            <w:r>
              <w:t>Target</w:t>
            </w:r>
          </w:p>
        </w:tc>
        <w:tc>
          <w:tcPr>
            <w:tcW w:w="2126" w:type="dxa"/>
          </w:tcPr>
          <w:p w14:paraId="6EEBD6BB" w14:textId="1F820468" w:rsidR="00C070CC" w:rsidRPr="007277C3" w:rsidRDefault="00C070CC" w:rsidP="003170CC">
            <w:pPr>
              <w:pStyle w:val="Tableheadingboardreport"/>
            </w:pPr>
            <w:r>
              <w:t>Planned YTD</w:t>
            </w:r>
          </w:p>
        </w:tc>
        <w:tc>
          <w:tcPr>
            <w:tcW w:w="1985" w:type="dxa"/>
          </w:tcPr>
          <w:p w14:paraId="46026E0E" w14:textId="48EA1673" w:rsidR="00C070CC" w:rsidRPr="00C070CC" w:rsidRDefault="00C070CC" w:rsidP="003170CC">
            <w:pPr>
              <w:pStyle w:val="Tableheadingboardreport"/>
            </w:pPr>
            <w:r w:rsidRPr="00C070CC">
              <w:t>Actual YTD</w:t>
            </w:r>
          </w:p>
        </w:tc>
        <w:tc>
          <w:tcPr>
            <w:tcW w:w="2126" w:type="dxa"/>
          </w:tcPr>
          <w:p w14:paraId="6B933957" w14:textId="7333334D" w:rsidR="00C070CC" w:rsidRPr="007277C3" w:rsidRDefault="00C070CC" w:rsidP="003170CC">
            <w:pPr>
              <w:pStyle w:val="Tableheadingboardreport"/>
            </w:pPr>
            <w:r>
              <w:t>RAG</w:t>
            </w:r>
          </w:p>
        </w:tc>
      </w:tr>
      <w:tr w:rsidR="00C070CC" w14:paraId="5E689C74" w14:textId="0A0BAEC7" w:rsidTr="00C070CC">
        <w:tc>
          <w:tcPr>
            <w:tcW w:w="2689" w:type="dxa"/>
            <w:shd w:val="clear" w:color="auto" w:fill="FFFFFF"/>
          </w:tcPr>
          <w:p w14:paraId="75432AB2" w14:textId="77777777" w:rsidR="00C070CC" w:rsidRPr="003170CC" w:rsidRDefault="00C070CC" w:rsidP="00350EF5">
            <w:pPr>
              <w:pStyle w:val="Tabletext"/>
            </w:pPr>
            <w:r w:rsidRPr="003170CC">
              <w:t xml:space="preserve">Publish resource impact products to support all NICE guidelines (excluding COVID-19 rapid guidelines), positively recommended technology appraisals, medical </w:t>
            </w:r>
            <w:proofErr w:type="gramStart"/>
            <w:r w:rsidRPr="003170CC">
              <w:t>technologies</w:t>
            </w:r>
            <w:proofErr w:type="gramEnd"/>
            <w:r w:rsidRPr="003170CC">
              <w:t xml:space="preserve"> and diagnostics guidance at the point of guidance publication </w:t>
            </w:r>
          </w:p>
          <w:p w14:paraId="54BDCBDE" w14:textId="2BCD1248" w:rsidR="00C070CC" w:rsidRPr="003170CC" w:rsidRDefault="00C070CC" w:rsidP="00350EF5">
            <w:pPr>
              <w:pStyle w:val="Tabletext"/>
            </w:pPr>
          </w:p>
        </w:tc>
        <w:tc>
          <w:tcPr>
            <w:tcW w:w="2976" w:type="dxa"/>
            <w:shd w:val="clear" w:color="auto" w:fill="FFFFFF"/>
          </w:tcPr>
          <w:p w14:paraId="1042D865" w14:textId="58AFBA0C" w:rsidR="00C070CC" w:rsidRPr="003170CC" w:rsidRDefault="00C070CC" w:rsidP="003170CC">
            <w:pPr>
              <w:pStyle w:val="Tabletext"/>
            </w:pPr>
            <w:r w:rsidRPr="003170CC">
              <w:t>Publication within year</w:t>
            </w:r>
          </w:p>
        </w:tc>
        <w:tc>
          <w:tcPr>
            <w:tcW w:w="1985" w:type="dxa"/>
            <w:shd w:val="clear" w:color="auto" w:fill="FFFFFF"/>
          </w:tcPr>
          <w:p w14:paraId="6F745EE0" w14:textId="43F6446D" w:rsidR="00C070CC" w:rsidRPr="003170CC" w:rsidRDefault="00C070CC" w:rsidP="003170CC">
            <w:pPr>
              <w:pStyle w:val="Tabletext"/>
            </w:pPr>
            <w:r w:rsidRPr="003170CC">
              <w:t>90%</w:t>
            </w:r>
          </w:p>
        </w:tc>
        <w:tc>
          <w:tcPr>
            <w:tcW w:w="2126" w:type="dxa"/>
            <w:shd w:val="clear" w:color="auto" w:fill="FFFFFF"/>
          </w:tcPr>
          <w:p w14:paraId="6CCCF2A1" w14:textId="59ABEE9A" w:rsidR="00C070CC" w:rsidRPr="007277C3" w:rsidRDefault="00C070CC" w:rsidP="003170CC">
            <w:pPr>
              <w:pStyle w:val="Tabletext"/>
            </w:pPr>
            <w:r w:rsidRPr="003170CC">
              <w:t>100%</w:t>
            </w:r>
          </w:p>
        </w:tc>
        <w:tc>
          <w:tcPr>
            <w:tcW w:w="1985" w:type="dxa"/>
            <w:shd w:val="clear" w:color="auto" w:fill="FFFFFF"/>
          </w:tcPr>
          <w:p w14:paraId="7A867657" w14:textId="33ED5E17" w:rsidR="00C070CC" w:rsidRPr="007277C3" w:rsidRDefault="00C070CC" w:rsidP="003170CC">
            <w:pPr>
              <w:pStyle w:val="Tabletext"/>
            </w:pPr>
            <w:r w:rsidRPr="003170CC">
              <w:t>100%</w:t>
            </w:r>
          </w:p>
        </w:tc>
        <w:tc>
          <w:tcPr>
            <w:tcW w:w="2126" w:type="dxa"/>
            <w:shd w:val="clear" w:color="auto" w:fill="FFFFFF"/>
          </w:tcPr>
          <w:p w14:paraId="7D3CB89E" w14:textId="00F2DB01" w:rsidR="00C070CC" w:rsidRPr="007277C3" w:rsidRDefault="00C070CC" w:rsidP="003170CC">
            <w:pPr>
              <w:pStyle w:val="Tabletext"/>
            </w:pPr>
            <w:r w:rsidRPr="003170CC">
              <w:t>Green</w:t>
            </w:r>
          </w:p>
        </w:tc>
      </w:tr>
      <w:tr w:rsidR="00C070CC" w14:paraId="160A7F28" w14:textId="1D838BAC" w:rsidTr="00C070CC">
        <w:tc>
          <w:tcPr>
            <w:tcW w:w="2689" w:type="dxa"/>
            <w:shd w:val="clear" w:color="auto" w:fill="FFFFFF"/>
          </w:tcPr>
          <w:p w14:paraId="6E46E953" w14:textId="1A169718" w:rsidR="00C070CC" w:rsidRPr="003170CC" w:rsidRDefault="00C070CC" w:rsidP="003170CC">
            <w:pPr>
              <w:pStyle w:val="Tabletext"/>
            </w:pPr>
            <w:r w:rsidRPr="003170CC">
              <w:t>Coverage of NICE in the media</w:t>
            </w:r>
          </w:p>
        </w:tc>
        <w:tc>
          <w:tcPr>
            <w:tcW w:w="2976" w:type="dxa"/>
            <w:shd w:val="clear" w:color="auto" w:fill="FFFFFF"/>
          </w:tcPr>
          <w:p w14:paraId="31721787" w14:textId="2E0974A1" w:rsidR="00C070CC" w:rsidRPr="003170CC" w:rsidRDefault="00C070CC" w:rsidP="00350EF5">
            <w:pPr>
              <w:pStyle w:val="Tabletext"/>
            </w:pPr>
            <w:r w:rsidRPr="003170CC">
              <w:t>% of positive coverage of NICE in the media resulting from active programme of media relations</w:t>
            </w:r>
          </w:p>
        </w:tc>
        <w:tc>
          <w:tcPr>
            <w:tcW w:w="1985" w:type="dxa"/>
            <w:shd w:val="clear" w:color="auto" w:fill="FFFFFF"/>
          </w:tcPr>
          <w:p w14:paraId="00FD71FC" w14:textId="3BCC1809" w:rsidR="00C070CC" w:rsidRPr="003170CC" w:rsidRDefault="00C070CC" w:rsidP="003170CC">
            <w:pPr>
              <w:pStyle w:val="NICEnormal"/>
            </w:pPr>
            <w:r w:rsidRPr="003170CC">
              <w:t>80%</w:t>
            </w:r>
          </w:p>
        </w:tc>
        <w:tc>
          <w:tcPr>
            <w:tcW w:w="2126" w:type="dxa"/>
            <w:shd w:val="clear" w:color="auto" w:fill="FFFFFF"/>
          </w:tcPr>
          <w:p w14:paraId="4451161D" w14:textId="1FC2D90E" w:rsidR="00C070CC" w:rsidRDefault="00C070CC" w:rsidP="003170CC">
            <w:pPr>
              <w:pStyle w:val="NICEnormal"/>
            </w:pPr>
            <w:r w:rsidRPr="003170CC">
              <w:t>80%</w:t>
            </w:r>
          </w:p>
        </w:tc>
        <w:tc>
          <w:tcPr>
            <w:tcW w:w="1985" w:type="dxa"/>
            <w:shd w:val="clear" w:color="auto" w:fill="FFFFFF"/>
          </w:tcPr>
          <w:p w14:paraId="503269C7" w14:textId="110DA204" w:rsidR="00C070CC" w:rsidRDefault="00C070CC" w:rsidP="003170CC">
            <w:pPr>
              <w:pStyle w:val="NICEnormal"/>
            </w:pPr>
            <w:r w:rsidRPr="003170CC">
              <w:t>84%</w:t>
            </w:r>
          </w:p>
        </w:tc>
        <w:tc>
          <w:tcPr>
            <w:tcW w:w="2126" w:type="dxa"/>
            <w:shd w:val="clear" w:color="auto" w:fill="FFFFFF"/>
          </w:tcPr>
          <w:p w14:paraId="5A920C24" w14:textId="39E63248" w:rsidR="00C070CC" w:rsidRDefault="00C070CC" w:rsidP="003170CC">
            <w:pPr>
              <w:pStyle w:val="NICEnormal"/>
            </w:pPr>
            <w:r w:rsidRPr="003170CC">
              <w:t>Green</w:t>
            </w:r>
          </w:p>
        </w:tc>
      </w:tr>
      <w:tr w:rsidR="00C070CC" w14:paraId="0F8C9E88" w14:textId="77777777" w:rsidTr="00C070CC">
        <w:tc>
          <w:tcPr>
            <w:tcW w:w="2689" w:type="dxa"/>
            <w:shd w:val="clear" w:color="auto" w:fill="FFFFFF"/>
          </w:tcPr>
          <w:p w14:paraId="4D2E4494" w14:textId="4F23C4A1" w:rsidR="00C070CC" w:rsidRDefault="00C070CC" w:rsidP="003170CC">
            <w:pPr>
              <w:pStyle w:val="Tabletext"/>
            </w:pPr>
            <w:r w:rsidRPr="003170CC">
              <w:t>Ensuring stakeholders have access to our websites as the main communication channel</w:t>
            </w:r>
          </w:p>
        </w:tc>
        <w:tc>
          <w:tcPr>
            <w:tcW w:w="2976" w:type="dxa"/>
            <w:shd w:val="clear" w:color="auto" w:fill="FFFFFF"/>
          </w:tcPr>
          <w:p w14:paraId="0309AEF2" w14:textId="2A3B317A" w:rsidR="00C070CC" w:rsidRDefault="00C070CC" w:rsidP="00350EF5">
            <w:pPr>
              <w:pStyle w:val="Tabletext"/>
            </w:pPr>
            <w:r w:rsidRPr="003170CC">
              <w:t>Percentage of planned availability, not including scheduled out of hours maintenance</w:t>
            </w:r>
          </w:p>
        </w:tc>
        <w:tc>
          <w:tcPr>
            <w:tcW w:w="1985" w:type="dxa"/>
            <w:shd w:val="clear" w:color="auto" w:fill="FFFFFF"/>
          </w:tcPr>
          <w:p w14:paraId="258930D7" w14:textId="3BE5D8C2" w:rsidR="00C070CC" w:rsidRDefault="00C070CC" w:rsidP="003170CC">
            <w:pPr>
              <w:pStyle w:val="NICEnormal"/>
            </w:pPr>
            <w:r w:rsidRPr="003170CC">
              <w:t>98%</w:t>
            </w:r>
          </w:p>
        </w:tc>
        <w:tc>
          <w:tcPr>
            <w:tcW w:w="2126" w:type="dxa"/>
            <w:shd w:val="clear" w:color="auto" w:fill="FFFFFF"/>
          </w:tcPr>
          <w:p w14:paraId="1B23610E" w14:textId="7BB9503B" w:rsidR="00C070CC" w:rsidRDefault="00C070CC" w:rsidP="003170CC">
            <w:pPr>
              <w:pStyle w:val="NICEnormal"/>
            </w:pPr>
            <w:r w:rsidRPr="003170CC">
              <w:t>98%</w:t>
            </w:r>
          </w:p>
        </w:tc>
        <w:tc>
          <w:tcPr>
            <w:tcW w:w="1985" w:type="dxa"/>
            <w:shd w:val="clear" w:color="auto" w:fill="FFFFFF"/>
          </w:tcPr>
          <w:p w14:paraId="374F225D" w14:textId="0F47EBC3" w:rsidR="00C070CC" w:rsidRDefault="00C070CC" w:rsidP="003170CC">
            <w:pPr>
              <w:pStyle w:val="NICEnormal"/>
            </w:pPr>
            <w:r w:rsidRPr="003170CC">
              <w:t>100%</w:t>
            </w:r>
          </w:p>
        </w:tc>
        <w:tc>
          <w:tcPr>
            <w:tcW w:w="2126" w:type="dxa"/>
            <w:shd w:val="clear" w:color="auto" w:fill="FFFFFF"/>
          </w:tcPr>
          <w:p w14:paraId="246D48BF" w14:textId="30D0DE0F" w:rsidR="00C070CC" w:rsidRDefault="00C070CC" w:rsidP="003170CC">
            <w:pPr>
              <w:pStyle w:val="NICEnormal"/>
            </w:pPr>
            <w:r w:rsidRPr="003170CC">
              <w:t>Green</w:t>
            </w:r>
          </w:p>
        </w:tc>
      </w:tr>
    </w:tbl>
    <w:p w14:paraId="31783ACB" w14:textId="7468DCFC" w:rsidR="008F78FA" w:rsidRDefault="008F78FA" w:rsidP="00301D86">
      <w:pPr>
        <w:pStyle w:val="Caption"/>
      </w:pPr>
      <w:r>
        <w:lastRenderedPageBreak/>
        <w:t>Operating efficiently</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2268"/>
        <w:gridCol w:w="2694"/>
        <w:gridCol w:w="2126"/>
      </w:tblGrid>
      <w:tr w:rsidR="00C070CC" w14:paraId="44D4DFA5" w14:textId="208C9E40" w:rsidTr="00C070CC">
        <w:trPr>
          <w:tblHeader/>
        </w:trPr>
        <w:tc>
          <w:tcPr>
            <w:tcW w:w="3539" w:type="dxa"/>
          </w:tcPr>
          <w:p w14:paraId="54B52A8F" w14:textId="1D40D7EB" w:rsidR="00C070CC" w:rsidRPr="008D1FFE" w:rsidRDefault="00C070CC" w:rsidP="008D1FFE">
            <w:pPr>
              <w:pStyle w:val="Tableheadingboardreport"/>
            </w:pPr>
            <w:r>
              <w:t>Critical success factors</w:t>
            </w:r>
          </w:p>
        </w:tc>
        <w:tc>
          <w:tcPr>
            <w:tcW w:w="3260" w:type="dxa"/>
          </w:tcPr>
          <w:p w14:paraId="452E879E" w14:textId="75A27EFE" w:rsidR="00C070CC" w:rsidRPr="008D1FFE" w:rsidRDefault="00C070CC" w:rsidP="008D1FFE">
            <w:pPr>
              <w:pStyle w:val="Tableheadingboardreport"/>
            </w:pPr>
            <w:r>
              <w:t>Key measures</w:t>
            </w:r>
          </w:p>
        </w:tc>
        <w:tc>
          <w:tcPr>
            <w:tcW w:w="2268" w:type="dxa"/>
          </w:tcPr>
          <w:p w14:paraId="25157FCF" w14:textId="5A7B85D1" w:rsidR="00C070CC" w:rsidRPr="008D1FFE" w:rsidRDefault="00C070CC" w:rsidP="008D1FFE">
            <w:pPr>
              <w:pStyle w:val="Tableheadingboardreport"/>
            </w:pPr>
            <w:r>
              <w:t>Target</w:t>
            </w:r>
          </w:p>
        </w:tc>
        <w:tc>
          <w:tcPr>
            <w:tcW w:w="2694" w:type="dxa"/>
          </w:tcPr>
          <w:p w14:paraId="08792E1A" w14:textId="72E7DCF9" w:rsidR="00C070CC" w:rsidRPr="007277C3" w:rsidRDefault="00C070CC" w:rsidP="008D1FFE">
            <w:pPr>
              <w:pStyle w:val="Tableheadingboardreport"/>
            </w:pPr>
            <w:r>
              <w:t>Actual YTD</w:t>
            </w:r>
          </w:p>
        </w:tc>
        <w:tc>
          <w:tcPr>
            <w:tcW w:w="2126" w:type="dxa"/>
          </w:tcPr>
          <w:p w14:paraId="4D9FB944" w14:textId="2F50D62A" w:rsidR="00C070CC" w:rsidRPr="007277C3" w:rsidRDefault="00C070CC" w:rsidP="008D1FFE">
            <w:pPr>
              <w:pStyle w:val="Tableheadingboardreport"/>
            </w:pPr>
            <w:r>
              <w:t>RAG</w:t>
            </w:r>
          </w:p>
        </w:tc>
      </w:tr>
      <w:tr w:rsidR="00C070CC" w14:paraId="59EAD87E" w14:textId="03935281" w:rsidTr="00C070CC">
        <w:tc>
          <w:tcPr>
            <w:tcW w:w="3539" w:type="dxa"/>
            <w:shd w:val="clear" w:color="auto" w:fill="FFFFFF"/>
          </w:tcPr>
          <w:p w14:paraId="3594A6AB" w14:textId="2842E3B9" w:rsidR="00C070CC" w:rsidRPr="008D1FFE" w:rsidRDefault="00C070CC" w:rsidP="008D1FFE">
            <w:pPr>
              <w:pStyle w:val="Tabletext"/>
            </w:pPr>
            <w:r w:rsidRPr="008D1FFE">
              <w:t>Effective management of financial resources</w:t>
            </w:r>
          </w:p>
        </w:tc>
        <w:tc>
          <w:tcPr>
            <w:tcW w:w="3260" w:type="dxa"/>
            <w:shd w:val="clear" w:color="auto" w:fill="FFFFFF"/>
          </w:tcPr>
          <w:p w14:paraId="22CAACEA" w14:textId="563B5F41" w:rsidR="00C070CC" w:rsidRPr="008D1FFE" w:rsidRDefault="00C070CC" w:rsidP="008D1FFE">
            <w:pPr>
              <w:pStyle w:val="Tabletext"/>
            </w:pPr>
            <w:r w:rsidRPr="008D1FFE">
              <w:t>Revenue spend</w:t>
            </w:r>
          </w:p>
        </w:tc>
        <w:tc>
          <w:tcPr>
            <w:tcW w:w="2268" w:type="dxa"/>
            <w:shd w:val="clear" w:color="auto" w:fill="FFFFFF"/>
          </w:tcPr>
          <w:p w14:paraId="545848BA" w14:textId="38695B35" w:rsidR="00C070CC" w:rsidRPr="008D1FFE" w:rsidRDefault="00C070CC" w:rsidP="008D1FFE">
            <w:pPr>
              <w:pStyle w:val="Tabletext"/>
            </w:pPr>
            <w:r w:rsidRPr="008D1FFE">
              <w:t>To operate within budget</w:t>
            </w:r>
          </w:p>
        </w:tc>
        <w:tc>
          <w:tcPr>
            <w:tcW w:w="2694" w:type="dxa"/>
            <w:shd w:val="clear" w:color="auto" w:fill="FFFFFF"/>
          </w:tcPr>
          <w:p w14:paraId="22BA1043" w14:textId="77777777" w:rsidR="00C070CC" w:rsidRDefault="00C070CC" w:rsidP="008D1FFE">
            <w:pPr>
              <w:pStyle w:val="Tabletext"/>
            </w:pPr>
            <w:r w:rsidRPr="008D1FFE">
              <w:t>Budget for the period April – Sept 2020 was £26.4m.</w:t>
            </w:r>
          </w:p>
          <w:p w14:paraId="64521D5F" w14:textId="77777777" w:rsidR="00C070CC" w:rsidRDefault="00C070CC" w:rsidP="008D1FFE">
            <w:pPr>
              <w:pStyle w:val="Tabletext"/>
            </w:pPr>
          </w:p>
          <w:p w14:paraId="5567167A" w14:textId="3D3DB7A1" w:rsidR="00C070CC" w:rsidRPr="007277C3" w:rsidRDefault="00C070CC" w:rsidP="008D1FFE">
            <w:pPr>
              <w:pStyle w:val="Tabletext"/>
            </w:pPr>
            <w:r w:rsidRPr="008D1FFE">
              <w:t>Net YTD spend was £25.0m. This was a net under spend of £1.4m (5%).</w:t>
            </w:r>
          </w:p>
        </w:tc>
        <w:tc>
          <w:tcPr>
            <w:tcW w:w="2126" w:type="dxa"/>
            <w:shd w:val="clear" w:color="auto" w:fill="FFFFFF"/>
          </w:tcPr>
          <w:p w14:paraId="45D0C873" w14:textId="7D758FA8" w:rsidR="00C070CC" w:rsidRPr="007277C3" w:rsidRDefault="00C070CC" w:rsidP="008D1FFE">
            <w:pPr>
              <w:pStyle w:val="Tabletext"/>
            </w:pPr>
            <w:r w:rsidRPr="008D1FFE">
              <w:t>Green</w:t>
            </w:r>
          </w:p>
        </w:tc>
      </w:tr>
      <w:tr w:rsidR="00C070CC" w14:paraId="2EA37783" w14:textId="75A6B658" w:rsidTr="00C070CC">
        <w:tc>
          <w:tcPr>
            <w:tcW w:w="3539" w:type="dxa"/>
            <w:shd w:val="clear" w:color="auto" w:fill="FFFFFF"/>
          </w:tcPr>
          <w:p w14:paraId="21803A35" w14:textId="44E4D7B9" w:rsidR="00C070CC" w:rsidRPr="008D1FFE" w:rsidRDefault="00C070CC" w:rsidP="008D1FFE">
            <w:pPr>
              <w:pStyle w:val="Tabletext"/>
            </w:pPr>
            <w:r w:rsidRPr="008D1FFE">
              <w:t xml:space="preserve">Effective management of non-exchequer income </w:t>
            </w:r>
          </w:p>
        </w:tc>
        <w:tc>
          <w:tcPr>
            <w:tcW w:w="3260" w:type="dxa"/>
            <w:shd w:val="clear" w:color="auto" w:fill="FFFFFF"/>
          </w:tcPr>
          <w:p w14:paraId="4F45D453" w14:textId="73BAC05F" w:rsidR="00C070CC" w:rsidRPr="008D1FFE" w:rsidRDefault="00C070CC" w:rsidP="00350EF5">
            <w:pPr>
              <w:pStyle w:val="Tabletext"/>
            </w:pPr>
            <w:r w:rsidRPr="008D1FFE">
              <w:t>Net income received from non-exchequer income sources (including TA/HST cost recovery, Scientific Advice, Office for Market Access, research grants, knowledge transfer) measured against business plan targets</w:t>
            </w:r>
          </w:p>
        </w:tc>
        <w:tc>
          <w:tcPr>
            <w:tcW w:w="2268" w:type="dxa"/>
            <w:shd w:val="clear" w:color="auto" w:fill="FFFFFF"/>
          </w:tcPr>
          <w:p w14:paraId="44EF6286" w14:textId="5E72EFAD" w:rsidR="00C070CC" w:rsidRPr="008D1FFE" w:rsidRDefault="00C070CC" w:rsidP="00350EF5">
            <w:pPr>
              <w:pStyle w:val="Tabletext"/>
            </w:pPr>
            <w:r w:rsidRPr="008D1FFE">
              <w:t>90%</w:t>
            </w:r>
          </w:p>
        </w:tc>
        <w:tc>
          <w:tcPr>
            <w:tcW w:w="2694" w:type="dxa"/>
            <w:shd w:val="clear" w:color="auto" w:fill="FFFFFF"/>
          </w:tcPr>
          <w:p w14:paraId="70D6A66B" w14:textId="77777777" w:rsidR="00C070CC" w:rsidRDefault="00C070CC" w:rsidP="00350EF5">
            <w:pPr>
              <w:pStyle w:val="Tabletext"/>
            </w:pPr>
            <w:r w:rsidRPr="008D1FFE">
              <w:t>The business plan income target was to receive £6.8m year-to-date (YTD) from non-exchequer sources.</w:t>
            </w:r>
          </w:p>
          <w:p w14:paraId="2F951F3D" w14:textId="77777777" w:rsidR="00C070CC" w:rsidRDefault="00C070CC" w:rsidP="00350EF5">
            <w:pPr>
              <w:pStyle w:val="Tabletext"/>
            </w:pPr>
          </w:p>
          <w:p w14:paraId="2893CB72" w14:textId="06DC3683" w:rsidR="00C070CC" w:rsidRDefault="00C070CC" w:rsidP="00350EF5">
            <w:pPr>
              <w:pStyle w:val="Tabletext"/>
            </w:pPr>
            <w:r w:rsidRPr="008D1FFE">
              <w:t>The year-to-date income recognised is £4.3m, which is £2.5m (36%) lower than target. This deficit is primarily related to reduced income from TA/HST fees than target.</w:t>
            </w:r>
          </w:p>
        </w:tc>
        <w:tc>
          <w:tcPr>
            <w:tcW w:w="2126" w:type="dxa"/>
            <w:shd w:val="clear" w:color="auto" w:fill="FFFFFF"/>
          </w:tcPr>
          <w:p w14:paraId="17AE549E" w14:textId="131809C9" w:rsidR="00C070CC" w:rsidRDefault="00C070CC" w:rsidP="00350EF5">
            <w:pPr>
              <w:pStyle w:val="Tabletext"/>
            </w:pPr>
            <w:r w:rsidRPr="008D1FFE">
              <w:t>Amber (see note 6)</w:t>
            </w:r>
          </w:p>
        </w:tc>
      </w:tr>
      <w:tr w:rsidR="00C070CC" w14:paraId="6C8938F2" w14:textId="77777777" w:rsidTr="00C070CC">
        <w:tc>
          <w:tcPr>
            <w:tcW w:w="3539" w:type="dxa"/>
            <w:shd w:val="clear" w:color="auto" w:fill="FFFFFF"/>
          </w:tcPr>
          <w:p w14:paraId="1A9A43FE" w14:textId="7619869E" w:rsidR="00C070CC" w:rsidRDefault="00C070CC" w:rsidP="008D1FFE">
            <w:pPr>
              <w:pStyle w:val="Tabletext"/>
            </w:pPr>
            <w:r w:rsidRPr="008D1FFE">
              <w:t>Management of recruitment</w:t>
            </w:r>
          </w:p>
        </w:tc>
        <w:tc>
          <w:tcPr>
            <w:tcW w:w="3260" w:type="dxa"/>
            <w:shd w:val="clear" w:color="auto" w:fill="FFFFFF"/>
          </w:tcPr>
          <w:p w14:paraId="2B2F1774" w14:textId="4C4E4246" w:rsidR="00C070CC" w:rsidRDefault="00C070CC" w:rsidP="00350EF5">
            <w:pPr>
              <w:pStyle w:val="Tabletext"/>
            </w:pPr>
            <w:r w:rsidRPr="008D1FFE">
              <w:t>Proportion of posts appointed to within 4 months of first advertisement</w:t>
            </w:r>
          </w:p>
        </w:tc>
        <w:tc>
          <w:tcPr>
            <w:tcW w:w="2268" w:type="dxa"/>
            <w:shd w:val="clear" w:color="auto" w:fill="FFFFFF"/>
          </w:tcPr>
          <w:p w14:paraId="48A38F1D" w14:textId="71516067" w:rsidR="00C070CC" w:rsidRDefault="00C070CC" w:rsidP="00350EF5">
            <w:pPr>
              <w:pStyle w:val="Tabletext"/>
            </w:pPr>
            <w:r w:rsidRPr="008D1FFE">
              <w:t>80%</w:t>
            </w:r>
          </w:p>
        </w:tc>
        <w:tc>
          <w:tcPr>
            <w:tcW w:w="2694" w:type="dxa"/>
            <w:shd w:val="clear" w:color="auto" w:fill="FFFFFF"/>
          </w:tcPr>
          <w:p w14:paraId="45B61A6F" w14:textId="59EC3B9D" w:rsidR="00C070CC" w:rsidRDefault="00C070CC" w:rsidP="00350EF5">
            <w:pPr>
              <w:pStyle w:val="Tabletext"/>
            </w:pPr>
            <w:r w:rsidRPr="008D1FFE">
              <w:t>75%</w:t>
            </w:r>
          </w:p>
        </w:tc>
        <w:tc>
          <w:tcPr>
            <w:tcW w:w="2126" w:type="dxa"/>
            <w:shd w:val="clear" w:color="auto" w:fill="FFFFFF"/>
          </w:tcPr>
          <w:p w14:paraId="69E76136" w14:textId="665802E8" w:rsidR="00C070CC" w:rsidRDefault="00C070CC" w:rsidP="00350EF5">
            <w:pPr>
              <w:pStyle w:val="Tabletext"/>
            </w:pPr>
            <w:r w:rsidRPr="008D1FFE">
              <w:t>Amber (see note 7)</w:t>
            </w:r>
          </w:p>
        </w:tc>
      </w:tr>
      <w:tr w:rsidR="00C070CC" w14:paraId="063441D2" w14:textId="77777777" w:rsidTr="00C070CC">
        <w:tc>
          <w:tcPr>
            <w:tcW w:w="3539" w:type="dxa"/>
            <w:shd w:val="clear" w:color="auto" w:fill="FFFFFF"/>
          </w:tcPr>
          <w:p w14:paraId="2B662F21" w14:textId="59745B91" w:rsidR="00C070CC" w:rsidRDefault="00C070CC" w:rsidP="008D1FFE">
            <w:pPr>
              <w:pStyle w:val="Tabletext"/>
            </w:pPr>
            <w:r w:rsidRPr="008D1FFE">
              <w:t>Management of sickness absence</w:t>
            </w:r>
          </w:p>
        </w:tc>
        <w:tc>
          <w:tcPr>
            <w:tcW w:w="3260" w:type="dxa"/>
            <w:shd w:val="clear" w:color="auto" w:fill="FFFFFF"/>
          </w:tcPr>
          <w:p w14:paraId="0A2ABFF6" w14:textId="5FE9A8FC" w:rsidR="00C070CC" w:rsidRDefault="00C070CC" w:rsidP="00350EF5">
            <w:pPr>
              <w:pStyle w:val="Tabletext"/>
            </w:pPr>
            <w:r w:rsidRPr="008D1FFE">
              <w:t xml:space="preserve">Quarterly sickness absence rate is lower than the average rate (2.75% for the 12 months to September 2019) across the </w:t>
            </w:r>
            <w:proofErr w:type="spellStart"/>
            <w:r w:rsidRPr="008D1FFE">
              <w:t>Arms Length</w:t>
            </w:r>
            <w:proofErr w:type="spellEnd"/>
            <w:r w:rsidRPr="008D1FFE">
              <w:t xml:space="preserve"> Bodies </w:t>
            </w:r>
          </w:p>
        </w:tc>
        <w:tc>
          <w:tcPr>
            <w:tcW w:w="2268" w:type="dxa"/>
            <w:shd w:val="clear" w:color="auto" w:fill="FFFFFF"/>
          </w:tcPr>
          <w:p w14:paraId="2512F1F9" w14:textId="2204A730" w:rsidR="00C070CC" w:rsidRDefault="00C070CC" w:rsidP="00350EF5">
            <w:pPr>
              <w:pStyle w:val="Tabletext"/>
            </w:pPr>
            <w:r w:rsidRPr="008D1FFE">
              <w:t>2.75%</w:t>
            </w:r>
          </w:p>
        </w:tc>
        <w:tc>
          <w:tcPr>
            <w:tcW w:w="2694" w:type="dxa"/>
            <w:shd w:val="clear" w:color="auto" w:fill="FFFFFF"/>
          </w:tcPr>
          <w:p w14:paraId="62D99A5F" w14:textId="278E9589" w:rsidR="00C070CC" w:rsidRDefault="00C070CC" w:rsidP="00350EF5">
            <w:pPr>
              <w:pStyle w:val="Tabletext"/>
            </w:pPr>
            <w:r w:rsidRPr="008D1FFE">
              <w:t>1.57%</w:t>
            </w:r>
          </w:p>
        </w:tc>
        <w:tc>
          <w:tcPr>
            <w:tcW w:w="2126" w:type="dxa"/>
            <w:shd w:val="clear" w:color="auto" w:fill="FFFFFF"/>
          </w:tcPr>
          <w:p w14:paraId="26A0E9C0" w14:textId="653A5366" w:rsidR="00C070CC" w:rsidRDefault="00C070CC" w:rsidP="00350EF5">
            <w:pPr>
              <w:pStyle w:val="Tabletext"/>
            </w:pPr>
            <w:r w:rsidRPr="008D1FFE">
              <w:t>Green</w:t>
            </w:r>
          </w:p>
        </w:tc>
      </w:tr>
      <w:tr w:rsidR="00C070CC" w14:paraId="51719C4A" w14:textId="77777777" w:rsidTr="00C070CC">
        <w:tc>
          <w:tcPr>
            <w:tcW w:w="3539" w:type="dxa"/>
            <w:shd w:val="clear" w:color="auto" w:fill="FFFFFF"/>
          </w:tcPr>
          <w:p w14:paraId="103322E2" w14:textId="099E5A62" w:rsidR="00C070CC" w:rsidRDefault="00C070CC" w:rsidP="008D1FFE">
            <w:pPr>
              <w:pStyle w:val="Tabletext"/>
            </w:pPr>
            <w:r w:rsidRPr="008D1FFE">
              <w:lastRenderedPageBreak/>
              <w:t>Staff satisfaction</w:t>
            </w:r>
          </w:p>
        </w:tc>
        <w:tc>
          <w:tcPr>
            <w:tcW w:w="3260" w:type="dxa"/>
            <w:shd w:val="clear" w:color="auto" w:fill="FFFFFF"/>
          </w:tcPr>
          <w:p w14:paraId="14CE002F" w14:textId="1AFE0B6A" w:rsidR="00C070CC" w:rsidRDefault="00C070CC" w:rsidP="00350EF5">
            <w:pPr>
              <w:pStyle w:val="Tabletext"/>
            </w:pPr>
            <w:r w:rsidRPr="008D1FFE">
              <w:t>Proportion of staff reporting in staff survey that the Institute is a good, very good or excellent place to work (global job satisfaction index)</w:t>
            </w:r>
          </w:p>
        </w:tc>
        <w:tc>
          <w:tcPr>
            <w:tcW w:w="2268" w:type="dxa"/>
            <w:shd w:val="clear" w:color="auto" w:fill="FFFFFF"/>
          </w:tcPr>
          <w:p w14:paraId="3DE9DAE0" w14:textId="1F08A29F" w:rsidR="00C070CC" w:rsidRDefault="00C070CC" w:rsidP="00350EF5">
            <w:pPr>
              <w:pStyle w:val="Tabletext"/>
            </w:pPr>
            <w:r w:rsidRPr="008D1FFE">
              <w:t>80%</w:t>
            </w:r>
          </w:p>
        </w:tc>
        <w:tc>
          <w:tcPr>
            <w:tcW w:w="2694" w:type="dxa"/>
            <w:shd w:val="clear" w:color="auto" w:fill="FFFFFF"/>
          </w:tcPr>
          <w:p w14:paraId="0A41BD71" w14:textId="77777777" w:rsidR="00C070CC" w:rsidRDefault="00C070CC" w:rsidP="00350EF5">
            <w:pPr>
              <w:pStyle w:val="Tabletext"/>
            </w:pPr>
            <w:r w:rsidRPr="008D1FFE">
              <w:t xml:space="preserve">N/A </w:t>
            </w:r>
          </w:p>
          <w:p w14:paraId="4F7E8802" w14:textId="784F0362" w:rsidR="00C070CC" w:rsidRDefault="00C070CC" w:rsidP="00350EF5">
            <w:pPr>
              <w:pStyle w:val="Tabletext"/>
            </w:pPr>
            <w:r w:rsidRPr="008D1FFE">
              <w:t>This data has not been collected. The staff survey has been deferred to May 2021.</w:t>
            </w:r>
          </w:p>
        </w:tc>
        <w:tc>
          <w:tcPr>
            <w:tcW w:w="2126" w:type="dxa"/>
            <w:shd w:val="clear" w:color="auto" w:fill="FFFFFF"/>
          </w:tcPr>
          <w:p w14:paraId="31818900" w14:textId="19B2096E" w:rsidR="00C070CC" w:rsidRDefault="00C070CC" w:rsidP="00350EF5">
            <w:pPr>
              <w:pStyle w:val="Tabletext"/>
            </w:pPr>
            <w:r w:rsidRPr="008D1FFE">
              <w:t>N/A</w:t>
            </w:r>
          </w:p>
        </w:tc>
      </w:tr>
      <w:tr w:rsidR="00C070CC" w14:paraId="371E94E0" w14:textId="77777777" w:rsidTr="00C070CC">
        <w:tc>
          <w:tcPr>
            <w:tcW w:w="3539" w:type="dxa"/>
            <w:shd w:val="clear" w:color="auto" w:fill="FFFFFF"/>
          </w:tcPr>
          <w:p w14:paraId="7AB196A7" w14:textId="5E207196" w:rsidR="00C070CC" w:rsidRDefault="00C070CC" w:rsidP="008D1FFE">
            <w:pPr>
              <w:pStyle w:val="Tabletext"/>
            </w:pPr>
            <w:r w:rsidRPr="008D1FFE">
              <w:t>Staff involvement</w:t>
            </w:r>
          </w:p>
        </w:tc>
        <w:tc>
          <w:tcPr>
            <w:tcW w:w="3260" w:type="dxa"/>
            <w:shd w:val="clear" w:color="auto" w:fill="FFFFFF"/>
          </w:tcPr>
          <w:p w14:paraId="09ED8CAB" w14:textId="1DB28347" w:rsidR="00C070CC" w:rsidRDefault="00C070CC" w:rsidP="00350EF5">
            <w:pPr>
              <w:pStyle w:val="Tabletext"/>
            </w:pPr>
            <w:r w:rsidRPr="008D1FFE">
              <w:t>Hold monthly staff meetings</w:t>
            </w:r>
          </w:p>
        </w:tc>
        <w:tc>
          <w:tcPr>
            <w:tcW w:w="2268" w:type="dxa"/>
            <w:shd w:val="clear" w:color="auto" w:fill="FFFFFF"/>
          </w:tcPr>
          <w:p w14:paraId="793A234E" w14:textId="6462F0F7" w:rsidR="00C070CC" w:rsidRDefault="00C070CC" w:rsidP="00350EF5">
            <w:pPr>
              <w:pStyle w:val="Tabletext"/>
            </w:pPr>
            <w:r w:rsidRPr="008D1FFE">
              <w:t>80%</w:t>
            </w:r>
          </w:p>
        </w:tc>
        <w:tc>
          <w:tcPr>
            <w:tcW w:w="2694" w:type="dxa"/>
            <w:shd w:val="clear" w:color="auto" w:fill="FFFFFF"/>
          </w:tcPr>
          <w:p w14:paraId="46696777" w14:textId="5086A436" w:rsidR="00C070CC" w:rsidRDefault="00C070CC" w:rsidP="00350EF5">
            <w:pPr>
              <w:pStyle w:val="Tabletext"/>
            </w:pPr>
            <w:r>
              <w:t>10</w:t>
            </w:r>
            <w:r w:rsidRPr="008D1FFE">
              <w:t>0%</w:t>
            </w:r>
          </w:p>
        </w:tc>
        <w:tc>
          <w:tcPr>
            <w:tcW w:w="2126" w:type="dxa"/>
            <w:shd w:val="clear" w:color="auto" w:fill="FFFFFF"/>
          </w:tcPr>
          <w:p w14:paraId="73BD1013" w14:textId="2BDC1240" w:rsidR="00C070CC" w:rsidRDefault="00C070CC" w:rsidP="00350EF5">
            <w:pPr>
              <w:pStyle w:val="Tabletext"/>
            </w:pPr>
            <w:r w:rsidRPr="008D1FFE">
              <w:t>Green</w:t>
            </w:r>
          </w:p>
        </w:tc>
      </w:tr>
      <w:tr w:rsidR="00C070CC" w14:paraId="7B1E41AA" w14:textId="77777777" w:rsidTr="00C070CC">
        <w:tc>
          <w:tcPr>
            <w:tcW w:w="3539" w:type="dxa"/>
            <w:shd w:val="clear" w:color="auto" w:fill="FFFFFF"/>
          </w:tcPr>
          <w:p w14:paraId="633C9451" w14:textId="34B4E151" w:rsidR="00C070CC" w:rsidRDefault="00C070CC" w:rsidP="008D1FFE">
            <w:pPr>
              <w:pStyle w:val="Tabletext"/>
            </w:pPr>
            <w:r w:rsidRPr="008D1FFE">
              <w:t>Staff well-being</w:t>
            </w:r>
          </w:p>
        </w:tc>
        <w:tc>
          <w:tcPr>
            <w:tcW w:w="3260" w:type="dxa"/>
            <w:shd w:val="clear" w:color="auto" w:fill="FFFFFF"/>
          </w:tcPr>
          <w:p w14:paraId="2612D652" w14:textId="1A349F85" w:rsidR="00C070CC" w:rsidRDefault="00C070CC" w:rsidP="00350EF5">
            <w:pPr>
              <w:pStyle w:val="Tabletext"/>
            </w:pPr>
            <w:r w:rsidRPr="008D1FFE">
              <w:t>Implementation of NICE’s quality standard for healthy workplaces: improving employee mental and physical health and wellbeing in respect of own staff</w:t>
            </w:r>
          </w:p>
        </w:tc>
        <w:tc>
          <w:tcPr>
            <w:tcW w:w="2268" w:type="dxa"/>
            <w:shd w:val="clear" w:color="auto" w:fill="FFFFFF"/>
          </w:tcPr>
          <w:p w14:paraId="3BB4DB09" w14:textId="6FD8628B" w:rsidR="00C070CC" w:rsidRDefault="00C070CC" w:rsidP="00350EF5">
            <w:pPr>
              <w:pStyle w:val="Tabletext"/>
            </w:pPr>
            <w:r w:rsidRPr="008D1FFE">
              <w:t>80% of quality statements</w:t>
            </w:r>
          </w:p>
        </w:tc>
        <w:tc>
          <w:tcPr>
            <w:tcW w:w="2694" w:type="dxa"/>
            <w:shd w:val="clear" w:color="auto" w:fill="FFFFFF"/>
          </w:tcPr>
          <w:p w14:paraId="2443BA8B" w14:textId="0D138B1B" w:rsidR="00C070CC" w:rsidRDefault="00C070CC" w:rsidP="00350EF5">
            <w:pPr>
              <w:pStyle w:val="Tabletext"/>
            </w:pPr>
            <w:r w:rsidRPr="008D1FFE">
              <w:t>8</w:t>
            </w:r>
            <w:r>
              <w:t>3</w:t>
            </w:r>
            <w:r w:rsidRPr="008D1FFE">
              <w:t>%</w:t>
            </w:r>
          </w:p>
        </w:tc>
        <w:tc>
          <w:tcPr>
            <w:tcW w:w="2126" w:type="dxa"/>
            <w:shd w:val="clear" w:color="auto" w:fill="FFFFFF"/>
          </w:tcPr>
          <w:p w14:paraId="3272D9E7" w14:textId="4885657B" w:rsidR="00C070CC" w:rsidRDefault="00C070CC" w:rsidP="00350EF5">
            <w:pPr>
              <w:pStyle w:val="Tabletext"/>
            </w:pPr>
            <w:r w:rsidRPr="008D1FFE">
              <w:t>Green</w:t>
            </w:r>
          </w:p>
        </w:tc>
      </w:tr>
      <w:tr w:rsidR="00C070CC" w14:paraId="731289E4" w14:textId="77777777" w:rsidTr="00C070CC">
        <w:tc>
          <w:tcPr>
            <w:tcW w:w="3539" w:type="dxa"/>
            <w:shd w:val="clear" w:color="auto" w:fill="FFFFFF"/>
          </w:tcPr>
          <w:p w14:paraId="6BD8E483" w14:textId="4093085C" w:rsidR="00C070CC" w:rsidRDefault="00C070CC" w:rsidP="008D1FFE">
            <w:pPr>
              <w:pStyle w:val="Tabletext"/>
            </w:pPr>
            <w:r w:rsidRPr="008D1FFE">
              <w:t xml:space="preserve">Recycled waste </w:t>
            </w:r>
          </w:p>
        </w:tc>
        <w:tc>
          <w:tcPr>
            <w:tcW w:w="3260" w:type="dxa"/>
            <w:shd w:val="clear" w:color="auto" w:fill="FFFFFF"/>
          </w:tcPr>
          <w:p w14:paraId="7AC360A9" w14:textId="63B481BE" w:rsidR="00C070CC" w:rsidRDefault="00C070CC" w:rsidP="00350EF5">
            <w:pPr>
              <w:pStyle w:val="Tabletext"/>
            </w:pPr>
            <w:r w:rsidRPr="008D1FFE">
              <w:t>% of total waste recycled</w:t>
            </w:r>
            <w:r w:rsidRPr="008D1FFE">
              <w:tab/>
            </w:r>
          </w:p>
        </w:tc>
        <w:tc>
          <w:tcPr>
            <w:tcW w:w="2268" w:type="dxa"/>
            <w:shd w:val="clear" w:color="auto" w:fill="FFFFFF"/>
          </w:tcPr>
          <w:p w14:paraId="346022F7" w14:textId="1EE24B70" w:rsidR="00C070CC" w:rsidRDefault="00C070CC" w:rsidP="00350EF5">
            <w:pPr>
              <w:pStyle w:val="Tabletext"/>
            </w:pPr>
            <w:r w:rsidRPr="008D1FFE">
              <w:t>90%</w:t>
            </w:r>
          </w:p>
        </w:tc>
        <w:tc>
          <w:tcPr>
            <w:tcW w:w="2694" w:type="dxa"/>
            <w:shd w:val="clear" w:color="auto" w:fill="FFFFFF"/>
          </w:tcPr>
          <w:p w14:paraId="672A2309" w14:textId="5B99F9BA" w:rsidR="00C070CC" w:rsidRDefault="00C070CC" w:rsidP="00350EF5">
            <w:pPr>
              <w:pStyle w:val="Tabletext"/>
            </w:pPr>
            <w:r>
              <w:t>10</w:t>
            </w:r>
            <w:r w:rsidRPr="008D1FFE">
              <w:t>0%</w:t>
            </w:r>
          </w:p>
        </w:tc>
        <w:tc>
          <w:tcPr>
            <w:tcW w:w="2126" w:type="dxa"/>
            <w:shd w:val="clear" w:color="auto" w:fill="FFFFFF"/>
          </w:tcPr>
          <w:p w14:paraId="4991A277" w14:textId="32D71D89" w:rsidR="00C070CC" w:rsidRDefault="00C070CC" w:rsidP="00350EF5">
            <w:pPr>
              <w:pStyle w:val="Tabletext"/>
            </w:pPr>
            <w:r w:rsidRPr="008D1FFE">
              <w:t>Green</w:t>
            </w:r>
          </w:p>
        </w:tc>
      </w:tr>
      <w:tr w:rsidR="00C070CC" w14:paraId="49592EDE" w14:textId="77777777" w:rsidTr="00C070CC">
        <w:tc>
          <w:tcPr>
            <w:tcW w:w="3539" w:type="dxa"/>
            <w:shd w:val="clear" w:color="auto" w:fill="FFFFFF"/>
          </w:tcPr>
          <w:p w14:paraId="6FD4AAF1" w14:textId="0194E4EB" w:rsidR="00C070CC" w:rsidRDefault="00C070CC" w:rsidP="008D1FFE">
            <w:pPr>
              <w:pStyle w:val="Tabletext"/>
            </w:pPr>
            <w:r w:rsidRPr="008D1FFE">
              <w:t>Improved satisfaction</w:t>
            </w:r>
          </w:p>
        </w:tc>
        <w:tc>
          <w:tcPr>
            <w:tcW w:w="3260" w:type="dxa"/>
            <w:shd w:val="clear" w:color="auto" w:fill="FFFFFF"/>
          </w:tcPr>
          <w:p w14:paraId="4CAEC8AD" w14:textId="481EBE2C" w:rsidR="00C070CC" w:rsidRDefault="00C070CC" w:rsidP="00350EF5">
            <w:pPr>
              <w:pStyle w:val="Tabletext"/>
            </w:pPr>
            <w:r w:rsidRPr="008D1FFE">
              <w:t>Complaints responded to in 20 working days</w:t>
            </w:r>
          </w:p>
        </w:tc>
        <w:tc>
          <w:tcPr>
            <w:tcW w:w="2268" w:type="dxa"/>
            <w:shd w:val="clear" w:color="auto" w:fill="FFFFFF"/>
          </w:tcPr>
          <w:p w14:paraId="685568B1" w14:textId="5E727DAB" w:rsidR="00C070CC" w:rsidRDefault="00C070CC" w:rsidP="00350EF5">
            <w:pPr>
              <w:pStyle w:val="Tabletext"/>
            </w:pPr>
            <w:r w:rsidRPr="008D1FFE">
              <w:t>80%</w:t>
            </w:r>
          </w:p>
        </w:tc>
        <w:tc>
          <w:tcPr>
            <w:tcW w:w="2694" w:type="dxa"/>
            <w:shd w:val="clear" w:color="auto" w:fill="FFFFFF"/>
          </w:tcPr>
          <w:p w14:paraId="2F9E31F5" w14:textId="4D500CC8" w:rsidR="00C070CC" w:rsidRDefault="00C070CC" w:rsidP="00350EF5">
            <w:pPr>
              <w:pStyle w:val="Tabletext"/>
            </w:pPr>
            <w:r>
              <w:t>100</w:t>
            </w:r>
            <w:r w:rsidRPr="008D1FFE">
              <w:t>%</w:t>
            </w:r>
          </w:p>
        </w:tc>
        <w:tc>
          <w:tcPr>
            <w:tcW w:w="2126" w:type="dxa"/>
            <w:shd w:val="clear" w:color="auto" w:fill="FFFFFF"/>
          </w:tcPr>
          <w:p w14:paraId="1188D4D2" w14:textId="2C4523CF" w:rsidR="00C070CC" w:rsidRDefault="00C070CC" w:rsidP="00350EF5">
            <w:pPr>
              <w:pStyle w:val="Tabletext"/>
            </w:pPr>
            <w:r w:rsidRPr="008D1FFE">
              <w:t>Green</w:t>
            </w:r>
          </w:p>
        </w:tc>
      </w:tr>
      <w:tr w:rsidR="00C070CC" w14:paraId="37B2E799" w14:textId="77777777" w:rsidTr="00C070CC">
        <w:tc>
          <w:tcPr>
            <w:tcW w:w="3539" w:type="dxa"/>
            <w:shd w:val="clear" w:color="auto" w:fill="FFFFFF"/>
          </w:tcPr>
          <w:p w14:paraId="2BE350C7" w14:textId="737B94C3" w:rsidR="00C070CC" w:rsidRDefault="00C070CC" w:rsidP="008D1FFE">
            <w:pPr>
              <w:pStyle w:val="Tabletext"/>
            </w:pPr>
            <w:r w:rsidRPr="008D1FFE">
              <w:t>Improved satisfaction</w:t>
            </w:r>
          </w:p>
        </w:tc>
        <w:tc>
          <w:tcPr>
            <w:tcW w:w="3260" w:type="dxa"/>
            <w:shd w:val="clear" w:color="auto" w:fill="FFFFFF"/>
          </w:tcPr>
          <w:p w14:paraId="4A9EAC06" w14:textId="6706F180" w:rsidR="00C070CC" w:rsidRDefault="00C070CC" w:rsidP="00350EF5">
            <w:pPr>
              <w:pStyle w:val="Tabletext"/>
            </w:pPr>
            <w:r w:rsidRPr="008D1FFE">
              <w:t>Enquiries fully responded to in 18 working days</w:t>
            </w:r>
          </w:p>
        </w:tc>
        <w:tc>
          <w:tcPr>
            <w:tcW w:w="2268" w:type="dxa"/>
            <w:shd w:val="clear" w:color="auto" w:fill="FFFFFF"/>
          </w:tcPr>
          <w:p w14:paraId="443A31D4" w14:textId="106BB4AA" w:rsidR="00C070CC" w:rsidRDefault="00C070CC" w:rsidP="00350EF5">
            <w:pPr>
              <w:pStyle w:val="Tabletext"/>
            </w:pPr>
            <w:r w:rsidRPr="008D1FFE">
              <w:t>90%</w:t>
            </w:r>
          </w:p>
        </w:tc>
        <w:tc>
          <w:tcPr>
            <w:tcW w:w="2694" w:type="dxa"/>
            <w:shd w:val="clear" w:color="auto" w:fill="FFFFFF"/>
          </w:tcPr>
          <w:p w14:paraId="07966F15" w14:textId="15D1ACD6" w:rsidR="00C070CC" w:rsidRDefault="00C070CC" w:rsidP="00350EF5">
            <w:pPr>
              <w:pStyle w:val="Tabletext"/>
            </w:pPr>
            <w:r w:rsidRPr="008D1FFE">
              <w:t>9</w:t>
            </w:r>
            <w:r>
              <w:t>3</w:t>
            </w:r>
            <w:r w:rsidRPr="008D1FFE">
              <w:t>%</w:t>
            </w:r>
          </w:p>
        </w:tc>
        <w:tc>
          <w:tcPr>
            <w:tcW w:w="2126" w:type="dxa"/>
            <w:shd w:val="clear" w:color="auto" w:fill="FFFFFF"/>
          </w:tcPr>
          <w:p w14:paraId="1DC8B420" w14:textId="4243130E" w:rsidR="00C070CC" w:rsidRDefault="00C070CC" w:rsidP="00350EF5">
            <w:pPr>
              <w:pStyle w:val="Tabletext"/>
            </w:pPr>
            <w:r w:rsidRPr="008D1FFE">
              <w:t>Green</w:t>
            </w:r>
          </w:p>
        </w:tc>
      </w:tr>
      <w:tr w:rsidR="00C070CC" w14:paraId="06C79C14" w14:textId="77777777" w:rsidTr="00C070CC">
        <w:tc>
          <w:tcPr>
            <w:tcW w:w="3539" w:type="dxa"/>
            <w:shd w:val="clear" w:color="auto" w:fill="FFFFFF"/>
          </w:tcPr>
          <w:p w14:paraId="6E5E6763" w14:textId="223EE3F8" w:rsidR="00C070CC" w:rsidRDefault="00C070CC" w:rsidP="008D1FFE">
            <w:pPr>
              <w:pStyle w:val="Tabletext"/>
            </w:pPr>
            <w:r w:rsidRPr="008D1FFE">
              <w:t>Improved satisfaction</w:t>
            </w:r>
          </w:p>
        </w:tc>
        <w:tc>
          <w:tcPr>
            <w:tcW w:w="3260" w:type="dxa"/>
            <w:shd w:val="clear" w:color="auto" w:fill="FFFFFF"/>
          </w:tcPr>
          <w:p w14:paraId="36B12FDD" w14:textId="61BC5970" w:rsidR="00C070CC" w:rsidRDefault="00C070CC" w:rsidP="00350EF5">
            <w:pPr>
              <w:pStyle w:val="Tabletext"/>
            </w:pPr>
            <w:r w:rsidRPr="008D1FFE">
              <w:t>Number of Freedom of Information requests responded to within 20 working days</w:t>
            </w:r>
          </w:p>
        </w:tc>
        <w:tc>
          <w:tcPr>
            <w:tcW w:w="2268" w:type="dxa"/>
            <w:shd w:val="clear" w:color="auto" w:fill="FFFFFF"/>
          </w:tcPr>
          <w:p w14:paraId="4685F53F" w14:textId="11C00E4F" w:rsidR="00C070CC" w:rsidRDefault="00C070CC" w:rsidP="00350EF5">
            <w:pPr>
              <w:pStyle w:val="Tabletext"/>
            </w:pPr>
            <w:r w:rsidRPr="008D1FFE">
              <w:t>100%</w:t>
            </w:r>
          </w:p>
        </w:tc>
        <w:tc>
          <w:tcPr>
            <w:tcW w:w="2694" w:type="dxa"/>
            <w:shd w:val="clear" w:color="auto" w:fill="FFFFFF"/>
          </w:tcPr>
          <w:p w14:paraId="1C1E4210" w14:textId="48260633" w:rsidR="00C070CC" w:rsidRDefault="00C070CC" w:rsidP="00350EF5">
            <w:pPr>
              <w:pStyle w:val="Tabletext"/>
            </w:pPr>
            <w:r>
              <w:t>98</w:t>
            </w:r>
            <w:r w:rsidRPr="008D1FFE">
              <w:t>%</w:t>
            </w:r>
          </w:p>
        </w:tc>
        <w:tc>
          <w:tcPr>
            <w:tcW w:w="2126" w:type="dxa"/>
            <w:shd w:val="clear" w:color="auto" w:fill="FFFFFF"/>
          </w:tcPr>
          <w:p w14:paraId="57D0F804" w14:textId="6B32C6E0" w:rsidR="00C070CC" w:rsidRDefault="00C070CC" w:rsidP="00350EF5">
            <w:pPr>
              <w:pStyle w:val="Tabletext"/>
            </w:pPr>
            <w:r w:rsidRPr="008D1FFE">
              <w:t>Amber (see note 8)</w:t>
            </w:r>
          </w:p>
        </w:tc>
      </w:tr>
      <w:tr w:rsidR="00C070CC" w14:paraId="6D060C17" w14:textId="77777777" w:rsidTr="00C070CC">
        <w:tc>
          <w:tcPr>
            <w:tcW w:w="3539" w:type="dxa"/>
            <w:shd w:val="clear" w:color="auto" w:fill="FFFFFF"/>
          </w:tcPr>
          <w:p w14:paraId="52820E55" w14:textId="16047517" w:rsidR="00C070CC" w:rsidRDefault="00C070CC" w:rsidP="008D1FFE">
            <w:pPr>
              <w:pStyle w:val="Tabletext"/>
            </w:pPr>
            <w:r w:rsidRPr="008D1FFE">
              <w:t>Improved satisfaction</w:t>
            </w:r>
          </w:p>
        </w:tc>
        <w:tc>
          <w:tcPr>
            <w:tcW w:w="3260" w:type="dxa"/>
            <w:shd w:val="clear" w:color="auto" w:fill="FFFFFF"/>
          </w:tcPr>
          <w:p w14:paraId="626CB94E" w14:textId="440CB49E" w:rsidR="00C070CC" w:rsidRDefault="00C070CC" w:rsidP="00350EF5">
            <w:pPr>
              <w:pStyle w:val="Tabletext"/>
            </w:pPr>
            <w:r w:rsidRPr="008D1FFE">
              <w:t>Parliamentary Questions (PQs) contribution provided within requested time frame</w:t>
            </w:r>
          </w:p>
        </w:tc>
        <w:tc>
          <w:tcPr>
            <w:tcW w:w="2268" w:type="dxa"/>
            <w:shd w:val="clear" w:color="auto" w:fill="FFFFFF"/>
          </w:tcPr>
          <w:p w14:paraId="000DCACB" w14:textId="3679F341" w:rsidR="00C070CC" w:rsidRDefault="00C070CC" w:rsidP="00350EF5">
            <w:pPr>
              <w:pStyle w:val="Tabletext"/>
            </w:pPr>
            <w:r w:rsidRPr="008D1FFE">
              <w:t>90%</w:t>
            </w:r>
          </w:p>
        </w:tc>
        <w:tc>
          <w:tcPr>
            <w:tcW w:w="2694" w:type="dxa"/>
            <w:shd w:val="clear" w:color="auto" w:fill="FFFFFF"/>
          </w:tcPr>
          <w:p w14:paraId="2C297EFA" w14:textId="77D2EAC8" w:rsidR="00C070CC" w:rsidRDefault="00C070CC" w:rsidP="00350EF5">
            <w:pPr>
              <w:pStyle w:val="Tabletext"/>
            </w:pPr>
            <w:r>
              <w:t>84</w:t>
            </w:r>
            <w:r w:rsidRPr="008D1FFE">
              <w:t>%</w:t>
            </w:r>
          </w:p>
        </w:tc>
        <w:tc>
          <w:tcPr>
            <w:tcW w:w="2126" w:type="dxa"/>
            <w:shd w:val="clear" w:color="auto" w:fill="FFFFFF"/>
          </w:tcPr>
          <w:p w14:paraId="4118BC8C" w14:textId="4683017D" w:rsidR="00C070CC" w:rsidRDefault="00C070CC" w:rsidP="00350EF5">
            <w:pPr>
              <w:pStyle w:val="Tabletext"/>
            </w:pPr>
            <w:r w:rsidRPr="008D1FFE">
              <w:t>Amber (see note 9)</w:t>
            </w:r>
          </w:p>
        </w:tc>
      </w:tr>
      <w:tr w:rsidR="00C070CC" w14:paraId="192F064C" w14:textId="77777777" w:rsidTr="00C070CC">
        <w:tc>
          <w:tcPr>
            <w:tcW w:w="3539" w:type="dxa"/>
            <w:shd w:val="clear" w:color="auto" w:fill="FFFFFF"/>
          </w:tcPr>
          <w:p w14:paraId="5A979A24" w14:textId="2ADCEAFC" w:rsidR="00C070CC" w:rsidRDefault="00C070CC" w:rsidP="008D1FFE">
            <w:pPr>
              <w:pStyle w:val="Tabletext"/>
            </w:pPr>
            <w:r w:rsidRPr="008D1FFE">
              <w:t>Interest in lay committee vacancies reflected by ratio of applications to positions</w:t>
            </w:r>
          </w:p>
        </w:tc>
        <w:tc>
          <w:tcPr>
            <w:tcW w:w="3260" w:type="dxa"/>
            <w:shd w:val="clear" w:color="auto" w:fill="FFFFFF"/>
          </w:tcPr>
          <w:p w14:paraId="050142C1" w14:textId="782F7F77" w:rsidR="00C070CC" w:rsidRDefault="00C070CC" w:rsidP="00350EF5">
            <w:pPr>
              <w:pStyle w:val="Tabletext"/>
            </w:pPr>
            <w:r w:rsidRPr="008D1FFE">
              <w:t xml:space="preserve">2:1 (or greater) each quarter </w:t>
            </w:r>
          </w:p>
        </w:tc>
        <w:tc>
          <w:tcPr>
            <w:tcW w:w="2268" w:type="dxa"/>
            <w:shd w:val="clear" w:color="auto" w:fill="FFFFFF"/>
          </w:tcPr>
          <w:p w14:paraId="1C6A9A44" w14:textId="5139E1BB" w:rsidR="00C070CC" w:rsidRDefault="00C070CC" w:rsidP="00350EF5">
            <w:pPr>
              <w:pStyle w:val="Tabletext"/>
            </w:pPr>
            <w:r w:rsidRPr="008D1FFE">
              <w:t>100%</w:t>
            </w:r>
          </w:p>
        </w:tc>
        <w:tc>
          <w:tcPr>
            <w:tcW w:w="2694" w:type="dxa"/>
            <w:shd w:val="clear" w:color="auto" w:fill="FFFFFF"/>
          </w:tcPr>
          <w:p w14:paraId="40ACE65D" w14:textId="3495932F" w:rsidR="00C070CC" w:rsidRDefault="00C070CC" w:rsidP="00350EF5">
            <w:pPr>
              <w:pStyle w:val="Tabletext"/>
            </w:pPr>
            <w:r w:rsidRPr="008D1FFE">
              <w:t>8.7:1</w:t>
            </w:r>
          </w:p>
        </w:tc>
        <w:tc>
          <w:tcPr>
            <w:tcW w:w="2126" w:type="dxa"/>
            <w:shd w:val="clear" w:color="auto" w:fill="FFFFFF"/>
          </w:tcPr>
          <w:p w14:paraId="7564055F" w14:textId="7BE1471D" w:rsidR="00C070CC" w:rsidRDefault="00C070CC" w:rsidP="00350EF5">
            <w:pPr>
              <w:pStyle w:val="Tabletext"/>
            </w:pPr>
            <w:r w:rsidRPr="008D1FFE">
              <w:t>Green</w:t>
            </w:r>
          </w:p>
        </w:tc>
      </w:tr>
      <w:tr w:rsidR="00C070CC" w14:paraId="2DD5636B" w14:textId="77777777" w:rsidTr="00C070CC">
        <w:tc>
          <w:tcPr>
            <w:tcW w:w="3539" w:type="dxa"/>
            <w:shd w:val="clear" w:color="auto" w:fill="FFFFFF"/>
          </w:tcPr>
          <w:p w14:paraId="51E8E377" w14:textId="6FA3DB73" w:rsidR="00C070CC" w:rsidRDefault="00C070CC" w:rsidP="008D1FFE">
            <w:pPr>
              <w:pStyle w:val="Tabletext"/>
            </w:pPr>
            <w:r w:rsidRPr="008D1FFE">
              <w:t>Speed of production</w:t>
            </w:r>
            <w:r w:rsidRPr="008D1FFE">
              <w:footnoteReference w:id="1"/>
            </w:r>
          </w:p>
        </w:tc>
        <w:tc>
          <w:tcPr>
            <w:tcW w:w="3260" w:type="dxa"/>
            <w:shd w:val="clear" w:color="auto" w:fill="FFFFFF"/>
          </w:tcPr>
          <w:p w14:paraId="6E6B1CC7" w14:textId="454705C6" w:rsidR="00C070CC" w:rsidRDefault="00C070CC" w:rsidP="00350EF5">
            <w:pPr>
              <w:pStyle w:val="Tabletext"/>
            </w:pPr>
            <w:r w:rsidRPr="008D1FFE">
              <w:t xml:space="preserve">% Technology appraisals for all new drugs with a new active </w:t>
            </w:r>
            <w:r w:rsidRPr="008D1FFE">
              <w:lastRenderedPageBreak/>
              <w:t>substance referred to NICE issuing guidance within 90 days of the product being first licensed in the UK</w:t>
            </w:r>
          </w:p>
        </w:tc>
        <w:tc>
          <w:tcPr>
            <w:tcW w:w="2268" w:type="dxa"/>
            <w:shd w:val="clear" w:color="auto" w:fill="FFFFFF"/>
          </w:tcPr>
          <w:p w14:paraId="1E3BE240" w14:textId="50B56468" w:rsidR="00C070CC" w:rsidRDefault="00C070CC" w:rsidP="00350EF5">
            <w:pPr>
              <w:pStyle w:val="Tabletext"/>
            </w:pPr>
            <w:r w:rsidRPr="008D1FFE">
              <w:lastRenderedPageBreak/>
              <w:t>90%</w:t>
            </w:r>
          </w:p>
        </w:tc>
        <w:tc>
          <w:tcPr>
            <w:tcW w:w="2694" w:type="dxa"/>
            <w:shd w:val="clear" w:color="auto" w:fill="FFFFFF"/>
          </w:tcPr>
          <w:p w14:paraId="7C94EBB6" w14:textId="5CF20C4F" w:rsidR="00C070CC" w:rsidRDefault="00C070CC" w:rsidP="00350EF5">
            <w:pPr>
              <w:pStyle w:val="Tabletext"/>
            </w:pPr>
            <w:r>
              <w:t>N/A</w:t>
            </w:r>
          </w:p>
          <w:p w14:paraId="7A6370B6" w14:textId="4512C824" w:rsidR="00C070CC" w:rsidRDefault="00C070CC" w:rsidP="00350EF5">
            <w:pPr>
              <w:pStyle w:val="Tabletext"/>
            </w:pPr>
            <w:r>
              <w:lastRenderedPageBreak/>
              <w:t>No</w:t>
            </w:r>
            <w:r w:rsidRPr="00E977D2">
              <w:t xml:space="preserve"> topics have been considered against the target yet because they were covered by the caveats</w:t>
            </w:r>
          </w:p>
        </w:tc>
        <w:tc>
          <w:tcPr>
            <w:tcW w:w="2126" w:type="dxa"/>
            <w:shd w:val="clear" w:color="auto" w:fill="FFFFFF"/>
          </w:tcPr>
          <w:p w14:paraId="04042393" w14:textId="2E21DA5A" w:rsidR="00C070CC" w:rsidRDefault="00C070CC" w:rsidP="00350EF5">
            <w:pPr>
              <w:pStyle w:val="Tabletext"/>
            </w:pPr>
            <w:r w:rsidRPr="008D1FFE">
              <w:lastRenderedPageBreak/>
              <w:t>N/A</w:t>
            </w:r>
          </w:p>
        </w:tc>
      </w:tr>
      <w:tr w:rsidR="00C070CC" w14:paraId="7C744F23" w14:textId="77777777" w:rsidTr="00C070CC">
        <w:tc>
          <w:tcPr>
            <w:tcW w:w="3539" w:type="dxa"/>
            <w:shd w:val="clear" w:color="auto" w:fill="FFFFFF"/>
          </w:tcPr>
          <w:p w14:paraId="5D4595B4" w14:textId="333D1837" w:rsidR="00C070CC" w:rsidRDefault="00C070CC" w:rsidP="008D1FFE">
            <w:pPr>
              <w:pStyle w:val="Tabletext"/>
            </w:pPr>
            <w:r w:rsidRPr="008D1FFE">
              <w:t>Speed of production</w:t>
            </w:r>
          </w:p>
        </w:tc>
        <w:tc>
          <w:tcPr>
            <w:tcW w:w="3260" w:type="dxa"/>
            <w:shd w:val="clear" w:color="auto" w:fill="FFFFFF"/>
          </w:tcPr>
          <w:p w14:paraId="518CFBF2" w14:textId="49D6D61D" w:rsidR="00C070CC" w:rsidRDefault="00C070CC" w:rsidP="00350EF5">
            <w:pPr>
              <w:pStyle w:val="Tabletext"/>
            </w:pPr>
            <w:r w:rsidRPr="008D1FFE">
              <w:t>% of multiple technology appraisals from invitation to participate to appraisal consultation document (ACD) in 41 weeks, or where no ACD produced to final appraisal document (FAD) in 44 weeks</w:t>
            </w:r>
          </w:p>
        </w:tc>
        <w:tc>
          <w:tcPr>
            <w:tcW w:w="2268" w:type="dxa"/>
            <w:shd w:val="clear" w:color="auto" w:fill="FFFFFF"/>
          </w:tcPr>
          <w:p w14:paraId="28AA5FC9" w14:textId="51E0F219" w:rsidR="00C070CC" w:rsidRDefault="00C070CC" w:rsidP="00350EF5">
            <w:pPr>
              <w:pStyle w:val="Tabletext"/>
            </w:pPr>
            <w:r w:rsidRPr="008D1FFE">
              <w:t>85%</w:t>
            </w:r>
          </w:p>
        </w:tc>
        <w:tc>
          <w:tcPr>
            <w:tcW w:w="2694" w:type="dxa"/>
            <w:shd w:val="clear" w:color="auto" w:fill="FFFFFF"/>
          </w:tcPr>
          <w:p w14:paraId="487F4EB5" w14:textId="77777777" w:rsidR="00C070CC" w:rsidRDefault="00C070CC" w:rsidP="00350EF5">
            <w:pPr>
              <w:pStyle w:val="Tabletext"/>
            </w:pPr>
            <w:r>
              <w:t>N/A</w:t>
            </w:r>
          </w:p>
          <w:p w14:paraId="2B2978F0" w14:textId="28AD985E" w:rsidR="00C070CC" w:rsidRDefault="00C070CC" w:rsidP="00350EF5">
            <w:pPr>
              <w:pStyle w:val="Tabletext"/>
            </w:pPr>
            <w:r>
              <w:t>No</w:t>
            </w:r>
            <w:r w:rsidRPr="00E977D2">
              <w:t xml:space="preserve"> topics have been considered against the target yet because they were covered by the caveats</w:t>
            </w:r>
          </w:p>
        </w:tc>
        <w:tc>
          <w:tcPr>
            <w:tcW w:w="2126" w:type="dxa"/>
            <w:shd w:val="clear" w:color="auto" w:fill="FFFFFF"/>
          </w:tcPr>
          <w:p w14:paraId="424216DF" w14:textId="1D9100BB" w:rsidR="00C070CC" w:rsidRDefault="00C070CC" w:rsidP="00350EF5">
            <w:pPr>
              <w:pStyle w:val="Tabletext"/>
            </w:pPr>
            <w:r w:rsidRPr="008D1FFE">
              <w:t>N/A</w:t>
            </w:r>
          </w:p>
        </w:tc>
      </w:tr>
      <w:tr w:rsidR="00C070CC" w14:paraId="1E34120C" w14:textId="77777777" w:rsidTr="00C070CC">
        <w:tc>
          <w:tcPr>
            <w:tcW w:w="3539" w:type="dxa"/>
            <w:shd w:val="clear" w:color="auto" w:fill="FFFFFF"/>
          </w:tcPr>
          <w:p w14:paraId="6DF23C7D" w14:textId="5ED5C52C" w:rsidR="00C070CC" w:rsidRDefault="00C070CC" w:rsidP="008D1FFE">
            <w:pPr>
              <w:pStyle w:val="Tabletext"/>
            </w:pPr>
            <w:r w:rsidRPr="008D1FFE">
              <w:t>Speed of production</w:t>
            </w:r>
          </w:p>
        </w:tc>
        <w:tc>
          <w:tcPr>
            <w:tcW w:w="3260" w:type="dxa"/>
            <w:shd w:val="clear" w:color="auto" w:fill="FFFFFF"/>
          </w:tcPr>
          <w:p w14:paraId="010776AF" w14:textId="49FA0E83" w:rsidR="00C070CC" w:rsidRDefault="00C070CC" w:rsidP="00350EF5">
            <w:pPr>
              <w:pStyle w:val="Tabletext"/>
            </w:pPr>
            <w:r w:rsidRPr="008D1FFE">
              <w:t>% of Appeal Panel decisions received within 3 weeks of the hearing</w:t>
            </w:r>
          </w:p>
        </w:tc>
        <w:tc>
          <w:tcPr>
            <w:tcW w:w="2268" w:type="dxa"/>
            <w:shd w:val="clear" w:color="auto" w:fill="FFFFFF"/>
          </w:tcPr>
          <w:p w14:paraId="1660C103" w14:textId="190B9627" w:rsidR="00C070CC" w:rsidRDefault="00C070CC" w:rsidP="00350EF5">
            <w:pPr>
              <w:pStyle w:val="Tabletext"/>
            </w:pPr>
            <w:r w:rsidRPr="008D1FFE">
              <w:t>80%</w:t>
            </w:r>
          </w:p>
        </w:tc>
        <w:tc>
          <w:tcPr>
            <w:tcW w:w="2694" w:type="dxa"/>
            <w:shd w:val="clear" w:color="auto" w:fill="FFFFFF"/>
          </w:tcPr>
          <w:p w14:paraId="18D954BA" w14:textId="26BB0C31" w:rsidR="00C070CC" w:rsidRDefault="00C070CC" w:rsidP="00350EF5">
            <w:pPr>
              <w:pStyle w:val="Tabletext"/>
            </w:pPr>
            <w:r>
              <w:t>0%</w:t>
            </w:r>
          </w:p>
        </w:tc>
        <w:tc>
          <w:tcPr>
            <w:tcW w:w="2126" w:type="dxa"/>
            <w:shd w:val="clear" w:color="auto" w:fill="FFFFFF"/>
          </w:tcPr>
          <w:p w14:paraId="24319BD5" w14:textId="49031BAA" w:rsidR="00C070CC" w:rsidRDefault="00C070CC" w:rsidP="00350EF5">
            <w:pPr>
              <w:pStyle w:val="Tabletext"/>
            </w:pPr>
            <w:r>
              <w:t>Red (see note 10)</w:t>
            </w:r>
          </w:p>
        </w:tc>
      </w:tr>
    </w:tbl>
    <w:p w14:paraId="129762C7" w14:textId="77777777" w:rsidR="008D1FFE" w:rsidRPr="008D1FFE" w:rsidRDefault="008D1FFE" w:rsidP="00350EF5">
      <w:pPr>
        <w:pStyle w:val="NICEnormal"/>
      </w:pPr>
    </w:p>
    <w:p w14:paraId="645D21B5" w14:textId="77777777" w:rsidR="008F78FA" w:rsidRDefault="008F78FA" w:rsidP="008F78FA">
      <w:pPr>
        <w:pStyle w:val="Paragraphnonumbers"/>
        <w:tabs>
          <w:tab w:val="left" w:pos="2040"/>
        </w:tabs>
        <w:spacing w:after="0" w:line="240" w:lineRule="auto"/>
        <w:rPr>
          <w:highlight w:val="yellow"/>
        </w:rPr>
      </w:pPr>
    </w:p>
    <w:p w14:paraId="63E319E2" w14:textId="77777777" w:rsidR="008F78FA" w:rsidRDefault="008F78FA" w:rsidP="00350EF5">
      <w:pPr>
        <w:pStyle w:val="NICEnormal"/>
      </w:pPr>
      <w:r w:rsidRPr="00736263">
        <w:t xml:space="preserve">Note </w:t>
      </w:r>
      <w:r>
        <w:t>6</w:t>
      </w:r>
      <w:r w:rsidRPr="00736263">
        <w:t xml:space="preserve">: </w:t>
      </w:r>
      <w:r w:rsidRPr="00D507F4">
        <w:t>The income target for TA/HST in Q1-Q2 was £5.3m, with £2.7m recognised in that time. This shortfall was expected due to the impact of C</w:t>
      </w:r>
      <w:r>
        <w:t>OVID</w:t>
      </w:r>
      <w:r w:rsidRPr="00D507F4">
        <w:t>-19 with the 2020/21 business plan assuming a deficit of between 30-50% less income this financial year.</w:t>
      </w:r>
      <w:r>
        <w:t xml:space="preserve"> </w:t>
      </w:r>
      <w:r w:rsidRPr="00D507F4">
        <w:t>Other income from non-exchequer sources (excluding fees from TA/HST) is currently over-achieving its target by £0.2m, mainly because of better performance in NICE Scientific Advice.</w:t>
      </w:r>
    </w:p>
    <w:p w14:paraId="1A64D9FB" w14:textId="77777777" w:rsidR="008F78FA" w:rsidRDefault="008F78FA" w:rsidP="00350EF5">
      <w:pPr>
        <w:pStyle w:val="NICEnormal"/>
      </w:pPr>
      <w:r>
        <w:t xml:space="preserve">Note 7: </w:t>
      </w:r>
      <w:r w:rsidRPr="00D507F4">
        <w:t>Recruitment timelines were slower during Q1 because of the impact of C</w:t>
      </w:r>
      <w:r>
        <w:t>OVID</w:t>
      </w:r>
      <w:r w:rsidRPr="00D507F4">
        <w:t>-19, but we are on-track to see a return to our usual recruitment rates in Q3</w:t>
      </w:r>
      <w:r>
        <w:t xml:space="preserve"> 2020/21</w:t>
      </w:r>
      <w:r w:rsidRPr="00D507F4">
        <w:t>.</w:t>
      </w:r>
    </w:p>
    <w:p w14:paraId="2A0B34B9" w14:textId="77777777" w:rsidR="008F78FA" w:rsidRDefault="008F78FA" w:rsidP="00350EF5">
      <w:pPr>
        <w:pStyle w:val="NICEnormal"/>
      </w:pPr>
      <w:r>
        <w:t xml:space="preserve">Note 8: </w:t>
      </w:r>
      <w:r w:rsidRPr="00C5065E">
        <w:t xml:space="preserve">1 FOI responded to outside the statutory time limit. </w:t>
      </w:r>
      <w:r>
        <w:t>The response was d</w:t>
      </w:r>
      <w:r w:rsidRPr="00C5065E">
        <w:t xml:space="preserve">elayed in March/April </w:t>
      </w:r>
      <w:r>
        <w:t xml:space="preserve">2020 </w:t>
      </w:r>
      <w:r w:rsidRPr="00C5065E">
        <w:t xml:space="preserve">due to </w:t>
      </w:r>
      <w:r>
        <w:t xml:space="preserve">the </w:t>
      </w:r>
      <w:r w:rsidRPr="00C5065E">
        <w:t>mov</w:t>
      </w:r>
      <w:r>
        <w:t>e</w:t>
      </w:r>
      <w:r w:rsidRPr="00C5065E">
        <w:t xml:space="preserve"> to home working and re-prioritisation of work. It was also a complex request needing input from multiple colleagues and legal advice throughout the process. There was some delay in being provided with the right information from the relevant contacts within NICE.</w:t>
      </w:r>
    </w:p>
    <w:p w14:paraId="0AF25C13" w14:textId="17492CB7" w:rsidR="008F78FA" w:rsidRDefault="008F78FA" w:rsidP="00350EF5">
      <w:pPr>
        <w:pStyle w:val="NICEnormal"/>
      </w:pPr>
      <w:r>
        <w:t xml:space="preserve">Note 9: </w:t>
      </w:r>
      <w:r w:rsidRPr="00C5065E">
        <w:t>Received 7 PQs on the same day. 1 answered on time the same day. The remaining 6 were due by close of play the following day. Information need</w:t>
      </w:r>
      <w:r>
        <w:t>ed</w:t>
      </w:r>
      <w:r w:rsidRPr="00C5065E">
        <w:t xml:space="preserve"> for the responses was not received from the team within NICE until the morning after the deadline.</w:t>
      </w:r>
    </w:p>
    <w:p w14:paraId="6D4527CB" w14:textId="5C777A56" w:rsidR="00E977D2" w:rsidRPr="00350EF5" w:rsidRDefault="00E977D2" w:rsidP="00350EF5">
      <w:pPr>
        <w:pStyle w:val="NICEnormal"/>
        <w:rPr>
          <w:lang w:eastAsia="en-GB"/>
        </w:rPr>
      </w:pPr>
      <w:r>
        <w:t>Note 10: 2 appeal decisions were received outside of the required timeframe. Both decisions were delayed due to the length and complexity of the oral hearings.</w:t>
      </w:r>
    </w:p>
    <w:p w14:paraId="0EC30798" w14:textId="77777777" w:rsidR="008F78FA" w:rsidRDefault="008F78FA" w:rsidP="00301D86">
      <w:pPr>
        <w:pStyle w:val="Caption"/>
      </w:pPr>
      <w:r>
        <w:t>RAG status – Key</w:t>
      </w:r>
    </w:p>
    <w:p w14:paraId="6B06F8A8" w14:textId="77777777" w:rsidR="008F78FA" w:rsidRDefault="008F78FA" w:rsidP="00333DC0">
      <w:pPr>
        <w:pStyle w:val="NICEnormal"/>
      </w:pPr>
      <w:r>
        <w:t>Green = Greater than or equal to annual target</w:t>
      </w:r>
    </w:p>
    <w:p w14:paraId="057E25D8" w14:textId="77777777" w:rsidR="008F78FA" w:rsidRDefault="008F78FA" w:rsidP="00333DC0">
      <w:pPr>
        <w:pStyle w:val="NICEnormal"/>
      </w:pPr>
      <w:r>
        <w:lastRenderedPageBreak/>
        <w:t>Amber = Between 50% and less than annual target</w:t>
      </w:r>
    </w:p>
    <w:p w14:paraId="537E76A8" w14:textId="77777777" w:rsidR="008F78FA" w:rsidRPr="00C9507C" w:rsidRDefault="008F78FA" w:rsidP="00333DC0">
      <w:pPr>
        <w:pStyle w:val="NICEnormal"/>
      </w:pPr>
      <w:r>
        <w:t>Red = Less than 50% of annual target</w:t>
      </w:r>
    </w:p>
    <w:p w14:paraId="46BCCDDC" w14:textId="77777777" w:rsidR="003F112A" w:rsidRPr="00DB6F82" w:rsidRDefault="003F112A" w:rsidP="003F112A">
      <w:pPr>
        <w:pStyle w:val="Paragraphnonumbers"/>
      </w:pPr>
      <w:r w:rsidRPr="00DB6F82">
        <w:t xml:space="preserve">© NICE </w:t>
      </w:r>
      <w:r>
        <w:t>2020</w:t>
      </w:r>
      <w:r w:rsidRPr="00DB6F82">
        <w:t xml:space="preserve">. All rights reserved. </w:t>
      </w:r>
      <w:hyperlink r:id="rId11" w:anchor="notice-of-rights" w:history="1">
        <w:r w:rsidRPr="00DB6F82">
          <w:rPr>
            <w:rStyle w:val="Hyperlink"/>
          </w:rPr>
          <w:t>Subject to Notice of rights</w:t>
        </w:r>
      </w:hyperlink>
      <w:r w:rsidRPr="00DB6F82">
        <w:t>.</w:t>
      </w:r>
    </w:p>
    <w:p w14:paraId="54323DDF" w14:textId="05B40DDF" w:rsidR="003F112A" w:rsidRDefault="00C374A7" w:rsidP="003F112A">
      <w:pPr>
        <w:pStyle w:val="Paragraphnonumbers"/>
      </w:pPr>
      <w:r>
        <w:t xml:space="preserve">November </w:t>
      </w:r>
      <w:r w:rsidR="003F112A">
        <w:t>2020</w:t>
      </w:r>
    </w:p>
    <w:sectPr w:rsidR="003F112A" w:rsidSect="003F112A">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1E7D0" w14:textId="77777777" w:rsidR="00301D86" w:rsidRDefault="00301D86">
      <w:r>
        <w:separator/>
      </w:r>
    </w:p>
  </w:endnote>
  <w:endnote w:type="continuationSeparator" w:id="0">
    <w:p w14:paraId="690D9876" w14:textId="77777777" w:rsidR="00301D86" w:rsidRDefault="0030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2C49" w14:textId="2B0509FC" w:rsidR="00301D86" w:rsidRPr="002A231B" w:rsidRDefault="00301D86"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3914A385" w14:textId="1EC98919" w:rsidR="00301D86" w:rsidRPr="00333DC0" w:rsidRDefault="00301D86" w:rsidP="004B4705">
    <w:pPr>
      <w:pStyle w:val="Footer"/>
      <w:rPr>
        <w:szCs w:val="16"/>
      </w:rPr>
    </w:pPr>
    <w:r w:rsidRPr="00333DC0">
      <w:t xml:space="preserve">Chief Executive's report </w:t>
    </w:r>
  </w:p>
  <w:p w14:paraId="67D1E53A" w14:textId="5489E762" w:rsidR="00301D86" w:rsidRPr="00F23A61" w:rsidRDefault="00301D86" w:rsidP="004B4705">
    <w:pPr>
      <w:pStyle w:val="Footer"/>
      <w:rPr>
        <w:szCs w:val="16"/>
      </w:rPr>
    </w:pPr>
    <w:r w:rsidRPr="00333DC0">
      <w:rPr>
        <w:szCs w:val="16"/>
      </w:rPr>
      <w:t xml:space="preserve">Date: 18 November 2020 </w:t>
    </w:r>
  </w:p>
  <w:p w14:paraId="7A53DFF2" w14:textId="343ACF16" w:rsidR="00301D86" w:rsidRDefault="00301D86" w:rsidP="004B4705">
    <w:pPr>
      <w:pStyle w:val="Footer"/>
    </w:pPr>
    <w:r w:rsidRPr="00333DC0">
      <w:rPr>
        <w:szCs w:val="16"/>
      </w:rPr>
      <w:t>Reference: 20/097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3E569" w14:textId="4919A6E7" w:rsidR="00301D86" w:rsidRPr="002A231B" w:rsidRDefault="00301D86"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3084AF62" w14:textId="77777777" w:rsidR="00301D86" w:rsidRPr="00333DC0" w:rsidRDefault="00301D86" w:rsidP="004B4705">
    <w:pPr>
      <w:pStyle w:val="Footer"/>
      <w:rPr>
        <w:szCs w:val="16"/>
      </w:rPr>
    </w:pPr>
    <w:r w:rsidRPr="00333DC0">
      <w:t xml:space="preserve">Chief Executive's report </w:t>
    </w:r>
  </w:p>
  <w:p w14:paraId="6D490BF5" w14:textId="77777777" w:rsidR="00301D86" w:rsidRPr="00F23A61" w:rsidRDefault="00301D86" w:rsidP="004B4705">
    <w:pPr>
      <w:pStyle w:val="Footer"/>
      <w:rPr>
        <w:szCs w:val="16"/>
      </w:rPr>
    </w:pPr>
    <w:r w:rsidRPr="00333DC0">
      <w:rPr>
        <w:szCs w:val="16"/>
      </w:rPr>
      <w:t xml:space="preserve">Date: 18 November 2020 </w:t>
    </w:r>
  </w:p>
  <w:p w14:paraId="265C9700" w14:textId="34792A30" w:rsidR="00301D86" w:rsidRDefault="00301D86" w:rsidP="004B4705">
    <w:pPr>
      <w:pStyle w:val="Footer"/>
    </w:pPr>
    <w:r w:rsidRPr="00333DC0">
      <w:rPr>
        <w:szCs w:val="16"/>
      </w:rPr>
      <w:t>Reference: 20/097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44FDA" w14:textId="77777777" w:rsidR="00301D86" w:rsidRDefault="00301D86">
      <w:r>
        <w:separator/>
      </w:r>
    </w:p>
  </w:footnote>
  <w:footnote w:type="continuationSeparator" w:id="0">
    <w:p w14:paraId="3D9162B3" w14:textId="77777777" w:rsidR="00301D86" w:rsidRDefault="00301D86">
      <w:r>
        <w:continuationSeparator/>
      </w:r>
    </w:p>
  </w:footnote>
  <w:footnote w:id="1">
    <w:p w14:paraId="7C26B7B8" w14:textId="77777777" w:rsidR="00301D86" w:rsidRPr="00957941" w:rsidRDefault="00301D86" w:rsidP="008F78FA">
      <w:pPr>
        <w:pStyle w:val="FootnoteText"/>
        <w:rPr>
          <w:rFonts w:ascii="Arial" w:hAnsi="Arial" w:cs="Arial"/>
        </w:rPr>
      </w:pPr>
      <w:r w:rsidRPr="00957941">
        <w:rPr>
          <w:rStyle w:val="FootnoteReference"/>
          <w:rFonts w:cs="Arial"/>
        </w:rPr>
        <w:footnoteRef/>
      </w:r>
      <w:r w:rsidRPr="00957941">
        <w:rPr>
          <w:rFonts w:ascii="Arial" w:hAnsi="Arial" w:cs="Arial"/>
        </w:rPr>
        <w:t xml:space="preserve"> The following caveats are taken into account when measuring performance: </w:t>
      </w:r>
    </w:p>
    <w:p w14:paraId="7463123D" w14:textId="77777777" w:rsidR="00301D86" w:rsidRPr="00957941" w:rsidRDefault="00301D86" w:rsidP="008F78FA">
      <w:pPr>
        <w:pStyle w:val="FootnoteText"/>
        <w:rPr>
          <w:rFonts w:ascii="Arial" w:hAnsi="Arial" w:cs="Arial"/>
        </w:rPr>
      </w:pPr>
      <w:r w:rsidRPr="00957941">
        <w:rPr>
          <w:rFonts w:ascii="Arial" w:hAnsi="Arial" w:cs="Arial"/>
        </w:rPr>
        <w:t xml:space="preserve">1.    % STAs for all </w:t>
      </w:r>
      <w:r>
        <w:rPr>
          <w:rFonts w:ascii="Arial" w:hAnsi="Arial" w:cs="Arial"/>
        </w:rPr>
        <w:t xml:space="preserve">new </w:t>
      </w:r>
      <w:r w:rsidRPr="00957941">
        <w:rPr>
          <w:rFonts w:ascii="Arial" w:hAnsi="Arial" w:cs="Arial"/>
        </w:rPr>
        <w:t xml:space="preserve">drugs </w:t>
      </w:r>
      <w:r>
        <w:rPr>
          <w:rFonts w:ascii="Arial" w:hAnsi="Arial" w:cs="Arial"/>
        </w:rPr>
        <w:t xml:space="preserve">with a new active substance </w:t>
      </w:r>
      <w:r w:rsidRPr="00957941">
        <w:rPr>
          <w:rFonts w:ascii="Arial" w:hAnsi="Arial" w:cs="Arial"/>
        </w:rPr>
        <w:t xml:space="preserve">issuing </w:t>
      </w:r>
      <w:r>
        <w:rPr>
          <w:rFonts w:ascii="Arial" w:hAnsi="Arial" w:cs="Arial"/>
        </w:rPr>
        <w:t xml:space="preserve">final guidance </w:t>
      </w:r>
      <w:r w:rsidRPr="00957941">
        <w:rPr>
          <w:rFonts w:ascii="Arial" w:hAnsi="Arial" w:cs="Arial"/>
        </w:rPr>
        <w:t xml:space="preserve">within </w:t>
      </w:r>
      <w:r>
        <w:rPr>
          <w:rFonts w:ascii="Arial" w:hAnsi="Arial" w:cs="Arial"/>
        </w:rPr>
        <w:t>90 days</w:t>
      </w:r>
      <w:r w:rsidRPr="00957941">
        <w:rPr>
          <w:rFonts w:ascii="Arial" w:hAnsi="Arial" w:cs="Arial"/>
        </w:rPr>
        <w:t xml:space="preserve"> of the product being first licenced in the UK</w:t>
      </w:r>
    </w:p>
    <w:p w14:paraId="17BFACDE" w14:textId="77777777" w:rsidR="00301D86" w:rsidRDefault="00301D86" w:rsidP="008F78FA">
      <w:pPr>
        <w:pStyle w:val="FootnoteText"/>
        <w:numPr>
          <w:ilvl w:val="0"/>
          <w:numId w:val="26"/>
        </w:numPr>
        <w:rPr>
          <w:rFonts w:ascii="Arial" w:hAnsi="Arial" w:cs="Arial"/>
        </w:rPr>
      </w:pPr>
      <w:r w:rsidRPr="00957941">
        <w:rPr>
          <w:rFonts w:ascii="Arial" w:hAnsi="Arial" w:cs="Arial"/>
        </w:rPr>
        <w:t>The product has been identified and referred early enough to allow for guidance publication to be timely, and</w:t>
      </w:r>
    </w:p>
    <w:p w14:paraId="2F577A1F" w14:textId="77777777" w:rsidR="00301D86" w:rsidRPr="00957941" w:rsidRDefault="00301D86" w:rsidP="008F78FA">
      <w:pPr>
        <w:pStyle w:val="FootnoteText"/>
        <w:numPr>
          <w:ilvl w:val="0"/>
          <w:numId w:val="26"/>
        </w:numPr>
        <w:rPr>
          <w:rFonts w:ascii="Arial" w:hAnsi="Arial" w:cs="Arial"/>
        </w:rPr>
      </w:pPr>
      <w:r>
        <w:rPr>
          <w:rFonts w:ascii="Arial" w:hAnsi="Arial" w:cs="Arial"/>
        </w:rPr>
        <w:t>The company has not asked for the appraisal to be scheduled at a later date, which was accepted by NICE, and</w:t>
      </w:r>
    </w:p>
    <w:p w14:paraId="49F4B6F3" w14:textId="77777777" w:rsidR="00301D86" w:rsidRPr="00957941" w:rsidRDefault="00301D86" w:rsidP="008F78FA">
      <w:pPr>
        <w:pStyle w:val="FootnoteText"/>
        <w:numPr>
          <w:ilvl w:val="0"/>
          <w:numId w:val="26"/>
        </w:numPr>
        <w:rPr>
          <w:rFonts w:ascii="Arial" w:hAnsi="Arial" w:cs="Arial"/>
        </w:rPr>
      </w:pPr>
      <w:r w:rsidRPr="00957941">
        <w:rPr>
          <w:rFonts w:ascii="Arial" w:hAnsi="Arial" w:cs="Arial"/>
        </w:rPr>
        <w:t>The technology appraisal follows standard NICE process up to and including the first committee meeting, and</w:t>
      </w:r>
    </w:p>
    <w:p w14:paraId="4C1B7140" w14:textId="77777777" w:rsidR="00301D86" w:rsidRPr="00957941" w:rsidRDefault="00301D86" w:rsidP="008F78FA">
      <w:pPr>
        <w:pStyle w:val="FootnoteText"/>
        <w:numPr>
          <w:ilvl w:val="0"/>
          <w:numId w:val="26"/>
        </w:numPr>
        <w:rPr>
          <w:rFonts w:ascii="Arial" w:hAnsi="Arial" w:cs="Arial"/>
        </w:rPr>
      </w:pPr>
      <w:r w:rsidRPr="00957941">
        <w:rPr>
          <w:rFonts w:ascii="Arial" w:hAnsi="Arial" w:cs="Arial"/>
        </w:rPr>
        <w:t>No changes to the regulatory schedule are received after the company has been invited by NICE to make an evidence submission, and</w:t>
      </w:r>
    </w:p>
    <w:p w14:paraId="53D49072" w14:textId="77777777" w:rsidR="00301D86" w:rsidRPr="00957941" w:rsidRDefault="00301D86" w:rsidP="008F78FA">
      <w:pPr>
        <w:pStyle w:val="FootnoteText"/>
        <w:numPr>
          <w:ilvl w:val="0"/>
          <w:numId w:val="26"/>
        </w:numPr>
        <w:rPr>
          <w:rFonts w:ascii="Arial" w:hAnsi="Arial" w:cs="Arial"/>
        </w:rPr>
      </w:pPr>
      <w:r w:rsidRPr="00957941">
        <w:rPr>
          <w:rFonts w:ascii="Arial" w:hAnsi="Arial" w:cs="Arial"/>
        </w:rPr>
        <w:t>No changes to the regulatory schedule are communicated before the appraisal has started, where the dates are brought forward without opportunity for NICE to react (that is notification less than 43 weeks before the CHMP meeting date) and</w:t>
      </w:r>
    </w:p>
    <w:p w14:paraId="1CB64A58" w14:textId="77777777" w:rsidR="00301D86" w:rsidRPr="00957941" w:rsidRDefault="00301D86" w:rsidP="008F78FA">
      <w:pPr>
        <w:pStyle w:val="FootnoteText"/>
        <w:numPr>
          <w:ilvl w:val="0"/>
          <w:numId w:val="26"/>
        </w:numPr>
        <w:rPr>
          <w:rFonts w:ascii="Arial" w:hAnsi="Arial" w:cs="Arial"/>
        </w:rPr>
      </w:pPr>
      <w:r w:rsidRPr="00957941">
        <w:rPr>
          <w:rFonts w:ascii="Arial" w:hAnsi="Arial" w:cs="Arial"/>
        </w:rPr>
        <w:t>No requests for further submission of evidence are made after the initial submission of evidence, including for a PAS or CAA, and</w:t>
      </w:r>
    </w:p>
    <w:p w14:paraId="184EDF26" w14:textId="77777777" w:rsidR="00301D86" w:rsidRPr="00957941" w:rsidRDefault="00301D86" w:rsidP="008F78FA">
      <w:pPr>
        <w:pStyle w:val="FootnoteText"/>
        <w:numPr>
          <w:ilvl w:val="0"/>
          <w:numId w:val="26"/>
        </w:numPr>
        <w:rPr>
          <w:rFonts w:ascii="Arial" w:hAnsi="Arial" w:cs="Arial"/>
        </w:rPr>
      </w:pPr>
      <w:r w:rsidRPr="00957941">
        <w:rPr>
          <w:rFonts w:ascii="Arial" w:hAnsi="Arial" w:cs="Arial"/>
        </w:rPr>
        <w:t>No other factors out of NICE’s control are in play (for example ‘purdah</w:t>
      </w:r>
      <w:r>
        <w:rPr>
          <w:rFonts w:ascii="Arial" w:hAnsi="Arial" w:cs="Arial"/>
        </w:rPr>
        <w:t>’ and a pandemic such as COVID-19)</w:t>
      </w:r>
    </w:p>
    <w:p w14:paraId="24D36BBB" w14:textId="77777777" w:rsidR="00301D86" w:rsidRPr="00957941" w:rsidRDefault="00301D86" w:rsidP="008F78FA">
      <w:pPr>
        <w:pStyle w:val="FootnoteText"/>
        <w:rPr>
          <w:rFonts w:ascii="Arial" w:hAnsi="Arial" w:cs="Arial"/>
        </w:rPr>
      </w:pPr>
      <w:r w:rsidRPr="00957941">
        <w:rPr>
          <w:rFonts w:ascii="Arial" w:hAnsi="Arial" w:cs="Arial"/>
        </w:rPr>
        <w:t xml:space="preserve"> </w:t>
      </w:r>
    </w:p>
    <w:p w14:paraId="5DD89DE1" w14:textId="77777777" w:rsidR="00301D86" w:rsidRPr="00957941" w:rsidRDefault="00301D86" w:rsidP="008F78FA">
      <w:pPr>
        <w:pStyle w:val="FootnoteText"/>
        <w:rPr>
          <w:rFonts w:ascii="Arial" w:hAnsi="Arial" w:cs="Arial"/>
        </w:rPr>
      </w:pPr>
      <w:r w:rsidRPr="00957941">
        <w:rPr>
          <w:rFonts w:ascii="Arial" w:hAnsi="Arial" w:cs="Arial"/>
        </w:rPr>
        <w:t xml:space="preserve"> </w:t>
      </w:r>
    </w:p>
    <w:p w14:paraId="5A2D9C60" w14:textId="77777777" w:rsidR="00301D86" w:rsidRPr="00957941" w:rsidRDefault="00301D86" w:rsidP="008F78FA">
      <w:pPr>
        <w:pStyle w:val="FootnoteText"/>
        <w:rPr>
          <w:rFonts w:ascii="Arial" w:hAnsi="Arial" w:cs="Arial"/>
        </w:rPr>
      </w:pPr>
      <w:r w:rsidRPr="00957941">
        <w:rPr>
          <w:rFonts w:ascii="Arial" w:hAnsi="Arial" w:cs="Arial"/>
        </w:rPr>
        <w:t>2.    % of multiple technology appraisals from invitation to participate to ACD in 41 weeks, or where no ACD produced to FAD in 44 weeks</w:t>
      </w:r>
    </w:p>
    <w:p w14:paraId="22D4EE56" w14:textId="77777777" w:rsidR="00301D86" w:rsidRPr="00657D2E" w:rsidRDefault="00301D86" w:rsidP="008F78FA">
      <w:pPr>
        <w:pStyle w:val="ListParagraph"/>
        <w:numPr>
          <w:ilvl w:val="0"/>
          <w:numId w:val="27"/>
        </w:numPr>
        <w:ind w:left="709" w:hanging="349"/>
        <w:contextualSpacing w:val="0"/>
        <w:rPr>
          <w:rFonts w:ascii="Arial" w:hAnsi="Arial" w:cs="Arial"/>
          <w:sz w:val="20"/>
          <w:szCs w:val="20"/>
        </w:rPr>
      </w:pPr>
      <w:r w:rsidRPr="00657D2E">
        <w:rPr>
          <w:rFonts w:ascii="Arial" w:hAnsi="Arial" w:cs="Arial"/>
          <w:sz w:val="20"/>
          <w:szCs w:val="20"/>
        </w:rPr>
        <w:t>The technology appraisal follows standard NICE process up to and including the first committee meeting</w:t>
      </w:r>
    </w:p>
    <w:p w14:paraId="5DC81C74" w14:textId="77777777" w:rsidR="00301D86" w:rsidRPr="00657D2E" w:rsidRDefault="00301D86" w:rsidP="008F78FA">
      <w:pPr>
        <w:pStyle w:val="ListParagraph"/>
        <w:numPr>
          <w:ilvl w:val="0"/>
          <w:numId w:val="27"/>
        </w:numPr>
        <w:ind w:left="709" w:hanging="349"/>
        <w:contextualSpacing w:val="0"/>
        <w:rPr>
          <w:rFonts w:ascii="Arial" w:hAnsi="Arial" w:cs="Arial"/>
          <w:sz w:val="20"/>
          <w:szCs w:val="20"/>
        </w:rPr>
      </w:pPr>
      <w:r w:rsidRPr="00657D2E">
        <w:rPr>
          <w:rFonts w:ascii="Arial" w:hAnsi="Arial" w:cs="Arial"/>
          <w:sz w:val="20"/>
          <w:szCs w:val="20"/>
        </w:rPr>
        <w:t>No requests for further submission of evidence are made after the initial submission of evidence, including for a PAS or CAA, and</w:t>
      </w:r>
    </w:p>
    <w:p w14:paraId="60F8655B" w14:textId="77777777" w:rsidR="00301D86" w:rsidRPr="00657D2E" w:rsidRDefault="00301D86" w:rsidP="008F78FA">
      <w:pPr>
        <w:pStyle w:val="ListParagraph"/>
        <w:numPr>
          <w:ilvl w:val="0"/>
          <w:numId w:val="27"/>
        </w:numPr>
        <w:ind w:left="709" w:hanging="349"/>
        <w:contextualSpacing w:val="0"/>
        <w:rPr>
          <w:sz w:val="20"/>
          <w:szCs w:val="20"/>
        </w:rPr>
      </w:pPr>
      <w:r w:rsidRPr="00657D2E">
        <w:rPr>
          <w:rFonts w:ascii="Arial" w:hAnsi="Arial" w:cs="Arial"/>
          <w:sz w:val="20"/>
          <w:szCs w:val="20"/>
        </w:rPr>
        <w:t>No other factors out of NICE’s control are in play (for example ‘purdah’)</w:t>
      </w:r>
    </w:p>
    <w:p w14:paraId="34553E62" w14:textId="77777777" w:rsidR="00301D86" w:rsidRPr="00657D2E" w:rsidRDefault="00301D86" w:rsidP="008F78FA">
      <w:pPr>
        <w:pStyle w:val="ListParagraph"/>
        <w:ind w:left="709"/>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F0F50" w14:textId="1DBFFA5E" w:rsidR="00301D86" w:rsidRDefault="00301D86" w:rsidP="004B4705">
    <w:pPr>
      <w:pStyle w:val="Header"/>
      <w:jc w:val="right"/>
    </w:pPr>
    <w:r w:rsidRPr="002A231B">
      <w:t xml:space="preserve">Item </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DB17B44"/>
    <w:multiLevelType w:val="hybridMultilevel"/>
    <w:tmpl w:val="22F2E8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DA371C"/>
    <w:multiLevelType w:val="hybridMultilevel"/>
    <w:tmpl w:val="F9F239F6"/>
    <w:lvl w:ilvl="0" w:tplc="08090001">
      <w:start w:val="1"/>
      <w:numFmt w:val="bullet"/>
      <w:lvlText w:val=""/>
      <w:lvlJc w:val="left"/>
      <w:pPr>
        <w:ind w:left="1095" w:hanging="735"/>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5"/>
  </w:num>
  <w:num w:numId="3">
    <w:abstractNumId w:val="16"/>
  </w:num>
  <w:num w:numId="4">
    <w:abstractNumId w:val="17"/>
  </w:num>
  <w:num w:numId="5">
    <w:abstractNumId w:val="5"/>
  </w:num>
  <w:num w:numId="6">
    <w:abstractNumId w:val="8"/>
  </w:num>
  <w:num w:numId="7">
    <w:abstractNumId w:val="13"/>
  </w:num>
  <w:num w:numId="8">
    <w:abstractNumId w:val="15"/>
  </w:num>
  <w:num w:numId="9">
    <w:abstractNumId w:val="19"/>
  </w:num>
  <w:num w:numId="10">
    <w:abstractNumId w:val="7"/>
  </w:num>
  <w:num w:numId="11">
    <w:abstractNumId w:val="23"/>
  </w:num>
  <w:num w:numId="12">
    <w:abstractNumId w:val="11"/>
  </w:num>
  <w:num w:numId="13">
    <w:abstractNumId w:val="18"/>
  </w:num>
  <w:num w:numId="14">
    <w:abstractNumId w:val="21"/>
  </w:num>
  <w:num w:numId="15">
    <w:abstractNumId w:val="12"/>
  </w:num>
  <w:num w:numId="16">
    <w:abstractNumId w:val="0"/>
  </w:num>
  <w:num w:numId="17">
    <w:abstractNumId w:val="1"/>
  </w:num>
  <w:num w:numId="18">
    <w:abstractNumId w:val="9"/>
  </w:num>
  <w:num w:numId="19">
    <w:abstractNumId w:val="14"/>
  </w:num>
  <w:num w:numId="20">
    <w:abstractNumId w:val="6"/>
  </w:num>
  <w:num w:numId="21">
    <w:abstractNumId w:val="24"/>
  </w:num>
  <w:num w:numId="22">
    <w:abstractNumId w:val="22"/>
  </w:num>
  <w:num w:numId="23">
    <w:abstractNumId w:val="26"/>
  </w:num>
  <w:num w:numId="24">
    <w:abstractNumId w:val="10"/>
  </w:num>
  <w:num w:numId="25">
    <w:abstractNumId w:val="4"/>
  </w:num>
  <w:num w:numId="26">
    <w:abstractNumId w:val="3"/>
  </w:num>
  <w:num w:numId="27">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2F"/>
    <w:rsid w:val="000119FB"/>
    <w:rsid w:val="00012DF7"/>
    <w:rsid w:val="000242AA"/>
    <w:rsid w:val="00097804"/>
    <w:rsid w:val="000A1EC0"/>
    <w:rsid w:val="000A488F"/>
    <w:rsid w:val="000C3F75"/>
    <w:rsid w:val="000C4168"/>
    <w:rsid w:val="000E6C5F"/>
    <w:rsid w:val="00101F34"/>
    <w:rsid w:val="001172E1"/>
    <w:rsid w:val="00117933"/>
    <w:rsid w:val="001219F1"/>
    <w:rsid w:val="0012274E"/>
    <w:rsid w:val="00123D3F"/>
    <w:rsid w:val="00123E7F"/>
    <w:rsid w:val="00130FD3"/>
    <w:rsid w:val="00131EB8"/>
    <w:rsid w:val="00161AA0"/>
    <w:rsid w:val="001A5E4C"/>
    <w:rsid w:val="001B0506"/>
    <w:rsid w:val="001C032E"/>
    <w:rsid w:val="001D7F2C"/>
    <w:rsid w:val="0020350C"/>
    <w:rsid w:val="0021150B"/>
    <w:rsid w:val="002169E7"/>
    <w:rsid w:val="00235CAB"/>
    <w:rsid w:val="002424A1"/>
    <w:rsid w:val="00251D56"/>
    <w:rsid w:val="002526E6"/>
    <w:rsid w:val="002535B1"/>
    <w:rsid w:val="00282069"/>
    <w:rsid w:val="0029153D"/>
    <w:rsid w:val="002A3712"/>
    <w:rsid w:val="002C2013"/>
    <w:rsid w:val="002C3FAA"/>
    <w:rsid w:val="002D7A2F"/>
    <w:rsid w:val="002F15CF"/>
    <w:rsid w:val="00301D86"/>
    <w:rsid w:val="0031664C"/>
    <w:rsid w:val="003170CC"/>
    <w:rsid w:val="00320FB6"/>
    <w:rsid w:val="003330E6"/>
    <w:rsid w:val="00333DC0"/>
    <w:rsid w:val="00336CEE"/>
    <w:rsid w:val="00350EF5"/>
    <w:rsid w:val="00353D3E"/>
    <w:rsid w:val="00362226"/>
    <w:rsid w:val="003643D4"/>
    <w:rsid w:val="00375764"/>
    <w:rsid w:val="00377E36"/>
    <w:rsid w:val="003B1379"/>
    <w:rsid w:val="003B7BCF"/>
    <w:rsid w:val="003C36AC"/>
    <w:rsid w:val="003F112A"/>
    <w:rsid w:val="00412159"/>
    <w:rsid w:val="004422A5"/>
    <w:rsid w:val="004511A7"/>
    <w:rsid w:val="004519B2"/>
    <w:rsid w:val="00455DF4"/>
    <w:rsid w:val="00461997"/>
    <w:rsid w:val="004741CB"/>
    <w:rsid w:val="004820E9"/>
    <w:rsid w:val="0048361F"/>
    <w:rsid w:val="00484FE9"/>
    <w:rsid w:val="00485B88"/>
    <w:rsid w:val="004914C0"/>
    <w:rsid w:val="004B4705"/>
    <w:rsid w:val="004B514C"/>
    <w:rsid w:val="004C1D4B"/>
    <w:rsid w:val="004D2D4E"/>
    <w:rsid w:val="004F17A8"/>
    <w:rsid w:val="00515D87"/>
    <w:rsid w:val="00526C07"/>
    <w:rsid w:val="0053387C"/>
    <w:rsid w:val="0054109B"/>
    <w:rsid w:val="00543CA9"/>
    <w:rsid w:val="005614AA"/>
    <w:rsid w:val="005860F4"/>
    <w:rsid w:val="005866B1"/>
    <w:rsid w:val="005A2A4F"/>
    <w:rsid w:val="005A5E10"/>
    <w:rsid w:val="005B159B"/>
    <w:rsid w:val="005B24A6"/>
    <w:rsid w:val="005C051F"/>
    <w:rsid w:val="005C26D9"/>
    <w:rsid w:val="005C762E"/>
    <w:rsid w:val="005D098C"/>
    <w:rsid w:val="00603E56"/>
    <w:rsid w:val="0060662A"/>
    <w:rsid w:val="00614BDA"/>
    <w:rsid w:val="00617519"/>
    <w:rsid w:val="006331B4"/>
    <w:rsid w:val="006343F3"/>
    <w:rsid w:val="00642906"/>
    <w:rsid w:val="00646ADB"/>
    <w:rsid w:val="006571D4"/>
    <w:rsid w:val="00680B94"/>
    <w:rsid w:val="0069569E"/>
    <w:rsid w:val="006A721F"/>
    <w:rsid w:val="006D0286"/>
    <w:rsid w:val="006D2357"/>
    <w:rsid w:val="006D73F1"/>
    <w:rsid w:val="006F57FF"/>
    <w:rsid w:val="00703B09"/>
    <w:rsid w:val="007277C3"/>
    <w:rsid w:val="00732519"/>
    <w:rsid w:val="00737F9C"/>
    <w:rsid w:val="0074148D"/>
    <w:rsid w:val="00781715"/>
    <w:rsid w:val="00790C7B"/>
    <w:rsid w:val="00795BC5"/>
    <w:rsid w:val="007A174B"/>
    <w:rsid w:val="007A4EEE"/>
    <w:rsid w:val="007C4108"/>
    <w:rsid w:val="00845366"/>
    <w:rsid w:val="008505C3"/>
    <w:rsid w:val="00853BAC"/>
    <w:rsid w:val="00862C0C"/>
    <w:rsid w:val="008853CB"/>
    <w:rsid w:val="008A3CB5"/>
    <w:rsid w:val="008A6557"/>
    <w:rsid w:val="008C782E"/>
    <w:rsid w:val="008D1FFE"/>
    <w:rsid w:val="008D4862"/>
    <w:rsid w:val="008D6069"/>
    <w:rsid w:val="008E002F"/>
    <w:rsid w:val="008E7585"/>
    <w:rsid w:val="008F78FA"/>
    <w:rsid w:val="0091112A"/>
    <w:rsid w:val="00921354"/>
    <w:rsid w:val="00921C91"/>
    <w:rsid w:val="0094366C"/>
    <w:rsid w:val="00947BA1"/>
    <w:rsid w:val="00953ADF"/>
    <w:rsid w:val="00971131"/>
    <w:rsid w:val="009871F3"/>
    <w:rsid w:val="009A0289"/>
    <w:rsid w:val="009B621A"/>
    <w:rsid w:val="009C45D9"/>
    <w:rsid w:val="00A06657"/>
    <w:rsid w:val="00A13E24"/>
    <w:rsid w:val="00A24C1C"/>
    <w:rsid w:val="00A323A8"/>
    <w:rsid w:val="00A36575"/>
    <w:rsid w:val="00A5344C"/>
    <w:rsid w:val="00A553FE"/>
    <w:rsid w:val="00A84332"/>
    <w:rsid w:val="00A86D3D"/>
    <w:rsid w:val="00A956DE"/>
    <w:rsid w:val="00AB2948"/>
    <w:rsid w:val="00AB39FA"/>
    <w:rsid w:val="00AD5CB7"/>
    <w:rsid w:val="00AD5E0B"/>
    <w:rsid w:val="00AD6933"/>
    <w:rsid w:val="00AD6B7B"/>
    <w:rsid w:val="00AD757D"/>
    <w:rsid w:val="00B0463B"/>
    <w:rsid w:val="00B15262"/>
    <w:rsid w:val="00B60D70"/>
    <w:rsid w:val="00B624BB"/>
    <w:rsid w:val="00B84BC1"/>
    <w:rsid w:val="00BA0179"/>
    <w:rsid w:val="00BA51EA"/>
    <w:rsid w:val="00BA589F"/>
    <w:rsid w:val="00BB047B"/>
    <w:rsid w:val="00BB220C"/>
    <w:rsid w:val="00BB6398"/>
    <w:rsid w:val="00BC0E86"/>
    <w:rsid w:val="00BD0372"/>
    <w:rsid w:val="00BD246E"/>
    <w:rsid w:val="00BF4768"/>
    <w:rsid w:val="00BF5EC9"/>
    <w:rsid w:val="00C070CC"/>
    <w:rsid w:val="00C139CA"/>
    <w:rsid w:val="00C374A7"/>
    <w:rsid w:val="00C433C5"/>
    <w:rsid w:val="00C51429"/>
    <w:rsid w:val="00C56CAD"/>
    <w:rsid w:val="00C77798"/>
    <w:rsid w:val="00CA3397"/>
    <w:rsid w:val="00CA33E1"/>
    <w:rsid w:val="00CB6BEB"/>
    <w:rsid w:val="00CB76CB"/>
    <w:rsid w:val="00CE7855"/>
    <w:rsid w:val="00CF5C10"/>
    <w:rsid w:val="00D05C21"/>
    <w:rsid w:val="00D15EA3"/>
    <w:rsid w:val="00D3612A"/>
    <w:rsid w:val="00D37703"/>
    <w:rsid w:val="00D37F25"/>
    <w:rsid w:val="00D453F6"/>
    <w:rsid w:val="00D60D8D"/>
    <w:rsid w:val="00D62A68"/>
    <w:rsid w:val="00D662F1"/>
    <w:rsid w:val="00D7033D"/>
    <w:rsid w:val="00D73C98"/>
    <w:rsid w:val="00D800F0"/>
    <w:rsid w:val="00DA0736"/>
    <w:rsid w:val="00DA11DD"/>
    <w:rsid w:val="00DC0120"/>
    <w:rsid w:val="00DC6DA8"/>
    <w:rsid w:val="00DD2591"/>
    <w:rsid w:val="00DE643F"/>
    <w:rsid w:val="00E05EA8"/>
    <w:rsid w:val="00E13C6B"/>
    <w:rsid w:val="00E2509B"/>
    <w:rsid w:val="00E41D8C"/>
    <w:rsid w:val="00E4622C"/>
    <w:rsid w:val="00E46571"/>
    <w:rsid w:val="00E51FFB"/>
    <w:rsid w:val="00E63855"/>
    <w:rsid w:val="00E91F3F"/>
    <w:rsid w:val="00E95993"/>
    <w:rsid w:val="00E977D2"/>
    <w:rsid w:val="00EB03BB"/>
    <w:rsid w:val="00EB1C36"/>
    <w:rsid w:val="00EB2CE6"/>
    <w:rsid w:val="00EE2EB2"/>
    <w:rsid w:val="00EE406C"/>
    <w:rsid w:val="00F07534"/>
    <w:rsid w:val="00F17111"/>
    <w:rsid w:val="00F23A61"/>
    <w:rsid w:val="00F26A9F"/>
    <w:rsid w:val="00F26E68"/>
    <w:rsid w:val="00F33119"/>
    <w:rsid w:val="00F73C47"/>
    <w:rsid w:val="00F81F2C"/>
    <w:rsid w:val="00F90E63"/>
    <w:rsid w:val="00F9635F"/>
    <w:rsid w:val="00FA66A6"/>
    <w:rsid w:val="00FA6EE7"/>
    <w:rsid w:val="00FB47DD"/>
    <w:rsid w:val="00FB73D3"/>
    <w:rsid w:val="00FD4756"/>
    <w:rsid w:val="00FF5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665D7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uiPriority="2"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uiPriority="99"/>
    <w:lsdException w:name="annotation text" w:locked="0"/>
    <w:lsdException w:name="header" w:locked="0" w:uiPriority="99"/>
    <w:lsdException w:name="footer" w:locked="0"/>
    <w:lsdException w:name="caption" w:locked="0" w:semiHidden="1" w:unhideWhenUsed="1" w:qFormat="1"/>
    <w:lsdException w:name="footnote reference" w:uiPriority="99"/>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uiPriority w:val="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412159"/>
    <w:pPr>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aliases w:val="Bullet 1,Numbered Para 1,Dot pt,No Spacing1,List Paragraph Char Char Char,Indicator Text,List Paragraph1,Bullet Points,MAIN CONTENT,F5 List Paragraph,Colorful List - Accent 11,List Paragraph2,List Paragraph12,OBC Bullet,List Paragraph11,L"/>
    <w:basedOn w:val="Normal"/>
    <w:link w:val="ListParagraphChar"/>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412159"/>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Title">
    <w:name w:val="Title"/>
    <w:basedOn w:val="Normal"/>
    <w:next w:val="Heading1"/>
    <w:link w:val="TitleChar"/>
    <w:qFormat/>
    <w:rsid w:val="001D7F2C"/>
    <w:pPr>
      <w:spacing w:before="120" w:after="240"/>
      <w:jc w:val="center"/>
      <w:outlineLvl w:val="0"/>
    </w:pPr>
    <w:rPr>
      <w:rFonts w:ascii="Arial" w:hAnsi="Arial"/>
      <w:b/>
      <w:bCs/>
      <w:kern w:val="28"/>
      <w:sz w:val="40"/>
      <w:szCs w:val="32"/>
      <w:lang w:eastAsia="en-GB"/>
    </w:rPr>
  </w:style>
  <w:style w:type="character" w:customStyle="1" w:styleId="TitleChar">
    <w:name w:val="Title Char"/>
    <w:basedOn w:val="DefaultParagraphFont"/>
    <w:link w:val="Title"/>
    <w:rsid w:val="001D7F2C"/>
    <w:rPr>
      <w:rFonts w:ascii="Arial" w:hAnsi="Arial"/>
      <w:b/>
      <w:bCs/>
      <w:kern w:val="28"/>
      <w:sz w:val="40"/>
      <w:szCs w:val="32"/>
    </w:rPr>
  </w:style>
  <w:style w:type="paragraph" w:styleId="FootnoteText">
    <w:name w:val="footnote text"/>
    <w:basedOn w:val="Normal"/>
    <w:link w:val="FootnoteTextChar1"/>
    <w:uiPriority w:val="99"/>
    <w:locked/>
    <w:rsid w:val="008F78FA"/>
    <w:rPr>
      <w:sz w:val="20"/>
      <w:szCs w:val="20"/>
      <w:lang w:eastAsia="en-GB"/>
    </w:rPr>
  </w:style>
  <w:style w:type="character" w:customStyle="1" w:styleId="FootnoteTextChar">
    <w:name w:val="Footnote Text Char"/>
    <w:basedOn w:val="DefaultParagraphFont"/>
    <w:rsid w:val="008F78FA"/>
    <w:rPr>
      <w:lang w:eastAsia="en-US"/>
    </w:rPr>
  </w:style>
  <w:style w:type="character" w:customStyle="1" w:styleId="FootnoteTextChar1">
    <w:name w:val="Footnote Text Char1"/>
    <w:basedOn w:val="DefaultParagraphFont"/>
    <w:link w:val="FootnoteText"/>
    <w:uiPriority w:val="99"/>
    <w:rsid w:val="008F78FA"/>
  </w:style>
  <w:style w:type="character" w:styleId="FootnoteReference">
    <w:name w:val="footnote reference"/>
    <w:basedOn w:val="DefaultParagraphFont"/>
    <w:uiPriority w:val="99"/>
    <w:locked/>
    <w:rsid w:val="008F78FA"/>
    <w:rPr>
      <w:vertAlign w:val="superscript"/>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F5 List Paragraph Char,Colorful List - Accent 11 Char"/>
    <w:basedOn w:val="DefaultParagraphFont"/>
    <w:link w:val="ListParagraph"/>
    <w:uiPriority w:val="34"/>
    <w:locked/>
    <w:rsid w:val="008F78FA"/>
    <w:rPr>
      <w:sz w:val="24"/>
      <w:szCs w:val="24"/>
      <w:lang w:eastAsia="en-US"/>
    </w:rPr>
  </w:style>
  <w:style w:type="paragraph" w:styleId="CommentSubject">
    <w:name w:val="annotation subject"/>
    <w:basedOn w:val="CommentText"/>
    <w:next w:val="CommentText"/>
    <w:link w:val="CommentSubjectChar"/>
    <w:rsid w:val="00A13E24"/>
    <w:rPr>
      <w:b/>
      <w:bCs/>
      <w:lang w:eastAsia="en-US"/>
    </w:rPr>
  </w:style>
  <w:style w:type="character" w:customStyle="1" w:styleId="CommentSubjectChar">
    <w:name w:val="Comment Subject Char"/>
    <w:basedOn w:val="CommentTextChar"/>
    <w:link w:val="CommentSubject"/>
    <w:rsid w:val="00A13E2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nice.nhs.uk\Data\Planning%20&amp;%20Resources\Corporate%20Office\Performance%20Management\Activity%20Board%20Reports\m5%20and%20m7\2020-21\m7\Board%20report%20graphs%20month%207%20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'Outputs - Actual v Plan'!$C$21</c:f>
              <c:strCache>
                <c:ptCount val="1"/>
                <c:pt idx="0">
                  <c:v>Actual</c:v>
                </c:pt>
              </c:strCache>
            </c:strRef>
          </c:tx>
          <c:spPr>
            <a:solidFill>
              <a:schemeClr val="accent5">
                <a:tint val="77000"/>
              </a:schemeClr>
            </a:solidFill>
            <a:ln>
              <a:noFill/>
            </a:ln>
            <a:effectLst/>
          </c:spPr>
          <c:invertIfNegative val="0"/>
          <c:cat>
            <c:strRef>
              <c:f>'Outputs - Actual v Plan'!$B$22:$B$33</c:f>
              <c:strCache>
                <c:ptCount val="12"/>
                <c:pt idx="0">
                  <c:v>Appraisals and HST</c:v>
                </c:pt>
                <c:pt idx="1">
                  <c:v>Clinical guidelines</c:v>
                </c:pt>
                <c:pt idx="2">
                  <c:v>Interventional procedures</c:v>
                </c:pt>
                <c:pt idx="3">
                  <c:v>Public health</c:v>
                </c:pt>
                <c:pt idx="4">
                  <c:v>Quality standards</c:v>
                </c:pt>
                <c:pt idx="5">
                  <c:v>Medical technologies</c:v>
                </c:pt>
                <c:pt idx="6">
                  <c:v>Diagnostics</c:v>
                </c:pt>
                <c:pt idx="7">
                  <c:v>Social Care</c:v>
                </c:pt>
                <c:pt idx="8">
                  <c:v>Managing common infections</c:v>
                </c:pt>
                <c:pt idx="9">
                  <c:v>COVID-19 rapid guidelines</c:v>
                </c:pt>
                <c:pt idx="10">
                  <c:v>Medtech Innovation Briefings</c:v>
                </c:pt>
                <c:pt idx="11">
                  <c:v>Guideline surveillance reviews</c:v>
                </c:pt>
              </c:strCache>
            </c:strRef>
          </c:cat>
          <c:val>
            <c:numRef>
              <c:f>'Outputs - Actual v Plan'!$C$22:$C$33</c:f>
              <c:numCache>
                <c:formatCode>General</c:formatCode>
                <c:ptCount val="12"/>
                <c:pt idx="0">
                  <c:v>31</c:v>
                </c:pt>
                <c:pt idx="1">
                  <c:v>1</c:v>
                </c:pt>
                <c:pt idx="2">
                  <c:v>11</c:v>
                </c:pt>
                <c:pt idx="3">
                  <c:v>1</c:v>
                </c:pt>
                <c:pt idx="4">
                  <c:v>6</c:v>
                </c:pt>
                <c:pt idx="5">
                  <c:v>4</c:v>
                </c:pt>
                <c:pt idx="6">
                  <c:v>4</c:v>
                </c:pt>
                <c:pt idx="7">
                  <c:v>0</c:v>
                </c:pt>
                <c:pt idx="8">
                  <c:v>1</c:v>
                </c:pt>
                <c:pt idx="9">
                  <c:v>21</c:v>
                </c:pt>
                <c:pt idx="10">
                  <c:v>23</c:v>
                </c:pt>
                <c:pt idx="11">
                  <c:v>6</c:v>
                </c:pt>
              </c:numCache>
            </c:numRef>
          </c:val>
          <c:extLst>
            <c:ext xmlns:c16="http://schemas.microsoft.com/office/drawing/2014/chart" uri="{C3380CC4-5D6E-409C-BE32-E72D297353CC}">
              <c16:uniqueId val="{00000000-A014-4017-AF1F-207B56575351}"/>
            </c:ext>
          </c:extLst>
        </c:ser>
        <c:dLbls>
          <c:showLegendKey val="0"/>
          <c:showVal val="0"/>
          <c:showCatName val="0"/>
          <c:showSerName val="0"/>
          <c:showPercent val="0"/>
          <c:showBubbleSize val="0"/>
        </c:dLbls>
        <c:gapWidth val="150"/>
        <c:axId val="134601264"/>
        <c:axId val="136348168"/>
      </c:barChart>
      <c:lineChart>
        <c:grouping val="standard"/>
        <c:varyColors val="0"/>
        <c:ser>
          <c:idx val="1"/>
          <c:order val="1"/>
          <c:tx>
            <c:strRef>
              <c:f>'Outputs - Actual v Plan'!$D$21</c:f>
              <c:strCache>
                <c:ptCount val="1"/>
                <c:pt idx="0">
                  <c:v>Planned</c:v>
                </c:pt>
              </c:strCache>
            </c:strRef>
          </c:tx>
          <c:spPr>
            <a:ln w="28575" cap="rnd" cmpd="sng" algn="ctr">
              <a:solidFill>
                <a:srgbClr val="00506A"/>
              </a:solidFill>
              <a:prstDash val="solid"/>
              <a:round/>
            </a:ln>
            <a:effectLst/>
          </c:spPr>
          <c:marker>
            <c:symbol val="dash"/>
            <c:size val="20"/>
            <c:spPr>
              <a:solidFill>
                <a:srgbClr val="00506A"/>
              </a:solidFill>
              <a:ln w="9525" cap="flat" cmpd="sng" algn="ctr">
                <a:solidFill>
                  <a:srgbClr val="00506A"/>
                </a:solidFill>
                <a:prstDash val="solid"/>
                <a:round/>
              </a:ln>
              <a:effectLst/>
            </c:spPr>
          </c:marker>
          <c:dPt>
            <c:idx val="0"/>
            <c:bubble3D val="0"/>
            <c:spPr>
              <a:ln w="28575" cap="rnd" cmpd="sng" algn="ctr">
                <a:noFill/>
                <a:prstDash val="solid"/>
                <a:round/>
              </a:ln>
              <a:effectLst/>
            </c:spPr>
            <c:extLst>
              <c:ext xmlns:c16="http://schemas.microsoft.com/office/drawing/2014/chart" uri="{C3380CC4-5D6E-409C-BE32-E72D297353CC}">
                <c16:uniqueId val="{00000002-A014-4017-AF1F-207B56575351}"/>
              </c:ext>
            </c:extLst>
          </c:dPt>
          <c:dPt>
            <c:idx val="1"/>
            <c:bubble3D val="0"/>
            <c:spPr>
              <a:ln w="28575" cap="rnd" cmpd="sng" algn="ctr">
                <a:noFill/>
                <a:prstDash val="solid"/>
                <a:round/>
              </a:ln>
              <a:effectLst/>
            </c:spPr>
            <c:extLst>
              <c:ext xmlns:c16="http://schemas.microsoft.com/office/drawing/2014/chart" uri="{C3380CC4-5D6E-409C-BE32-E72D297353CC}">
                <c16:uniqueId val="{00000004-A014-4017-AF1F-207B56575351}"/>
              </c:ext>
            </c:extLst>
          </c:dPt>
          <c:dPt>
            <c:idx val="2"/>
            <c:bubble3D val="0"/>
            <c:spPr>
              <a:ln w="28575" cap="rnd" cmpd="sng" algn="ctr">
                <a:noFill/>
                <a:prstDash val="solid"/>
                <a:round/>
              </a:ln>
              <a:effectLst/>
            </c:spPr>
            <c:extLst>
              <c:ext xmlns:c16="http://schemas.microsoft.com/office/drawing/2014/chart" uri="{C3380CC4-5D6E-409C-BE32-E72D297353CC}">
                <c16:uniqueId val="{00000006-A014-4017-AF1F-207B56575351}"/>
              </c:ext>
            </c:extLst>
          </c:dPt>
          <c:dPt>
            <c:idx val="3"/>
            <c:bubble3D val="0"/>
            <c:spPr>
              <a:ln w="28575" cap="rnd" cmpd="sng" algn="ctr">
                <a:noFill/>
                <a:prstDash val="solid"/>
                <a:round/>
              </a:ln>
              <a:effectLst/>
            </c:spPr>
            <c:extLst>
              <c:ext xmlns:c16="http://schemas.microsoft.com/office/drawing/2014/chart" uri="{C3380CC4-5D6E-409C-BE32-E72D297353CC}">
                <c16:uniqueId val="{00000008-A014-4017-AF1F-207B56575351}"/>
              </c:ext>
            </c:extLst>
          </c:dPt>
          <c:dPt>
            <c:idx val="4"/>
            <c:bubble3D val="0"/>
            <c:spPr>
              <a:ln w="28575" cap="rnd" cmpd="sng" algn="ctr">
                <a:noFill/>
                <a:prstDash val="solid"/>
                <a:round/>
              </a:ln>
              <a:effectLst/>
            </c:spPr>
            <c:extLst>
              <c:ext xmlns:c16="http://schemas.microsoft.com/office/drawing/2014/chart" uri="{C3380CC4-5D6E-409C-BE32-E72D297353CC}">
                <c16:uniqueId val="{0000000A-A014-4017-AF1F-207B56575351}"/>
              </c:ext>
            </c:extLst>
          </c:dPt>
          <c:dPt>
            <c:idx val="5"/>
            <c:bubble3D val="0"/>
            <c:spPr>
              <a:ln w="28575" cap="rnd" cmpd="sng" algn="ctr">
                <a:noFill/>
                <a:prstDash val="solid"/>
                <a:round/>
              </a:ln>
              <a:effectLst/>
            </c:spPr>
            <c:extLst>
              <c:ext xmlns:c16="http://schemas.microsoft.com/office/drawing/2014/chart" uri="{C3380CC4-5D6E-409C-BE32-E72D297353CC}">
                <c16:uniqueId val="{0000000C-A014-4017-AF1F-207B56575351}"/>
              </c:ext>
            </c:extLst>
          </c:dPt>
          <c:dPt>
            <c:idx val="6"/>
            <c:bubble3D val="0"/>
            <c:spPr>
              <a:ln w="28575" cap="rnd" cmpd="sng" algn="ctr">
                <a:noFill/>
                <a:prstDash val="solid"/>
                <a:round/>
              </a:ln>
              <a:effectLst/>
            </c:spPr>
            <c:extLst>
              <c:ext xmlns:c16="http://schemas.microsoft.com/office/drawing/2014/chart" uri="{C3380CC4-5D6E-409C-BE32-E72D297353CC}">
                <c16:uniqueId val="{0000000E-A014-4017-AF1F-207B56575351}"/>
              </c:ext>
            </c:extLst>
          </c:dPt>
          <c:dPt>
            <c:idx val="7"/>
            <c:bubble3D val="0"/>
            <c:spPr>
              <a:ln w="28575" cap="rnd" cmpd="sng" algn="ctr">
                <a:noFill/>
                <a:prstDash val="solid"/>
                <a:round/>
              </a:ln>
              <a:effectLst/>
            </c:spPr>
            <c:extLst>
              <c:ext xmlns:c16="http://schemas.microsoft.com/office/drawing/2014/chart" uri="{C3380CC4-5D6E-409C-BE32-E72D297353CC}">
                <c16:uniqueId val="{0000000E-30C2-4BE0-A0D5-061CAEAE51A7}"/>
              </c:ext>
            </c:extLst>
          </c:dPt>
          <c:dPt>
            <c:idx val="8"/>
            <c:bubble3D val="0"/>
            <c:spPr>
              <a:ln w="28575" cap="rnd" cmpd="sng" algn="ctr">
                <a:noFill/>
                <a:prstDash val="solid"/>
                <a:round/>
              </a:ln>
              <a:effectLst/>
            </c:spPr>
            <c:extLst>
              <c:ext xmlns:c16="http://schemas.microsoft.com/office/drawing/2014/chart" uri="{C3380CC4-5D6E-409C-BE32-E72D297353CC}">
                <c16:uniqueId val="{00000012-30C2-4BE0-A0D5-061CAEAE51A7}"/>
              </c:ext>
            </c:extLst>
          </c:dPt>
          <c:dPt>
            <c:idx val="9"/>
            <c:bubble3D val="0"/>
            <c:spPr>
              <a:ln w="28575" cap="rnd" cmpd="sng" algn="ctr">
                <a:noFill/>
                <a:prstDash val="solid"/>
                <a:round/>
              </a:ln>
              <a:effectLst/>
            </c:spPr>
            <c:extLst>
              <c:ext xmlns:c16="http://schemas.microsoft.com/office/drawing/2014/chart" uri="{C3380CC4-5D6E-409C-BE32-E72D297353CC}">
                <c16:uniqueId val="{0000000F-30C2-4BE0-A0D5-061CAEAE51A7}"/>
              </c:ext>
            </c:extLst>
          </c:dPt>
          <c:dPt>
            <c:idx val="10"/>
            <c:bubble3D val="0"/>
            <c:spPr>
              <a:ln w="28575" cap="rnd" cmpd="sng" algn="ctr">
                <a:noFill/>
                <a:prstDash val="solid"/>
                <a:round/>
              </a:ln>
              <a:effectLst/>
            </c:spPr>
            <c:extLst>
              <c:ext xmlns:c16="http://schemas.microsoft.com/office/drawing/2014/chart" uri="{C3380CC4-5D6E-409C-BE32-E72D297353CC}">
                <c16:uniqueId val="{00000010-30C2-4BE0-A0D5-061CAEAE51A7}"/>
              </c:ext>
            </c:extLst>
          </c:dPt>
          <c:dPt>
            <c:idx val="11"/>
            <c:bubble3D val="0"/>
            <c:spPr>
              <a:ln w="28575" cap="rnd" cmpd="sng" algn="ctr">
                <a:noFill/>
                <a:prstDash val="solid"/>
                <a:round/>
              </a:ln>
              <a:effectLst/>
            </c:spPr>
            <c:extLst>
              <c:ext xmlns:c16="http://schemas.microsoft.com/office/drawing/2014/chart" uri="{C3380CC4-5D6E-409C-BE32-E72D297353CC}">
                <c16:uniqueId val="{00000011-30C2-4BE0-A0D5-061CAEAE51A7}"/>
              </c:ext>
            </c:extLst>
          </c:dPt>
          <c:cat>
            <c:strRef>
              <c:f>'Outputs - Actual v Plan'!$B$22:$B$33</c:f>
              <c:strCache>
                <c:ptCount val="12"/>
                <c:pt idx="0">
                  <c:v>Appraisals and HST</c:v>
                </c:pt>
                <c:pt idx="1">
                  <c:v>Clinical guidelines</c:v>
                </c:pt>
                <c:pt idx="2">
                  <c:v>Interventional procedures</c:v>
                </c:pt>
                <c:pt idx="3">
                  <c:v>Public health</c:v>
                </c:pt>
                <c:pt idx="4">
                  <c:v>Quality standards</c:v>
                </c:pt>
                <c:pt idx="5">
                  <c:v>Medical technologies</c:v>
                </c:pt>
                <c:pt idx="6">
                  <c:v>Diagnostics</c:v>
                </c:pt>
                <c:pt idx="7">
                  <c:v>Social Care</c:v>
                </c:pt>
                <c:pt idx="8">
                  <c:v>Managing common infections</c:v>
                </c:pt>
                <c:pt idx="9">
                  <c:v>COVID-19 rapid guidelines</c:v>
                </c:pt>
                <c:pt idx="10">
                  <c:v>Medtech Innovation Briefings</c:v>
                </c:pt>
                <c:pt idx="11">
                  <c:v>Guideline surveillance reviews</c:v>
                </c:pt>
              </c:strCache>
            </c:strRef>
          </c:cat>
          <c:val>
            <c:numRef>
              <c:f>'Outputs - Actual v Plan'!$D$22:$D$33</c:f>
              <c:numCache>
                <c:formatCode>General</c:formatCode>
                <c:ptCount val="12"/>
                <c:pt idx="0">
                  <c:v>31</c:v>
                </c:pt>
                <c:pt idx="1">
                  <c:v>1</c:v>
                </c:pt>
                <c:pt idx="2">
                  <c:v>12</c:v>
                </c:pt>
                <c:pt idx="3">
                  <c:v>1</c:v>
                </c:pt>
                <c:pt idx="4">
                  <c:v>6</c:v>
                </c:pt>
                <c:pt idx="5">
                  <c:v>4</c:v>
                </c:pt>
                <c:pt idx="6">
                  <c:v>3</c:v>
                </c:pt>
                <c:pt idx="7">
                  <c:v>0</c:v>
                </c:pt>
                <c:pt idx="8">
                  <c:v>2</c:v>
                </c:pt>
                <c:pt idx="9">
                  <c:v>21</c:v>
                </c:pt>
                <c:pt idx="10">
                  <c:v>25</c:v>
                </c:pt>
                <c:pt idx="11">
                  <c:v>10</c:v>
                </c:pt>
              </c:numCache>
            </c:numRef>
          </c:val>
          <c:smooth val="0"/>
          <c:extLst>
            <c:ext xmlns:c16="http://schemas.microsoft.com/office/drawing/2014/chart" uri="{C3380CC4-5D6E-409C-BE32-E72D297353CC}">
              <c16:uniqueId val="{0000000F-A014-4017-AF1F-207B56575351}"/>
            </c:ext>
          </c:extLst>
        </c:ser>
        <c:dLbls>
          <c:showLegendKey val="0"/>
          <c:showVal val="0"/>
          <c:showCatName val="0"/>
          <c:showSerName val="0"/>
          <c:showPercent val="0"/>
          <c:showBubbleSize val="0"/>
        </c:dLbls>
        <c:marker val="1"/>
        <c:smooth val="0"/>
        <c:axId val="136348952"/>
        <c:axId val="136348560"/>
      </c:lineChart>
      <c:catAx>
        <c:axId val="13460126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6348168"/>
        <c:crosses val="autoZero"/>
        <c:auto val="1"/>
        <c:lblAlgn val="ctr"/>
        <c:lblOffset val="100"/>
        <c:noMultiLvlLbl val="0"/>
      </c:catAx>
      <c:valAx>
        <c:axId val="13634816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4601264"/>
        <c:crosses val="autoZero"/>
        <c:crossBetween val="between"/>
      </c:valAx>
      <c:valAx>
        <c:axId val="136348560"/>
        <c:scaling>
          <c:orientation val="minMax"/>
        </c:scaling>
        <c:delete val="1"/>
        <c:axPos val="r"/>
        <c:numFmt formatCode="General" sourceLinked="1"/>
        <c:majorTickMark val="out"/>
        <c:minorTickMark val="none"/>
        <c:tickLblPos val="nextTo"/>
        <c:crossAx val="136348952"/>
        <c:crosses val="max"/>
        <c:crossBetween val="between"/>
      </c:valAx>
      <c:catAx>
        <c:axId val="136348952"/>
        <c:scaling>
          <c:orientation val="minMax"/>
        </c:scaling>
        <c:delete val="1"/>
        <c:axPos val="t"/>
        <c:numFmt formatCode="General" sourceLinked="1"/>
        <c:majorTickMark val="out"/>
        <c:minorTickMark val="none"/>
        <c:tickLblPos val="nextTo"/>
        <c:crossAx val="136348560"/>
        <c:crosses val="max"/>
        <c:auto val="1"/>
        <c:lblAlgn val="ctr"/>
        <c:lblOffset val="100"/>
        <c:noMultiLvlLbl val="0"/>
      </c:cat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7705</Words>
  <Characters>44149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2020-11-13T09:05:00Z</dcterms:created>
  <dcterms:modified xsi:type="dcterms:W3CDTF">2020-11-13T09:06:00Z</dcterms:modified>
</cp:coreProperties>
</file>