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61169" w14:textId="77777777" w:rsidR="00EB1C36" w:rsidRPr="00D73C98" w:rsidRDefault="00EB1C36" w:rsidP="00F07534">
      <w:pPr>
        <w:pStyle w:val="Title20"/>
      </w:pPr>
      <w:r>
        <w:t>National Institute for Health and Care Excellence</w:t>
      </w:r>
    </w:p>
    <w:p w14:paraId="1386DF62" w14:textId="5857C898" w:rsidR="00EB1C36" w:rsidRPr="00D73C98" w:rsidRDefault="00340649" w:rsidP="00F07534">
      <w:pPr>
        <w:pStyle w:val="Title1"/>
      </w:pPr>
      <w:r>
        <w:t>Digital, Information and Technology</w:t>
      </w:r>
      <w:r w:rsidR="00EB1C36" w:rsidRPr="00D73C98">
        <w:t xml:space="preserve"> progress report</w:t>
      </w:r>
    </w:p>
    <w:p w14:paraId="38347E5B" w14:textId="40EB7A89" w:rsidR="009871F3" w:rsidRPr="007277C3" w:rsidRDefault="00EB1C36" w:rsidP="007277C3">
      <w:pPr>
        <w:pStyle w:val="Paragraph"/>
        <w:numPr>
          <w:ilvl w:val="0"/>
          <w:numId w:val="49"/>
        </w:numPr>
      </w:pPr>
      <w:r w:rsidRPr="009871F3">
        <w:t xml:space="preserve">This report provides an update on key issues and developments in the </w:t>
      </w:r>
      <w:r w:rsidR="00340649">
        <w:t>Digital, Information and Technology (DIT) directorate</w:t>
      </w:r>
      <w:r w:rsidRPr="007277C3">
        <w:t xml:space="preserve"> in the period </w:t>
      </w:r>
      <w:r w:rsidR="00340649">
        <w:t xml:space="preserve">September - October 2020. </w:t>
      </w:r>
    </w:p>
    <w:p w14:paraId="50E03509" w14:textId="77777777" w:rsidR="00EB1C36" w:rsidRDefault="00EB1C36" w:rsidP="00EB1C36">
      <w:pPr>
        <w:pStyle w:val="Heading1boardreport"/>
      </w:pPr>
      <w:r>
        <w:t>Summary of activity</w:t>
      </w:r>
    </w:p>
    <w:p w14:paraId="45EC6D81" w14:textId="77777777" w:rsidR="002A2A95" w:rsidRPr="002A2A95" w:rsidRDefault="002A2A95" w:rsidP="002A2A95">
      <w:pPr>
        <w:pStyle w:val="NICEnormalnumbered"/>
      </w:pPr>
      <w:r>
        <w:t xml:space="preserve">In line </w:t>
      </w:r>
      <w:r w:rsidRPr="002A2A95">
        <w:t>with the agreed digital and IT delivery roadmap and Connect plans, key project activity in the period included:</w:t>
      </w:r>
    </w:p>
    <w:p w14:paraId="002F1CA2" w14:textId="77777777" w:rsidR="00DD1379" w:rsidRPr="00DD1379" w:rsidRDefault="00DD1379" w:rsidP="00DD1379">
      <w:pPr>
        <w:pStyle w:val="Bulletindent1"/>
      </w:pPr>
      <w:r w:rsidRPr="00DD1379">
        <w:t xml:space="preserve">Ongoing refinement to the strategic outline business case for enabling an efficient digital workplace through the use of SharePoint Online and the Microsoft 365 (M365) suite of products. This includes refining cost estimates and validating our planned approach with input from other organisations before the business case is returned to the NICE Board for consideration; </w:t>
      </w:r>
    </w:p>
    <w:p w14:paraId="2A6A2940" w14:textId="77777777" w:rsidR="00DD1379" w:rsidRPr="00DD1379" w:rsidRDefault="00DD1379" w:rsidP="00DD1379">
      <w:pPr>
        <w:pStyle w:val="Bulletindent1"/>
      </w:pPr>
      <w:r w:rsidRPr="00DD1379">
        <w:t xml:space="preserve">Ongoing work with the NICE guideline collaborating centres to roll out the use of the EPPI Reviewer (web tools for searching evidence, systematic review needs and building an evidence surveillance capability); </w:t>
      </w:r>
    </w:p>
    <w:p w14:paraId="45BD5125" w14:textId="77777777" w:rsidR="00DD1379" w:rsidRPr="00DD1379" w:rsidRDefault="00DD1379" w:rsidP="00DD1379">
      <w:pPr>
        <w:pStyle w:val="Bulletindent1"/>
      </w:pPr>
      <w:r w:rsidRPr="00DD1379">
        <w:t>Ongoing work on the NORMA (NICE ONS recommendations matching algorithm) to support more efficient updating of guidelines;</w:t>
      </w:r>
    </w:p>
    <w:p w14:paraId="0ADED8F4" w14:textId="77777777" w:rsidR="00DD1379" w:rsidRPr="00DD1379" w:rsidRDefault="00DD1379" w:rsidP="00DD1379">
      <w:pPr>
        <w:pStyle w:val="Bulletindent1"/>
      </w:pPr>
      <w:r w:rsidRPr="00DD1379">
        <w:t>Progress and user research for our work on the Comment Collection tool, to enable organisation-wide feedback;</w:t>
      </w:r>
    </w:p>
    <w:p w14:paraId="2235BA52" w14:textId="724E4D3C" w:rsidR="00DD1379" w:rsidRPr="00DD1379" w:rsidRDefault="00DD1379" w:rsidP="00DD1379">
      <w:pPr>
        <w:pStyle w:val="Bulletindent1"/>
      </w:pPr>
      <w:r w:rsidRPr="00DD1379">
        <w:t>Development of planning and scoping briefs for an agreed Connect deliverable; the Life Sciences/Commissioner Hub Discovery;</w:t>
      </w:r>
    </w:p>
    <w:p w14:paraId="02399FAE" w14:textId="77777777" w:rsidR="00DD1379" w:rsidRPr="00DD1379" w:rsidRDefault="00DD1379" w:rsidP="00DD1379">
      <w:pPr>
        <w:pStyle w:val="Bulletindent1"/>
      </w:pPr>
      <w:r w:rsidRPr="00DD1379">
        <w:t xml:space="preserve">Start of an 8 week 'alpha' testing potential alternative solutions for our Planning Timelines and the visibility and updating of these across the organisation; </w:t>
      </w:r>
    </w:p>
    <w:p w14:paraId="77AF790D" w14:textId="77777777" w:rsidR="00DD1379" w:rsidRPr="00DD1379" w:rsidRDefault="00DD1379" w:rsidP="00DD1379">
      <w:pPr>
        <w:pStyle w:val="Bulletindent1"/>
      </w:pPr>
      <w:r w:rsidRPr="00DD1379">
        <w:lastRenderedPageBreak/>
        <w:t xml:space="preserve">Completion of work to deliver a 'cookie' banner for NICE services to meet a mandatory requirement enabling visitors to the website to select which cookies are applied to their visit; </w:t>
      </w:r>
    </w:p>
    <w:p w14:paraId="21C3D353" w14:textId="77777777" w:rsidR="00DD1379" w:rsidRPr="00DD1379" w:rsidRDefault="00DD1379" w:rsidP="00DD1379">
      <w:pPr>
        <w:pStyle w:val="Bulletindent1"/>
      </w:pPr>
      <w:r w:rsidRPr="00DD1379">
        <w:t>Planning for a piece of work to support a 'prototype' for an integrated guideline as part of the NICE Connect programme;</w:t>
      </w:r>
    </w:p>
    <w:p w14:paraId="708EDB69" w14:textId="77777777" w:rsidR="00DD1379" w:rsidRPr="00DD1379" w:rsidRDefault="00DD1379" w:rsidP="00DD1379">
      <w:pPr>
        <w:pStyle w:val="Bulletindent1"/>
      </w:pPr>
      <w:r w:rsidRPr="00DD1379">
        <w:t>Initial drafts of architectural diagrams and other artefacts to support the creation of an agreed digital and technology strategic roadmap for NICE;</w:t>
      </w:r>
    </w:p>
    <w:p w14:paraId="33843731" w14:textId="77220428" w:rsidR="00DD1379" w:rsidRPr="00DD1379" w:rsidRDefault="00DD1379" w:rsidP="00DD1379">
      <w:pPr>
        <w:pStyle w:val="Bulletindent1"/>
      </w:pPr>
      <w:r w:rsidRPr="00DD1379">
        <w:t xml:space="preserve">Ongoing preparation for the move of the NICE London Office to a new location shared with other Arm's Length Bodies (ALB's). This includes specification of the datacentre hosting requirements, development of a testing plan and </w:t>
      </w:r>
      <w:r w:rsidR="00DF6C0E">
        <w:t xml:space="preserve">planning </w:t>
      </w:r>
      <w:r w:rsidRPr="00DD1379">
        <w:t>the closure of IT services in the current NICE London office.</w:t>
      </w:r>
    </w:p>
    <w:p w14:paraId="283E4495" w14:textId="77777777" w:rsidR="00EB1C36" w:rsidRPr="00C30FD9" w:rsidRDefault="00EB1C36" w:rsidP="00EB1C36">
      <w:pPr>
        <w:pStyle w:val="Heading1boardreport"/>
      </w:pPr>
      <w:r>
        <w:t xml:space="preserve">Notable </w:t>
      </w:r>
      <w:r w:rsidRPr="00D959FE">
        <w:t>issues</w:t>
      </w:r>
      <w:r>
        <w:t xml:space="preserve"> and developments </w:t>
      </w:r>
    </w:p>
    <w:p w14:paraId="5F939435" w14:textId="77777777" w:rsidR="00EB1C36" w:rsidRDefault="00EB1C36" w:rsidP="00EB1C36">
      <w:pPr>
        <w:pStyle w:val="Heading2boardreport"/>
      </w:pPr>
      <w:r>
        <w:t>Ongoing response to COVID-19</w:t>
      </w:r>
    </w:p>
    <w:p w14:paraId="3BA98D72" w14:textId="0E62B34B" w:rsidR="00EB1C36" w:rsidRDefault="00F52A30" w:rsidP="00D453F6">
      <w:pPr>
        <w:pStyle w:val="NICEnormalnumbered"/>
      </w:pPr>
      <w:r>
        <w:t>Teams continue to support NICE's response to the COVID-19 pandemic. Notable activities in September and October include</w:t>
      </w:r>
    </w:p>
    <w:p w14:paraId="484E809E" w14:textId="66E7C9E1" w:rsidR="00F52A30" w:rsidRDefault="00F52A30" w:rsidP="00F52A30">
      <w:pPr>
        <w:pStyle w:val="Bulletindent1"/>
      </w:pPr>
      <w:r>
        <w:t>Upgrade of our Zoom account to support more effective meeting management with external stakeholders;</w:t>
      </w:r>
    </w:p>
    <w:p w14:paraId="6538AA82" w14:textId="65CCD200" w:rsidR="00F52A30" w:rsidRDefault="00F52A30" w:rsidP="00F52A30">
      <w:pPr>
        <w:pStyle w:val="Bulletindent1"/>
      </w:pPr>
      <w:r>
        <w:t>Ongoing roll out of laptops to provide stable and modern equipment to support home working</w:t>
      </w:r>
      <w:r w:rsidR="00DD1379">
        <w:t>;</w:t>
      </w:r>
    </w:p>
    <w:p w14:paraId="1125403B" w14:textId="7DA12EED" w:rsidR="00DD1379" w:rsidRPr="00D73C98" w:rsidRDefault="00DD1379" w:rsidP="00DD1379">
      <w:pPr>
        <w:pStyle w:val="Bulletindent1"/>
      </w:pPr>
      <w:r>
        <w:t xml:space="preserve">Piloting of Zoiper softphone application. </w:t>
      </w:r>
    </w:p>
    <w:p w14:paraId="72A4203C" w14:textId="13147B1B" w:rsidR="00EB1C36" w:rsidRDefault="00F52A30" w:rsidP="00EB1C36">
      <w:pPr>
        <w:pStyle w:val="Heading2boardreport"/>
      </w:pPr>
      <w:r>
        <w:t>Recruitment into the integrated DIT teams</w:t>
      </w:r>
    </w:p>
    <w:p w14:paraId="1D758520" w14:textId="26C7BA0C" w:rsidR="00EB1C36" w:rsidRDefault="00F52A30" w:rsidP="00D453F6">
      <w:pPr>
        <w:pStyle w:val="NICEnormalnumbered"/>
      </w:pPr>
      <w:r>
        <w:t xml:space="preserve">Following the creation of the DIT directorate, a number of priority vacancies have been launched for recruitment. New team members have joined to strengthen our expertise and IT infrastructure and further appointments made to provide specialist focus on our digital workplace programme. Recruitment into key strategic roles to support our data management and content engineering specialities, digital product design and many other areas are ongoing in the next period. </w:t>
      </w:r>
    </w:p>
    <w:p w14:paraId="57392637" w14:textId="73E95F28" w:rsidR="00FD60C8" w:rsidRDefault="00FD60C8" w:rsidP="00FD60C8">
      <w:pPr>
        <w:pStyle w:val="Heading1boardreport"/>
      </w:pPr>
      <w:r>
        <w:lastRenderedPageBreak/>
        <w:t>NICE web services - usage statistics</w:t>
      </w:r>
    </w:p>
    <w:p w14:paraId="7B0988B1" w14:textId="69D558B2" w:rsidR="00843435" w:rsidRDefault="00FD60C8" w:rsidP="00EE4D3F">
      <w:pPr>
        <w:pStyle w:val="NICEnormalnumbered"/>
      </w:pPr>
      <w:r w:rsidRPr="00FD60C8">
        <w:t xml:space="preserve">Summary: </w:t>
      </w:r>
      <w:r w:rsidR="00EE4D3F">
        <w:t>a</w:t>
      </w:r>
      <w:r w:rsidR="00EE4D3F" w:rsidRPr="00EE4D3F">
        <w:t xml:space="preserve"> new cookie banner and policy was published on core NICE services in October </w:t>
      </w:r>
      <w:r w:rsidR="00EE4D3F">
        <w:t xml:space="preserve">in order </w:t>
      </w:r>
      <w:r w:rsidR="00EE4D3F" w:rsidRPr="00EE4D3F">
        <w:t>to be compliant with privacy legislation. This has an impact on the data we can collect and analyse going forwards</w:t>
      </w:r>
      <w:r w:rsidR="00EE4D3F">
        <w:t xml:space="preserve"> and means that some metrics, including the session totals </w:t>
      </w:r>
      <w:r w:rsidR="00DD1379">
        <w:t>referenced below</w:t>
      </w:r>
      <w:r w:rsidR="00EE4D3F">
        <w:t>, will be estimated from the subset of users who consent to cookie storage.</w:t>
      </w:r>
    </w:p>
    <w:p w14:paraId="5AF48122" w14:textId="6A56F793" w:rsidR="00FD60C8" w:rsidRPr="00FD60C8" w:rsidRDefault="00EE4D3F" w:rsidP="00FD60C8">
      <w:pPr>
        <w:pStyle w:val="NICEnormalnumbered"/>
      </w:pPr>
      <w:r w:rsidRPr="00EE4D3F">
        <w:t xml:space="preserve">All services show the expected </w:t>
      </w:r>
      <w:r>
        <w:t>increase in sessions</w:t>
      </w:r>
      <w:r w:rsidRPr="00EE4D3F">
        <w:t xml:space="preserve"> in September and October after </w:t>
      </w:r>
      <w:r w:rsidR="004F692A">
        <w:t xml:space="preserve">lower traffic over </w:t>
      </w:r>
      <w:r w:rsidRPr="00EE4D3F">
        <w:t>the summer period.</w:t>
      </w:r>
      <w:r w:rsidR="004F692A">
        <w:t xml:space="preserve"> NICE.org, CKS, BNF and </w:t>
      </w:r>
      <w:proofErr w:type="spellStart"/>
      <w:r w:rsidR="004F692A">
        <w:t>BNFc</w:t>
      </w:r>
      <w:proofErr w:type="spellEnd"/>
      <w:r w:rsidR="004F692A">
        <w:t xml:space="preserve"> continue to perform well, </w:t>
      </w:r>
      <w:r w:rsidR="000F4831">
        <w:t xml:space="preserve">with </w:t>
      </w:r>
      <w:proofErr w:type="spellStart"/>
      <w:r w:rsidR="000F4831">
        <w:t>BNFc</w:t>
      </w:r>
      <w:proofErr w:type="spellEnd"/>
      <w:r w:rsidR="000F4831">
        <w:t xml:space="preserve"> showing particularly strong performance in September and October 2020 compared with the same period in 2019. P</w:t>
      </w:r>
      <w:r w:rsidR="004F692A">
        <w:t xml:space="preserve">athways and HDAS </w:t>
      </w:r>
      <w:r w:rsidR="000F4831">
        <w:t xml:space="preserve">by contrast </w:t>
      </w:r>
      <w:r w:rsidR="004F692A">
        <w:t>show continued low traffic compared to last year's figures.</w:t>
      </w:r>
      <w:r w:rsidR="00AF7FBB">
        <w:t xml:space="preserve"> HDAS is not being actively developed due to the services scheduled decommissioning. </w:t>
      </w:r>
      <w:r w:rsidR="004F692A">
        <w:t xml:space="preserve"> Evidence search </w:t>
      </w:r>
      <w:r w:rsidR="000F4831">
        <w:t xml:space="preserve">traffic </w:t>
      </w:r>
      <w:r w:rsidR="004F692A">
        <w:t xml:space="preserve">dropped </w:t>
      </w:r>
      <w:r w:rsidR="000F4831">
        <w:t>by 9%</w:t>
      </w:r>
      <w:r w:rsidR="004F692A">
        <w:t xml:space="preserve"> in October after a sustained period of good performance.</w:t>
      </w:r>
      <w:r w:rsidR="000F4831" w:rsidRPr="00FD60C8" w:rsidDel="000F4831">
        <w:t xml:space="preserve"> </w:t>
      </w:r>
    </w:p>
    <w:p w14:paraId="01694B5F" w14:textId="58044882" w:rsidR="00394E5F" w:rsidRDefault="00394E5F">
      <w:pPr>
        <w:rPr>
          <w:rFonts w:ascii="Arial" w:hAnsi="Arial"/>
        </w:rPr>
      </w:pPr>
      <w:r>
        <w:br w:type="page"/>
      </w:r>
    </w:p>
    <w:p w14:paraId="1ADB9214" w14:textId="77777777" w:rsidR="00F2237A" w:rsidRDefault="00F2237A" w:rsidP="00394E5F">
      <w:pPr>
        <w:pStyle w:val="Caption"/>
        <w:sectPr w:rsidR="00F2237A" w:rsidSect="0017149E">
          <w:headerReference w:type="default" r:id="rId8"/>
          <w:footerReference w:type="default" r:id="rId9"/>
          <w:pgSz w:w="11906" w:h="16838"/>
          <w:pgMar w:top="1440" w:right="1440" w:bottom="1440" w:left="1440" w:header="708" w:footer="708" w:gutter="0"/>
          <w:cols w:space="708"/>
          <w:docGrid w:linePitch="360"/>
        </w:sectPr>
      </w:pPr>
    </w:p>
    <w:p w14:paraId="253A85FD" w14:textId="11BDB38D" w:rsidR="00ED0AD8" w:rsidRDefault="00394E5F" w:rsidP="00DD1379">
      <w:pPr>
        <w:pStyle w:val="Caption"/>
      </w:pPr>
      <w:r>
        <w:lastRenderedPageBreak/>
        <w:t>Figure</w:t>
      </w:r>
      <w:r w:rsidR="009B3641">
        <w:t>s</w:t>
      </w:r>
      <w:r>
        <w:t xml:space="preserve"> 1</w:t>
      </w:r>
      <w:r w:rsidR="009B3641">
        <w:t>-2</w:t>
      </w:r>
      <w:r>
        <w:t>: October 2020 sessions for all NICE web-based services</w:t>
      </w:r>
    </w:p>
    <w:p w14:paraId="359DE657" w14:textId="02DD848E" w:rsidR="008166A9" w:rsidRPr="008166A9" w:rsidRDefault="008166A9" w:rsidP="008166A9">
      <w:pPr>
        <w:pStyle w:val="NICEnormal"/>
      </w:pPr>
      <w:r w:rsidRPr="008166A9">
        <w:t>Note: A session is a period of activity by a user on a website. Session totals from Oct 2020 onwards are estimated from a sample and are rounded to the nearest 1,000 to reflect this reduced accuracy.</w:t>
      </w:r>
    </w:p>
    <w:tbl>
      <w:tblPr>
        <w:tblW w:w="9092" w:type="dxa"/>
        <w:tblLook w:val="04A0" w:firstRow="1" w:lastRow="0" w:firstColumn="1" w:lastColumn="0" w:noHBand="0" w:noVBand="1"/>
      </w:tblPr>
      <w:tblGrid>
        <w:gridCol w:w="7239"/>
        <w:gridCol w:w="1853"/>
      </w:tblGrid>
      <w:tr w:rsidR="007F5750" w14:paraId="24B619DC" w14:textId="77777777" w:rsidTr="007F5750">
        <w:trPr>
          <w:trHeight w:val="612"/>
        </w:trPr>
        <w:tc>
          <w:tcPr>
            <w:tcW w:w="7239" w:type="dxa"/>
            <w:tcBorders>
              <w:top w:val="single" w:sz="4" w:space="0" w:color="auto"/>
              <w:left w:val="single" w:sz="4" w:space="0" w:color="auto"/>
              <w:bottom w:val="single" w:sz="4" w:space="0" w:color="auto"/>
              <w:right w:val="single" w:sz="4" w:space="0" w:color="auto"/>
            </w:tcBorders>
            <w:shd w:val="clear" w:color="000000" w:fill="FFFFFF"/>
            <w:vAlign w:val="center"/>
          </w:tcPr>
          <w:p w14:paraId="3FF3A496" w14:textId="5E203234" w:rsidR="007F5750" w:rsidRPr="00ED0AD8" w:rsidRDefault="007F5750" w:rsidP="007F5750">
            <w:pPr>
              <w:pStyle w:val="Tableheadingboardreport"/>
            </w:pPr>
            <w:r>
              <w:t>Description</w:t>
            </w:r>
          </w:p>
        </w:tc>
        <w:tc>
          <w:tcPr>
            <w:tcW w:w="1853" w:type="dxa"/>
            <w:tcBorders>
              <w:top w:val="single" w:sz="4" w:space="0" w:color="auto"/>
              <w:left w:val="nil"/>
              <w:bottom w:val="single" w:sz="4" w:space="0" w:color="auto"/>
              <w:right w:val="single" w:sz="4" w:space="0" w:color="auto"/>
            </w:tcBorders>
            <w:shd w:val="clear" w:color="000000" w:fill="FFFFFF"/>
            <w:noWrap/>
            <w:vAlign w:val="center"/>
          </w:tcPr>
          <w:p w14:paraId="00FDD3E1" w14:textId="1EC3368A" w:rsidR="007F5750" w:rsidRPr="00ED0AD8" w:rsidRDefault="007F5750" w:rsidP="007F5750">
            <w:pPr>
              <w:pStyle w:val="Tableheadingboardreport"/>
            </w:pPr>
            <w:r>
              <w:t>Value</w:t>
            </w:r>
          </w:p>
        </w:tc>
      </w:tr>
      <w:tr w:rsidR="009B3641" w14:paraId="39D6DF05" w14:textId="77777777" w:rsidTr="007F5750">
        <w:trPr>
          <w:trHeight w:val="612"/>
        </w:trPr>
        <w:tc>
          <w:tcPr>
            <w:tcW w:w="72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E5C1C" w14:textId="77777777" w:rsidR="00ED0AD8" w:rsidRPr="00ED0AD8" w:rsidRDefault="00ED0AD8" w:rsidP="007F5750">
            <w:pPr>
              <w:pStyle w:val="Tabletext"/>
            </w:pPr>
            <w:r w:rsidRPr="00ED0AD8">
              <w:t>Total sessions in October 2020 across NICE web-based services</w:t>
            </w:r>
          </w:p>
        </w:tc>
        <w:tc>
          <w:tcPr>
            <w:tcW w:w="1853" w:type="dxa"/>
            <w:tcBorders>
              <w:top w:val="single" w:sz="4" w:space="0" w:color="auto"/>
              <w:left w:val="nil"/>
              <w:bottom w:val="single" w:sz="4" w:space="0" w:color="auto"/>
              <w:right w:val="single" w:sz="4" w:space="0" w:color="auto"/>
            </w:tcBorders>
            <w:shd w:val="clear" w:color="000000" w:fill="FFFFFF"/>
            <w:noWrap/>
            <w:vAlign w:val="center"/>
            <w:hideMark/>
          </w:tcPr>
          <w:p w14:paraId="4E309BD3" w14:textId="255CFE49" w:rsidR="00ED0AD8" w:rsidRPr="00ED0AD8" w:rsidRDefault="00ED0AD8" w:rsidP="007F5750">
            <w:pPr>
              <w:pStyle w:val="Tabletext"/>
            </w:pPr>
            <w:r w:rsidRPr="00ED0AD8">
              <w:t xml:space="preserve">6,516,000 </w:t>
            </w:r>
          </w:p>
        </w:tc>
      </w:tr>
      <w:tr w:rsidR="009B3641" w14:paraId="23ADF0BC" w14:textId="77777777" w:rsidTr="007F5750">
        <w:trPr>
          <w:trHeight w:val="612"/>
        </w:trPr>
        <w:tc>
          <w:tcPr>
            <w:tcW w:w="7239" w:type="dxa"/>
            <w:tcBorders>
              <w:top w:val="nil"/>
              <w:left w:val="single" w:sz="4" w:space="0" w:color="auto"/>
              <w:bottom w:val="single" w:sz="4" w:space="0" w:color="auto"/>
              <w:right w:val="single" w:sz="4" w:space="0" w:color="auto"/>
            </w:tcBorders>
            <w:shd w:val="clear" w:color="000000" w:fill="FFFFFF"/>
            <w:vAlign w:val="center"/>
            <w:hideMark/>
          </w:tcPr>
          <w:p w14:paraId="033695D7" w14:textId="77777777" w:rsidR="00ED0AD8" w:rsidRPr="00ED0AD8" w:rsidRDefault="00ED0AD8" w:rsidP="007F5750">
            <w:pPr>
              <w:pStyle w:val="Tabletext"/>
            </w:pPr>
            <w:r w:rsidRPr="00ED0AD8">
              <w:t>% year-on-year variance</w:t>
            </w:r>
          </w:p>
        </w:tc>
        <w:tc>
          <w:tcPr>
            <w:tcW w:w="1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F1678" w14:textId="77777777" w:rsidR="00ED0AD8" w:rsidRPr="00ED0AD8" w:rsidRDefault="00ED0AD8" w:rsidP="007F5750">
            <w:pPr>
              <w:pStyle w:val="Tabletext"/>
            </w:pPr>
            <w:r w:rsidRPr="00ED0AD8">
              <w:t>9%</w:t>
            </w:r>
          </w:p>
        </w:tc>
      </w:tr>
      <w:tr w:rsidR="009B3641" w14:paraId="163D907C" w14:textId="77777777" w:rsidTr="007F5750">
        <w:trPr>
          <w:trHeight w:val="612"/>
        </w:trPr>
        <w:tc>
          <w:tcPr>
            <w:tcW w:w="7239" w:type="dxa"/>
            <w:tcBorders>
              <w:top w:val="nil"/>
              <w:left w:val="single" w:sz="4" w:space="0" w:color="auto"/>
              <w:bottom w:val="single" w:sz="4" w:space="0" w:color="auto"/>
              <w:right w:val="single" w:sz="4" w:space="0" w:color="auto"/>
            </w:tcBorders>
            <w:shd w:val="clear" w:color="000000" w:fill="FFFFFF"/>
            <w:vAlign w:val="center"/>
            <w:hideMark/>
          </w:tcPr>
          <w:p w14:paraId="62F91F6E" w14:textId="77777777" w:rsidR="00ED0AD8" w:rsidRPr="00ED0AD8" w:rsidRDefault="00ED0AD8" w:rsidP="007F5750">
            <w:pPr>
              <w:pStyle w:val="Tabletext"/>
            </w:pPr>
            <w:r w:rsidRPr="00ED0AD8">
              <w:t>% month-on-month variance</w:t>
            </w:r>
          </w:p>
        </w:tc>
        <w:tc>
          <w:tcPr>
            <w:tcW w:w="1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7B593" w14:textId="77777777" w:rsidR="00ED0AD8" w:rsidRPr="00ED0AD8" w:rsidRDefault="00ED0AD8" w:rsidP="007F5750">
            <w:pPr>
              <w:pStyle w:val="Tabletext"/>
            </w:pPr>
            <w:r w:rsidRPr="00ED0AD8">
              <w:t>18%</w:t>
            </w:r>
          </w:p>
        </w:tc>
      </w:tr>
      <w:tr w:rsidR="009B3641" w14:paraId="7F9596C0" w14:textId="77777777" w:rsidTr="007F5750">
        <w:trPr>
          <w:trHeight w:val="612"/>
        </w:trPr>
        <w:tc>
          <w:tcPr>
            <w:tcW w:w="7239" w:type="dxa"/>
            <w:tcBorders>
              <w:top w:val="nil"/>
              <w:left w:val="single" w:sz="4" w:space="0" w:color="auto"/>
              <w:bottom w:val="single" w:sz="4" w:space="0" w:color="auto"/>
              <w:right w:val="single" w:sz="4" w:space="0" w:color="auto"/>
            </w:tcBorders>
            <w:shd w:val="clear" w:color="000000" w:fill="FFFFFF"/>
            <w:vAlign w:val="center"/>
            <w:hideMark/>
          </w:tcPr>
          <w:p w14:paraId="52DCB4D8" w14:textId="77777777" w:rsidR="00ED0AD8" w:rsidRPr="00ED0AD8" w:rsidRDefault="00ED0AD8" w:rsidP="007F5750">
            <w:pPr>
              <w:pStyle w:val="Tabletext"/>
            </w:pPr>
            <w:r w:rsidRPr="00ED0AD8">
              <w:t>Total sessions for the full year ending in October 2020 across NICE web-based services</w:t>
            </w:r>
          </w:p>
        </w:tc>
        <w:tc>
          <w:tcPr>
            <w:tcW w:w="1853" w:type="dxa"/>
            <w:tcBorders>
              <w:top w:val="nil"/>
              <w:left w:val="nil"/>
              <w:bottom w:val="single" w:sz="4" w:space="0" w:color="auto"/>
              <w:right w:val="single" w:sz="4" w:space="0" w:color="auto"/>
            </w:tcBorders>
            <w:shd w:val="clear" w:color="000000" w:fill="FFFFFF"/>
            <w:noWrap/>
            <w:vAlign w:val="center"/>
            <w:hideMark/>
          </w:tcPr>
          <w:p w14:paraId="7812AD77" w14:textId="7205AD56" w:rsidR="00ED0AD8" w:rsidRPr="00ED0AD8" w:rsidRDefault="00ED0AD8" w:rsidP="007F5750">
            <w:pPr>
              <w:pStyle w:val="Tabletext"/>
            </w:pPr>
            <w:r w:rsidRPr="00ED0AD8">
              <w:t xml:space="preserve">66,276,000 </w:t>
            </w:r>
          </w:p>
        </w:tc>
      </w:tr>
      <w:tr w:rsidR="009B3641" w14:paraId="19F3A575" w14:textId="77777777" w:rsidTr="007F5750">
        <w:trPr>
          <w:trHeight w:val="612"/>
        </w:trPr>
        <w:tc>
          <w:tcPr>
            <w:tcW w:w="7239" w:type="dxa"/>
            <w:tcBorders>
              <w:top w:val="nil"/>
              <w:left w:val="single" w:sz="4" w:space="0" w:color="auto"/>
              <w:bottom w:val="single" w:sz="4" w:space="0" w:color="auto"/>
              <w:right w:val="single" w:sz="4" w:space="0" w:color="auto"/>
            </w:tcBorders>
            <w:shd w:val="clear" w:color="000000" w:fill="FFFFFF"/>
            <w:vAlign w:val="center"/>
            <w:hideMark/>
          </w:tcPr>
          <w:p w14:paraId="28C552F1" w14:textId="77777777" w:rsidR="00ED0AD8" w:rsidRPr="00ED0AD8" w:rsidRDefault="00ED0AD8" w:rsidP="007F5750">
            <w:pPr>
              <w:pStyle w:val="Tabletext"/>
            </w:pPr>
            <w:r w:rsidRPr="00ED0AD8">
              <w:t>% year-on-year variance</w:t>
            </w:r>
          </w:p>
        </w:tc>
        <w:tc>
          <w:tcPr>
            <w:tcW w:w="18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B9F86" w14:textId="77777777" w:rsidR="00ED0AD8" w:rsidRPr="00ED0AD8" w:rsidRDefault="00ED0AD8" w:rsidP="007F5750">
            <w:pPr>
              <w:pStyle w:val="Tabletext"/>
            </w:pPr>
            <w:r w:rsidRPr="00ED0AD8">
              <w:t>8%</w:t>
            </w:r>
          </w:p>
        </w:tc>
      </w:tr>
    </w:tbl>
    <w:p w14:paraId="34035E59" w14:textId="2B3F7BBA" w:rsidR="00D253CE" w:rsidRDefault="00ED0AD8" w:rsidP="00DD1379">
      <w:pPr>
        <w:pStyle w:val="Caption"/>
      </w:pPr>
      <w:r w:rsidRPr="00ED0AD8">
        <w:rPr>
          <w:noProof/>
        </w:rPr>
        <w:drawing>
          <wp:inline distT="0" distB="0" distL="0" distR="0" wp14:anchorId="4C0E5D01" wp14:editId="5DB2EA2B">
            <wp:extent cx="5772150" cy="2533650"/>
            <wp:effectExtent l="0" t="0" r="0" b="0"/>
            <wp:docPr id="1" name="Chart 1" descr="The largest web-based service of NICE by session is the BNF website with near 2.6m sessions in October 2020. Next is the NICE.org website with over 1.9 million session in the same month.">
              <a:extLst xmlns:a="http://schemas.openxmlformats.org/drawingml/2006/main">
                <a:ext uri="{FF2B5EF4-FFF2-40B4-BE49-F238E27FC236}">
                  <a16:creationId xmlns:a16="http://schemas.microsoft.com/office/drawing/2014/main" id="{00000000-0008-0000-0100-000013000000}"/>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7A4784" w14:textId="70183141" w:rsidR="00970A69" w:rsidRDefault="00970A69" w:rsidP="00970A69">
      <w:pPr>
        <w:pStyle w:val="NICEnormal"/>
      </w:pPr>
    </w:p>
    <w:p w14:paraId="6B269082" w14:textId="4182BBD8" w:rsidR="00F86FC3" w:rsidRDefault="00F86FC3" w:rsidP="00970A69">
      <w:pPr>
        <w:pStyle w:val="NICEnormal"/>
      </w:pPr>
    </w:p>
    <w:p w14:paraId="4F6D279B" w14:textId="299552DB" w:rsidR="00F86FC3" w:rsidRDefault="00F86FC3" w:rsidP="00970A69">
      <w:pPr>
        <w:pStyle w:val="NICEnormal"/>
      </w:pPr>
    </w:p>
    <w:p w14:paraId="60986476" w14:textId="5152F8F4" w:rsidR="00F86FC3" w:rsidRDefault="00F86FC3" w:rsidP="00970A69">
      <w:pPr>
        <w:pStyle w:val="NICEnormal"/>
      </w:pPr>
    </w:p>
    <w:p w14:paraId="77258CAB" w14:textId="769268C4" w:rsidR="00F86FC3" w:rsidRDefault="00F86FC3" w:rsidP="00970A69">
      <w:pPr>
        <w:pStyle w:val="NICEnormal"/>
      </w:pPr>
    </w:p>
    <w:p w14:paraId="7DD0DCF3" w14:textId="7D0DDD87" w:rsidR="00F2237A" w:rsidRDefault="00394E5F" w:rsidP="00F2237A">
      <w:pPr>
        <w:pStyle w:val="Caption"/>
        <w:rPr>
          <w:noProof/>
        </w:rPr>
      </w:pPr>
      <w:r>
        <w:lastRenderedPageBreak/>
        <w:t>Figure</w:t>
      </w:r>
      <w:r w:rsidR="00F86FC3">
        <w:t>s</w:t>
      </w:r>
      <w:r>
        <w:t xml:space="preserve"> </w:t>
      </w:r>
      <w:r w:rsidR="00910D60">
        <w:t>3</w:t>
      </w:r>
      <w:r w:rsidR="00F86FC3">
        <w:t>-</w:t>
      </w:r>
      <w:r w:rsidR="00910D60">
        <w:t>6</w:t>
      </w:r>
      <w:r>
        <w:t xml:space="preserve">: </w:t>
      </w:r>
      <w:r w:rsidR="00F2237A">
        <w:t>Performance of web services providing access to NICE guidance</w:t>
      </w:r>
      <w:r w:rsidR="00F2237A" w:rsidRPr="00F2237A">
        <w:t xml:space="preserve"> and advi</w:t>
      </w:r>
      <w:r w:rsidR="00F2237A">
        <w:t>ce</w:t>
      </w:r>
    </w:p>
    <w:tbl>
      <w:tblPr>
        <w:tblW w:w="8951" w:type="dxa"/>
        <w:tblLook w:val="04A0" w:firstRow="1" w:lastRow="0" w:firstColumn="1" w:lastColumn="0" w:noHBand="0" w:noVBand="1"/>
      </w:tblPr>
      <w:tblGrid>
        <w:gridCol w:w="6181"/>
        <w:gridCol w:w="2770"/>
      </w:tblGrid>
      <w:tr w:rsidR="007F5750" w14:paraId="3F099434" w14:textId="77777777" w:rsidTr="00F86FC3">
        <w:trPr>
          <w:trHeight w:val="495"/>
        </w:trPr>
        <w:tc>
          <w:tcPr>
            <w:tcW w:w="6181" w:type="dxa"/>
            <w:tcBorders>
              <w:top w:val="single" w:sz="4" w:space="0" w:color="auto"/>
              <w:left w:val="single" w:sz="4" w:space="0" w:color="auto"/>
              <w:bottom w:val="single" w:sz="4" w:space="0" w:color="auto"/>
              <w:right w:val="nil"/>
            </w:tcBorders>
            <w:shd w:val="clear" w:color="auto" w:fill="auto"/>
            <w:noWrap/>
            <w:vAlign w:val="center"/>
          </w:tcPr>
          <w:p w14:paraId="484AC157" w14:textId="4B963FF3" w:rsidR="007F5750" w:rsidRPr="00970A69" w:rsidRDefault="007F5750" w:rsidP="007F5750">
            <w:pPr>
              <w:pStyle w:val="Tableheadingboardreport"/>
            </w:pPr>
            <w:r>
              <w:t>Description</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80B62" w14:textId="67681D55" w:rsidR="007F5750" w:rsidRPr="00970A69" w:rsidRDefault="007F5750" w:rsidP="007F5750">
            <w:pPr>
              <w:pStyle w:val="Tableheadingboardreport"/>
            </w:pPr>
            <w:r>
              <w:t>Value</w:t>
            </w:r>
          </w:p>
        </w:tc>
      </w:tr>
      <w:tr w:rsidR="00F86FC3" w14:paraId="4895ADF1" w14:textId="77777777" w:rsidTr="00F86FC3">
        <w:trPr>
          <w:trHeight w:val="495"/>
        </w:trPr>
        <w:tc>
          <w:tcPr>
            <w:tcW w:w="6181" w:type="dxa"/>
            <w:tcBorders>
              <w:top w:val="single" w:sz="4" w:space="0" w:color="auto"/>
              <w:left w:val="single" w:sz="4" w:space="0" w:color="auto"/>
              <w:bottom w:val="single" w:sz="4" w:space="0" w:color="auto"/>
              <w:right w:val="nil"/>
            </w:tcBorders>
            <w:shd w:val="clear" w:color="auto" w:fill="auto"/>
            <w:noWrap/>
            <w:vAlign w:val="center"/>
            <w:hideMark/>
          </w:tcPr>
          <w:p w14:paraId="3144DF18" w14:textId="77777777" w:rsidR="00970A69" w:rsidRPr="00970A69" w:rsidRDefault="00970A69" w:rsidP="007F5750">
            <w:pPr>
              <w:pStyle w:val="Tabletext"/>
            </w:pPr>
            <w:r w:rsidRPr="00970A69">
              <w:t>Total sessions on NICE.org in October 2020</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F6DD7" w14:textId="327F55E1" w:rsidR="00970A69" w:rsidRPr="00970A69" w:rsidRDefault="00970A69" w:rsidP="007F5750">
            <w:pPr>
              <w:pStyle w:val="Tabletext"/>
            </w:pPr>
            <w:r w:rsidRPr="00970A69">
              <w:t xml:space="preserve">1,903,000 </w:t>
            </w:r>
          </w:p>
        </w:tc>
      </w:tr>
      <w:tr w:rsidR="00F86FC3" w14:paraId="70092A6F" w14:textId="77777777" w:rsidTr="00F86FC3">
        <w:trPr>
          <w:trHeight w:val="495"/>
        </w:trPr>
        <w:tc>
          <w:tcPr>
            <w:tcW w:w="6181" w:type="dxa"/>
            <w:tcBorders>
              <w:top w:val="nil"/>
              <w:left w:val="single" w:sz="4" w:space="0" w:color="auto"/>
              <w:bottom w:val="single" w:sz="4" w:space="0" w:color="auto"/>
              <w:right w:val="single" w:sz="4" w:space="0" w:color="auto"/>
            </w:tcBorders>
            <w:shd w:val="clear" w:color="auto" w:fill="auto"/>
            <w:vAlign w:val="center"/>
            <w:hideMark/>
          </w:tcPr>
          <w:p w14:paraId="313ED26A" w14:textId="77777777" w:rsidR="00970A69" w:rsidRPr="00970A69" w:rsidRDefault="00970A69" w:rsidP="007F5750">
            <w:pPr>
              <w:pStyle w:val="Tabletext"/>
            </w:pPr>
            <w:r w:rsidRPr="00970A69">
              <w:t>% year-on-year variance</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AFA82" w14:textId="35247023" w:rsidR="00970A69" w:rsidRPr="00970A69" w:rsidRDefault="00970A69" w:rsidP="007F5750">
            <w:pPr>
              <w:pStyle w:val="Tabletext"/>
            </w:pPr>
            <w:r w:rsidRPr="00970A69">
              <w:t>4%</w:t>
            </w:r>
          </w:p>
        </w:tc>
      </w:tr>
      <w:tr w:rsidR="00F86FC3" w14:paraId="40503FED" w14:textId="77777777" w:rsidTr="00F86FC3">
        <w:trPr>
          <w:trHeight w:val="495"/>
        </w:trPr>
        <w:tc>
          <w:tcPr>
            <w:tcW w:w="6181" w:type="dxa"/>
            <w:tcBorders>
              <w:top w:val="nil"/>
              <w:left w:val="single" w:sz="4" w:space="0" w:color="auto"/>
              <w:bottom w:val="single" w:sz="4" w:space="0" w:color="auto"/>
              <w:right w:val="single" w:sz="4" w:space="0" w:color="auto"/>
            </w:tcBorders>
            <w:shd w:val="clear" w:color="auto" w:fill="auto"/>
            <w:vAlign w:val="center"/>
            <w:hideMark/>
          </w:tcPr>
          <w:p w14:paraId="2AADE308" w14:textId="77777777" w:rsidR="00970A69" w:rsidRPr="00970A69" w:rsidRDefault="00970A69" w:rsidP="007F5750">
            <w:pPr>
              <w:pStyle w:val="Tabletext"/>
            </w:pPr>
            <w:r w:rsidRPr="00970A69">
              <w:t>% month-on-month variance</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B6360" w14:textId="6E10261D" w:rsidR="00970A69" w:rsidRPr="00970A69" w:rsidRDefault="00970A69" w:rsidP="007F5750">
            <w:pPr>
              <w:pStyle w:val="Tabletext"/>
            </w:pPr>
            <w:r w:rsidRPr="00970A69">
              <w:t>19%</w:t>
            </w:r>
          </w:p>
        </w:tc>
      </w:tr>
      <w:tr w:rsidR="00F86FC3" w14:paraId="6A1E1B01" w14:textId="77777777" w:rsidTr="00F86FC3">
        <w:trPr>
          <w:trHeight w:val="495"/>
        </w:trPr>
        <w:tc>
          <w:tcPr>
            <w:tcW w:w="6181" w:type="dxa"/>
            <w:tcBorders>
              <w:top w:val="nil"/>
              <w:left w:val="single" w:sz="4" w:space="0" w:color="auto"/>
              <w:bottom w:val="single" w:sz="4" w:space="0" w:color="auto"/>
              <w:right w:val="single" w:sz="4" w:space="0" w:color="auto"/>
            </w:tcBorders>
            <w:shd w:val="clear" w:color="auto" w:fill="auto"/>
            <w:noWrap/>
            <w:vAlign w:val="center"/>
            <w:hideMark/>
          </w:tcPr>
          <w:p w14:paraId="61B15038" w14:textId="77777777" w:rsidR="00970A69" w:rsidRPr="00970A69" w:rsidRDefault="00970A69" w:rsidP="007F5750">
            <w:pPr>
              <w:pStyle w:val="Tabletext"/>
            </w:pPr>
            <w:r w:rsidRPr="00970A69">
              <w:t>Sessions on NICE.org in year ending October 2020</w:t>
            </w:r>
          </w:p>
        </w:tc>
        <w:tc>
          <w:tcPr>
            <w:tcW w:w="2770" w:type="dxa"/>
            <w:tcBorders>
              <w:top w:val="nil"/>
              <w:left w:val="nil"/>
              <w:bottom w:val="single" w:sz="4" w:space="0" w:color="auto"/>
              <w:right w:val="single" w:sz="4" w:space="0" w:color="auto"/>
            </w:tcBorders>
            <w:shd w:val="clear" w:color="auto" w:fill="auto"/>
            <w:noWrap/>
            <w:vAlign w:val="center"/>
            <w:hideMark/>
          </w:tcPr>
          <w:p w14:paraId="6A5F6E79" w14:textId="615D2964" w:rsidR="00970A69" w:rsidRPr="00970A69" w:rsidRDefault="00970A69" w:rsidP="007F5750">
            <w:pPr>
              <w:pStyle w:val="Tabletext"/>
            </w:pPr>
            <w:r w:rsidRPr="00970A69">
              <w:t xml:space="preserve">20,045,000 </w:t>
            </w:r>
          </w:p>
        </w:tc>
      </w:tr>
      <w:tr w:rsidR="00F86FC3" w14:paraId="3EC2A41B" w14:textId="77777777" w:rsidTr="00F86FC3">
        <w:trPr>
          <w:trHeight w:val="495"/>
        </w:trPr>
        <w:tc>
          <w:tcPr>
            <w:tcW w:w="6181" w:type="dxa"/>
            <w:tcBorders>
              <w:top w:val="nil"/>
              <w:left w:val="single" w:sz="4" w:space="0" w:color="auto"/>
              <w:bottom w:val="single" w:sz="4" w:space="0" w:color="auto"/>
              <w:right w:val="single" w:sz="4" w:space="0" w:color="auto"/>
            </w:tcBorders>
            <w:shd w:val="clear" w:color="auto" w:fill="auto"/>
            <w:noWrap/>
            <w:vAlign w:val="center"/>
            <w:hideMark/>
          </w:tcPr>
          <w:p w14:paraId="1FFEE9A7" w14:textId="6FB777C5" w:rsidR="00970A69" w:rsidRPr="00970A69" w:rsidRDefault="00970A69" w:rsidP="007F5750">
            <w:pPr>
              <w:pStyle w:val="Tabletext"/>
            </w:pPr>
            <w:r w:rsidRPr="00970A69">
              <w:t>% year-on-year variance</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681EA" w14:textId="34F65EAE" w:rsidR="00970A69" w:rsidRPr="00970A69" w:rsidRDefault="00970A69" w:rsidP="007F5750">
            <w:pPr>
              <w:pStyle w:val="Tabletext"/>
            </w:pPr>
            <w:r w:rsidRPr="00970A69">
              <w:t>2%</w:t>
            </w:r>
          </w:p>
        </w:tc>
      </w:tr>
    </w:tbl>
    <w:p w14:paraId="7EF1D15F" w14:textId="0D25733E" w:rsidR="00970A69" w:rsidRDefault="00F86FC3" w:rsidP="00970A69">
      <w:pPr>
        <w:pStyle w:val="NICEnormal"/>
      </w:pPr>
      <w:r w:rsidRPr="00F86FC3">
        <w:rPr>
          <w:noProof/>
        </w:rPr>
        <w:drawing>
          <wp:inline distT="0" distB="0" distL="0" distR="0" wp14:anchorId="2191C1E2" wp14:editId="711149FB">
            <wp:extent cx="5667375" cy="2114550"/>
            <wp:effectExtent l="0" t="0" r="9525" b="0"/>
            <wp:docPr id="2" name="Chart 2" descr="Traffic on the NICE.org website was up by 4% in October 2020 compared to October 2019. ">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8976" w:type="dxa"/>
        <w:tblLook w:val="04A0" w:firstRow="1" w:lastRow="0" w:firstColumn="1" w:lastColumn="0" w:noHBand="0" w:noVBand="1"/>
      </w:tblPr>
      <w:tblGrid>
        <w:gridCol w:w="6201"/>
        <w:gridCol w:w="2775"/>
      </w:tblGrid>
      <w:tr w:rsidR="007F5750" w14:paraId="7B529070" w14:textId="77777777" w:rsidTr="009B3641">
        <w:trPr>
          <w:trHeight w:val="526"/>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F82CC" w14:textId="1432E86F" w:rsidR="007F5750" w:rsidRPr="00970A69" w:rsidRDefault="007F5750" w:rsidP="007F5750">
            <w:pPr>
              <w:pStyle w:val="Tableheadingboardreport"/>
            </w:pPr>
            <w:r>
              <w:lastRenderedPageBreak/>
              <w:t>Description</w:t>
            </w:r>
          </w:p>
        </w:tc>
        <w:tc>
          <w:tcPr>
            <w:tcW w:w="2775" w:type="dxa"/>
            <w:tcBorders>
              <w:top w:val="single" w:sz="4" w:space="0" w:color="auto"/>
              <w:left w:val="nil"/>
              <w:bottom w:val="single" w:sz="4" w:space="0" w:color="auto"/>
              <w:right w:val="single" w:sz="4" w:space="0" w:color="auto"/>
            </w:tcBorders>
            <w:shd w:val="clear" w:color="auto" w:fill="auto"/>
            <w:noWrap/>
            <w:vAlign w:val="center"/>
          </w:tcPr>
          <w:p w14:paraId="6139A3EC" w14:textId="6B6E20FE" w:rsidR="007F5750" w:rsidRPr="00970A69" w:rsidRDefault="007F5750" w:rsidP="007F5750">
            <w:pPr>
              <w:pStyle w:val="Tableheadingboardreport"/>
            </w:pPr>
            <w:r>
              <w:t>Value</w:t>
            </w:r>
          </w:p>
        </w:tc>
      </w:tr>
      <w:tr w:rsidR="00A6545A" w14:paraId="38BDEDE4" w14:textId="77777777" w:rsidTr="009B3641">
        <w:trPr>
          <w:trHeight w:val="526"/>
        </w:trPr>
        <w:tc>
          <w:tcPr>
            <w:tcW w:w="6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B22E5" w14:textId="77777777" w:rsidR="00970A69" w:rsidRPr="00970A69" w:rsidRDefault="00970A69" w:rsidP="007F5750">
            <w:pPr>
              <w:pStyle w:val="Tabletext"/>
            </w:pPr>
            <w:r w:rsidRPr="00970A69">
              <w:t>Total sessions on Pathways in October 2020</w:t>
            </w:r>
          </w:p>
        </w:tc>
        <w:tc>
          <w:tcPr>
            <w:tcW w:w="2775" w:type="dxa"/>
            <w:tcBorders>
              <w:top w:val="single" w:sz="4" w:space="0" w:color="auto"/>
              <w:left w:val="nil"/>
              <w:bottom w:val="single" w:sz="4" w:space="0" w:color="auto"/>
              <w:right w:val="single" w:sz="4" w:space="0" w:color="auto"/>
            </w:tcBorders>
            <w:shd w:val="clear" w:color="auto" w:fill="auto"/>
            <w:noWrap/>
            <w:vAlign w:val="center"/>
            <w:hideMark/>
          </w:tcPr>
          <w:p w14:paraId="017676F3" w14:textId="0D7A87DA" w:rsidR="00970A69" w:rsidRPr="00970A69" w:rsidRDefault="00970A69" w:rsidP="007F5750">
            <w:pPr>
              <w:pStyle w:val="Tabletext"/>
            </w:pPr>
            <w:r w:rsidRPr="00970A69">
              <w:t xml:space="preserve">234,000 </w:t>
            </w:r>
          </w:p>
        </w:tc>
      </w:tr>
      <w:tr w:rsidR="00A6545A" w14:paraId="0A36C513" w14:textId="77777777" w:rsidTr="009B3641">
        <w:trPr>
          <w:trHeight w:val="526"/>
        </w:trPr>
        <w:tc>
          <w:tcPr>
            <w:tcW w:w="6201" w:type="dxa"/>
            <w:tcBorders>
              <w:top w:val="nil"/>
              <w:left w:val="single" w:sz="4" w:space="0" w:color="auto"/>
              <w:bottom w:val="single" w:sz="4" w:space="0" w:color="auto"/>
              <w:right w:val="single" w:sz="4" w:space="0" w:color="auto"/>
            </w:tcBorders>
            <w:shd w:val="clear" w:color="auto" w:fill="auto"/>
            <w:noWrap/>
            <w:vAlign w:val="center"/>
            <w:hideMark/>
          </w:tcPr>
          <w:p w14:paraId="695C24B6" w14:textId="77777777" w:rsidR="00970A69" w:rsidRPr="00970A69" w:rsidRDefault="00970A69" w:rsidP="007F5750">
            <w:pPr>
              <w:pStyle w:val="Tabletext"/>
            </w:pPr>
            <w:r w:rsidRPr="00970A69">
              <w:t>% year-on-year variance</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93A1B" w14:textId="77777777" w:rsidR="00970A69" w:rsidRPr="00970A69" w:rsidRDefault="00970A69" w:rsidP="007F5750">
            <w:pPr>
              <w:pStyle w:val="Tabletext"/>
            </w:pPr>
            <w:r w:rsidRPr="00970A69">
              <w:t>-7%</w:t>
            </w:r>
          </w:p>
        </w:tc>
      </w:tr>
      <w:tr w:rsidR="00A6545A" w14:paraId="2E544920" w14:textId="77777777" w:rsidTr="009B3641">
        <w:trPr>
          <w:trHeight w:val="526"/>
        </w:trPr>
        <w:tc>
          <w:tcPr>
            <w:tcW w:w="6201" w:type="dxa"/>
            <w:tcBorders>
              <w:top w:val="nil"/>
              <w:left w:val="single" w:sz="4" w:space="0" w:color="auto"/>
              <w:bottom w:val="single" w:sz="4" w:space="0" w:color="auto"/>
              <w:right w:val="single" w:sz="4" w:space="0" w:color="auto"/>
            </w:tcBorders>
            <w:shd w:val="clear" w:color="auto" w:fill="auto"/>
            <w:noWrap/>
            <w:vAlign w:val="center"/>
            <w:hideMark/>
          </w:tcPr>
          <w:p w14:paraId="72332445" w14:textId="77777777" w:rsidR="00970A69" w:rsidRPr="00970A69" w:rsidRDefault="00970A69" w:rsidP="007F5750">
            <w:pPr>
              <w:pStyle w:val="Tabletext"/>
            </w:pPr>
            <w:r w:rsidRPr="00970A69">
              <w:t>% month-on-month variance</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5803" w14:textId="77777777" w:rsidR="00970A69" w:rsidRPr="00970A69" w:rsidRDefault="00970A69" w:rsidP="007F5750">
            <w:pPr>
              <w:pStyle w:val="Tabletext"/>
            </w:pPr>
            <w:r w:rsidRPr="00970A69">
              <w:t>28%</w:t>
            </w:r>
          </w:p>
        </w:tc>
      </w:tr>
      <w:tr w:rsidR="00A6545A" w14:paraId="44880FAE" w14:textId="77777777" w:rsidTr="009B3641">
        <w:trPr>
          <w:trHeight w:val="526"/>
        </w:trPr>
        <w:tc>
          <w:tcPr>
            <w:tcW w:w="6201" w:type="dxa"/>
            <w:tcBorders>
              <w:top w:val="nil"/>
              <w:left w:val="single" w:sz="4" w:space="0" w:color="auto"/>
              <w:bottom w:val="single" w:sz="4" w:space="0" w:color="auto"/>
              <w:right w:val="single" w:sz="4" w:space="0" w:color="auto"/>
            </w:tcBorders>
            <w:shd w:val="clear" w:color="auto" w:fill="auto"/>
            <w:noWrap/>
            <w:vAlign w:val="center"/>
            <w:hideMark/>
          </w:tcPr>
          <w:p w14:paraId="728628E3" w14:textId="77777777" w:rsidR="00970A69" w:rsidRPr="00970A69" w:rsidRDefault="00970A69" w:rsidP="007F5750">
            <w:pPr>
              <w:pStyle w:val="Tabletext"/>
            </w:pPr>
            <w:r w:rsidRPr="00970A69">
              <w:t>Sessions on Pathways in year ending October 2020</w:t>
            </w:r>
          </w:p>
        </w:tc>
        <w:tc>
          <w:tcPr>
            <w:tcW w:w="2775" w:type="dxa"/>
            <w:tcBorders>
              <w:top w:val="nil"/>
              <w:left w:val="nil"/>
              <w:bottom w:val="single" w:sz="4" w:space="0" w:color="auto"/>
              <w:right w:val="single" w:sz="4" w:space="0" w:color="auto"/>
            </w:tcBorders>
            <w:shd w:val="clear" w:color="auto" w:fill="auto"/>
            <w:noWrap/>
            <w:vAlign w:val="center"/>
            <w:hideMark/>
          </w:tcPr>
          <w:p w14:paraId="1FDB8B9F" w14:textId="5760DB61" w:rsidR="00970A69" w:rsidRPr="00970A69" w:rsidRDefault="00970A69" w:rsidP="007F5750">
            <w:pPr>
              <w:pStyle w:val="Tabletext"/>
            </w:pPr>
            <w:r w:rsidRPr="00970A69">
              <w:t xml:space="preserve">2,403,000 </w:t>
            </w:r>
          </w:p>
        </w:tc>
      </w:tr>
      <w:tr w:rsidR="00A6545A" w14:paraId="118B7C58" w14:textId="77777777" w:rsidTr="009B3641">
        <w:trPr>
          <w:trHeight w:val="500"/>
        </w:trPr>
        <w:tc>
          <w:tcPr>
            <w:tcW w:w="6201" w:type="dxa"/>
            <w:tcBorders>
              <w:top w:val="nil"/>
              <w:left w:val="single" w:sz="4" w:space="0" w:color="auto"/>
              <w:bottom w:val="single" w:sz="4" w:space="0" w:color="auto"/>
              <w:right w:val="single" w:sz="4" w:space="0" w:color="auto"/>
            </w:tcBorders>
            <w:shd w:val="clear" w:color="auto" w:fill="auto"/>
            <w:noWrap/>
            <w:vAlign w:val="center"/>
            <w:hideMark/>
          </w:tcPr>
          <w:p w14:paraId="32CE538A" w14:textId="77777777" w:rsidR="00970A69" w:rsidRPr="00970A69" w:rsidRDefault="00970A69" w:rsidP="007F5750">
            <w:pPr>
              <w:pStyle w:val="Tabletext"/>
            </w:pPr>
            <w:r w:rsidRPr="00970A69">
              <w:t>% year-on-year variance</w:t>
            </w:r>
          </w:p>
        </w:tc>
        <w:tc>
          <w:tcPr>
            <w:tcW w:w="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799FE" w14:textId="7499FDBC" w:rsidR="00970A69" w:rsidRPr="00970A69" w:rsidRDefault="00970A69" w:rsidP="007F5750">
            <w:pPr>
              <w:pStyle w:val="Tabletext"/>
            </w:pPr>
            <w:r w:rsidRPr="00970A69">
              <w:t>-14%</w:t>
            </w:r>
          </w:p>
        </w:tc>
      </w:tr>
    </w:tbl>
    <w:p w14:paraId="78F65301" w14:textId="2EAF0A16" w:rsidR="00970A69" w:rsidRPr="00970A69" w:rsidRDefault="00F86FC3" w:rsidP="00970A69">
      <w:pPr>
        <w:pStyle w:val="NICEnormal"/>
      </w:pPr>
      <w:r w:rsidRPr="00F86FC3">
        <w:rPr>
          <w:noProof/>
        </w:rPr>
        <w:drawing>
          <wp:inline distT="0" distB="0" distL="0" distR="0" wp14:anchorId="0C22ABE3" wp14:editId="19C03A7B">
            <wp:extent cx="5676900" cy="2228850"/>
            <wp:effectExtent l="0" t="0" r="0" b="0"/>
            <wp:docPr id="3" name="Chart 3" descr="Traffic on Pathways was down by 7% in October 2020 compared to October 2019, continuing a period of poor year-on-year performance.">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A84D84" w14:textId="34C52DDC" w:rsidR="00D418D5" w:rsidRDefault="00D418D5" w:rsidP="00DD1379">
      <w:pPr>
        <w:pStyle w:val="Caption"/>
        <w:rPr>
          <w:noProof/>
        </w:rPr>
      </w:pPr>
      <w:r>
        <w:t>Figure</w:t>
      </w:r>
      <w:r w:rsidR="00F86FC3">
        <w:t>s</w:t>
      </w:r>
      <w:r>
        <w:t xml:space="preserve"> </w:t>
      </w:r>
      <w:r w:rsidR="00910D60">
        <w:t>7</w:t>
      </w:r>
      <w:r w:rsidR="00F86FC3">
        <w:t>-1</w:t>
      </w:r>
      <w:r w:rsidR="00910D60">
        <w:t>2</w:t>
      </w:r>
      <w:r>
        <w:t>: Performance of services that provide access to other forms of evidence</w:t>
      </w:r>
    </w:p>
    <w:tbl>
      <w:tblPr>
        <w:tblW w:w="8838" w:type="dxa"/>
        <w:tblLook w:val="04A0" w:firstRow="1" w:lastRow="0" w:firstColumn="1" w:lastColumn="0" w:noHBand="0" w:noVBand="1"/>
      </w:tblPr>
      <w:tblGrid>
        <w:gridCol w:w="6320"/>
        <w:gridCol w:w="2518"/>
      </w:tblGrid>
      <w:tr w:rsidR="007F5750" w14:paraId="033A5758" w14:textId="77777777" w:rsidTr="007E311F">
        <w:trPr>
          <w:trHeight w:val="389"/>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76233" w14:textId="000BA140" w:rsidR="007F5750" w:rsidRPr="00F86FC3" w:rsidRDefault="007F5750" w:rsidP="007F5750">
            <w:pPr>
              <w:pStyle w:val="Tableheadingboardreport"/>
            </w:pPr>
            <w:r>
              <w:t>Description</w:t>
            </w: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6EDF2FD1" w14:textId="5657B30A" w:rsidR="007F5750" w:rsidRPr="00F86FC3" w:rsidRDefault="007F5750" w:rsidP="007F5750">
            <w:pPr>
              <w:pStyle w:val="Tableheadingboardreport"/>
            </w:pPr>
            <w:r>
              <w:t>Value</w:t>
            </w:r>
          </w:p>
        </w:tc>
      </w:tr>
      <w:tr w:rsidR="007E311F" w14:paraId="7F7DDFF7" w14:textId="77777777" w:rsidTr="007E311F">
        <w:trPr>
          <w:trHeight w:val="389"/>
        </w:trPr>
        <w:tc>
          <w:tcPr>
            <w:tcW w:w="6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44BDF" w14:textId="77777777" w:rsidR="00F86FC3" w:rsidRPr="00F86FC3" w:rsidRDefault="00F86FC3" w:rsidP="007F5750">
            <w:pPr>
              <w:pStyle w:val="Tabletext"/>
            </w:pPr>
            <w:r w:rsidRPr="00F86FC3">
              <w:t>Total sessions on Evidence Search in October 2020</w:t>
            </w: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785F6A4C" w14:textId="0E66FEC0" w:rsidR="00F86FC3" w:rsidRPr="00F86FC3" w:rsidRDefault="00F86FC3" w:rsidP="007F5750">
            <w:pPr>
              <w:pStyle w:val="Tabletext"/>
            </w:pPr>
            <w:r w:rsidRPr="00F86FC3">
              <w:t xml:space="preserve">371,000 </w:t>
            </w:r>
          </w:p>
        </w:tc>
      </w:tr>
      <w:tr w:rsidR="007E311F" w14:paraId="46A6129C" w14:textId="77777777" w:rsidTr="007E311F">
        <w:trPr>
          <w:trHeight w:val="389"/>
        </w:trPr>
        <w:tc>
          <w:tcPr>
            <w:tcW w:w="6320" w:type="dxa"/>
            <w:tcBorders>
              <w:top w:val="nil"/>
              <w:left w:val="single" w:sz="4" w:space="0" w:color="auto"/>
              <w:bottom w:val="single" w:sz="4" w:space="0" w:color="auto"/>
              <w:right w:val="single" w:sz="4" w:space="0" w:color="auto"/>
            </w:tcBorders>
            <w:shd w:val="clear" w:color="auto" w:fill="auto"/>
            <w:noWrap/>
            <w:vAlign w:val="center"/>
            <w:hideMark/>
          </w:tcPr>
          <w:p w14:paraId="1B05F866" w14:textId="77777777" w:rsidR="00F86FC3" w:rsidRPr="00F86FC3" w:rsidRDefault="00F86FC3" w:rsidP="007F5750">
            <w:pPr>
              <w:pStyle w:val="Tabletext"/>
            </w:pPr>
            <w:r w:rsidRPr="00F86FC3">
              <w:t>% year-on-year variance</w:t>
            </w: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729A9" w14:textId="77777777" w:rsidR="00F86FC3" w:rsidRPr="00F86FC3" w:rsidRDefault="00F86FC3" w:rsidP="007F5750">
            <w:pPr>
              <w:pStyle w:val="Tabletext"/>
            </w:pPr>
            <w:r w:rsidRPr="00F86FC3">
              <w:t>-9%</w:t>
            </w:r>
          </w:p>
        </w:tc>
      </w:tr>
      <w:tr w:rsidR="007E311F" w14:paraId="5D9C07EF" w14:textId="77777777" w:rsidTr="007E311F">
        <w:trPr>
          <w:trHeight w:val="389"/>
        </w:trPr>
        <w:tc>
          <w:tcPr>
            <w:tcW w:w="6320" w:type="dxa"/>
            <w:tcBorders>
              <w:top w:val="nil"/>
              <w:left w:val="single" w:sz="4" w:space="0" w:color="auto"/>
              <w:bottom w:val="single" w:sz="4" w:space="0" w:color="auto"/>
              <w:right w:val="single" w:sz="4" w:space="0" w:color="auto"/>
            </w:tcBorders>
            <w:shd w:val="clear" w:color="auto" w:fill="auto"/>
            <w:noWrap/>
            <w:vAlign w:val="center"/>
            <w:hideMark/>
          </w:tcPr>
          <w:p w14:paraId="6C24B8D2" w14:textId="77777777" w:rsidR="00F86FC3" w:rsidRPr="00F86FC3" w:rsidRDefault="00F86FC3" w:rsidP="007F5750">
            <w:pPr>
              <w:pStyle w:val="Tabletext"/>
            </w:pPr>
            <w:r w:rsidRPr="00F86FC3">
              <w:t>% month-on-month variance</w:t>
            </w: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33B6F" w14:textId="77777777" w:rsidR="00F86FC3" w:rsidRPr="00F86FC3" w:rsidRDefault="00F86FC3" w:rsidP="007F5750">
            <w:pPr>
              <w:pStyle w:val="Tabletext"/>
            </w:pPr>
            <w:r w:rsidRPr="00F86FC3">
              <w:t>16%</w:t>
            </w:r>
          </w:p>
        </w:tc>
      </w:tr>
      <w:tr w:rsidR="007E311F" w14:paraId="3807F149" w14:textId="77777777" w:rsidTr="007E311F">
        <w:trPr>
          <w:trHeight w:val="389"/>
        </w:trPr>
        <w:tc>
          <w:tcPr>
            <w:tcW w:w="6320" w:type="dxa"/>
            <w:tcBorders>
              <w:top w:val="nil"/>
              <w:left w:val="single" w:sz="4" w:space="0" w:color="auto"/>
              <w:bottom w:val="single" w:sz="4" w:space="0" w:color="auto"/>
              <w:right w:val="single" w:sz="4" w:space="0" w:color="auto"/>
            </w:tcBorders>
            <w:shd w:val="clear" w:color="auto" w:fill="auto"/>
            <w:noWrap/>
            <w:vAlign w:val="center"/>
            <w:hideMark/>
          </w:tcPr>
          <w:p w14:paraId="45E94A45" w14:textId="77777777" w:rsidR="00F86FC3" w:rsidRPr="00F86FC3" w:rsidRDefault="00F86FC3" w:rsidP="007F5750">
            <w:pPr>
              <w:pStyle w:val="Tabletext"/>
            </w:pPr>
            <w:r w:rsidRPr="00F86FC3">
              <w:t>Sessions on Evidence Search in year ending October 2020</w:t>
            </w:r>
          </w:p>
        </w:tc>
        <w:tc>
          <w:tcPr>
            <w:tcW w:w="2518" w:type="dxa"/>
            <w:tcBorders>
              <w:top w:val="nil"/>
              <w:left w:val="nil"/>
              <w:bottom w:val="single" w:sz="4" w:space="0" w:color="auto"/>
              <w:right w:val="single" w:sz="4" w:space="0" w:color="auto"/>
            </w:tcBorders>
            <w:shd w:val="clear" w:color="auto" w:fill="auto"/>
            <w:noWrap/>
            <w:vAlign w:val="center"/>
            <w:hideMark/>
          </w:tcPr>
          <w:p w14:paraId="21D308DE" w14:textId="2047B33D" w:rsidR="00F86FC3" w:rsidRPr="00F86FC3" w:rsidRDefault="00F86FC3" w:rsidP="007F5750">
            <w:pPr>
              <w:pStyle w:val="Tabletext"/>
            </w:pPr>
            <w:r w:rsidRPr="00F86FC3">
              <w:t xml:space="preserve">4,694,000 </w:t>
            </w:r>
          </w:p>
        </w:tc>
      </w:tr>
      <w:tr w:rsidR="007E311F" w14:paraId="43115AA9" w14:textId="77777777" w:rsidTr="007E311F">
        <w:trPr>
          <w:trHeight w:val="389"/>
        </w:trPr>
        <w:tc>
          <w:tcPr>
            <w:tcW w:w="6320" w:type="dxa"/>
            <w:tcBorders>
              <w:top w:val="nil"/>
              <w:left w:val="single" w:sz="4" w:space="0" w:color="auto"/>
              <w:bottom w:val="single" w:sz="4" w:space="0" w:color="auto"/>
              <w:right w:val="single" w:sz="4" w:space="0" w:color="auto"/>
            </w:tcBorders>
            <w:shd w:val="clear" w:color="auto" w:fill="auto"/>
            <w:noWrap/>
            <w:vAlign w:val="center"/>
            <w:hideMark/>
          </w:tcPr>
          <w:p w14:paraId="23C03FAF" w14:textId="77777777" w:rsidR="00F86FC3" w:rsidRPr="00F86FC3" w:rsidRDefault="00F86FC3" w:rsidP="007F5750">
            <w:pPr>
              <w:pStyle w:val="Tabletext"/>
            </w:pPr>
            <w:r w:rsidRPr="00F86FC3">
              <w:t>% year-on-year variance</w:t>
            </w: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7DEF6" w14:textId="77777777" w:rsidR="00F86FC3" w:rsidRPr="00F86FC3" w:rsidRDefault="00F86FC3" w:rsidP="007F5750">
            <w:pPr>
              <w:pStyle w:val="Tabletext"/>
            </w:pPr>
            <w:r w:rsidRPr="00F86FC3">
              <w:t>17%</w:t>
            </w:r>
          </w:p>
        </w:tc>
      </w:tr>
    </w:tbl>
    <w:p w14:paraId="31C429FE" w14:textId="3423F0C5" w:rsidR="00F86FC3" w:rsidRDefault="007E311F" w:rsidP="00F86FC3">
      <w:pPr>
        <w:pStyle w:val="NICEnormal"/>
      </w:pPr>
      <w:r w:rsidRPr="007E311F">
        <w:rPr>
          <w:noProof/>
        </w:rPr>
        <w:drawing>
          <wp:inline distT="0" distB="0" distL="0" distR="0" wp14:anchorId="61D88F1B" wp14:editId="08B64057">
            <wp:extent cx="5600700" cy="1952625"/>
            <wp:effectExtent l="0" t="0" r="0" b="9525"/>
            <wp:docPr id="4" name="Chart 4" descr="Traffic on the Evidence Search fell in October 2020 to 9% lower than October 2019. ">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8863" w:type="dxa"/>
        <w:tblLook w:val="04A0" w:firstRow="1" w:lastRow="0" w:firstColumn="1" w:lastColumn="0" w:noHBand="0" w:noVBand="1"/>
      </w:tblPr>
      <w:tblGrid>
        <w:gridCol w:w="6337"/>
        <w:gridCol w:w="2526"/>
      </w:tblGrid>
      <w:tr w:rsidR="007F5750" w14:paraId="0BA44FC2" w14:textId="77777777" w:rsidTr="007E311F">
        <w:trPr>
          <w:trHeight w:val="393"/>
        </w:trPr>
        <w:tc>
          <w:tcPr>
            <w:tcW w:w="63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C4052" w14:textId="5935CD32" w:rsidR="007F5750" w:rsidRPr="00F86FC3" w:rsidRDefault="007F5750" w:rsidP="007F5750">
            <w:pPr>
              <w:pStyle w:val="Tableheadingboardreport"/>
            </w:pPr>
            <w:r>
              <w:lastRenderedPageBreak/>
              <w:t>Description</w:t>
            </w:r>
          </w:p>
        </w:tc>
        <w:tc>
          <w:tcPr>
            <w:tcW w:w="2526" w:type="dxa"/>
            <w:tcBorders>
              <w:top w:val="single" w:sz="4" w:space="0" w:color="auto"/>
              <w:left w:val="nil"/>
              <w:bottom w:val="single" w:sz="4" w:space="0" w:color="auto"/>
              <w:right w:val="single" w:sz="4" w:space="0" w:color="auto"/>
            </w:tcBorders>
            <w:shd w:val="clear" w:color="auto" w:fill="auto"/>
            <w:noWrap/>
            <w:vAlign w:val="center"/>
          </w:tcPr>
          <w:p w14:paraId="4F6C5FCE" w14:textId="2BC04AAD" w:rsidR="007F5750" w:rsidRPr="00F86FC3" w:rsidRDefault="007F5750" w:rsidP="007F5750">
            <w:pPr>
              <w:pStyle w:val="Tableheadingboardreport"/>
            </w:pPr>
            <w:r>
              <w:t>Value</w:t>
            </w:r>
          </w:p>
        </w:tc>
      </w:tr>
      <w:tr w:rsidR="00F86FC3" w14:paraId="3A5A26CD" w14:textId="77777777" w:rsidTr="007E311F">
        <w:trPr>
          <w:trHeight w:val="393"/>
        </w:trPr>
        <w:tc>
          <w:tcPr>
            <w:tcW w:w="6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AF3FD" w14:textId="77777777" w:rsidR="00F86FC3" w:rsidRPr="00F86FC3" w:rsidRDefault="00F86FC3" w:rsidP="007F5750">
            <w:pPr>
              <w:pStyle w:val="Tabletext"/>
            </w:pPr>
            <w:r w:rsidRPr="00F86FC3">
              <w:t>Total sessions on CKS in October 2020</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452F158A" w14:textId="2A424FCF" w:rsidR="00F86FC3" w:rsidRPr="00F86FC3" w:rsidRDefault="00F86FC3" w:rsidP="007F5750">
            <w:pPr>
              <w:pStyle w:val="Tabletext"/>
            </w:pPr>
            <w:r w:rsidRPr="00F86FC3">
              <w:t xml:space="preserve">1,140,000 </w:t>
            </w:r>
          </w:p>
        </w:tc>
      </w:tr>
      <w:tr w:rsidR="00F86FC3" w14:paraId="7B887A94" w14:textId="77777777" w:rsidTr="007E311F">
        <w:trPr>
          <w:trHeight w:val="393"/>
        </w:trPr>
        <w:tc>
          <w:tcPr>
            <w:tcW w:w="6337" w:type="dxa"/>
            <w:tcBorders>
              <w:top w:val="nil"/>
              <w:left w:val="single" w:sz="4" w:space="0" w:color="auto"/>
              <w:bottom w:val="single" w:sz="4" w:space="0" w:color="auto"/>
              <w:right w:val="single" w:sz="4" w:space="0" w:color="auto"/>
            </w:tcBorders>
            <w:shd w:val="clear" w:color="auto" w:fill="auto"/>
            <w:noWrap/>
            <w:vAlign w:val="center"/>
            <w:hideMark/>
          </w:tcPr>
          <w:p w14:paraId="2F8F4DE1" w14:textId="77777777" w:rsidR="00F86FC3" w:rsidRPr="00F86FC3" w:rsidRDefault="00F86FC3" w:rsidP="007F5750">
            <w:pPr>
              <w:pStyle w:val="Tabletext"/>
            </w:pPr>
            <w:r w:rsidRPr="00F86FC3">
              <w:t>% year-on-year variance</w:t>
            </w:r>
          </w:p>
        </w:tc>
        <w:tc>
          <w:tcPr>
            <w:tcW w:w="2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B8E8D" w14:textId="77777777" w:rsidR="00F86FC3" w:rsidRPr="00F86FC3" w:rsidRDefault="00F86FC3" w:rsidP="007F5750">
            <w:pPr>
              <w:pStyle w:val="Tabletext"/>
            </w:pPr>
            <w:r w:rsidRPr="00F86FC3">
              <w:t>13%</w:t>
            </w:r>
          </w:p>
        </w:tc>
      </w:tr>
      <w:tr w:rsidR="00F86FC3" w14:paraId="63F453D2" w14:textId="77777777" w:rsidTr="007E311F">
        <w:trPr>
          <w:trHeight w:val="393"/>
        </w:trPr>
        <w:tc>
          <w:tcPr>
            <w:tcW w:w="6337" w:type="dxa"/>
            <w:tcBorders>
              <w:top w:val="nil"/>
              <w:left w:val="single" w:sz="4" w:space="0" w:color="auto"/>
              <w:bottom w:val="single" w:sz="4" w:space="0" w:color="auto"/>
              <w:right w:val="single" w:sz="4" w:space="0" w:color="auto"/>
            </w:tcBorders>
            <w:shd w:val="clear" w:color="auto" w:fill="auto"/>
            <w:noWrap/>
            <w:vAlign w:val="center"/>
            <w:hideMark/>
          </w:tcPr>
          <w:p w14:paraId="3DD38B48" w14:textId="77777777" w:rsidR="00F86FC3" w:rsidRPr="00F86FC3" w:rsidRDefault="00F86FC3" w:rsidP="007F5750">
            <w:pPr>
              <w:pStyle w:val="Tabletext"/>
            </w:pPr>
            <w:r w:rsidRPr="00F86FC3">
              <w:t>% month-on-month variance</w:t>
            </w:r>
          </w:p>
        </w:tc>
        <w:tc>
          <w:tcPr>
            <w:tcW w:w="2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32B62" w14:textId="77777777" w:rsidR="00F86FC3" w:rsidRPr="00F86FC3" w:rsidRDefault="00F86FC3" w:rsidP="007F5750">
            <w:pPr>
              <w:pStyle w:val="Tabletext"/>
            </w:pPr>
            <w:r w:rsidRPr="00F86FC3">
              <w:t>16%</w:t>
            </w:r>
          </w:p>
        </w:tc>
      </w:tr>
      <w:tr w:rsidR="00F86FC3" w14:paraId="7CD386FD" w14:textId="77777777" w:rsidTr="007E311F">
        <w:trPr>
          <w:trHeight w:val="393"/>
        </w:trPr>
        <w:tc>
          <w:tcPr>
            <w:tcW w:w="6337" w:type="dxa"/>
            <w:tcBorders>
              <w:top w:val="nil"/>
              <w:left w:val="single" w:sz="4" w:space="0" w:color="auto"/>
              <w:bottom w:val="single" w:sz="4" w:space="0" w:color="auto"/>
              <w:right w:val="single" w:sz="4" w:space="0" w:color="auto"/>
            </w:tcBorders>
            <w:shd w:val="clear" w:color="auto" w:fill="auto"/>
            <w:noWrap/>
            <w:vAlign w:val="center"/>
            <w:hideMark/>
          </w:tcPr>
          <w:p w14:paraId="2F409DFF" w14:textId="77777777" w:rsidR="00F86FC3" w:rsidRPr="00F86FC3" w:rsidRDefault="00F86FC3" w:rsidP="007F5750">
            <w:pPr>
              <w:pStyle w:val="Tabletext"/>
            </w:pPr>
            <w:r w:rsidRPr="00F86FC3">
              <w:t>Sessions on CKS in year ending October 2020</w:t>
            </w:r>
          </w:p>
        </w:tc>
        <w:tc>
          <w:tcPr>
            <w:tcW w:w="2526" w:type="dxa"/>
            <w:tcBorders>
              <w:top w:val="nil"/>
              <w:left w:val="nil"/>
              <w:bottom w:val="single" w:sz="4" w:space="0" w:color="auto"/>
              <w:right w:val="single" w:sz="4" w:space="0" w:color="auto"/>
            </w:tcBorders>
            <w:shd w:val="clear" w:color="auto" w:fill="auto"/>
            <w:noWrap/>
            <w:vAlign w:val="center"/>
            <w:hideMark/>
          </w:tcPr>
          <w:p w14:paraId="5CF9F908" w14:textId="4CFC85AD" w:rsidR="00F86FC3" w:rsidRPr="00F86FC3" w:rsidRDefault="00F86FC3" w:rsidP="007F5750">
            <w:pPr>
              <w:pStyle w:val="Tabletext"/>
            </w:pPr>
            <w:r w:rsidRPr="00F86FC3">
              <w:t xml:space="preserve">10,939,000 </w:t>
            </w:r>
          </w:p>
        </w:tc>
      </w:tr>
      <w:tr w:rsidR="00F86FC3" w14:paraId="4EF6EA86" w14:textId="77777777" w:rsidTr="007E311F">
        <w:trPr>
          <w:trHeight w:val="393"/>
        </w:trPr>
        <w:tc>
          <w:tcPr>
            <w:tcW w:w="6337" w:type="dxa"/>
            <w:tcBorders>
              <w:top w:val="nil"/>
              <w:left w:val="single" w:sz="4" w:space="0" w:color="auto"/>
              <w:bottom w:val="single" w:sz="4" w:space="0" w:color="auto"/>
              <w:right w:val="single" w:sz="4" w:space="0" w:color="auto"/>
            </w:tcBorders>
            <w:shd w:val="clear" w:color="auto" w:fill="auto"/>
            <w:noWrap/>
            <w:vAlign w:val="center"/>
            <w:hideMark/>
          </w:tcPr>
          <w:p w14:paraId="59EE8501" w14:textId="77777777" w:rsidR="00F86FC3" w:rsidRPr="00F86FC3" w:rsidRDefault="00F86FC3" w:rsidP="007F5750">
            <w:pPr>
              <w:pStyle w:val="Tabletext"/>
            </w:pPr>
            <w:r w:rsidRPr="00F86FC3">
              <w:t>% year-on-year variance</w:t>
            </w:r>
          </w:p>
        </w:tc>
        <w:tc>
          <w:tcPr>
            <w:tcW w:w="2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16330" w14:textId="77777777" w:rsidR="00F86FC3" w:rsidRPr="00F86FC3" w:rsidRDefault="00F86FC3" w:rsidP="007F5750">
            <w:pPr>
              <w:pStyle w:val="Tabletext"/>
            </w:pPr>
            <w:r w:rsidRPr="00F86FC3">
              <w:t>11%</w:t>
            </w:r>
          </w:p>
        </w:tc>
      </w:tr>
    </w:tbl>
    <w:p w14:paraId="77C2FFD0" w14:textId="08ECB2B2" w:rsidR="00F86FC3" w:rsidRDefault="007E311F" w:rsidP="00F86FC3">
      <w:pPr>
        <w:pStyle w:val="NICEnormal"/>
      </w:pPr>
      <w:r w:rsidRPr="007E311F">
        <w:rPr>
          <w:noProof/>
        </w:rPr>
        <w:drawing>
          <wp:inline distT="0" distB="0" distL="0" distR="0" wp14:anchorId="04C2E919" wp14:editId="2141011A">
            <wp:extent cx="5619750" cy="2200275"/>
            <wp:effectExtent l="0" t="0" r="0" b="9525"/>
            <wp:docPr id="5" name="Chart 5" descr="Traffic on the CKS website was up by 13% in October 2020 compared to October 2019. ">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8975" w:type="dxa"/>
        <w:tblLook w:val="04A0" w:firstRow="1" w:lastRow="0" w:firstColumn="1" w:lastColumn="0" w:noHBand="0" w:noVBand="1"/>
      </w:tblPr>
      <w:tblGrid>
        <w:gridCol w:w="6374"/>
        <w:gridCol w:w="2601"/>
      </w:tblGrid>
      <w:tr w:rsidR="007F5750" w14:paraId="1DA84F8A" w14:textId="77777777" w:rsidTr="007E311F">
        <w:trPr>
          <w:trHeight w:val="403"/>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840E" w14:textId="000DD2CF" w:rsidR="007F5750" w:rsidRPr="007E311F" w:rsidRDefault="007F5750" w:rsidP="007F5750">
            <w:pPr>
              <w:pStyle w:val="Tableheadingboardreport"/>
            </w:pPr>
            <w:r>
              <w:t>Description</w:t>
            </w:r>
          </w:p>
        </w:tc>
        <w:tc>
          <w:tcPr>
            <w:tcW w:w="2601" w:type="dxa"/>
            <w:tcBorders>
              <w:top w:val="single" w:sz="4" w:space="0" w:color="auto"/>
              <w:left w:val="nil"/>
              <w:bottom w:val="single" w:sz="4" w:space="0" w:color="auto"/>
              <w:right w:val="single" w:sz="4" w:space="0" w:color="auto"/>
            </w:tcBorders>
            <w:shd w:val="clear" w:color="auto" w:fill="auto"/>
            <w:noWrap/>
            <w:vAlign w:val="center"/>
          </w:tcPr>
          <w:p w14:paraId="08BEE01C" w14:textId="31A33663" w:rsidR="007F5750" w:rsidRPr="007E311F" w:rsidRDefault="007F5750" w:rsidP="007F5750">
            <w:pPr>
              <w:pStyle w:val="Tableheadingboardreport"/>
            </w:pPr>
            <w:r>
              <w:t>Value</w:t>
            </w:r>
          </w:p>
        </w:tc>
      </w:tr>
      <w:tr w:rsidR="007E311F" w14:paraId="5EE31DE8" w14:textId="77777777" w:rsidTr="007E311F">
        <w:trPr>
          <w:trHeight w:val="403"/>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20D33" w14:textId="77777777" w:rsidR="007E311F" w:rsidRPr="007E311F" w:rsidRDefault="007E311F" w:rsidP="007F5750">
            <w:pPr>
              <w:pStyle w:val="Tabletext"/>
            </w:pPr>
            <w:r w:rsidRPr="007E311F">
              <w:t>Total sessions on HDAS in October 2020</w:t>
            </w:r>
          </w:p>
        </w:tc>
        <w:tc>
          <w:tcPr>
            <w:tcW w:w="2601" w:type="dxa"/>
            <w:tcBorders>
              <w:top w:val="single" w:sz="4" w:space="0" w:color="auto"/>
              <w:left w:val="nil"/>
              <w:bottom w:val="single" w:sz="4" w:space="0" w:color="auto"/>
              <w:right w:val="single" w:sz="4" w:space="0" w:color="auto"/>
            </w:tcBorders>
            <w:shd w:val="clear" w:color="auto" w:fill="auto"/>
            <w:noWrap/>
            <w:vAlign w:val="center"/>
            <w:hideMark/>
          </w:tcPr>
          <w:p w14:paraId="1BC13A37" w14:textId="6A9EE99C" w:rsidR="007E311F" w:rsidRPr="007E311F" w:rsidRDefault="007E311F" w:rsidP="007F5750">
            <w:pPr>
              <w:pStyle w:val="Tabletext"/>
            </w:pPr>
            <w:r w:rsidRPr="007E311F">
              <w:t xml:space="preserve">25,000 </w:t>
            </w:r>
          </w:p>
        </w:tc>
      </w:tr>
      <w:tr w:rsidR="007E311F" w14:paraId="6CF94C76" w14:textId="77777777" w:rsidTr="007E311F">
        <w:trPr>
          <w:trHeight w:val="403"/>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9FF2386" w14:textId="77777777" w:rsidR="007E311F" w:rsidRPr="007E311F" w:rsidRDefault="007E311F" w:rsidP="007F5750">
            <w:pPr>
              <w:pStyle w:val="Tabletext"/>
            </w:pPr>
            <w:r w:rsidRPr="007E311F">
              <w:t>% year-on-year variance</w:t>
            </w:r>
          </w:p>
        </w:tc>
        <w:tc>
          <w:tcPr>
            <w:tcW w:w="2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2A824" w14:textId="77777777" w:rsidR="007E311F" w:rsidRPr="007E311F" w:rsidRDefault="007E311F" w:rsidP="007F5750">
            <w:pPr>
              <w:pStyle w:val="Tabletext"/>
            </w:pPr>
            <w:r w:rsidRPr="007E311F">
              <w:t>-20%</w:t>
            </w:r>
          </w:p>
        </w:tc>
      </w:tr>
      <w:tr w:rsidR="007E311F" w14:paraId="22336532" w14:textId="77777777" w:rsidTr="007E311F">
        <w:trPr>
          <w:trHeight w:val="403"/>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2F72D79" w14:textId="77777777" w:rsidR="007E311F" w:rsidRPr="007E311F" w:rsidRDefault="007E311F" w:rsidP="007F5750">
            <w:pPr>
              <w:pStyle w:val="Tabletext"/>
            </w:pPr>
            <w:r w:rsidRPr="007E311F">
              <w:t>% month-on-month variance</w:t>
            </w:r>
          </w:p>
        </w:tc>
        <w:tc>
          <w:tcPr>
            <w:tcW w:w="2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8564B" w14:textId="77777777" w:rsidR="007E311F" w:rsidRPr="007E311F" w:rsidRDefault="007E311F" w:rsidP="007F5750">
            <w:pPr>
              <w:pStyle w:val="Tabletext"/>
            </w:pPr>
            <w:r w:rsidRPr="007E311F">
              <w:t>24%</w:t>
            </w:r>
          </w:p>
        </w:tc>
      </w:tr>
      <w:tr w:rsidR="007E311F" w14:paraId="09E070A1" w14:textId="77777777" w:rsidTr="007E311F">
        <w:trPr>
          <w:trHeight w:val="403"/>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8BE02DC" w14:textId="77777777" w:rsidR="007E311F" w:rsidRPr="007E311F" w:rsidRDefault="007E311F" w:rsidP="007F5750">
            <w:pPr>
              <w:pStyle w:val="Tabletext"/>
            </w:pPr>
            <w:r w:rsidRPr="007E311F">
              <w:t>Sessions on HDAS in year ending October 2020</w:t>
            </w:r>
          </w:p>
        </w:tc>
        <w:tc>
          <w:tcPr>
            <w:tcW w:w="2601" w:type="dxa"/>
            <w:tcBorders>
              <w:top w:val="nil"/>
              <w:left w:val="nil"/>
              <w:bottom w:val="single" w:sz="4" w:space="0" w:color="auto"/>
              <w:right w:val="single" w:sz="4" w:space="0" w:color="auto"/>
            </w:tcBorders>
            <w:shd w:val="clear" w:color="auto" w:fill="auto"/>
            <w:noWrap/>
            <w:vAlign w:val="center"/>
            <w:hideMark/>
          </w:tcPr>
          <w:p w14:paraId="1C8087A4" w14:textId="6D74EA60" w:rsidR="007E311F" w:rsidRPr="007E311F" w:rsidRDefault="007E311F" w:rsidP="007F5750">
            <w:pPr>
              <w:pStyle w:val="Tabletext"/>
            </w:pPr>
            <w:r w:rsidRPr="007E311F">
              <w:t xml:space="preserve">292,000 </w:t>
            </w:r>
          </w:p>
        </w:tc>
      </w:tr>
      <w:tr w:rsidR="007E311F" w14:paraId="52D3989B" w14:textId="77777777" w:rsidTr="007E311F">
        <w:trPr>
          <w:trHeight w:val="403"/>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024D7FFF" w14:textId="77777777" w:rsidR="007E311F" w:rsidRPr="007E311F" w:rsidRDefault="007E311F" w:rsidP="007F5750">
            <w:pPr>
              <w:pStyle w:val="Tabletext"/>
            </w:pPr>
            <w:r w:rsidRPr="007E311F">
              <w:t>% year-on-year variance</w:t>
            </w:r>
          </w:p>
        </w:tc>
        <w:tc>
          <w:tcPr>
            <w:tcW w:w="2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41341" w14:textId="77777777" w:rsidR="007E311F" w:rsidRPr="007E311F" w:rsidRDefault="007E311F" w:rsidP="007F5750">
            <w:pPr>
              <w:pStyle w:val="Tabletext"/>
            </w:pPr>
            <w:r w:rsidRPr="007E311F">
              <w:t>-12%</w:t>
            </w:r>
          </w:p>
        </w:tc>
      </w:tr>
    </w:tbl>
    <w:p w14:paraId="3AE002B4" w14:textId="3C2AB99A" w:rsidR="007E311F" w:rsidRPr="00F86FC3" w:rsidRDefault="007E311F" w:rsidP="00F86FC3">
      <w:pPr>
        <w:pStyle w:val="NICEnormal"/>
      </w:pPr>
      <w:r w:rsidRPr="007E311F">
        <w:rPr>
          <w:noProof/>
        </w:rPr>
        <w:drawing>
          <wp:inline distT="0" distB="0" distL="0" distR="0" wp14:anchorId="4E1F0BDB" wp14:editId="42236E9D">
            <wp:extent cx="5686425" cy="2149475"/>
            <wp:effectExtent l="0" t="0" r="9525" b="3175"/>
            <wp:docPr id="6" name="Chart 6" descr="Traffic on HDAS was up down 20% in October 2020 compared to October 2019. ">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57F632" w14:textId="7DB6AD76" w:rsidR="00D418D5" w:rsidRDefault="00D418D5" w:rsidP="00D418D5">
      <w:pPr>
        <w:pStyle w:val="Caption"/>
        <w:rPr>
          <w:noProof/>
        </w:rPr>
      </w:pPr>
      <w:r>
        <w:lastRenderedPageBreak/>
        <w:t>Figure</w:t>
      </w:r>
      <w:r w:rsidR="007E311F">
        <w:t>s</w:t>
      </w:r>
      <w:r>
        <w:t xml:space="preserve"> </w:t>
      </w:r>
      <w:r w:rsidR="007E311F">
        <w:t>1</w:t>
      </w:r>
      <w:r w:rsidR="00910D60">
        <w:t>3</w:t>
      </w:r>
      <w:r w:rsidR="007E311F">
        <w:t>-1</w:t>
      </w:r>
      <w:r w:rsidR="00910D60">
        <w:t>6</w:t>
      </w:r>
      <w:r>
        <w:t xml:space="preserve">: </w:t>
      </w:r>
      <w:r w:rsidRPr="007C02CA">
        <w:t xml:space="preserve">Performance of services providing access to </w:t>
      </w:r>
      <w:r w:rsidRPr="00D418D5">
        <w:t>the BNF conte</w:t>
      </w:r>
      <w:r>
        <w:t>nt</w:t>
      </w:r>
    </w:p>
    <w:tbl>
      <w:tblPr>
        <w:tblW w:w="9025" w:type="dxa"/>
        <w:tblLook w:val="04A0" w:firstRow="1" w:lastRow="0" w:firstColumn="1" w:lastColumn="0" w:noHBand="0" w:noVBand="1"/>
      </w:tblPr>
      <w:tblGrid>
        <w:gridCol w:w="6405"/>
        <w:gridCol w:w="2620"/>
      </w:tblGrid>
      <w:tr w:rsidR="007F5750" w14:paraId="04F6CDA5" w14:textId="77777777" w:rsidTr="009B3641">
        <w:trPr>
          <w:trHeight w:val="529"/>
        </w:trPr>
        <w:tc>
          <w:tcPr>
            <w:tcW w:w="6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F82F7" w14:textId="2D5CEF92" w:rsidR="007F5750" w:rsidRPr="009B3641" w:rsidRDefault="007F5750" w:rsidP="007F5750">
            <w:pPr>
              <w:pStyle w:val="Tableheadingboardreport"/>
            </w:pPr>
            <w:r>
              <w:t>Description</w:t>
            </w:r>
          </w:p>
        </w:tc>
        <w:tc>
          <w:tcPr>
            <w:tcW w:w="2620" w:type="dxa"/>
            <w:tcBorders>
              <w:top w:val="single" w:sz="4" w:space="0" w:color="auto"/>
              <w:left w:val="nil"/>
              <w:bottom w:val="single" w:sz="4" w:space="0" w:color="auto"/>
              <w:right w:val="single" w:sz="4" w:space="0" w:color="auto"/>
            </w:tcBorders>
            <w:shd w:val="clear" w:color="auto" w:fill="auto"/>
            <w:noWrap/>
            <w:vAlign w:val="center"/>
          </w:tcPr>
          <w:p w14:paraId="37103CBC" w14:textId="28C0117A" w:rsidR="007F5750" w:rsidRPr="009B3641" w:rsidRDefault="007F5750" w:rsidP="007F5750">
            <w:pPr>
              <w:pStyle w:val="Tableheadingboardreport"/>
            </w:pPr>
            <w:r>
              <w:t>Value</w:t>
            </w:r>
          </w:p>
        </w:tc>
      </w:tr>
      <w:tr w:rsidR="009B3641" w14:paraId="69718D2F" w14:textId="77777777" w:rsidTr="009B3641">
        <w:trPr>
          <w:trHeight w:val="529"/>
        </w:trPr>
        <w:tc>
          <w:tcPr>
            <w:tcW w:w="6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E717A" w14:textId="77777777" w:rsidR="009B3641" w:rsidRPr="009B3641" w:rsidRDefault="009B3641" w:rsidP="007F5750">
            <w:pPr>
              <w:pStyle w:val="Tabletext"/>
            </w:pPr>
            <w:r w:rsidRPr="009B3641">
              <w:t>Total sessions on BNF site in October 2020</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23F42D10" w14:textId="1542D652" w:rsidR="009B3641" w:rsidRPr="009B3641" w:rsidRDefault="009B3641" w:rsidP="007F5750">
            <w:pPr>
              <w:pStyle w:val="Tabletext"/>
            </w:pPr>
            <w:r w:rsidRPr="009B3641">
              <w:t xml:space="preserve">2,587,000 </w:t>
            </w:r>
          </w:p>
        </w:tc>
      </w:tr>
      <w:tr w:rsidR="009B3641" w14:paraId="51B0BFD6" w14:textId="77777777" w:rsidTr="009B3641">
        <w:trPr>
          <w:trHeight w:val="529"/>
        </w:trPr>
        <w:tc>
          <w:tcPr>
            <w:tcW w:w="6405" w:type="dxa"/>
            <w:tcBorders>
              <w:top w:val="nil"/>
              <w:left w:val="single" w:sz="4" w:space="0" w:color="auto"/>
              <w:bottom w:val="single" w:sz="4" w:space="0" w:color="auto"/>
              <w:right w:val="single" w:sz="4" w:space="0" w:color="auto"/>
            </w:tcBorders>
            <w:shd w:val="clear" w:color="auto" w:fill="auto"/>
            <w:noWrap/>
            <w:vAlign w:val="center"/>
            <w:hideMark/>
          </w:tcPr>
          <w:p w14:paraId="44424420" w14:textId="77777777" w:rsidR="009B3641" w:rsidRPr="009B3641" w:rsidRDefault="009B3641" w:rsidP="007F5750">
            <w:pPr>
              <w:pStyle w:val="Tabletext"/>
            </w:pPr>
            <w:r w:rsidRPr="009B3641">
              <w:t>% year-on-year variance</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C69B9" w14:textId="77777777" w:rsidR="009B3641" w:rsidRPr="009B3641" w:rsidRDefault="009B3641" w:rsidP="007F5750">
            <w:pPr>
              <w:pStyle w:val="Tabletext"/>
            </w:pPr>
            <w:r w:rsidRPr="009B3641">
              <w:t>16%</w:t>
            </w:r>
          </w:p>
        </w:tc>
      </w:tr>
      <w:tr w:rsidR="009B3641" w14:paraId="174EC8ED" w14:textId="77777777" w:rsidTr="009B3641">
        <w:trPr>
          <w:trHeight w:val="529"/>
        </w:trPr>
        <w:tc>
          <w:tcPr>
            <w:tcW w:w="6405" w:type="dxa"/>
            <w:tcBorders>
              <w:top w:val="nil"/>
              <w:left w:val="single" w:sz="4" w:space="0" w:color="auto"/>
              <w:bottom w:val="single" w:sz="4" w:space="0" w:color="auto"/>
              <w:right w:val="single" w:sz="4" w:space="0" w:color="auto"/>
            </w:tcBorders>
            <w:shd w:val="clear" w:color="auto" w:fill="auto"/>
            <w:noWrap/>
            <w:vAlign w:val="center"/>
            <w:hideMark/>
          </w:tcPr>
          <w:p w14:paraId="04BC6896" w14:textId="77777777" w:rsidR="009B3641" w:rsidRPr="009B3641" w:rsidRDefault="009B3641" w:rsidP="007F5750">
            <w:pPr>
              <w:pStyle w:val="Tabletext"/>
            </w:pPr>
            <w:r w:rsidRPr="009B3641">
              <w:t>% month-on-month variance</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4EEED" w14:textId="77777777" w:rsidR="009B3641" w:rsidRPr="009B3641" w:rsidRDefault="009B3641" w:rsidP="007F5750">
            <w:pPr>
              <w:pStyle w:val="Tabletext"/>
            </w:pPr>
            <w:r w:rsidRPr="009B3641">
              <w:t>18%</w:t>
            </w:r>
          </w:p>
        </w:tc>
      </w:tr>
      <w:tr w:rsidR="009B3641" w14:paraId="6A48D17B" w14:textId="77777777" w:rsidTr="009B3641">
        <w:trPr>
          <w:trHeight w:val="529"/>
        </w:trPr>
        <w:tc>
          <w:tcPr>
            <w:tcW w:w="6405" w:type="dxa"/>
            <w:tcBorders>
              <w:top w:val="nil"/>
              <w:left w:val="single" w:sz="4" w:space="0" w:color="auto"/>
              <w:bottom w:val="single" w:sz="4" w:space="0" w:color="auto"/>
              <w:right w:val="single" w:sz="4" w:space="0" w:color="auto"/>
            </w:tcBorders>
            <w:shd w:val="clear" w:color="auto" w:fill="auto"/>
            <w:vAlign w:val="center"/>
            <w:hideMark/>
          </w:tcPr>
          <w:p w14:paraId="447EE2DF" w14:textId="77777777" w:rsidR="009B3641" w:rsidRPr="009B3641" w:rsidRDefault="009B3641" w:rsidP="007F5750">
            <w:pPr>
              <w:pStyle w:val="Tabletext"/>
            </w:pPr>
            <w:r w:rsidRPr="009B3641">
              <w:t>Sessions on BNF site in year ending October 2020</w:t>
            </w:r>
          </w:p>
        </w:tc>
        <w:tc>
          <w:tcPr>
            <w:tcW w:w="2620" w:type="dxa"/>
            <w:tcBorders>
              <w:top w:val="nil"/>
              <w:left w:val="nil"/>
              <w:bottom w:val="single" w:sz="4" w:space="0" w:color="auto"/>
              <w:right w:val="single" w:sz="4" w:space="0" w:color="auto"/>
            </w:tcBorders>
            <w:shd w:val="clear" w:color="auto" w:fill="auto"/>
            <w:noWrap/>
            <w:vAlign w:val="center"/>
            <w:hideMark/>
          </w:tcPr>
          <w:p w14:paraId="52D25662" w14:textId="4024CD3F" w:rsidR="009B3641" w:rsidRPr="009B3641" w:rsidRDefault="009B3641" w:rsidP="007F5750">
            <w:pPr>
              <w:pStyle w:val="Tabletext"/>
            </w:pPr>
            <w:r w:rsidRPr="009B3641">
              <w:t xml:space="preserve">25,206,000 </w:t>
            </w:r>
          </w:p>
        </w:tc>
      </w:tr>
      <w:tr w:rsidR="009B3641" w14:paraId="2D7E63FB" w14:textId="77777777" w:rsidTr="009B3641">
        <w:trPr>
          <w:trHeight w:val="529"/>
        </w:trPr>
        <w:tc>
          <w:tcPr>
            <w:tcW w:w="6405" w:type="dxa"/>
            <w:tcBorders>
              <w:top w:val="nil"/>
              <w:left w:val="single" w:sz="4" w:space="0" w:color="auto"/>
              <w:bottom w:val="single" w:sz="4" w:space="0" w:color="auto"/>
              <w:right w:val="single" w:sz="4" w:space="0" w:color="auto"/>
            </w:tcBorders>
            <w:shd w:val="clear" w:color="auto" w:fill="auto"/>
            <w:noWrap/>
            <w:vAlign w:val="center"/>
            <w:hideMark/>
          </w:tcPr>
          <w:p w14:paraId="06993A66" w14:textId="77777777" w:rsidR="009B3641" w:rsidRPr="009B3641" w:rsidRDefault="009B3641" w:rsidP="007F5750">
            <w:pPr>
              <w:pStyle w:val="Tabletext"/>
            </w:pPr>
            <w:r w:rsidRPr="009B3641">
              <w:t>% year-on-year variance</w:t>
            </w:r>
          </w:p>
        </w:tc>
        <w:tc>
          <w:tcPr>
            <w:tcW w:w="2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1FEF2" w14:textId="77777777" w:rsidR="009B3641" w:rsidRPr="009B3641" w:rsidRDefault="009B3641" w:rsidP="007F5750">
            <w:pPr>
              <w:pStyle w:val="Tabletext"/>
            </w:pPr>
            <w:r w:rsidRPr="009B3641">
              <w:t>11%</w:t>
            </w:r>
          </w:p>
        </w:tc>
      </w:tr>
    </w:tbl>
    <w:p w14:paraId="6CA954CB" w14:textId="66C41217" w:rsidR="009B3641" w:rsidRDefault="009B3641" w:rsidP="009B3641">
      <w:pPr>
        <w:pStyle w:val="NICEnormal"/>
      </w:pPr>
      <w:r w:rsidRPr="009B3641">
        <w:rPr>
          <w:noProof/>
        </w:rPr>
        <w:drawing>
          <wp:inline distT="0" distB="0" distL="0" distR="0" wp14:anchorId="12A6B58F" wp14:editId="72FB7108">
            <wp:extent cx="5731510" cy="2153285"/>
            <wp:effectExtent l="0" t="0" r="2540" b="18415"/>
            <wp:docPr id="7" name="Chart 7" descr="Traffic on the BNF website was up by 16% in October 2020 compared to October 2019, continuing the trend of growth on this service.">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F6E2B6" w14:textId="77777777" w:rsidR="009B3641" w:rsidRDefault="009B3641" w:rsidP="009B3641">
      <w:pPr>
        <w:pStyle w:val="NICEnormal"/>
      </w:pPr>
    </w:p>
    <w:tbl>
      <w:tblPr>
        <w:tblW w:w="9056" w:type="dxa"/>
        <w:tblLook w:val="04A0" w:firstRow="1" w:lastRow="0" w:firstColumn="1" w:lastColumn="0" w:noHBand="0" w:noVBand="1"/>
      </w:tblPr>
      <w:tblGrid>
        <w:gridCol w:w="6374"/>
        <w:gridCol w:w="2682"/>
      </w:tblGrid>
      <w:tr w:rsidR="007F5750" w14:paraId="1B39736F" w14:textId="77777777" w:rsidTr="009B3641">
        <w:trPr>
          <w:trHeight w:val="583"/>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C2027" w14:textId="615F797F" w:rsidR="007F5750" w:rsidRPr="009B3641" w:rsidRDefault="007F5750" w:rsidP="007F5750">
            <w:pPr>
              <w:pStyle w:val="Tableheadingboardreport"/>
            </w:pPr>
            <w:r>
              <w:lastRenderedPageBreak/>
              <w:t>Description</w:t>
            </w:r>
          </w:p>
        </w:tc>
        <w:tc>
          <w:tcPr>
            <w:tcW w:w="2682" w:type="dxa"/>
            <w:tcBorders>
              <w:top w:val="single" w:sz="4" w:space="0" w:color="auto"/>
              <w:left w:val="nil"/>
              <w:bottom w:val="single" w:sz="4" w:space="0" w:color="auto"/>
              <w:right w:val="single" w:sz="4" w:space="0" w:color="auto"/>
            </w:tcBorders>
            <w:shd w:val="clear" w:color="auto" w:fill="auto"/>
            <w:noWrap/>
            <w:vAlign w:val="center"/>
          </w:tcPr>
          <w:p w14:paraId="126A833D" w14:textId="253756E9" w:rsidR="007F5750" w:rsidRPr="009B3641" w:rsidRDefault="007F5750" w:rsidP="007F5750">
            <w:pPr>
              <w:pStyle w:val="Tableheadingboardreport"/>
            </w:pPr>
            <w:r>
              <w:t>Value</w:t>
            </w:r>
          </w:p>
        </w:tc>
      </w:tr>
      <w:tr w:rsidR="009B3641" w14:paraId="581A1A3F" w14:textId="77777777" w:rsidTr="009B3641">
        <w:trPr>
          <w:trHeight w:val="583"/>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80FBD" w14:textId="2FBDAD94" w:rsidR="009B3641" w:rsidRPr="009B3641" w:rsidRDefault="009B3641" w:rsidP="007F5750">
            <w:pPr>
              <w:pStyle w:val="Tabletext"/>
            </w:pPr>
            <w:r w:rsidRPr="009B3641">
              <w:t xml:space="preserve">Total sessions on </w:t>
            </w:r>
            <w:proofErr w:type="spellStart"/>
            <w:r w:rsidRPr="009B3641">
              <w:t>BNFc</w:t>
            </w:r>
            <w:proofErr w:type="spellEnd"/>
            <w:r w:rsidRPr="009B3641">
              <w:t xml:space="preserve"> site in October 2020</w:t>
            </w:r>
          </w:p>
        </w:tc>
        <w:tc>
          <w:tcPr>
            <w:tcW w:w="2682" w:type="dxa"/>
            <w:tcBorders>
              <w:top w:val="single" w:sz="4" w:space="0" w:color="auto"/>
              <w:left w:val="nil"/>
              <w:bottom w:val="single" w:sz="4" w:space="0" w:color="auto"/>
              <w:right w:val="single" w:sz="4" w:space="0" w:color="auto"/>
            </w:tcBorders>
            <w:shd w:val="clear" w:color="auto" w:fill="auto"/>
            <w:noWrap/>
            <w:vAlign w:val="center"/>
            <w:hideMark/>
          </w:tcPr>
          <w:p w14:paraId="2FE0A4AC" w14:textId="2149655D" w:rsidR="009B3641" w:rsidRPr="009B3641" w:rsidRDefault="009B3641" w:rsidP="007F5750">
            <w:pPr>
              <w:pStyle w:val="Tabletext"/>
            </w:pPr>
            <w:r w:rsidRPr="009B3641">
              <w:t xml:space="preserve">256,000 </w:t>
            </w:r>
          </w:p>
        </w:tc>
      </w:tr>
      <w:tr w:rsidR="009B3641" w14:paraId="103D12BD" w14:textId="77777777" w:rsidTr="009B3641">
        <w:trPr>
          <w:trHeight w:val="583"/>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7C6DD2D4" w14:textId="6BCD02C1" w:rsidR="009B3641" w:rsidRPr="009B3641" w:rsidRDefault="009B3641" w:rsidP="007F5750">
            <w:pPr>
              <w:pStyle w:val="Tabletext"/>
            </w:pPr>
            <w:r w:rsidRPr="009B3641">
              <w:t>% year-on-year variance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DF718" w14:textId="2CAA1BBF" w:rsidR="009B3641" w:rsidRPr="009B3641" w:rsidRDefault="009B3641" w:rsidP="007F5750">
            <w:pPr>
              <w:pStyle w:val="Tabletext"/>
            </w:pPr>
            <w:r w:rsidRPr="009B3641">
              <w:t>27%</w:t>
            </w:r>
          </w:p>
        </w:tc>
      </w:tr>
      <w:tr w:rsidR="009B3641" w14:paraId="171BAECE" w14:textId="77777777" w:rsidTr="009B3641">
        <w:trPr>
          <w:trHeight w:val="583"/>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120486EC" w14:textId="6B30A68B" w:rsidR="009B3641" w:rsidRPr="009B3641" w:rsidRDefault="009B3641" w:rsidP="007F5750">
            <w:pPr>
              <w:pStyle w:val="Tabletext"/>
            </w:pPr>
            <w:r w:rsidRPr="009B3641">
              <w:t>% month-on-month variance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8D04B" w14:textId="6A259949" w:rsidR="009B3641" w:rsidRPr="009B3641" w:rsidRDefault="009B3641" w:rsidP="007F5750">
            <w:pPr>
              <w:pStyle w:val="Tabletext"/>
            </w:pPr>
            <w:r w:rsidRPr="009B3641">
              <w:t>2%</w:t>
            </w:r>
          </w:p>
        </w:tc>
      </w:tr>
      <w:tr w:rsidR="009B3641" w14:paraId="7716F3E9" w14:textId="77777777" w:rsidTr="009B3641">
        <w:trPr>
          <w:trHeight w:val="583"/>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C0DDB59" w14:textId="3F6B0D99" w:rsidR="009B3641" w:rsidRPr="009B3641" w:rsidRDefault="009B3641" w:rsidP="007F5750">
            <w:pPr>
              <w:pStyle w:val="Tabletext"/>
            </w:pPr>
            <w:r w:rsidRPr="009B3641">
              <w:t xml:space="preserve">Sessions on </w:t>
            </w:r>
            <w:proofErr w:type="spellStart"/>
            <w:r w:rsidRPr="009B3641">
              <w:t>BNFc</w:t>
            </w:r>
            <w:proofErr w:type="spellEnd"/>
            <w:r w:rsidRPr="009B3641">
              <w:t xml:space="preserve"> site in year ending October 2020</w:t>
            </w:r>
          </w:p>
        </w:tc>
        <w:tc>
          <w:tcPr>
            <w:tcW w:w="2682" w:type="dxa"/>
            <w:tcBorders>
              <w:top w:val="nil"/>
              <w:left w:val="nil"/>
              <w:bottom w:val="single" w:sz="4" w:space="0" w:color="auto"/>
              <w:right w:val="single" w:sz="4" w:space="0" w:color="auto"/>
            </w:tcBorders>
            <w:shd w:val="clear" w:color="auto" w:fill="auto"/>
            <w:noWrap/>
            <w:vAlign w:val="center"/>
            <w:hideMark/>
          </w:tcPr>
          <w:p w14:paraId="5AA495E2" w14:textId="17C25B28" w:rsidR="009B3641" w:rsidRPr="009B3641" w:rsidRDefault="009B3641" w:rsidP="007F5750">
            <w:pPr>
              <w:pStyle w:val="Tabletext"/>
            </w:pPr>
            <w:r w:rsidRPr="009B3641">
              <w:t xml:space="preserve">2,697,000 </w:t>
            </w:r>
          </w:p>
        </w:tc>
      </w:tr>
      <w:tr w:rsidR="009B3641" w14:paraId="4115490B" w14:textId="77777777" w:rsidTr="009B3641">
        <w:trPr>
          <w:trHeight w:val="583"/>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469838AA" w14:textId="464DCF17" w:rsidR="009B3641" w:rsidRPr="009B3641" w:rsidRDefault="009B3641" w:rsidP="007F5750">
            <w:pPr>
              <w:pStyle w:val="Tabletext"/>
            </w:pPr>
            <w:r w:rsidRPr="009B3641">
              <w:t>% year-on-year variance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2B7E2" w14:textId="740C91FC" w:rsidR="009B3641" w:rsidRPr="009B3641" w:rsidRDefault="009B3641" w:rsidP="007F5750">
            <w:pPr>
              <w:pStyle w:val="Tabletext"/>
            </w:pPr>
            <w:r w:rsidRPr="009B3641">
              <w:t>33%</w:t>
            </w:r>
          </w:p>
        </w:tc>
      </w:tr>
    </w:tbl>
    <w:p w14:paraId="3EAC0F06" w14:textId="53293C0C" w:rsidR="009B3641" w:rsidRPr="009B3641" w:rsidRDefault="009B3641" w:rsidP="009B3641">
      <w:pPr>
        <w:pStyle w:val="NICEnormal"/>
      </w:pPr>
      <w:r w:rsidRPr="009B3641">
        <w:rPr>
          <w:noProof/>
        </w:rPr>
        <w:drawing>
          <wp:inline distT="0" distB="0" distL="0" distR="0" wp14:anchorId="6FF16FF3" wp14:editId="51361BB6">
            <wp:extent cx="5731510" cy="2146935"/>
            <wp:effectExtent l="0" t="0" r="2540" b="5715"/>
            <wp:docPr id="12" name="Chart 12" descr="Traffic on the BNFc website was up by 27% in October 2020 compared to October 2019, after very strong performance in September.">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39833C" w14:textId="69991F8F" w:rsidR="00EB1C36" w:rsidRPr="00070124" w:rsidRDefault="00EB1C36" w:rsidP="008A6557">
      <w:pPr>
        <w:pStyle w:val="NICEnormal"/>
      </w:pPr>
      <w:r w:rsidRPr="00070124">
        <w:t xml:space="preserve">© NICE </w:t>
      </w:r>
      <w:r w:rsidR="001A2EB6">
        <w:t>2020</w:t>
      </w:r>
      <w:r w:rsidRPr="00070124">
        <w:t xml:space="preserve">. All rights reserved. </w:t>
      </w:r>
      <w:hyperlink r:id="rId18" w:anchor="notice-of-rights" w:history="1">
        <w:r w:rsidRPr="00070124">
          <w:rPr>
            <w:rStyle w:val="Hyperlink"/>
          </w:rPr>
          <w:t>Subject to Notice of rights</w:t>
        </w:r>
      </w:hyperlink>
      <w:r w:rsidRPr="00070124">
        <w:t>.</w:t>
      </w:r>
    </w:p>
    <w:p w14:paraId="6D6C6D49" w14:textId="6690C13E" w:rsidR="00EB1C36" w:rsidRPr="00A36575" w:rsidRDefault="001A2EB6" w:rsidP="008A6557">
      <w:pPr>
        <w:pStyle w:val="NICEnormal"/>
      </w:pPr>
      <w:r>
        <w:t>November 2020</w:t>
      </w:r>
    </w:p>
    <w:sectPr w:rsidR="00EB1C36" w:rsidRPr="00A36575" w:rsidSect="00617519">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74A78" w14:textId="77777777" w:rsidR="0022563E" w:rsidRDefault="0022563E">
      <w:r>
        <w:separator/>
      </w:r>
    </w:p>
  </w:endnote>
  <w:endnote w:type="continuationSeparator" w:id="0">
    <w:p w14:paraId="64104C85" w14:textId="77777777" w:rsidR="0022563E" w:rsidRDefault="0022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A5D47" w14:textId="77777777" w:rsidR="00EB1C36" w:rsidRPr="00BA589F" w:rsidRDefault="00EB1C36" w:rsidP="00C30FD9">
    <w:pPr>
      <w:pStyle w:val="Footer"/>
    </w:pPr>
  </w:p>
  <w:p w14:paraId="43EBC1AA" w14:textId="77777777" w:rsidR="001A2EB6" w:rsidRPr="00BA589F" w:rsidRDefault="001A2EB6" w:rsidP="001A2EB6">
    <w:pPr>
      <w:pStyle w:val="Footer"/>
    </w:pPr>
    <w:r w:rsidRPr="00BA589F">
      <w:t>National Institute for Health and Care Excellence</w:t>
    </w:r>
    <w:r w:rsidRPr="00BA589F">
      <w:tab/>
    </w:r>
    <w:r>
      <w:tab/>
    </w:r>
    <w:r w:rsidRPr="00BA589F">
      <w:t xml:space="preserve">Page </w:t>
    </w:r>
    <w:r w:rsidRPr="00BA589F">
      <w:fldChar w:fldCharType="begin"/>
    </w:r>
    <w:r w:rsidRPr="00BA589F">
      <w:instrText xml:space="preserve"> PAGE  \* Arabic  \* MERGEFORMAT </w:instrText>
    </w:r>
    <w:r w:rsidRPr="00BA589F">
      <w:fldChar w:fldCharType="separate"/>
    </w:r>
    <w:r>
      <w:t>1</w:t>
    </w:r>
    <w:r w:rsidRPr="00BA589F">
      <w:fldChar w:fldCharType="end"/>
    </w:r>
    <w:r w:rsidRPr="00BA589F">
      <w:t xml:space="preserve"> of </w:t>
    </w:r>
    <w:fldSimple w:instr=" NUMPAGES  \* Arabic  \* MERGEFORMAT ">
      <w:r>
        <w:t>7</w:t>
      </w:r>
    </w:fldSimple>
  </w:p>
  <w:p w14:paraId="467173E5" w14:textId="77777777" w:rsidR="001A2EB6" w:rsidRPr="009C51AB" w:rsidRDefault="001A2EB6" w:rsidP="001A2EB6">
    <w:pPr>
      <w:pStyle w:val="Footer"/>
    </w:pPr>
    <w:r w:rsidRPr="009C51AB">
      <w:t xml:space="preserve">Digital, Information and Technology Directorate progress report </w:t>
    </w:r>
  </w:p>
  <w:p w14:paraId="0977E991" w14:textId="77777777" w:rsidR="001A2EB6" w:rsidRPr="009C51AB" w:rsidRDefault="001A2EB6" w:rsidP="001A2EB6">
    <w:pPr>
      <w:pStyle w:val="Footer"/>
    </w:pPr>
    <w:r w:rsidRPr="009C51AB">
      <w:t xml:space="preserve">Date: 18 November 2020 </w:t>
    </w:r>
  </w:p>
  <w:p w14:paraId="58481D31" w14:textId="77777777" w:rsidR="001A2EB6" w:rsidRPr="00BA589F" w:rsidRDefault="001A2EB6" w:rsidP="001A2EB6">
    <w:pPr>
      <w:pStyle w:val="Footer"/>
    </w:pPr>
    <w:r w:rsidRPr="009C51AB">
      <w:t>Reference: 20/100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A50F0" w14:textId="77777777" w:rsidR="0022563E" w:rsidRDefault="0022563E">
      <w:r>
        <w:separator/>
      </w:r>
    </w:p>
  </w:footnote>
  <w:footnote w:type="continuationSeparator" w:id="0">
    <w:p w14:paraId="7E7C4E7B" w14:textId="77777777" w:rsidR="0022563E" w:rsidRDefault="00225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15B8F" w14:textId="585CD64F" w:rsidR="00EB1C36" w:rsidRPr="002F15CF" w:rsidRDefault="002F15CF" w:rsidP="002F15CF">
    <w:pPr>
      <w:pStyle w:val="Header"/>
      <w:ind w:left="0"/>
      <w:jc w:val="right"/>
    </w:pPr>
    <w:r w:rsidRPr="00F07534">
      <w:t xml:space="preserve">Item </w:t>
    </w:r>
    <w:r w:rsidR="001A2EB6">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yJ5HJTeiiv0QPrnTv+5Adusd4ldGUoaEAWXzfJtogZ/SVoInspVQc1fmRR2unvOaZsTWshnBxo7VDZdkG/dM2w==" w:salt="oSMmpZRs80dgL/vLRmYx3g=="/>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67"/>
    <w:rsid w:val="000119FB"/>
    <w:rsid w:val="000242AA"/>
    <w:rsid w:val="000A1EC0"/>
    <w:rsid w:val="000C4168"/>
    <w:rsid w:val="000D71F0"/>
    <w:rsid w:val="000E6C5F"/>
    <w:rsid w:val="000F4831"/>
    <w:rsid w:val="00101F34"/>
    <w:rsid w:val="001172E1"/>
    <w:rsid w:val="001219F1"/>
    <w:rsid w:val="00123D3F"/>
    <w:rsid w:val="00131EB8"/>
    <w:rsid w:val="00161AA0"/>
    <w:rsid w:val="001A2EB6"/>
    <w:rsid w:val="001B0506"/>
    <w:rsid w:val="001C032E"/>
    <w:rsid w:val="002169E7"/>
    <w:rsid w:val="0022563E"/>
    <w:rsid w:val="00235CAB"/>
    <w:rsid w:val="00251D56"/>
    <w:rsid w:val="002526E6"/>
    <w:rsid w:val="002535B1"/>
    <w:rsid w:val="00285D9E"/>
    <w:rsid w:val="002A2A95"/>
    <w:rsid w:val="002A3712"/>
    <w:rsid w:val="002C3FAA"/>
    <w:rsid w:val="002F15CF"/>
    <w:rsid w:val="0031664C"/>
    <w:rsid w:val="003330E6"/>
    <w:rsid w:val="00340649"/>
    <w:rsid w:val="00353D3E"/>
    <w:rsid w:val="00362226"/>
    <w:rsid w:val="00377E36"/>
    <w:rsid w:val="00394E5F"/>
    <w:rsid w:val="003B1379"/>
    <w:rsid w:val="003C36AC"/>
    <w:rsid w:val="004519B2"/>
    <w:rsid w:val="00461997"/>
    <w:rsid w:val="004820E9"/>
    <w:rsid w:val="0048361F"/>
    <w:rsid w:val="00484FE9"/>
    <w:rsid w:val="00485B88"/>
    <w:rsid w:val="004914C0"/>
    <w:rsid w:val="004B514C"/>
    <w:rsid w:val="004F692A"/>
    <w:rsid w:val="00526C07"/>
    <w:rsid w:val="0053387C"/>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8267E"/>
    <w:rsid w:val="006A721F"/>
    <w:rsid w:val="006D73F1"/>
    <w:rsid w:val="007277C3"/>
    <w:rsid w:val="00732519"/>
    <w:rsid w:val="00737F9C"/>
    <w:rsid w:val="007A174B"/>
    <w:rsid w:val="007A4EEE"/>
    <w:rsid w:val="007B501B"/>
    <w:rsid w:val="007E311F"/>
    <w:rsid w:val="007F5750"/>
    <w:rsid w:val="008166A9"/>
    <w:rsid w:val="0082199E"/>
    <w:rsid w:val="00843435"/>
    <w:rsid w:val="008505C3"/>
    <w:rsid w:val="00862C0C"/>
    <w:rsid w:val="008853CB"/>
    <w:rsid w:val="008A3CB5"/>
    <w:rsid w:val="008A6557"/>
    <w:rsid w:val="008C2BC5"/>
    <w:rsid w:val="008C782E"/>
    <w:rsid w:val="008D6069"/>
    <w:rsid w:val="008E7585"/>
    <w:rsid w:val="00910D60"/>
    <w:rsid w:val="00921354"/>
    <w:rsid w:val="0094366C"/>
    <w:rsid w:val="00953ADF"/>
    <w:rsid w:val="00970A69"/>
    <w:rsid w:val="00971131"/>
    <w:rsid w:val="00974567"/>
    <w:rsid w:val="009871F3"/>
    <w:rsid w:val="009A0289"/>
    <w:rsid w:val="009B3641"/>
    <w:rsid w:val="009B4ADA"/>
    <w:rsid w:val="009B621A"/>
    <w:rsid w:val="009C45D9"/>
    <w:rsid w:val="009C47DA"/>
    <w:rsid w:val="00A06657"/>
    <w:rsid w:val="00A24C1C"/>
    <w:rsid w:val="00A36575"/>
    <w:rsid w:val="00A6545A"/>
    <w:rsid w:val="00A86D3D"/>
    <w:rsid w:val="00A94ED3"/>
    <w:rsid w:val="00A956DE"/>
    <w:rsid w:val="00AB2948"/>
    <w:rsid w:val="00AB39FA"/>
    <w:rsid w:val="00AD5CB7"/>
    <w:rsid w:val="00AD5E0B"/>
    <w:rsid w:val="00AD6933"/>
    <w:rsid w:val="00AD6B7B"/>
    <w:rsid w:val="00AF7FBB"/>
    <w:rsid w:val="00B15262"/>
    <w:rsid w:val="00B60D70"/>
    <w:rsid w:val="00B76B86"/>
    <w:rsid w:val="00B84BC1"/>
    <w:rsid w:val="00BA0179"/>
    <w:rsid w:val="00BA51EA"/>
    <w:rsid w:val="00BA589F"/>
    <w:rsid w:val="00BB047B"/>
    <w:rsid w:val="00BB6398"/>
    <w:rsid w:val="00BC0E86"/>
    <w:rsid w:val="00BD0372"/>
    <w:rsid w:val="00BD246E"/>
    <w:rsid w:val="00BF4768"/>
    <w:rsid w:val="00C139CA"/>
    <w:rsid w:val="00C433C5"/>
    <w:rsid w:val="00C51429"/>
    <w:rsid w:val="00C8019A"/>
    <w:rsid w:val="00CA3397"/>
    <w:rsid w:val="00CA33E1"/>
    <w:rsid w:val="00CB6BEB"/>
    <w:rsid w:val="00CE7855"/>
    <w:rsid w:val="00D253CE"/>
    <w:rsid w:val="00D3612A"/>
    <w:rsid w:val="00D37703"/>
    <w:rsid w:val="00D37F25"/>
    <w:rsid w:val="00D418D5"/>
    <w:rsid w:val="00D453F6"/>
    <w:rsid w:val="00D60D8D"/>
    <w:rsid w:val="00D73C98"/>
    <w:rsid w:val="00D90500"/>
    <w:rsid w:val="00D933B0"/>
    <w:rsid w:val="00DA11DD"/>
    <w:rsid w:val="00DC0120"/>
    <w:rsid w:val="00DD1379"/>
    <w:rsid w:val="00DD4311"/>
    <w:rsid w:val="00DE643F"/>
    <w:rsid w:val="00DF6C0E"/>
    <w:rsid w:val="00E2509B"/>
    <w:rsid w:val="00E4622C"/>
    <w:rsid w:val="00E46571"/>
    <w:rsid w:val="00E51FFB"/>
    <w:rsid w:val="00E63855"/>
    <w:rsid w:val="00EB03BB"/>
    <w:rsid w:val="00EB1C36"/>
    <w:rsid w:val="00ED0AD8"/>
    <w:rsid w:val="00EE2EB2"/>
    <w:rsid w:val="00EE406C"/>
    <w:rsid w:val="00EE4D3F"/>
    <w:rsid w:val="00F07534"/>
    <w:rsid w:val="00F2237A"/>
    <w:rsid w:val="00F26A9F"/>
    <w:rsid w:val="00F26E68"/>
    <w:rsid w:val="00F33119"/>
    <w:rsid w:val="00F52659"/>
    <w:rsid w:val="00F52A30"/>
    <w:rsid w:val="00F73C47"/>
    <w:rsid w:val="00F81F2C"/>
    <w:rsid w:val="00F86FC3"/>
    <w:rsid w:val="00F90E63"/>
    <w:rsid w:val="00FA66A6"/>
    <w:rsid w:val="00FA6EE7"/>
    <w:rsid w:val="00FB47DD"/>
    <w:rsid w:val="00FB73D3"/>
    <w:rsid w:val="00FD4756"/>
    <w:rsid w:val="00FD6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5DF93D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7534"/>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FD60C8"/>
    <w:rPr>
      <w:b/>
      <w:bCs/>
      <w:lang w:eastAsia="en-US"/>
    </w:rPr>
  </w:style>
  <w:style w:type="character" w:customStyle="1" w:styleId="CommentSubjectChar">
    <w:name w:val="Comment Subject Char"/>
    <w:basedOn w:val="CommentTextChar"/>
    <w:link w:val="CommentSubject"/>
    <w:rsid w:val="00FD60C8"/>
    <w:rPr>
      <w:b/>
      <w:bCs/>
      <w:lang w:eastAsia="en-US"/>
    </w:rPr>
  </w:style>
  <w:style w:type="paragraph" w:styleId="Revision">
    <w:name w:val="Revision"/>
    <w:hidden/>
    <w:uiPriority w:val="99"/>
    <w:semiHidden/>
    <w:rsid w:val="00DD137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34976">
      <w:bodyDiv w:val="1"/>
      <w:marLeft w:val="0"/>
      <w:marRight w:val="0"/>
      <w:marTop w:val="0"/>
      <w:marBottom w:val="0"/>
      <w:divBdr>
        <w:top w:val="none" w:sz="0" w:space="0" w:color="auto"/>
        <w:left w:val="none" w:sz="0" w:space="0" w:color="auto"/>
        <w:bottom w:val="none" w:sz="0" w:space="0" w:color="auto"/>
        <w:right w:val="none" w:sz="0" w:space="0" w:color="auto"/>
      </w:divBdr>
    </w:div>
    <w:div w:id="105777857">
      <w:bodyDiv w:val="1"/>
      <w:marLeft w:val="0"/>
      <w:marRight w:val="0"/>
      <w:marTop w:val="0"/>
      <w:marBottom w:val="0"/>
      <w:divBdr>
        <w:top w:val="none" w:sz="0" w:space="0" w:color="auto"/>
        <w:left w:val="none" w:sz="0" w:space="0" w:color="auto"/>
        <w:bottom w:val="none" w:sz="0" w:space="0" w:color="auto"/>
        <w:right w:val="none" w:sz="0" w:space="0" w:color="auto"/>
      </w:divBdr>
    </w:div>
    <w:div w:id="374696255">
      <w:bodyDiv w:val="1"/>
      <w:marLeft w:val="0"/>
      <w:marRight w:val="0"/>
      <w:marTop w:val="0"/>
      <w:marBottom w:val="0"/>
      <w:divBdr>
        <w:top w:val="none" w:sz="0" w:space="0" w:color="auto"/>
        <w:left w:val="none" w:sz="0" w:space="0" w:color="auto"/>
        <w:bottom w:val="none" w:sz="0" w:space="0" w:color="auto"/>
        <w:right w:val="none" w:sz="0" w:space="0" w:color="auto"/>
      </w:divBdr>
    </w:div>
    <w:div w:id="429203569">
      <w:bodyDiv w:val="1"/>
      <w:marLeft w:val="0"/>
      <w:marRight w:val="0"/>
      <w:marTop w:val="0"/>
      <w:marBottom w:val="0"/>
      <w:divBdr>
        <w:top w:val="none" w:sz="0" w:space="0" w:color="auto"/>
        <w:left w:val="none" w:sz="0" w:space="0" w:color="auto"/>
        <w:bottom w:val="none" w:sz="0" w:space="0" w:color="auto"/>
        <w:right w:val="none" w:sz="0" w:space="0" w:color="auto"/>
      </w:divBdr>
    </w:div>
    <w:div w:id="467212845">
      <w:bodyDiv w:val="1"/>
      <w:marLeft w:val="0"/>
      <w:marRight w:val="0"/>
      <w:marTop w:val="0"/>
      <w:marBottom w:val="0"/>
      <w:divBdr>
        <w:top w:val="none" w:sz="0" w:space="0" w:color="auto"/>
        <w:left w:val="none" w:sz="0" w:space="0" w:color="auto"/>
        <w:bottom w:val="none" w:sz="0" w:space="0" w:color="auto"/>
        <w:right w:val="none" w:sz="0" w:space="0" w:color="auto"/>
      </w:divBdr>
    </w:div>
    <w:div w:id="846093446">
      <w:bodyDiv w:val="1"/>
      <w:marLeft w:val="0"/>
      <w:marRight w:val="0"/>
      <w:marTop w:val="0"/>
      <w:marBottom w:val="0"/>
      <w:divBdr>
        <w:top w:val="none" w:sz="0" w:space="0" w:color="auto"/>
        <w:left w:val="none" w:sz="0" w:space="0" w:color="auto"/>
        <w:bottom w:val="none" w:sz="0" w:space="0" w:color="auto"/>
        <w:right w:val="none" w:sz="0" w:space="0" w:color="auto"/>
      </w:divBdr>
    </w:div>
    <w:div w:id="1052077313">
      <w:bodyDiv w:val="1"/>
      <w:marLeft w:val="0"/>
      <w:marRight w:val="0"/>
      <w:marTop w:val="0"/>
      <w:marBottom w:val="0"/>
      <w:divBdr>
        <w:top w:val="none" w:sz="0" w:space="0" w:color="auto"/>
        <w:left w:val="none" w:sz="0" w:space="0" w:color="auto"/>
        <w:bottom w:val="none" w:sz="0" w:space="0" w:color="auto"/>
        <w:right w:val="none" w:sz="0" w:space="0" w:color="auto"/>
      </w:divBdr>
    </w:div>
    <w:div w:id="1279874209">
      <w:bodyDiv w:val="1"/>
      <w:marLeft w:val="0"/>
      <w:marRight w:val="0"/>
      <w:marTop w:val="0"/>
      <w:marBottom w:val="0"/>
      <w:divBdr>
        <w:top w:val="none" w:sz="0" w:space="0" w:color="auto"/>
        <w:left w:val="none" w:sz="0" w:space="0" w:color="auto"/>
        <w:bottom w:val="none" w:sz="0" w:space="0" w:color="auto"/>
        <w:right w:val="none" w:sz="0" w:space="0" w:color="auto"/>
      </w:divBdr>
    </w:div>
    <w:div w:id="1382173041">
      <w:bodyDiv w:val="1"/>
      <w:marLeft w:val="0"/>
      <w:marRight w:val="0"/>
      <w:marTop w:val="0"/>
      <w:marBottom w:val="0"/>
      <w:divBdr>
        <w:top w:val="none" w:sz="0" w:space="0" w:color="auto"/>
        <w:left w:val="none" w:sz="0" w:space="0" w:color="auto"/>
        <w:bottom w:val="none" w:sz="0" w:space="0" w:color="auto"/>
        <w:right w:val="none" w:sz="0" w:space="0" w:color="auto"/>
      </w:divBdr>
    </w:div>
    <w:div w:id="1427581962">
      <w:bodyDiv w:val="1"/>
      <w:marLeft w:val="0"/>
      <w:marRight w:val="0"/>
      <w:marTop w:val="0"/>
      <w:marBottom w:val="0"/>
      <w:divBdr>
        <w:top w:val="none" w:sz="0" w:space="0" w:color="auto"/>
        <w:left w:val="none" w:sz="0" w:space="0" w:color="auto"/>
        <w:bottom w:val="none" w:sz="0" w:space="0" w:color="auto"/>
        <w:right w:val="none" w:sz="0" w:space="0" w:color="auto"/>
      </w:divBdr>
    </w:div>
    <w:div w:id="1465731089">
      <w:bodyDiv w:val="1"/>
      <w:marLeft w:val="0"/>
      <w:marRight w:val="0"/>
      <w:marTop w:val="0"/>
      <w:marBottom w:val="0"/>
      <w:divBdr>
        <w:top w:val="none" w:sz="0" w:space="0" w:color="auto"/>
        <w:left w:val="none" w:sz="0" w:space="0" w:color="auto"/>
        <w:bottom w:val="none" w:sz="0" w:space="0" w:color="auto"/>
        <w:right w:val="none" w:sz="0" w:space="0" w:color="auto"/>
      </w:divBdr>
    </w:div>
    <w:div w:id="1610700993">
      <w:bodyDiv w:val="1"/>
      <w:marLeft w:val="0"/>
      <w:marRight w:val="0"/>
      <w:marTop w:val="0"/>
      <w:marBottom w:val="0"/>
      <w:divBdr>
        <w:top w:val="none" w:sz="0" w:space="0" w:color="auto"/>
        <w:left w:val="none" w:sz="0" w:space="0" w:color="auto"/>
        <w:bottom w:val="none" w:sz="0" w:space="0" w:color="auto"/>
        <w:right w:val="none" w:sz="0" w:space="0" w:color="auto"/>
      </w:divBdr>
    </w:div>
    <w:div w:id="1697389617">
      <w:bodyDiv w:val="1"/>
      <w:marLeft w:val="0"/>
      <w:marRight w:val="0"/>
      <w:marTop w:val="0"/>
      <w:marBottom w:val="0"/>
      <w:divBdr>
        <w:top w:val="none" w:sz="0" w:space="0" w:color="auto"/>
        <w:left w:val="none" w:sz="0" w:space="0" w:color="auto"/>
        <w:bottom w:val="none" w:sz="0" w:space="0" w:color="auto"/>
        <w:right w:val="none" w:sz="0" w:space="0" w:color="auto"/>
      </w:divBdr>
    </w:div>
    <w:div w:id="1843734898">
      <w:bodyDiv w:val="1"/>
      <w:marLeft w:val="0"/>
      <w:marRight w:val="0"/>
      <w:marTop w:val="0"/>
      <w:marBottom w:val="0"/>
      <w:divBdr>
        <w:top w:val="none" w:sz="0" w:space="0" w:color="auto"/>
        <w:left w:val="none" w:sz="0" w:space="0" w:color="auto"/>
        <w:bottom w:val="none" w:sz="0" w:space="0" w:color="auto"/>
        <w:right w:val="none" w:sz="0" w:space="0" w:color="auto"/>
      </w:divBdr>
    </w:div>
    <w:div w:id="1874881122">
      <w:bodyDiv w:val="1"/>
      <w:marLeft w:val="0"/>
      <w:marRight w:val="0"/>
      <w:marTop w:val="0"/>
      <w:marBottom w:val="0"/>
      <w:divBdr>
        <w:top w:val="none" w:sz="0" w:space="0" w:color="auto"/>
        <w:left w:val="none" w:sz="0" w:space="0" w:color="auto"/>
        <w:bottom w:val="none" w:sz="0" w:space="0" w:color="auto"/>
        <w:right w:val="none" w:sz="0" w:space="0" w:color="auto"/>
      </w:divBdr>
    </w:div>
    <w:div w:id="1962344891">
      <w:bodyDiv w:val="1"/>
      <w:marLeft w:val="0"/>
      <w:marRight w:val="0"/>
      <w:marTop w:val="0"/>
      <w:marBottom w:val="0"/>
      <w:divBdr>
        <w:top w:val="none" w:sz="0" w:space="0" w:color="auto"/>
        <w:left w:val="none" w:sz="0" w:space="0" w:color="auto"/>
        <w:bottom w:val="none" w:sz="0" w:space="0" w:color="auto"/>
        <w:right w:val="none" w:sz="0" w:space="0" w:color="auto"/>
      </w:divBdr>
    </w:div>
    <w:div w:id="20425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DIT\Digital%20Services\Service%20Delivery%20Team\_PERFORMANCE\Google%20Analytics\_Board%20report\Post_cookie_Board_Report_v3.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ice.nhs.uk\Data\DIT\Digital%20Services\Service%20Delivery%20Team\_PERFORMANCE\Google%20Analytics\_Board%20report\Post_cookie_Board_Report_v3.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nice.nhs.uk\Data\DIT\Digital%20Services\Service%20Delivery%20Team\_PERFORMANCE\Google%20Analytics\_Board%20report\Post_cookie_Board_Report_v3.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nice.nhs.uk\Data\DIT\Digital%20Services\Service%20Delivery%20Team\_PERFORMANCE\Google%20Analytics\_Board%20report\Post_cookie_Board_Report_v3.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nice.nhs.uk\Data\DIT\Digital%20Services\Service%20Delivery%20Team\_PERFORMANCE\Google%20Analytics\_Board%20report\Post_cookie_Board_Report_v3.xlsm"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nice.nhs.uk\Data\DIT\Digital%20Services\Service%20Delivery%20Team\_PERFORMANCE\Google%20Analytics\_Board%20report\Post_cookie_Board_Report_v3.xlsm"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nice.nhs.uk\Data\DIT\Digital%20Services\Service%20Delivery%20Team\_PERFORMANCE\Google%20Analytics\_Board%20report\Post_cookie_Board_Report_v3.xlsm"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nice.nhs.uk\Data\DIT\Digital%20Services\Service%20Delivery%20Team\_PERFORMANCE\Google%20Analytics\_Board%20report\Post_cookie_Board_Report_v3.xlsm"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600" b="1">
                <a:solidFill>
                  <a:sysClr val="windowText" lastClr="000000"/>
                </a:solidFill>
                <a:latin typeface="Arial" panose="020B0604020202020204" pitchFamily="34" charset="0"/>
                <a:cs typeface="Arial" panose="020B0604020202020204" pitchFamily="34" charset="0"/>
              </a:rPr>
              <a:t>Sessions for web-based services</a:t>
            </a:r>
          </a:p>
        </c:rich>
      </c:tx>
      <c:layout>
        <c:manualLayout>
          <c:xMode val="edge"/>
          <c:yMode val="edge"/>
          <c:x val="0.29175771088814567"/>
          <c:y val="2.7938106573887563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56466190890018342"/>
          <c:y val="0.2211460050051883"/>
          <c:w val="0.38923323156191569"/>
          <c:h val="0.69975662636359703"/>
        </c:manualLayout>
      </c:layout>
      <c:pieChart>
        <c:varyColors val="1"/>
        <c:ser>
          <c:idx val="0"/>
          <c:order val="0"/>
          <c:tx>
            <c:strRef>
              <c:f>'Data for charts and tables'!$B$2:$H$2</c:f>
              <c:strCache>
                <c:ptCount val="1"/>
                <c:pt idx="0">
                  <c:v>NICE.org Pathways Evidence Search BNF website BNFc website CKS HDAS</c:v>
                </c:pt>
              </c:strCache>
            </c:strRef>
          </c:tx>
          <c:dPt>
            <c:idx val="0"/>
            <c:bubble3D val="0"/>
            <c:spPr>
              <a:solidFill>
                <a:schemeClr val="accent1">
                  <a:shade val="47000"/>
                </a:schemeClr>
              </a:solidFill>
              <a:ln w="0">
                <a:solidFill>
                  <a:schemeClr val="lt1"/>
                </a:solidFill>
              </a:ln>
              <a:effectLst/>
            </c:spPr>
            <c:extLst>
              <c:ext xmlns:c16="http://schemas.microsoft.com/office/drawing/2014/chart" uri="{C3380CC4-5D6E-409C-BE32-E72D297353CC}">
                <c16:uniqueId val="{00000001-8B4E-4FE0-89A5-E0AE72B542FC}"/>
              </c:ext>
            </c:extLst>
          </c:dPt>
          <c:dPt>
            <c:idx val="1"/>
            <c:bubble3D val="0"/>
            <c:spPr>
              <a:pattFill prst="pct75">
                <a:fgClr>
                  <a:schemeClr val="accent1"/>
                </a:fgClr>
                <a:bgClr>
                  <a:schemeClr val="bg1"/>
                </a:bgClr>
              </a:pattFill>
              <a:ln w="0">
                <a:solidFill>
                  <a:schemeClr val="lt1"/>
                </a:solidFill>
              </a:ln>
              <a:effectLst/>
            </c:spPr>
            <c:extLst>
              <c:ext xmlns:c16="http://schemas.microsoft.com/office/drawing/2014/chart" uri="{C3380CC4-5D6E-409C-BE32-E72D297353CC}">
                <c16:uniqueId val="{00000003-8B4E-4FE0-89A5-E0AE72B542FC}"/>
              </c:ext>
            </c:extLst>
          </c:dPt>
          <c:dPt>
            <c:idx val="2"/>
            <c:bubble3D val="0"/>
            <c:spPr>
              <a:pattFill prst="pct90">
                <a:fgClr>
                  <a:schemeClr val="tx2"/>
                </a:fgClr>
                <a:bgClr>
                  <a:schemeClr val="bg1"/>
                </a:bgClr>
              </a:pattFill>
              <a:ln w="0">
                <a:solidFill>
                  <a:schemeClr val="lt1"/>
                </a:solidFill>
              </a:ln>
              <a:effectLst/>
            </c:spPr>
            <c:extLst>
              <c:ext xmlns:c16="http://schemas.microsoft.com/office/drawing/2014/chart" uri="{C3380CC4-5D6E-409C-BE32-E72D297353CC}">
                <c16:uniqueId val="{00000005-8B4E-4FE0-89A5-E0AE72B542FC}"/>
              </c:ext>
            </c:extLst>
          </c:dPt>
          <c:dPt>
            <c:idx val="3"/>
            <c:bubble3D val="0"/>
            <c:spPr>
              <a:solidFill>
                <a:schemeClr val="accent1"/>
              </a:solidFill>
              <a:ln w="19050">
                <a:solidFill>
                  <a:schemeClr val="lt1"/>
                </a:solidFill>
              </a:ln>
              <a:effectLst/>
            </c:spPr>
            <c:extLst>
              <c:ext xmlns:c16="http://schemas.microsoft.com/office/drawing/2014/chart" uri="{C3380CC4-5D6E-409C-BE32-E72D297353CC}">
                <c16:uniqueId val="{00000007-8B4E-4FE0-89A5-E0AE72B542FC}"/>
              </c:ext>
            </c:extLst>
          </c:dPt>
          <c:dPt>
            <c:idx val="4"/>
            <c:bubble3D val="0"/>
            <c:spPr>
              <a:pattFill prst="ltUpDiag">
                <a:fgClr>
                  <a:schemeClr val="accent1"/>
                </a:fgClr>
                <a:bgClr>
                  <a:schemeClr val="bg1"/>
                </a:bgClr>
              </a:pattFill>
              <a:ln w="19050">
                <a:solidFill>
                  <a:schemeClr val="lt1"/>
                </a:solidFill>
              </a:ln>
              <a:effectLst/>
            </c:spPr>
            <c:extLst>
              <c:ext xmlns:c16="http://schemas.microsoft.com/office/drawing/2014/chart" uri="{C3380CC4-5D6E-409C-BE32-E72D297353CC}">
                <c16:uniqueId val="{00000009-8B4E-4FE0-89A5-E0AE72B542FC}"/>
              </c:ext>
            </c:extLst>
          </c:dPt>
          <c:dPt>
            <c:idx val="5"/>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B-8B4E-4FE0-89A5-E0AE72B542FC}"/>
              </c:ext>
            </c:extLst>
          </c:dPt>
          <c:dPt>
            <c:idx val="6"/>
            <c:bubble3D val="0"/>
            <c:spPr>
              <a:solidFill>
                <a:schemeClr val="accent1">
                  <a:tint val="48000"/>
                </a:schemeClr>
              </a:solidFill>
              <a:ln w="19050">
                <a:solidFill>
                  <a:schemeClr val="lt1"/>
                </a:solidFill>
              </a:ln>
              <a:effectLst/>
            </c:spPr>
            <c:extLst>
              <c:ext xmlns:c16="http://schemas.microsoft.com/office/drawing/2014/chart" uri="{C3380CC4-5D6E-409C-BE32-E72D297353CC}">
                <c16:uniqueId val="{0000000D-8B4E-4FE0-89A5-E0AE72B542FC}"/>
              </c:ext>
            </c:extLst>
          </c:dPt>
          <c:dPt>
            <c:idx val="7"/>
            <c:bubble3D val="0"/>
            <c:spPr>
              <a:solidFill>
                <a:schemeClr val="accent1">
                  <a:tint val="30000"/>
                </a:schemeClr>
              </a:solidFill>
              <a:ln w="19050">
                <a:solidFill>
                  <a:schemeClr val="lt1"/>
                </a:solidFill>
              </a:ln>
              <a:effectLst/>
            </c:spPr>
            <c:extLst>
              <c:ext xmlns:c16="http://schemas.microsoft.com/office/drawing/2014/chart" uri="{C3380CC4-5D6E-409C-BE32-E72D297353CC}">
                <c16:uniqueId val="{0000000F-8B4E-4FE0-89A5-E0AE72B542FC}"/>
              </c:ext>
            </c:extLst>
          </c:dPt>
          <c:dLbls>
            <c:dLbl>
              <c:idx val="0"/>
              <c:layout>
                <c:manualLayout>
                  <c:x val="-1.1996711113451956E-2"/>
                  <c:y val="-1.2769496497312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4E-4FE0-89A5-E0AE72B542FC}"/>
                </c:ext>
              </c:extLst>
            </c:dLbl>
            <c:dLbl>
              <c:idx val="1"/>
              <c:layout>
                <c:manualLayout>
                  <c:x val="1.5303210339795705E-2"/>
                  <c:y val="-3.007895650432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4E-4FE0-89A5-E0AE72B542FC}"/>
                </c:ext>
              </c:extLst>
            </c:dLbl>
            <c:dLbl>
              <c:idx val="2"/>
              <c:layout>
                <c:manualLayout>
                  <c:x val="-3.2220388813626398E-2"/>
                  <c:y val="-2.2314557278185335E-2"/>
                </c:manualLayout>
              </c:layout>
              <c:numFmt formatCode="#,###,\k" sourceLinked="0"/>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896448610740474"/>
                      <c:h val="0.11419276395780618"/>
                    </c:manualLayout>
                  </c15:layout>
                </c:ext>
                <c:ext xmlns:c16="http://schemas.microsoft.com/office/drawing/2014/chart" uri="{C3380CC4-5D6E-409C-BE32-E72D297353CC}">
                  <c16:uniqueId val="{00000005-8B4E-4FE0-89A5-E0AE72B542FC}"/>
                </c:ext>
              </c:extLst>
            </c:dLbl>
            <c:dLbl>
              <c:idx val="3"/>
              <c:layout>
                <c:manualLayout>
                  <c:x val="-2.3269340393072723E-2"/>
                  <c:y val="-6.7800813958791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4E-4FE0-89A5-E0AE72B542FC}"/>
                </c:ext>
              </c:extLst>
            </c:dLbl>
            <c:dLbl>
              <c:idx val="4"/>
              <c:layout>
                <c:manualLayout>
                  <c:x val="-1.3628413591828226E-2"/>
                  <c:y val="-3.59130779722301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4E-4FE0-89A5-E0AE72B542FC}"/>
                </c:ext>
              </c:extLst>
            </c:dLbl>
            <c:dLbl>
              <c:idx val="5"/>
              <c:layout>
                <c:manualLayout>
                  <c:x val="1.6812433047936625E-2"/>
                  <c:y val="-5.05959750210489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4E-4FE0-89A5-E0AE72B542FC}"/>
                </c:ext>
              </c:extLst>
            </c:dLbl>
            <c:dLbl>
              <c:idx val="6"/>
              <c:layout>
                <c:manualLayout>
                  <c:x val="7.1364156403526486E-3"/>
                  <c:y val="-8.7672603219574805E-3"/>
                </c:manualLayout>
              </c:layout>
              <c:numFmt formatCode="#,###,\k" sourceLinked="0"/>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722311466919479"/>
                      <c:h val="6.9572358601363335E-2"/>
                    </c:manualLayout>
                  </c15:layout>
                </c:ext>
                <c:ext xmlns:c16="http://schemas.microsoft.com/office/drawing/2014/chart" uri="{C3380CC4-5D6E-409C-BE32-E72D297353CC}">
                  <c16:uniqueId val="{0000000D-8B4E-4FE0-89A5-E0AE72B542FC}"/>
                </c:ext>
              </c:extLst>
            </c:dLbl>
            <c:numFmt formatCode="#,###,\k" sourceLinked="0"/>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'Data for charts and tables'!$B$2:$H$2</c:f>
              <c:strCache>
                <c:ptCount val="7"/>
                <c:pt idx="0">
                  <c:v>NICE.org</c:v>
                </c:pt>
                <c:pt idx="1">
                  <c:v>Pathways</c:v>
                </c:pt>
                <c:pt idx="2">
                  <c:v>Evidence Search</c:v>
                </c:pt>
                <c:pt idx="3">
                  <c:v>BNF website</c:v>
                </c:pt>
                <c:pt idx="4">
                  <c:v>BNFc website</c:v>
                </c:pt>
                <c:pt idx="5">
                  <c:v>CKS</c:v>
                </c:pt>
                <c:pt idx="6">
                  <c:v>HDAS</c:v>
                </c:pt>
              </c:strCache>
            </c:strRef>
          </c:cat>
          <c:val>
            <c:numRef>
              <c:f>[0]!sess_websites_lastmonth</c:f>
              <c:numCache>
                <c:formatCode>_-* #,##0_-;\-* #,##0_-;_-* "-"??_-;_-@_-</c:formatCode>
                <c:ptCount val="7"/>
                <c:pt idx="0">
                  <c:v>1903000</c:v>
                </c:pt>
                <c:pt idx="1">
                  <c:v>234000</c:v>
                </c:pt>
                <c:pt idx="2">
                  <c:v>371000</c:v>
                </c:pt>
                <c:pt idx="3">
                  <c:v>2587000</c:v>
                </c:pt>
                <c:pt idx="4">
                  <c:v>256000</c:v>
                </c:pt>
                <c:pt idx="5">
                  <c:v>1140000</c:v>
                </c:pt>
                <c:pt idx="6">
                  <c:v>25189</c:v>
                </c:pt>
              </c:numCache>
            </c:numRef>
          </c:val>
          <c:extLst>
            <c:ext xmlns:c16="http://schemas.microsoft.com/office/drawing/2014/chart" uri="{C3380CC4-5D6E-409C-BE32-E72D297353CC}">
              <c16:uniqueId val="{00000010-8B4E-4FE0-89A5-E0AE72B542FC}"/>
            </c:ext>
          </c:extLst>
        </c:ser>
        <c:dLbls>
          <c:showLegendKey val="0"/>
          <c:showVal val="0"/>
          <c:showCatName val="0"/>
          <c:showSerName val="0"/>
          <c:showPercent val="0"/>
          <c:showBubbleSize val="0"/>
          <c:showLeaderLines val="0"/>
        </c:dLbls>
        <c:firstSliceAng val="0"/>
      </c:pieChart>
      <c:spPr>
        <a:noFill/>
        <a:ln>
          <a:noFill/>
        </a:ln>
        <a:effectLst/>
      </c:spPr>
    </c:plotArea>
    <c:legend>
      <c:legendPos val="l"/>
      <c:layout>
        <c:manualLayout>
          <c:xMode val="edge"/>
          <c:yMode val="edge"/>
          <c:x val="2.6893611542704317E-2"/>
          <c:y val="0.23325795031435023"/>
          <c:w val="0.31354256144118348"/>
          <c:h val="0.64215538640883207"/>
        </c:manualLayout>
      </c:layout>
      <c:overlay val="0"/>
      <c:spPr>
        <a:noFill/>
        <a:ln cmpd="dbl">
          <a:solidFill>
            <a:schemeClr val="lt1"/>
          </a:solidFill>
        </a:ln>
        <a:effectLst/>
      </c:spPr>
      <c:txPr>
        <a:bodyPr rot="0" spcFirstLastPara="1" vertOverflow="ellipsis" vert="horz" wrap="square" anchor="ctr" anchorCtr="0"/>
        <a:lstStyle/>
        <a:p>
          <a:pPr rtl="0">
            <a:defRPr sz="1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600" b="1">
                <a:solidFill>
                  <a:sysClr val="windowText" lastClr="000000"/>
                </a:solidFill>
                <a:latin typeface="Arial" panose="020B0604020202020204" pitchFamily="34" charset="0"/>
                <a:cs typeface="Arial" panose="020B0604020202020204" pitchFamily="34" charset="0"/>
              </a:rPr>
              <a:t>Sessions on NICE.org</a:t>
            </a:r>
          </a:p>
        </c:rich>
      </c:tx>
      <c:layout>
        <c:manualLayout>
          <c:xMode val="edge"/>
          <c:yMode val="edge"/>
          <c:x val="0.2987631365356439"/>
          <c:y val="1.6229005857026493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0677403559849136"/>
          <c:y val="0.16141777777777777"/>
          <c:w val="0.6334262334855203"/>
          <c:h val="0.58977371071859264"/>
        </c:manualLayout>
      </c:layout>
      <c:barChart>
        <c:barDir val="col"/>
        <c:grouping val="clustered"/>
        <c:varyColors val="0"/>
        <c:ser>
          <c:idx val="3"/>
          <c:order val="0"/>
          <c:tx>
            <c:v>2018/19</c:v>
          </c:tx>
          <c:spPr>
            <a:solidFill>
              <a:schemeClr val="accent1">
                <a:tint val="58000"/>
              </a:schemeClr>
            </a:solidFill>
            <a:ln>
              <a:noFill/>
            </a:ln>
            <a:effectLst/>
          </c:spPr>
          <c:invertIfNegative val="0"/>
          <c:dPt>
            <c:idx val="12"/>
            <c:invertIfNegative val="0"/>
            <c:bubble3D val="0"/>
            <c:spPr>
              <a:solidFill>
                <a:schemeClr val="accent1">
                  <a:tint val="58000"/>
                </a:schemeClr>
              </a:solidFill>
              <a:ln>
                <a:noFill/>
              </a:ln>
              <a:effectLst/>
            </c:spPr>
            <c:extLst>
              <c:ext xmlns:c16="http://schemas.microsoft.com/office/drawing/2014/chart" uri="{C3380CC4-5D6E-409C-BE32-E72D297353CC}">
                <c16:uniqueId val="{00000001-ED44-4BF8-9980-436596F5A46E}"/>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tables'!$B$55:$B$66</c:f>
              <c:numCache>
                <c:formatCode>_-* #,##0_-;\-* #,##0_-;_-* "-"??_-;_-@_-</c:formatCode>
                <c:ptCount val="12"/>
                <c:pt idx="0">
                  <c:v>1668375</c:v>
                </c:pt>
                <c:pt idx="1">
                  <c:v>1622474</c:v>
                </c:pt>
                <c:pt idx="2">
                  <c:v>1365349</c:v>
                </c:pt>
                <c:pt idx="3">
                  <c:v>1296655</c:v>
                </c:pt>
                <c:pt idx="4">
                  <c:v>1331568</c:v>
                </c:pt>
                <c:pt idx="5">
                  <c:v>1450165</c:v>
                </c:pt>
                <c:pt idx="6">
                  <c:v>1761861</c:v>
                </c:pt>
                <c:pt idx="7">
                  <c:v>1756399</c:v>
                </c:pt>
                <c:pt idx="8">
                  <c:v>1422586</c:v>
                </c:pt>
                <c:pt idx="9">
                  <c:v>1902546</c:v>
                </c:pt>
                <c:pt idx="10">
                  <c:v>1642674</c:v>
                </c:pt>
                <c:pt idx="11">
                  <c:v>1768209</c:v>
                </c:pt>
              </c:numCache>
            </c:numRef>
          </c:val>
          <c:extLst>
            <c:ext xmlns:c16="http://schemas.microsoft.com/office/drawing/2014/chart" uri="{C3380CC4-5D6E-409C-BE32-E72D297353CC}">
              <c16:uniqueId val="{00000002-ED44-4BF8-9980-436596F5A46E}"/>
            </c:ext>
          </c:extLst>
        </c:ser>
        <c:ser>
          <c:idx val="2"/>
          <c:order val="1"/>
          <c:tx>
            <c:v>2019/20</c:v>
          </c:tx>
          <c:spPr>
            <a:solidFill>
              <a:schemeClr val="accent1">
                <a:tint val="86000"/>
              </a:schemeClr>
            </a:solidFill>
            <a:ln>
              <a:noFill/>
            </a:ln>
            <a:effectLst/>
          </c:spPr>
          <c:invertIfNegative val="0"/>
          <c:dPt>
            <c:idx val="12"/>
            <c:invertIfNegative val="0"/>
            <c:bubble3D val="0"/>
            <c:spPr>
              <a:solidFill>
                <a:schemeClr val="accent1">
                  <a:tint val="86000"/>
                </a:schemeClr>
              </a:solidFill>
              <a:ln>
                <a:noFill/>
              </a:ln>
              <a:effectLst/>
            </c:spPr>
            <c:extLst>
              <c:ext xmlns:c16="http://schemas.microsoft.com/office/drawing/2014/chart" uri="{C3380CC4-5D6E-409C-BE32-E72D297353CC}">
                <c16:uniqueId val="{00000004-ED44-4BF8-9980-436596F5A46E}"/>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tables'!$B$67:$B$78</c:f>
              <c:numCache>
                <c:formatCode>_-* #,##0_-;\-* #,##0_-;_-* "-"??_-;_-@_-</c:formatCode>
                <c:ptCount val="12"/>
                <c:pt idx="0">
                  <c:v>1744869</c:v>
                </c:pt>
                <c:pt idx="1">
                  <c:v>1780738</c:v>
                </c:pt>
                <c:pt idx="2">
                  <c:v>1520367</c:v>
                </c:pt>
                <c:pt idx="3">
                  <c:v>1474728</c:v>
                </c:pt>
                <c:pt idx="4">
                  <c:v>1330938</c:v>
                </c:pt>
                <c:pt idx="5">
                  <c:v>1526955</c:v>
                </c:pt>
                <c:pt idx="6">
                  <c:v>1825215</c:v>
                </c:pt>
                <c:pt idx="7">
                  <c:v>1774080</c:v>
                </c:pt>
                <c:pt idx="8">
                  <c:v>1381665</c:v>
                </c:pt>
                <c:pt idx="9">
                  <c:v>1797637</c:v>
                </c:pt>
                <c:pt idx="10">
                  <c:v>1726185</c:v>
                </c:pt>
                <c:pt idx="11">
                  <c:v>1870259</c:v>
                </c:pt>
              </c:numCache>
            </c:numRef>
          </c:val>
          <c:extLst>
            <c:ext xmlns:c16="http://schemas.microsoft.com/office/drawing/2014/chart" uri="{C3380CC4-5D6E-409C-BE32-E72D297353CC}">
              <c16:uniqueId val="{00000005-ED44-4BF8-9980-436596F5A46E}"/>
            </c:ext>
          </c:extLst>
        </c:ser>
        <c:ser>
          <c:idx val="0"/>
          <c:order val="2"/>
          <c:tx>
            <c:v>2020/21</c:v>
          </c:tx>
          <c:spPr>
            <a:solidFill>
              <a:schemeClr val="accent1">
                <a:shade val="58000"/>
              </a:schemeClr>
            </a:solidFill>
            <a:ln>
              <a:noFill/>
            </a:ln>
            <a:effectLst/>
          </c:spPr>
          <c:invertIfNegative val="0"/>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tables'!$B$79:$B$90</c:f>
              <c:numCache>
                <c:formatCode>_-* #,##0_-;\-* #,##0_-;_-* "-"??_-;_-@_-</c:formatCode>
                <c:ptCount val="12"/>
                <c:pt idx="0">
                  <c:v>1954653</c:v>
                </c:pt>
                <c:pt idx="1">
                  <c:v>1690281</c:v>
                </c:pt>
                <c:pt idx="2">
                  <c:v>1522193</c:v>
                </c:pt>
                <c:pt idx="3">
                  <c:v>1446271</c:v>
                </c:pt>
                <c:pt idx="4">
                  <c:v>1385158</c:v>
                </c:pt>
                <c:pt idx="5">
                  <c:v>1593280</c:v>
                </c:pt>
                <c:pt idx="6">
                  <c:v>1903000</c:v>
                </c:pt>
              </c:numCache>
            </c:numRef>
          </c:val>
          <c:extLst>
            <c:ext xmlns:c16="http://schemas.microsoft.com/office/drawing/2014/chart" uri="{C3380CC4-5D6E-409C-BE32-E72D297353CC}">
              <c16:uniqueId val="{00000006-ED44-4BF8-9980-436596F5A46E}"/>
            </c:ext>
          </c:extLst>
        </c:ser>
        <c:dLbls>
          <c:showLegendKey val="0"/>
          <c:showVal val="0"/>
          <c:showCatName val="0"/>
          <c:showSerName val="0"/>
          <c:showPercent val="0"/>
          <c:showBubbleSize val="0"/>
        </c:dLbls>
        <c:gapWidth val="219"/>
        <c:overlap val="-27"/>
        <c:axId val="401077800"/>
        <c:axId val="401078192"/>
      </c:barChart>
      <c:catAx>
        <c:axId val="40107780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Month</a:t>
                </a:r>
              </a:p>
            </c:rich>
          </c:tx>
          <c:layout>
            <c:manualLayout>
              <c:xMode val="edge"/>
              <c:yMode val="edge"/>
              <c:x val="0.4704281964754406"/>
              <c:y val="0.8722328627840438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1078192"/>
        <c:crosses val="autoZero"/>
        <c:auto val="1"/>
        <c:lblAlgn val="ctr"/>
        <c:lblOffset val="100"/>
        <c:noMultiLvlLbl val="1"/>
      </c:catAx>
      <c:valAx>
        <c:axId val="401078192"/>
        <c:scaling>
          <c:orientation val="minMax"/>
          <c:max val="25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Number of sessions</a:t>
                </a:r>
              </a:p>
            </c:rich>
          </c:tx>
          <c:layout>
            <c:manualLayout>
              <c:xMode val="edge"/>
              <c:yMode val="edge"/>
              <c:x val="1.2410587230813017E-2"/>
              <c:y val="0.1044619422572178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1077800"/>
        <c:crosses val="autoZero"/>
        <c:crossBetween val="between"/>
        <c:majorUnit val="500000"/>
      </c:valAx>
      <c:spPr>
        <a:noFill/>
        <a:ln>
          <a:noFill/>
        </a:ln>
        <a:effectLst/>
      </c:spPr>
    </c:plotArea>
    <c:legend>
      <c:legendPos val="r"/>
      <c:layout>
        <c:manualLayout>
          <c:xMode val="edge"/>
          <c:yMode val="edge"/>
          <c:x val="0.83121603917157416"/>
          <c:y val="0.38537258929590323"/>
          <c:w val="0.15757365623414721"/>
          <c:h val="0.2883135912358781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600" b="1">
                <a:solidFill>
                  <a:sysClr val="windowText" lastClr="000000"/>
                </a:solidFill>
                <a:latin typeface="Arial" panose="020B0604020202020204" pitchFamily="34" charset="0"/>
                <a:cs typeface="Arial" panose="020B0604020202020204" pitchFamily="34" charset="0"/>
              </a:rPr>
              <a:t>Sessions on Pathways</a:t>
            </a:r>
          </a:p>
        </c:rich>
      </c:tx>
      <c:layout>
        <c:manualLayout>
          <c:xMode val="edge"/>
          <c:yMode val="edge"/>
          <c:x val="0.30990115146896963"/>
          <c:y val="2.744333094726796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0714403988092092"/>
          <c:y val="0.1675680555555556"/>
          <c:w val="0.63237242156810936"/>
          <c:h val="0.59705400461305969"/>
        </c:manualLayout>
      </c:layout>
      <c:barChart>
        <c:barDir val="col"/>
        <c:grouping val="clustered"/>
        <c:varyColors val="0"/>
        <c:ser>
          <c:idx val="3"/>
          <c:order val="0"/>
          <c:tx>
            <c:v>2018/19</c:v>
          </c:tx>
          <c:spPr>
            <a:solidFill>
              <a:schemeClr val="accent1">
                <a:tint val="58000"/>
              </a:schemeClr>
            </a:solidFill>
            <a:ln>
              <a:noFill/>
            </a:ln>
            <a:effectLst/>
          </c:spPr>
          <c:invertIfNegative val="0"/>
          <c:dPt>
            <c:idx val="12"/>
            <c:invertIfNegative val="0"/>
            <c:bubble3D val="0"/>
            <c:spPr>
              <a:solidFill>
                <a:schemeClr val="accent1">
                  <a:tint val="58000"/>
                </a:schemeClr>
              </a:solidFill>
              <a:ln>
                <a:noFill/>
              </a:ln>
              <a:effectLst/>
            </c:spPr>
            <c:extLst>
              <c:ext xmlns:c16="http://schemas.microsoft.com/office/drawing/2014/chart" uri="{C3380CC4-5D6E-409C-BE32-E72D297353CC}">
                <c16:uniqueId val="{00000001-BBFC-4D71-8AA7-1AF606F86129}"/>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tables'!$C$55:$C$66</c:f>
              <c:numCache>
                <c:formatCode>_-* #,##0_-;\-* #,##0_-;_-* "-"??_-;_-@_-</c:formatCode>
                <c:ptCount val="12"/>
                <c:pt idx="0">
                  <c:v>277079</c:v>
                </c:pt>
                <c:pt idx="1">
                  <c:v>260581</c:v>
                </c:pt>
                <c:pt idx="2">
                  <c:v>207733</c:v>
                </c:pt>
                <c:pt idx="3">
                  <c:v>180883</c:v>
                </c:pt>
                <c:pt idx="4">
                  <c:v>179067</c:v>
                </c:pt>
                <c:pt idx="5">
                  <c:v>206387</c:v>
                </c:pt>
                <c:pt idx="6">
                  <c:v>277445</c:v>
                </c:pt>
                <c:pt idx="7">
                  <c:v>261859</c:v>
                </c:pt>
                <c:pt idx="8">
                  <c:v>205404</c:v>
                </c:pt>
                <c:pt idx="9">
                  <c:v>282921</c:v>
                </c:pt>
                <c:pt idx="10">
                  <c:v>245261</c:v>
                </c:pt>
                <c:pt idx="11">
                  <c:v>242998</c:v>
                </c:pt>
              </c:numCache>
            </c:numRef>
          </c:val>
          <c:extLst>
            <c:ext xmlns:c16="http://schemas.microsoft.com/office/drawing/2014/chart" uri="{C3380CC4-5D6E-409C-BE32-E72D297353CC}">
              <c16:uniqueId val="{00000002-BBFC-4D71-8AA7-1AF606F86129}"/>
            </c:ext>
          </c:extLst>
        </c:ser>
        <c:ser>
          <c:idx val="2"/>
          <c:order val="1"/>
          <c:tx>
            <c:v>2019/20</c:v>
          </c:tx>
          <c:spPr>
            <a:solidFill>
              <a:schemeClr val="accent1">
                <a:tint val="86000"/>
              </a:schemeClr>
            </a:solidFill>
            <a:ln>
              <a:noFill/>
            </a:ln>
            <a:effectLst/>
          </c:spPr>
          <c:invertIfNegative val="0"/>
          <c:dPt>
            <c:idx val="12"/>
            <c:invertIfNegative val="0"/>
            <c:bubble3D val="0"/>
            <c:spPr>
              <a:solidFill>
                <a:schemeClr val="accent1">
                  <a:tint val="86000"/>
                </a:schemeClr>
              </a:solidFill>
              <a:ln>
                <a:noFill/>
              </a:ln>
              <a:effectLst/>
            </c:spPr>
            <c:extLst>
              <c:ext xmlns:c16="http://schemas.microsoft.com/office/drawing/2014/chart" uri="{C3380CC4-5D6E-409C-BE32-E72D297353CC}">
                <c16:uniqueId val="{00000004-BBFC-4D71-8AA7-1AF606F86129}"/>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tables'!$C$67:$C$78</c:f>
              <c:numCache>
                <c:formatCode>_-* #,##0_-;\-* #,##0_-;_-* "-"??_-;_-@_-</c:formatCode>
                <c:ptCount val="12"/>
                <c:pt idx="0">
                  <c:v>273987</c:v>
                </c:pt>
                <c:pt idx="1">
                  <c:v>221370</c:v>
                </c:pt>
                <c:pt idx="2">
                  <c:v>217143</c:v>
                </c:pt>
                <c:pt idx="3">
                  <c:v>195821</c:v>
                </c:pt>
                <c:pt idx="4">
                  <c:v>174371</c:v>
                </c:pt>
                <c:pt idx="5">
                  <c:v>205667</c:v>
                </c:pt>
                <c:pt idx="6">
                  <c:v>252143</c:v>
                </c:pt>
                <c:pt idx="7">
                  <c:v>235597</c:v>
                </c:pt>
                <c:pt idx="8">
                  <c:v>178508</c:v>
                </c:pt>
                <c:pt idx="9">
                  <c:v>241751</c:v>
                </c:pt>
                <c:pt idx="10">
                  <c:v>240781</c:v>
                </c:pt>
                <c:pt idx="11">
                  <c:v>213578</c:v>
                </c:pt>
              </c:numCache>
            </c:numRef>
          </c:val>
          <c:extLst>
            <c:ext xmlns:c16="http://schemas.microsoft.com/office/drawing/2014/chart" uri="{C3380CC4-5D6E-409C-BE32-E72D297353CC}">
              <c16:uniqueId val="{00000005-BBFC-4D71-8AA7-1AF606F86129}"/>
            </c:ext>
          </c:extLst>
        </c:ser>
        <c:ser>
          <c:idx val="0"/>
          <c:order val="2"/>
          <c:tx>
            <c:v>2020/21</c:v>
          </c:tx>
          <c:spPr>
            <a:solidFill>
              <a:schemeClr val="accent1">
                <a:shade val="58000"/>
              </a:schemeClr>
            </a:solidFill>
            <a:ln>
              <a:noFill/>
            </a:ln>
            <a:effectLst/>
          </c:spPr>
          <c:invertIfNegative val="0"/>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tables'!$C$79:$C$90</c:f>
              <c:numCache>
                <c:formatCode>_-* #,##0_-;\-* #,##0_-;_-* "-"??_-;_-@_-</c:formatCode>
                <c:ptCount val="12"/>
                <c:pt idx="0">
                  <c:v>188792</c:v>
                </c:pt>
                <c:pt idx="1">
                  <c:v>200329</c:v>
                </c:pt>
                <c:pt idx="2">
                  <c:v>177905</c:v>
                </c:pt>
                <c:pt idx="3">
                  <c:v>157028</c:v>
                </c:pt>
                <c:pt idx="4">
                  <c:v>151916</c:v>
                </c:pt>
                <c:pt idx="5">
                  <c:v>183251</c:v>
                </c:pt>
                <c:pt idx="6">
                  <c:v>234000</c:v>
                </c:pt>
              </c:numCache>
            </c:numRef>
          </c:val>
          <c:extLst>
            <c:ext xmlns:c16="http://schemas.microsoft.com/office/drawing/2014/chart" uri="{C3380CC4-5D6E-409C-BE32-E72D297353CC}">
              <c16:uniqueId val="{00000006-BBFC-4D71-8AA7-1AF606F86129}"/>
            </c:ext>
          </c:extLst>
        </c:ser>
        <c:dLbls>
          <c:showLegendKey val="0"/>
          <c:showVal val="0"/>
          <c:showCatName val="0"/>
          <c:showSerName val="0"/>
          <c:showPercent val="0"/>
          <c:showBubbleSize val="0"/>
        </c:dLbls>
        <c:gapWidth val="219"/>
        <c:overlap val="-27"/>
        <c:axId val="400889800"/>
        <c:axId val="401077016"/>
      </c:barChart>
      <c:catAx>
        <c:axId val="40088980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Month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1077016"/>
        <c:crosses val="autoZero"/>
        <c:auto val="1"/>
        <c:lblAlgn val="ctr"/>
        <c:lblOffset val="100"/>
        <c:noMultiLvlLbl val="1"/>
      </c:catAx>
      <c:valAx>
        <c:axId val="401077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Number of sessions</a:t>
                </a:r>
              </a:p>
            </c:rich>
          </c:tx>
          <c:layout>
            <c:manualLayout>
              <c:xMode val="edge"/>
              <c:yMode val="edge"/>
              <c:x val="1.6457539581745829E-2"/>
              <c:y val="0.1617839815477610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0889800"/>
        <c:crosses val="autoZero"/>
        <c:crossBetween val="between"/>
        <c:majorUnit val="100000"/>
      </c:valAx>
      <c:spPr>
        <a:noFill/>
        <a:ln>
          <a:noFill/>
        </a:ln>
        <a:effectLst/>
      </c:spPr>
    </c:plotArea>
    <c:legend>
      <c:legendPos val="r"/>
      <c:layout>
        <c:manualLayout>
          <c:xMode val="edge"/>
          <c:yMode val="edge"/>
          <c:x val="0.83176742020150718"/>
          <c:y val="0.37809587904076086"/>
          <c:w val="0.16644462788925579"/>
          <c:h val="0.284358750028041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600" b="1">
                <a:solidFill>
                  <a:sysClr val="windowText" lastClr="000000"/>
                </a:solidFill>
                <a:latin typeface="Arial" panose="020B0604020202020204" pitchFamily="34" charset="0"/>
                <a:cs typeface="Arial" panose="020B0604020202020204" pitchFamily="34" charset="0"/>
              </a:rPr>
              <a:t>Sessions on Evidence</a:t>
            </a:r>
            <a:r>
              <a:rPr lang="en-GB" sz="1600" b="1" baseline="0">
                <a:solidFill>
                  <a:sysClr val="windowText" lastClr="000000"/>
                </a:solidFill>
                <a:latin typeface="Arial" panose="020B0604020202020204" pitchFamily="34" charset="0"/>
                <a:cs typeface="Arial" panose="020B0604020202020204" pitchFamily="34" charset="0"/>
              </a:rPr>
              <a:t> Search</a:t>
            </a:r>
            <a:endParaRPr lang="en-GB" sz="16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2795895591791188"/>
          <c:y val="2.703432821885407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9478206956413915"/>
          <c:y val="0.15843492734139941"/>
          <c:w val="0.64072891479116278"/>
          <c:h val="0.60663465847256903"/>
        </c:manualLayout>
      </c:layout>
      <c:barChart>
        <c:barDir val="col"/>
        <c:grouping val="clustered"/>
        <c:varyColors val="0"/>
        <c:ser>
          <c:idx val="3"/>
          <c:order val="0"/>
          <c:tx>
            <c:v>2018/19</c:v>
          </c:tx>
          <c:spPr>
            <a:solidFill>
              <a:schemeClr val="accent1">
                <a:tint val="58000"/>
              </a:schemeClr>
            </a:solidFill>
            <a:ln>
              <a:noFill/>
            </a:ln>
            <a:effectLst/>
          </c:spPr>
          <c:invertIfNegative val="0"/>
          <c:dPt>
            <c:idx val="12"/>
            <c:invertIfNegative val="0"/>
            <c:bubble3D val="0"/>
            <c:spPr>
              <a:solidFill>
                <a:schemeClr val="accent1">
                  <a:tint val="58000"/>
                </a:schemeClr>
              </a:solidFill>
              <a:ln>
                <a:noFill/>
              </a:ln>
              <a:effectLst/>
            </c:spPr>
            <c:extLst>
              <c:ext xmlns:c16="http://schemas.microsoft.com/office/drawing/2014/chart" uri="{C3380CC4-5D6E-409C-BE32-E72D297353CC}">
                <c16:uniqueId val="{00000001-02F2-4C12-81C2-30E9963EA943}"/>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tables'!$D$55:$D$66</c:f>
              <c:numCache>
                <c:formatCode>_-* #,##0_-;\-* #,##0_-;_-* "-"??_-;_-@_-</c:formatCode>
                <c:ptCount val="12"/>
                <c:pt idx="0">
                  <c:v>566404</c:v>
                </c:pt>
                <c:pt idx="1">
                  <c:v>511083</c:v>
                </c:pt>
                <c:pt idx="2">
                  <c:v>410924</c:v>
                </c:pt>
                <c:pt idx="3">
                  <c:v>329632</c:v>
                </c:pt>
                <c:pt idx="4">
                  <c:v>246065</c:v>
                </c:pt>
                <c:pt idx="5">
                  <c:v>254406</c:v>
                </c:pt>
                <c:pt idx="6">
                  <c:v>440815</c:v>
                </c:pt>
                <c:pt idx="7">
                  <c:v>413250</c:v>
                </c:pt>
                <c:pt idx="8">
                  <c:v>297458</c:v>
                </c:pt>
                <c:pt idx="9">
                  <c:v>373352</c:v>
                </c:pt>
                <c:pt idx="10">
                  <c:v>343257</c:v>
                </c:pt>
                <c:pt idx="11">
                  <c:v>385383</c:v>
                </c:pt>
              </c:numCache>
            </c:numRef>
          </c:val>
          <c:extLst>
            <c:ext xmlns:c16="http://schemas.microsoft.com/office/drawing/2014/chart" uri="{C3380CC4-5D6E-409C-BE32-E72D297353CC}">
              <c16:uniqueId val="{00000002-02F2-4C12-81C2-30E9963EA943}"/>
            </c:ext>
          </c:extLst>
        </c:ser>
        <c:ser>
          <c:idx val="2"/>
          <c:order val="1"/>
          <c:tx>
            <c:v>2019/20</c:v>
          </c:tx>
          <c:spPr>
            <a:solidFill>
              <a:schemeClr val="accent1">
                <a:tint val="86000"/>
              </a:schemeClr>
            </a:solidFill>
            <a:ln>
              <a:noFill/>
            </a:ln>
            <a:effectLst/>
          </c:spPr>
          <c:invertIfNegative val="0"/>
          <c:dPt>
            <c:idx val="12"/>
            <c:invertIfNegative val="0"/>
            <c:bubble3D val="0"/>
            <c:spPr>
              <a:solidFill>
                <a:schemeClr val="accent1">
                  <a:tint val="86000"/>
                </a:schemeClr>
              </a:solidFill>
              <a:ln>
                <a:noFill/>
              </a:ln>
              <a:effectLst/>
            </c:spPr>
            <c:extLst>
              <c:ext xmlns:c16="http://schemas.microsoft.com/office/drawing/2014/chart" uri="{C3380CC4-5D6E-409C-BE32-E72D297353CC}">
                <c16:uniqueId val="{00000004-02F2-4C12-81C2-30E9963EA943}"/>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tables'!$D$67:$D$78</c:f>
              <c:numCache>
                <c:formatCode>_-* #,##0_-;\-* #,##0_-;_-* "-"??_-;_-@_-</c:formatCode>
                <c:ptCount val="12"/>
                <c:pt idx="0">
                  <c:v>330164</c:v>
                </c:pt>
                <c:pt idx="1">
                  <c:v>346396</c:v>
                </c:pt>
                <c:pt idx="2">
                  <c:v>293316</c:v>
                </c:pt>
                <c:pt idx="3">
                  <c:v>273876</c:v>
                </c:pt>
                <c:pt idx="4">
                  <c:v>244465</c:v>
                </c:pt>
                <c:pt idx="5">
                  <c:v>301369</c:v>
                </c:pt>
                <c:pt idx="6">
                  <c:v>407259</c:v>
                </c:pt>
                <c:pt idx="7">
                  <c:v>461851</c:v>
                </c:pt>
                <c:pt idx="8">
                  <c:v>413170</c:v>
                </c:pt>
                <c:pt idx="9">
                  <c:v>552182</c:v>
                </c:pt>
                <c:pt idx="10">
                  <c:v>458896</c:v>
                </c:pt>
                <c:pt idx="11">
                  <c:v>409731</c:v>
                </c:pt>
              </c:numCache>
            </c:numRef>
          </c:val>
          <c:extLst>
            <c:ext xmlns:c16="http://schemas.microsoft.com/office/drawing/2014/chart" uri="{C3380CC4-5D6E-409C-BE32-E72D297353CC}">
              <c16:uniqueId val="{00000005-02F2-4C12-81C2-30E9963EA943}"/>
            </c:ext>
          </c:extLst>
        </c:ser>
        <c:ser>
          <c:idx val="0"/>
          <c:order val="2"/>
          <c:tx>
            <c:v>2020/21</c:v>
          </c:tx>
          <c:spPr>
            <a:solidFill>
              <a:schemeClr val="accent1">
                <a:shade val="58000"/>
              </a:schemeClr>
            </a:solidFill>
            <a:ln>
              <a:noFill/>
            </a:ln>
            <a:effectLst/>
          </c:spPr>
          <c:invertIfNegative val="0"/>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tables'!$D$79:$D$90</c:f>
              <c:numCache>
                <c:formatCode>_-* #,##0_-;\-* #,##0_-;_-* "-"??_-;_-@_-</c:formatCode>
                <c:ptCount val="12"/>
                <c:pt idx="0">
                  <c:v>357408</c:v>
                </c:pt>
                <c:pt idx="1">
                  <c:v>371575</c:v>
                </c:pt>
                <c:pt idx="2">
                  <c:v>359162</c:v>
                </c:pt>
                <c:pt idx="3">
                  <c:v>322145</c:v>
                </c:pt>
                <c:pt idx="4">
                  <c:v>296649</c:v>
                </c:pt>
                <c:pt idx="5">
                  <c:v>319961</c:v>
                </c:pt>
                <c:pt idx="6">
                  <c:v>371000</c:v>
                </c:pt>
              </c:numCache>
            </c:numRef>
          </c:val>
          <c:extLst>
            <c:ext xmlns:c16="http://schemas.microsoft.com/office/drawing/2014/chart" uri="{C3380CC4-5D6E-409C-BE32-E72D297353CC}">
              <c16:uniqueId val="{00000006-02F2-4C12-81C2-30E9963EA943}"/>
            </c:ext>
          </c:extLst>
        </c:ser>
        <c:dLbls>
          <c:showLegendKey val="0"/>
          <c:showVal val="0"/>
          <c:showCatName val="0"/>
          <c:showSerName val="0"/>
          <c:showPercent val="0"/>
          <c:showBubbleSize val="0"/>
        </c:dLbls>
        <c:gapWidth val="219"/>
        <c:overlap val="-27"/>
        <c:axId val="401075840"/>
        <c:axId val="401076232"/>
      </c:barChart>
      <c:catAx>
        <c:axId val="4010758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Month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1076232"/>
        <c:crosses val="autoZero"/>
        <c:auto val="1"/>
        <c:lblAlgn val="ctr"/>
        <c:lblOffset val="100"/>
        <c:noMultiLvlLbl val="1"/>
      </c:catAx>
      <c:valAx>
        <c:axId val="401076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Number of sessions</a:t>
                </a:r>
              </a:p>
            </c:rich>
          </c:tx>
          <c:layout>
            <c:manualLayout>
              <c:xMode val="edge"/>
              <c:yMode val="edge"/>
              <c:x val="8.700064066794801E-3"/>
              <c:y val="0.1404272094446692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1075840"/>
        <c:crosses val="autoZero"/>
        <c:crossBetween val="between"/>
        <c:majorUnit val="100000"/>
      </c:valAx>
      <c:spPr>
        <a:noFill/>
        <a:ln>
          <a:noFill/>
        </a:ln>
        <a:effectLst/>
      </c:spPr>
    </c:plotArea>
    <c:legend>
      <c:legendPos val="r"/>
      <c:layout>
        <c:manualLayout>
          <c:xMode val="edge"/>
          <c:yMode val="edge"/>
          <c:x val="0.83670428007522668"/>
          <c:y val="0.35872480366831611"/>
          <c:w val="0.15473701614069896"/>
          <c:h val="0.2677605220296079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600" b="1">
                <a:solidFill>
                  <a:sysClr val="windowText" lastClr="000000"/>
                </a:solidFill>
                <a:latin typeface="Arial" panose="020B0604020202020204" pitchFamily="34" charset="0"/>
                <a:cs typeface="Arial" panose="020B0604020202020204" pitchFamily="34" charset="0"/>
              </a:rPr>
              <a:t>Sessions on CKS</a:t>
            </a:r>
          </a:p>
        </c:rich>
      </c:tx>
      <c:layout>
        <c:manualLayout>
          <c:xMode val="edge"/>
          <c:yMode val="edge"/>
          <c:x val="0.38265823580539199"/>
          <c:y val="4.1893707746525913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0841140620134346"/>
          <c:y val="0.17219256683823614"/>
          <c:w val="0.63973112682948541"/>
          <c:h val="0.60296372044403546"/>
        </c:manualLayout>
      </c:layout>
      <c:barChart>
        <c:barDir val="col"/>
        <c:grouping val="clustered"/>
        <c:varyColors val="0"/>
        <c:ser>
          <c:idx val="3"/>
          <c:order val="0"/>
          <c:tx>
            <c:v>2018/19</c:v>
          </c:tx>
          <c:spPr>
            <a:solidFill>
              <a:schemeClr val="accent1">
                <a:tint val="58000"/>
              </a:schemeClr>
            </a:solidFill>
            <a:ln>
              <a:noFill/>
            </a:ln>
            <a:effectLst/>
          </c:spPr>
          <c:invertIfNegative val="0"/>
          <c:dPt>
            <c:idx val="12"/>
            <c:invertIfNegative val="0"/>
            <c:bubble3D val="0"/>
            <c:spPr>
              <a:solidFill>
                <a:schemeClr val="accent1">
                  <a:tint val="58000"/>
                </a:schemeClr>
              </a:solidFill>
              <a:ln>
                <a:noFill/>
              </a:ln>
              <a:effectLst/>
            </c:spPr>
            <c:extLst>
              <c:ext xmlns:c16="http://schemas.microsoft.com/office/drawing/2014/chart" uri="{C3380CC4-5D6E-409C-BE32-E72D297353CC}">
                <c16:uniqueId val="{00000001-4EA7-4A6E-ACEC-19F1B9969FBD}"/>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tables'!$G$55:$G$66</c:f>
              <c:numCache>
                <c:formatCode>_-* #,##0_-;\-* #,##0_-;_-* "-"??_-;_-@_-</c:formatCode>
                <c:ptCount val="12"/>
                <c:pt idx="0">
                  <c:v>650121</c:v>
                </c:pt>
                <c:pt idx="1">
                  <c:v>645148</c:v>
                </c:pt>
                <c:pt idx="2">
                  <c:v>571222</c:v>
                </c:pt>
                <c:pt idx="3">
                  <c:v>532771</c:v>
                </c:pt>
                <c:pt idx="4">
                  <c:v>599718</c:v>
                </c:pt>
                <c:pt idx="5">
                  <c:v>653098</c:v>
                </c:pt>
                <c:pt idx="6">
                  <c:v>794044</c:v>
                </c:pt>
                <c:pt idx="7">
                  <c:v>804030</c:v>
                </c:pt>
                <c:pt idx="8">
                  <c:v>653573</c:v>
                </c:pt>
                <c:pt idx="9">
                  <c:v>877763</c:v>
                </c:pt>
                <c:pt idx="10">
                  <c:v>778654</c:v>
                </c:pt>
                <c:pt idx="11">
                  <c:v>902355</c:v>
                </c:pt>
              </c:numCache>
            </c:numRef>
          </c:val>
          <c:extLst>
            <c:ext xmlns:c16="http://schemas.microsoft.com/office/drawing/2014/chart" uri="{C3380CC4-5D6E-409C-BE32-E72D297353CC}">
              <c16:uniqueId val="{00000002-4EA7-4A6E-ACEC-19F1B9969FBD}"/>
            </c:ext>
          </c:extLst>
        </c:ser>
        <c:ser>
          <c:idx val="2"/>
          <c:order val="1"/>
          <c:tx>
            <c:v>2019/20</c:v>
          </c:tx>
          <c:spPr>
            <a:solidFill>
              <a:schemeClr val="accent1">
                <a:tint val="86000"/>
              </a:schemeClr>
            </a:solidFill>
            <a:ln>
              <a:noFill/>
            </a:ln>
            <a:effectLst/>
          </c:spPr>
          <c:invertIfNegative val="0"/>
          <c:dPt>
            <c:idx val="12"/>
            <c:invertIfNegative val="0"/>
            <c:bubble3D val="0"/>
            <c:spPr>
              <a:solidFill>
                <a:schemeClr val="accent1">
                  <a:tint val="86000"/>
                </a:schemeClr>
              </a:solidFill>
              <a:ln>
                <a:noFill/>
              </a:ln>
              <a:effectLst/>
            </c:spPr>
            <c:extLst>
              <c:ext xmlns:c16="http://schemas.microsoft.com/office/drawing/2014/chart" uri="{C3380CC4-5D6E-409C-BE32-E72D297353CC}">
                <c16:uniqueId val="{00000004-4EA7-4A6E-ACEC-19F1B9969FBD}"/>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tables'!$G$67:$G$78</c:f>
              <c:numCache>
                <c:formatCode>_-* #,##0_-;\-* #,##0_-;_-* "-"??_-;_-@_-</c:formatCode>
                <c:ptCount val="12"/>
                <c:pt idx="0">
                  <c:v>850836</c:v>
                </c:pt>
                <c:pt idx="1">
                  <c:v>916789</c:v>
                </c:pt>
                <c:pt idx="2">
                  <c:v>748411</c:v>
                </c:pt>
                <c:pt idx="3">
                  <c:v>744014</c:v>
                </c:pt>
                <c:pt idx="4">
                  <c:v>719335</c:v>
                </c:pt>
                <c:pt idx="5">
                  <c:v>887351</c:v>
                </c:pt>
                <c:pt idx="6">
                  <c:v>1010954</c:v>
                </c:pt>
                <c:pt idx="7">
                  <c:v>943894</c:v>
                </c:pt>
                <c:pt idx="8">
                  <c:v>796789</c:v>
                </c:pt>
                <c:pt idx="9">
                  <c:v>1044802</c:v>
                </c:pt>
                <c:pt idx="10">
                  <c:v>988057</c:v>
                </c:pt>
                <c:pt idx="11">
                  <c:v>905108</c:v>
                </c:pt>
              </c:numCache>
            </c:numRef>
          </c:val>
          <c:extLst>
            <c:ext xmlns:c16="http://schemas.microsoft.com/office/drawing/2014/chart" uri="{C3380CC4-5D6E-409C-BE32-E72D297353CC}">
              <c16:uniqueId val="{00000005-4EA7-4A6E-ACEC-19F1B9969FBD}"/>
            </c:ext>
          </c:extLst>
        </c:ser>
        <c:ser>
          <c:idx val="0"/>
          <c:order val="2"/>
          <c:tx>
            <c:v>2020/21</c:v>
          </c:tx>
          <c:spPr>
            <a:solidFill>
              <a:schemeClr val="accent1">
                <a:shade val="58000"/>
              </a:schemeClr>
            </a:solidFill>
            <a:ln>
              <a:noFill/>
            </a:ln>
            <a:effectLst/>
          </c:spPr>
          <c:invertIfNegative val="0"/>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tables'!$G$79:$G$90</c:f>
              <c:numCache>
                <c:formatCode>_-* #,##0_-;\-* #,##0_-;_-* "-"??_-;_-@_-</c:formatCode>
                <c:ptCount val="12"/>
                <c:pt idx="0">
                  <c:v>753414</c:v>
                </c:pt>
                <c:pt idx="1">
                  <c:v>842981</c:v>
                </c:pt>
                <c:pt idx="2">
                  <c:v>898091</c:v>
                </c:pt>
                <c:pt idx="3">
                  <c:v>832232</c:v>
                </c:pt>
                <c:pt idx="4">
                  <c:v>811408</c:v>
                </c:pt>
                <c:pt idx="5">
                  <c:v>982131</c:v>
                </c:pt>
                <c:pt idx="6">
                  <c:v>1140000</c:v>
                </c:pt>
              </c:numCache>
            </c:numRef>
          </c:val>
          <c:extLst>
            <c:ext xmlns:c16="http://schemas.microsoft.com/office/drawing/2014/chart" uri="{C3380CC4-5D6E-409C-BE32-E72D297353CC}">
              <c16:uniqueId val="{00000006-4EA7-4A6E-ACEC-19F1B9969FBD}"/>
            </c:ext>
          </c:extLst>
        </c:ser>
        <c:dLbls>
          <c:showLegendKey val="0"/>
          <c:showVal val="0"/>
          <c:showCatName val="0"/>
          <c:showSerName val="0"/>
          <c:showPercent val="0"/>
          <c:showBubbleSize val="0"/>
        </c:dLbls>
        <c:gapWidth val="219"/>
        <c:overlap val="-27"/>
        <c:axId val="400892936"/>
        <c:axId val="400893328"/>
      </c:barChart>
      <c:catAx>
        <c:axId val="40089293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Month</a:t>
                </a:r>
              </a:p>
            </c:rich>
          </c:tx>
          <c:layout>
            <c:manualLayout>
              <c:xMode val="edge"/>
              <c:yMode val="edge"/>
              <c:x val="0.48582546296296297"/>
              <c:y val="0.9288197424892703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0893328"/>
        <c:crosses val="autoZero"/>
        <c:auto val="1"/>
        <c:lblAlgn val="ctr"/>
        <c:lblOffset val="100"/>
        <c:noMultiLvlLbl val="1"/>
      </c:catAx>
      <c:valAx>
        <c:axId val="400893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Number of sessions</a:t>
                </a:r>
              </a:p>
            </c:rich>
          </c:tx>
          <c:layout>
            <c:manualLayout>
              <c:xMode val="edge"/>
              <c:yMode val="edge"/>
              <c:x val="1.5944791666666663E-2"/>
              <c:y val="0.3201516666666666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0892936"/>
        <c:crosses val="autoZero"/>
        <c:crossBetween val="between"/>
        <c:majorUnit val="250000"/>
      </c:valAx>
      <c:spPr>
        <a:noFill/>
        <a:ln>
          <a:noFill/>
        </a:ln>
        <a:effectLst/>
      </c:spPr>
    </c:plotArea>
    <c:legend>
      <c:legendPos val="r"/>
      <c:layout>
        <c:manualLayout>
          <c:xMode val="edge"/>
          <c:yMode val="edge"/>
          <c:x val="0.85145602562391565"/>
          <c:y val="0.35760348138300901"/>
          <c:w val="0.14034663463677213"/>
          <c:h val="0.2936087534512731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600" b="1">
                <a:solidFill>
                  <a:sysClr val="windowText" lastClr="000000"/>
                </a:solidFill>
                <a:latin typeface="Arial" panose="020B0604020202020204" pitchFamily="34" charset="0"/>
                <a:cs typeface="Arial" panose="020B0604020202020204" pitchFamily="34" charset="0"/>
              </a:rPr>
              <a:t>Sessions on HDAS</a:t>
            </a:r>
          </a:p>
        </c:rich>
      </c:tx>
      <c:layout>
        <c:manualLayout>
          <c:xMode val="edge"/>
          <c:yMode val="edge"/>
          <c:x val="0.34362239895892416"/>
          <c:y val="2.5890973377220017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8387335972544758"/>
          <c:y val="0.1446199653403738"/>
          <c:w val="0.66837691986928405"/>
          <c:h val="0.61452866397608719"/>
        </c:manualLayout>
      </c:layout>
      <c:barChart>
        <c:barDir val="col"/>
        <c:grouping val="clustered"/>
        <c:varyColors val="0"/>
        <c:ser>
          <c:idx val="3"/>
          <c:order val="0"/>
          <c:tx>
            <c:v>2018/19</c:v>
          </c:tx>
          <c:spPr>
            <a:solidFill>
              <a:schemeClr val="accent1">
                <a:tint val="58000"/>
              </a:schemeClr>
            </a:solidFill>
            <a:ln>
              <a:noFill/>
            </a:ln>
            <a:effectLst/>
          </c:spPr>
          <c:invertIfNegative val="0"/>
          <c:dPt>
            <c:idx val="12"/>
            <c:invertIfNegative val="0"/>
            <c:bubble3D val="0"/>
            <c:spPr>
              <a:solidFill>
                <a:schemeClr val="accent1">
                  <a:tint val="58000"/>
                </a:schemeClr>
              </a:solidFill>
              <a:ln>
                <a:noFill/>
              </a:ln>
              <a:effectLst/>
            </c:spPr>
            <c:extLst>
              <c:ext xmlns:c16="http://schemas.microsoft.com/office/drawing/2014/chart" uri="{C3380CC4-5D6E-409C-BE32-E72D297353CC}">
                <c16:uniqueId val="{00000001-6804-458F-A4BC-399BA5F96C6D}"/>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tables'!$H$55:$H$66</c:f>
              <c:numCache>
                <c:formatCode>_-* #,##0_-;\-* #,##0_-;_-* "-"??_-;_-@_-</c:formatCode>
                <c:ptCount val="12"/>
                <c:pt idx="0">
                  <c:v>30451</c:v>
                </c:pt>
                <c:pt idx="1">
                  <c:v>30573</c:v>
                </c:pt>
                <c:pt idx="2">
                  <c:v>25100</c:v>
                </c:pt>
                <c:pt idx="3">
                  <c:v>24957</c:v>
                </c:pt>
                <c:pt idx="4">
                  <c:v>25063</c:v>
                </c:pt>
                <c:pt idx="5">
                  <c:v>23850</c:v>
                </c:pt>
                <c:pt idx="6">
                  <c:v>31904</c:v>
                </c:pt>
                <c:pt idx="7">
                  <c:v>33209</c:v>
                </c:pt>
                <c:pt idx="8">
                  <c:v>23172</c:v>
                </c:pt>
                <c:pt idx="9">
                  <c:v>32265</c:v>
                </c:pt>
                <c:pt idx="10">
                  <c:v>29138</c:v>
                </c:pt>
                <c:pt idx="11">
                  <c:v>29512</c:v>
                </c:pt>
              </c:numCache>
            </c:numRef>
          </c:val>
          <c:extLst>
            <c:ext xmlns:c16="http://schemas.microsoft.com/office/drawing/2014/chart" uri="{C3380CC4-5D6E-409C-BE32-E72D297353CC}">
              <c16:uniqueId val="{00000002-6804-458F-A4BC-399BA5F96C6D}"/>
            </c:ext>
          </c:extLst>
        </c:ser>
        <c:ser>
          <c:idx val="2"/>
          <c:order val="1"/>
          <c:tx>
            <c:v>2019/20</c:v>
          </c:tx>
          <c:spPr>
            <a:solidFill>
              <a:schemeClr val="accent1">
                <a:tint val="86000"/>
              </a:schemeClr>
            </a:solidFill>
            <a:ln>
              <a:noFill/>
            </a:ln>
            <a:effectLst/>
          </c:spPr>
          <c:invertIfNegative val="0"/>
          <c:dPt>
            <c:idx val="12"/>
            <c:invertIfNegative val="0"/>
            <c:bubble3D val="0"/>
            <c:spPr>
              <a:solidFill>
                <a:schemeClr val="accent1">
                  <a:tint val="86000"/>
                </a:schemeClr>
              </a:solidFill>
              <a:ln>
                <a:noFill/>
              </a:ln>
              <a:effectLst/>
            </c:spPr>
            <c:extLst>
              <c:ext xmlns:c16="http://schemas.microsoft.com/office/drawing/2014/chart" uri="{C3380CC4-5D6E-409C-BE32-E72D297353CC}">
                <c16:uniqueId val="{00000004-6804-458F-A4BC-399BA5F96C6D}"/>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tables'!$H$67:$H$78</c:f>
              <c:numCache>
                <c:formatCode>_-* #,##0_-;\-* #,##0_-;_-* "-"??_-;_-@_-</c:formatCode>
                <c:ptCount val="12"/>
                <c:pt idx="0">
                  <c:v>28503</c:v>
                </c:pt>
                <c:pt idx="1">
                  <c:v>27938</c:v>
                </c:pt>
                <c:pt idx="2">
                  <c:v>24928</c:v>
                </c:pt>
                <c:pt idx="3">
                  <c:v>25651</c:v>
                </c:pt>
                <c:pt idx="4">
                  <c:v>23041</c:v>
                </c:pt>
                <c:pt idx="5">
                  <c:v>24188</c:v>
                </c:pt>
                <c:pt idx="6">
                  <c:v>31353</c:v>
                </c:pt>
                <c:pt idx="7">
                  <c:v>30124</c:v>
                </c:pt>
                <c:pt idx="8">
                  <c:v>23004</c:v>
                </c:pt>
                <c:pt idx="9">
                  <c:v>30879</c:v>
                </c:pt>
                <c:pt idx="10">
                  <c:v>28798</c:v>
                </c:pt>
                <c:pt idx="11">
                  <c:v>25478</c:v>
                </c:pt>
              </c:numCache>
            </c:numRef>
          </c:val>
          <c:extLst>
            <c:ext xmlns:c16="http://schemas.microsoft.com/office/drawing/2014/chart" uri="{C3380CC4-5D6E-409C-BE32-E72D297353CC}">
              <c16:uniqueId val="{00000005-6804-458F-A4BC-399BA5F96C6D}"/>
            </c:ext>
          </c:extLst>
        </c:ser>
        <c:ser>
          <c:idx val="0"/>
          <c:order val="2"/>
          <c:tx>
            <c:v>2020/21</c:v>
          </c:tx>
          <c:spPr>
            <a:solidFill>
              <a:schemeClr val="accent1">
                <a:shade val="58000"/>
              </a:schemeClr>
            </a:solidFill>
            <a:ln>
              <a:noFill/>
            </a:ln>
            <a:effectLst/>
          </c:spPr>
          <c:invertIfNegative val="0"/>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tables'!$H$79:$H$90</c:f>
              <c:numCache>
                <c:formatCode>_-* #,##0_-;\-* #,##0_-;_-* "-"??_-;_-@_-</c:formatCode>
                <c:ptCount val="12"/>
                <c:pt idx="0">
                  <c:v>22123</c:v>
                </c:pt>
                <c:pt idx="1">
                  <c:v>22947</c:v>
                </c:pt>
                <c:pt idx="2">
                  <c:v>23355</c:v>
                </c:pt>
                <c:pt idx="3">
                  <c:v>22355</c:v>
                </c:pt>
                <c:pt idx="4">
                  <c:v>17947</c:v>
                </c:pt>
                <c:pt idx="5">
                  <c:v>20285</c:v>
                </c:pt>
                <c:pt idx="6">
                  <c:v>25189</c:v>
                </c:pt>
              </c:numCache>
            </c:numRef>
          </c:val>
          <c:extLst>
            <c:ext xmlns:c16="http://schemas.microsoft.com/office/drawing/2014/chart" uri="{C3380CC4-5D6E-409C-BE32-E72D297353CC}">
              <c16:uniqueId val="{00000006-6804-458F-A4BC-399BA5F96C6D}"/>
            </c:ext>
          </c:extLst>
        </c:ser>
        <c:dLbls>
          <c:showLegendKey val="0"/>
          <c:showVal val="0"/>
          <c:showCatName val="0"/>
          <c:showSerName val="0"/>
          <c:showPercent val="0"/>
          <c:showBubbleSize val="0"/>
        </c:dLbls>
        <c:gapWidth val="219"/>
        <c:overlap val="-27"/>
        <c:axId val="400890192"/>
        <c:axId val="401075056"/>
      </c:barChart>
      <c:catAx>
        <c:axId val="40089019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Month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1075056"/>
        <c:crosses val="autoZero"/>
        <c:auto val="1"/>
        <c:lblAlgn val="ctr"/>
        <c:lblOffset val="100"/>
        <c:noMultiLvlLbl val="1"/>
      </c:catAx>
      <c:valAx>
        <c:axId val="401075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Number of sessions</a:t>
                </a:r>
              </a:p>
            </c:rich>
          </c:tx>
          <c:layout>
            <c:manualLayout>
              <c:xMode val="edge"/>
              <c:yMode val="edge"/>
              <c:x val="1.0544762306721711E-2"/>
              <c:y val="0.1292515614277905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0890192"/>
        <c:crosses val="autoZero"/>
        <c:crossBetween val="between"/>
        <c:majorUnit val="10000"/>
      </c:valAx>
      <c:spPr>
        <a:noFill/>
        <a:ln>
          <a:noFill/>
        </a:ln>
        <a:effectLst/>
      </c:spPr>
    </c:plotArea>
    <c:legend>
      <c:legendPos val="r"/>
      <c:layout>
        <c:manualLayout>
          <c:xMode val="edge"/>
          <c:yMode val="edge"/>
          <c:x val="0.85794284577711633"/>
          <c:y val="0.35808976610567694"/>
          <c:w val="0.13955362548438369"/>
          <c:h val="0.29633701252631456"/>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600" b="1">
                <a:solidFill>
                  <a:sysClr val="windowText" lastClr="000000"/>
                </a:solidFill>
                <a:latin typeface="Arial" panose="020B0604020202020204" pitchFamily="34" charset="0"/>
                <a:cs typeface="Arial" panose="020B0604020202020204" pitchFamily="34" charset="0"/>
              </a:rPr>
              <a:t>Sessions on BNF site</a:t>
            </a:r>
          </a:p>
        </c:rich>
      </c:tx>
      <c:layout>
        <c:manualLayout>
          <c:xMode val="edge"/>
          <c:yMode val="edge"/>
          <c:x val="0.35039021130557219"/>
          <c:y val="2.0045651179476938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9991590348791152"/>
          <c:y val="0.14194146399618501"/>
          <c:w val="0.64697645123187442"/>
          <c:h val="0.64355856284699886"/>
        </c:manualLayout>
      </c:layout>
      <c:barChart>
        <c:barDir val="col"/>
        <c:grouping val="clustered"/>
        <c:varyColors val="0"/>
        <c:ser>
          <c:idx val="3"/>
          <c:order val="0"/>
          <c:tx>
            <c:v>2018/19</c:v>
          </c:tx>
          <c:spPr>
            <a:solidFill>
              <a:schemeClr val="accent1">
                <a:tint val="58000"/>
              </a:schemeClr>
            </a:solidFill>
            <a:ln>
              <a:noFill/>
            </a:ln>
            <a:effectLst/>
          </c:spPr>
          <c:invertIfNegative val="0"/>
          <c:dPt>
            <c:idx val="12"/>
            <c:invertIfNegative val="0"/>
            <c:bubble3D val="0"/>
            <c:spPr>
              <a:solidFill>
                <a:schemeClr val="accent1">
                  <a:tint val="58000"/>
                </a:schemeClr>
              </a:solidFill>
              <a:ln>
                <a:noFill/>
              </a:ln>
              <a:effectLst/>
            </c:spPr>
            <c:extLst>
              <c:ext xmlns:c16="http://schemas.microsoft.com/office/drawing/2014/chart" uri="{C3380CC4-5D6E-409C-BE32-E72D297353CC}">
                <c16:uniqueId val="{00000001-1DEA-40AA-985D-05067C4B0DEA}"/>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tables'!$E$55:$E$66</c:f>
              <c:numCache>
                <c:formatCode>_-* #,##0_-;\-* #,##0_-;_-* "-"??_-;_-@_-</c:formatCode>
                <c:ptCount val="12"/>
                <c:pt idx="0">
                  <c:v>1253888</c:v>
                </c:pt>
                <c:pt idx="1">
                  <c:v>1361538</c:v>
                </c:pt>
                <c:pt idx="2">
                  <c:v>1378177</c:v>
                </c:pt>
                <c:pt idx="3">
                  <c:v>1350178</c:v>
                </c:pt>
                <c:pt idx="4">
                  <c:v>1280274</c:v>
                </c:pt>
                <c:pt idx="5">
                  <c:v>1310909</c:v>
                </c:pt>
                <c:pt idx="6">
                  <c:v>1757280</c:v>
                </c:pt>
                <c:pt idx="7">
                  <c:v>1794923</c:v>
                </c:pt>
                <c:pt idx="8">
                  <c:v>1610074</c:v>
                </c:pt>
                <c:pt idx="9">
                  <c:v>2037357</c:v>
                </c:pt>
                <c:pt idx="10">
                  <c:v>1802106</c:v>
                </c:pt>
                <c:pt idx="11">
                  <c:v>2005252</c:v>
                </c:pt>
              </c:numCache>
            </c:numRef>
          </c:val>
          <c:extLst>
            <c:ext xmlns:c16="http://schemas.microsoft.com/office/drawing/2014/chart" uri="{C3380CC4-5D6E-409C-BE32-E72D297353CC}">
              <c16:uniqueId val="{00000002-1DEA-40AA-985D-05067C4B0DEA}"/>
            </c:ext>
          </c:extLst>
        </c:ser>
        <c:ser>
          <c:idx val="2"/>
          <c:order val="1"/>
          <c:tx>
            <c:v>2019/20</c:v>
          </c:tx>
          <c:spPr>
            <a:solidFill>
              <a:schemeClr val="accent1">
                <a:tint val="86000"/>
              </a:schemeClr>
            </a:solidFill>
            <a:ln>
              <a:noFill/>
            </a:ln>
            <a:effectLst/>
          </c:spPr>
          <c:invertIfNegative val="0"/>
          <c:dPt>
            <c:idx val="12"/>
            <c:invertIfNegative val="0"/>
            <c:bubble3D val="0"/>
            <c:spPr>
              <a:solidFill>
                <a:schemeClr val="accent1">
                  <a:tint val="86000"/>
                </a:schemeClr>
              </a:solidFill>
              <a:ln>
                <a:noFill/>
              </a:ln>
              <a:effectLst/>
            </c:spPr>
            <c:extLst>
              <c:ext xmlns:c16="http://schemas.microsoft.com/office/drawing/2014/chart" uri="{C3380CC4-5D6E-409C-BE32-E72D297353CC}">
                <c16:uniqueId val="{00000004-1DEA-40AA-985D-05067C4B0DEA}"/>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tables'!$E$67:$E$78</c:f>
              <c:numCache>
                <c:formatCode>_-* #,##0_-;\-* #,##0_-;_-* "-"??_-;_-@_-</c:formatCode>
                <c:ptCount val="12"/>
                <c:pt idx="0">
                  <c:v>1903965</c:v>
                </c:pt>
                <c:pt idx="1">
                  <c:v>2068153</c:v>
                </c:pt>
                <c:pt idx="2">
                  <c:v>1810180</c:v>
                </c:pt>
                <c:pt idx="3">
                  <c:v>1794906</c:v>
                </c:pt>
                <c:pt idx="4">
                  <c:v>1768868</c:v>
                </c:pt>
                <c:pt idx="5">
                  <c:v>1936844</c:v>
                </c:pt>
                <c:pt idx="6">
                  <c:v>2226005</c:v>
                </c:pt>
                <c:pt idx="7">
                  <c:v>2153465</c:v>
                </c:pt>
                <c:pt idx="8">
                  <c:v>1940988</c:v>
                </c:pt>
                <c:pt idx="9">
                  <c:v>2266952</c:v>
                </c:pt>
                <c:pt idx="10">
                  <c:v>2088950</c:v>
                </c:pt>
                <c:pt idx="11">
                  <c:v>2049959</c:v>
                </c:pt>
              </c:numCache>
            </c:numRef>
          </c:val>
          <c:extLst>
            <c:ext xmlns:c16="http://schemas.microsoft.com/office/drawing/2014/chart" uri="{C3380CC4-5D6E-409C-BE32-E72D297353CC}">
              <c16:uniqueId val="{00000005-1DEA-40AA-985D-05067C4B0DEA}"/>
            </c:ext>
          </c:extLst>
        </c:ser>
        <c:ser>
          <c:idx val="0"/>
          <c:order val="2"/>
          <c:tx>
            <c:v>2020/21</c:v>
          </c:tx>
          <c:spPr>
            <a:solidFill>
              <a:schemeClr val="accent1">
                <a:shade val="58000"/>
              </a:schemeClr>
            </a:solidFill>
            <a:ln>
              <a:noFill/>
            </a:ln>
            <a:effectLst/>
          </c:spPr>
          <c:invertIfNegative val="0"/>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tables'!$E$79:$E$90</c:f>
              <c:numCache>
                <c:formatCode>_-* #,##0_-;\-* #,##0_-;_-* "-"??_-;_-@_-</c:formatCode>
                <c:ptCount val="12"/>
                <c:pt idx="0">
                  <c:v>1807031</c:v>
                </c:pt>
                <c:pt idx="1">
                  <c:v>2071836</c:v>
                </c:pt>
                <c:pt idx="2">
                  <c:v>2115475</c:v>
                </c:pt>
                <c:pt idx="3">
                  <c:v>1970298</c:v>
                </c:pt>
                <c:pt idx="4">
                  <c:v>1962509</c:v>
                </c:pt>
                <c:pt idx="5">
                  <c:v>2191601</c:v>
                </c:pt>
                <c:pt idx="6">
                  <c:v>2587000</c:v>
                </c:pt>
              </c:numCache>
            </c:numRef>
          </c:val>
          <c:extLst>
            <c:ext xmlns:c16="http://schemas.microsoft.com/office/drawing/2014/chart" uri="{C3380CC4-5D6E-409C-BE32-E72D297353CC}">
              <c16:uniqueId val="{00000006-1DEA-40AA-985D-05067C4B0DEA}"/>
            </c:ext>
          </c:extLst>
        </c:ser>
        <c:dLbls>
          <c:showLegendKey val="0"/>
          <c:showVal val="0"/>
          <c:showCatName val="0"/>
          <c:showSerName val="0"/>
          <c:showPercent val="0"/>
          <c:showBubbleSize val="0"/>
        </c:dLbls>
        <c:gapWidth val="219"/>
        <c:overlap val="-27"/>
        <c:axId val="147849352"/>
        <c:axId val="147849744"/>
      </c:barChart>
      <c:catAx>
        <c:axId val="1478493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Month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7849744"/>
        <c:crosses val="autoZero"/>
        <c:auto val="1"/>
        <c:lblAlgn val="ctr"/>
        <c:lblOffset val="100"/>
        <c:noMultiLvlLbl val="1"/>
      </c:catAx>
      <c:valAx>
        <c:axId val="147849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Number of sessions</a:t>
                </a:r>
              </a:p>
            </c:rich>
          </c:tx>
          <c:layout>
            <c:manualLayout>
              <c:xMode val="edge"/>
              <c:yMode val="edge"/>
              <c:x val="1.0340555979139876E-2"/>
              <c:y val="0.1105013967031767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7849352"/>
        <c:crosses val="autoZero"/>
        <c:crossBetween val="between"/>
        <c:majorUnit val="500000"/>
      </c:valAx>
      <c:spPr>
        <a:noFill/>
        <a:ln>
          <a:noFill/>
        </a:ln>
        <a:effectLst/>
      </c:spPr>
    </c:plotArea>
    <c:legend>
      <c:legendPos val="r"/>
      <c:layout>
        <c:manualLayout>
          <c:xMode val="edge"/>
          <c:yMode val="edge"/>
          <c:x val="0.84296843240263042"/>
          <c:y val="0.33540659968373904"/>
          <c:w val="0.14775739726529308"/>
          <c:h val="0.33150047485585976"/>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600" b="1">
                <a:solidFill>
                  <a:sysClr val="windowText" lastClr="000000"/>
                </a:solidFill>
                <a:latin typeface="Arial" panose="020B0604020202020204" pitchFamily="34" charset="0"/>
                <a:cs typeface="Arial" panose="020B0604020202020204" pitchFamily="34" charset="0"/>
              </a:rPr>
              <a:t>Sessions on BNFc site</a:t>
            </a:r>
          </a:p>
        </c:rich>
      </c:tx>
      <c:layout>
        <c:manualLayout>
          <c:xMode val="edge"/>
          <c:yMode val="edge"/>
          <c:x val="0.31030915064267534"/>
          <c:y val="2.0569789024819103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8216700311087305"/>
          <c:y val="0.15438287605353676"/>
          <c:w val="0.67890904840085775"/>
          <c:h val="0.62580189898622918"/>
        </c:manualLayout>
      </c:layout>
      <c:barChart>
        <c:barDir val="col"/>
        <c:grouping val="clustered"/>
        <c:varyColors val="0"/>
        <c:ser>
          <c:idx val="3"/>
          <c:order val="0"/>
          <c:tx>
            <c:v>2018/19</c:v>
          </c:tx>
          <c:spPr>
            <a:solidFill>
              <a:schemeClr val="accent1">
                <a:tint val="58000"/>
              </a:schemeClr>
            </a:solidFill>
            <a:ln>
              <a:noFill/>
            </a:ln>
            <a:effectLst/>
          </c:spPr>
          <c:invertIfNegative val="0"/>
          <c:dPt>
            <c:idx val="12"/>
            <c:invertIfNegative val="0"/>
            <c:bubble3D val="0"/>
            <c:spPr>
              <a:solidFill>
                <a:schemeClr val="accent1">
                  <a:tint val="58000"/>
                </a:schemeClr>
              </a:solidFill>
              <a:ln>
                <a:noFill/>
              </a:ln>
              <a:effectLst/>
            </c:spPr>
            <c:extLst>
              <c:ext xmlns:c16="http://schemas.microsoft.com/office/drawing/2014/chart" uri="{C3380CC4-5D6E-409C-BE32-E72D297353CC}">
                <c16:uniqueId val="{00000001-85FC-4CE8-83B5-7D84E0BFEECB}"/>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tables'!$F$55:$F$66</c:f>
              <c:numCache>
                <c:formatCode>_-* #,##0_-;\-* #,##0_-;_-* "-"??_-;_-@_-</c:formatCode>
                <c:ptCount val="12"/>
                <c:pt idx="0">
                  <c:v>80927</c:v>
                </c:pt>
                <c:pt idx="1">
                  <c:v>98030</c:v>
                </c:pt>
                <c:pt idx="2">
                  <c:v>103165</c:v>
                </c:pt>
                <c:pt idx="3">
                  <c:v>106084</c:v>
                </c:pt>
                <c:pt idx="4">
                  <c:v>117499</c:v>
                </c:pt>
                <c:pt idx="5">
                  <c:v>132450</c:v>
                </c:pt>
                <c:pt idx="6">
                  <c:v>150065</c:v>
                </c:pt>
                <c:pt idx="7">
                  <c:v>159057</c:v>
                </c:pt>
                <c:pt idx="8">
                  <c:v>143559</c:v>
                </c:pt>
                <c:pt idx="9">
                  <c:v>172933</c:v>
                </c:pt>
                <c:pt idx="10">
                  <c:v>161774</c:v>
                </c:pt>
                <c:pt idx="11">
                  <c:v>180570</c:v>
                </c:pt>
              </c:numCache>
            </c:numRef>
          </c:val>
          <c:extLst>
            <c:ext xmlns:c16="http://schemas.microsoft.com/office/drawing/2014/chart" uri="{C3380CC4-5D6E-409C-BE32-E72D297353CC}">
              <c16:uniqueId val="{00000002-85FC-4CE8-83B5-7D84E0BFEECB}"/>
            </c:ext>
          </c:extLst>
        </c:ser>
        <c:ser>
          <c:idx val="2"/>
          <c:order val="1"/>
          <c:tx>
            <c:v>2019/20</c:v>
          </c:tx>
          <c:spPr>
            <a:solidFill>
              <a:schemeClr val="accent1">
                <a:tint val="86000"/>
              </a:schemeClr>
            </a:solidFill>
            <a:ln>
              <a:noFill/>
            </a:ln>
            <a:effectLst/>
          </c:spPr>
          <c:invertIfNegative val="0"/>
          <c:dPt>
            <c:idx val="12"/>
            <c:invertIfNegative val="0"/>
            <c:bubble3D val="0"/>
            <c:spPr>
              <a:solidFill>
                <a:schemeClr val="accent1">
                  <a:tint val="86000"/>
                </a:schemeClr>
              </a:solidFill>
              <a:ln>
                <a:noFill/>
              </a:ln>
              <a:effectLst/>
            </c:spPr>
            <c:extLst>
              <c:ext xmlns:c16="http://schemas.microsoft.com/office/drawing/2014/chart" uri="{C3380CC4-5D6E-409C-BE32-E72D297353CC}">
                <c16:uniqueId val="{00000004-85FC-4CE8-83B5-7D84E0BFEECB}"/>
              </c:ext>
            </c:extLst>
          </c:dPt>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tables'!$F$67:$F$78</c:f>
              <c:numCache>
                <c:formatCode>_-* #,##0_-;\-* #,##0_-;_-* "-"??_-;_-@_-</c:formatCode>
                <c:ptCount val="12"/>
                <c:pt idx="0">
                  <c:v>171549</c:v>
                </c:pt>
                <c:pt idx="1">
                  <c:v>192593</c:v>
                </c:pt>
                <c:pt idx="2">
                  <c:v>162280</c:v>
                </c:pt>
                <c:pt idx="3">
                  <c:v>168210</c:v>
                </c:pt>
                <c:pt idx="4">
                  <c:v>148079</c:v>
                </c:pt>
                <c:pt idx="5">
                  <c:v>168293</c:v>
                </c:pt>
                <c:pt idx="6">
                  <c:v>201632</c:v>
                </c:pt>
                <c:pt idx="7">
                  <c:v>210915</c:v>
                </c:pt>
                <c:pt idx="8">
                  <c:v>213632</c:v>
                </c:pt>
                <c:pt idx="9">
                  <c:v>243427</c:v>
                </c:pt>
                <c:pt idx="10">
                  <c:v>243572</c:v>
                </c:pt>
                <c:pt idx="11">
                  <c:v>236110</c:v>
                </c:pt>
              </c:numCache>
            </c:numRef>
          </c:val>
          <c:extLst>
            <c:ext xmlns:c16="http://schemas.microsoft.com/office/drawing/2014/chart" uri="{C3380CC4-5D6E-409C-BE32-E72D297353CC}">
              <c16:uniqueId val="{00000005-85FC-4CE8-83B5-7D84E0BFEECB}"/>
            </c:ext>
          </c:extLst>
        </c:ser>
        <c:ser>
          <c:idx val="0"/>
          <c:order val="2"/>
          <c:tx>
            <c:v>2020/21</c:v>
          </c:tx>
          <c:spPr>
            <a:solidFill>
              <a:schemeClr val="accent1">
                <a:shade val="58000"/>
              </a:schemeClr>
            </a:solidFill>
            <a:ln>
              <a:noFill/>
            </a:ln>
            <a:effectLst/>
          </c:spPr>
          <c:invertIfNegative val="0"/>
          <c:cat>
            <c:strLit>
              <c:ptCount val="12"/>
              <c:pt idx="0">
                <c:v>Apr</c:v>
              </c:pt>
              <c:pt idx="1">
                <c:v>May</c:v>
              </c:pt>
              <c:pt idx="2">
                <c:v>Jun</c:v>
              </c:pt>
              <c:pt idx="3">
                <c:v>Jul</c:v>
              </c:pt>
              <c:pt idx="4">
                <c:v>Aug</c:v>
              </c:pt>
              <c:pt idx="5">
                <c:v>Sep</c:v>
              </c:pt>
              <c:pt idx="6">
                <c:v>Oct</c:v>
              </c:pt>
              <c:pt idx="7">
                <c:v>Nov</c:v>
              </c:pt>
              <c:pt idx="8">
                <c:v>Dec</c:v>
              </c:pt>
              <c:pt idx="9">
                <c:v>Jan</c:v>
              </c:pt>
              <c:pt idx="10">
                <c:v>Feb</c:v>
              </c:pt>
              <c:pt idx="11">
                <c:v>Mar</c:v>
              </c:pt>
            </c:strLit>
          </c:cat>
          <c:val>
            <c:numRef>
              <c:f>'Data for charts and tables'!$F$79:$F$90</c:f>
              <c:numCache>
                <c:formatCode>_-* #,##0_-;\-* #,##0_-;_-* "-"??_-;_-@_-</c:formatCode>
                <c:ptCount val="12"/>
                <c:pt idx="0">
                  <c:v>212737</c:v>
                </c:pt>
                <c:pt idx="1">
                  <c:v>209168</c:v>
                </c:pt>
                <c:pt idx="2">
                  <c:v>212113</c:v>
                </c:pt>
                <c:pt idx="3">
                  <c:v>204947</c:v>
                </c:pt>
                <c:pt idx="4">
                  <c:v>204520</c:v>
                </c:pt>
                <c:pt idx="5">
                  <c:v>249838</c:v>
                </c:pt>
                <c:pt idx="6">
                  <c:v>256000</c:v>
                </c:pt>
              </c:numCache>
            </c:numRef>
          </c:val>
          <c:extLst>
            <c:ext xmlns:c16="http://schemas.microsoft.com/office/drawing/2014/chart" uri="{C3380CC4-5D6E-409C-BE32-E72D297353CC}">
              <c16:uniqueId val="{00000006-85FC-4CE8-83B5-7D84E0BFEECB}"/>
            </c:ext>
          </c:extLst>
        </c:ser>
        <c:dLbls>
          <c:showLegendKey val="0"/>
          <c:showVal val="0"/>
          <c:showCatName val="0"/>
          <c:showSerName val="0"/>
          <c:showPercent val="0"/>
          <c:showBubbleSize val="0"/>
        </c:dLbls>
        <c:gapWidth val="219"/>
        <c:overlap val="-27"/>
        <c:axId val="400675736"/>
        <c:axId val="400676128"/>
      </c:barChart>
      <c:catAx>
        <c:axId val="40067573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Month</a:t>
                </a:r>
              </a:p>
            </c:rich>
          </c:tx>
          <c:layout>
            <c:manualLayout>
              <c:xMode val="edge"/>
              <c:yMode val="edge"/>
              <c:x val="0.47564965277777776"/>
              <c:y val="0.923648300555968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0676128"/>
        <c:crosses val="autoZero"/>
        <c:auto val="1"/>
        <c:lblAlgn val="ctr"/>
        <c:lblOffset val="100"/>
        <c:noMultiLvlLbl val="1"/>
      </c:catAx>
      <c:valAx>
        <c:axId val="400676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Number of sessions</a:t>
                </a:r>
              </a:p>
            </c:rich>
          </c:tx>
          <c:layout>
            <c:manualLayout>
              <c:xMode val="edge"/>
              <c:yMode val="edge"/>
              <c:x val="8.2625695497347117E-3"/>
              <c:y val="0.1208765053436643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0675736"/>
        <c:crosses val="autoZero"/>
        <c:crossBetween val="between"/>
        <c:majorUnit val="50000"/>
      </c:valAx>
      <c:spPr>
        <a:noFill/>
        <a:ln>
          <a:noFill/>
        </a:ln>
        <a:effectLst/>
      </c:spPr>
    </c:plotArea>
    <c:legend>
      <c:legendPos val="r"/>
      <c:layout>
        <c:manualLayout>
          <c:xMode val="edge"/>
          <c:yMode val="edge"/>
          <c:x val="0.86436453918775336"/>
          <c:y val="0.36277577104104231"/>
          <c:w val="0.12633267672916909"/>
          <c:h val="0.308307890085167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2020-11-12T17:59:00Z</dcterms:created>
  <dcterms:modified xsi:type="dcterms:W3CDTF">2020-11-12T17:59:00Z</dcterms:modified>
</cp:coreProperties>
</file>