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129076" w14:textId="77777777" w:rsidR="00EB1C36" w:rsidRPr="00D73C98" w:rsidRDefault="00EB1C36" w:rsidP="00F07534">
      <w:pPr>
        <w:pStyle w:val="Title20"/>
      </w:pPr>
      <w:r>
        <w:t>National Institute for Health and Care Excellence</w:t>
      </w:r>
    </w:p>
    <w:p w14:paraId="6CBA6366" w14:textId="77777777" w:rsidR="00CA07A0" w:rsidRPr="00D73C98" w:rsidRDefault="00CA07A0" w:rsidP="00CA07A0">
      <w:pPr>
        <w:pStyle w:val="Title1"/>
      </w:pPr>
      <w:r>
        <w:t>Health and Social Care Directorate</w:t>
      </w:r>
      <w:r w:rsidRPr="00D73C98">
        <w:t xml:space="preserve"> progress report</w:t>
      </w:r>
    </w:p>
    <w:p w14:paraId="458442E1" w14:textId="547AFA41" w:rsidR="00CA07A0" w:rsidRPr="006E594A" w:rsidRDefault="00CA07A0" w:rsidP="00186DEA">
      <w:pPr>
        <w:pStyle w:val="Paragraph"/>
      </w:pPr>
      <w:r w:rsidRPr="006E594A">
        <w:t xml:space="preserve">This report provides an update on key issues and developments in the Health and Social Care Directorate </w:t>
      </w:r>
      <w:r w:rsidR="00696F95">
        <w:t xml:space="preserve">for </w:t>
      </w:r>
      <w:r w:rsidRPr="006E594A">
        <w:t xml:space="preserve">September and October 2020. </w:t>
      </w:r>
    </w:p>
    <w:p w14:paraId="7E069145" w14:textId="2411F470" w:rsidR="00CA07A0" w:rsidRPr="00AD39F9" w:rsidRDefault="00CA07A0" w:rsidP="00186DEA">
      <w:pPr>
        <w:pStyle w:val="Paragraph"/>
      </w:pPr>
      <w:r>
        <w:t xml:space="preserve">The Chief Executive’s Report details the delivery of quality standards, endorsement statements and shared learning examples. </w:t>
      </w:r>
    </w:p>
    <w:p w14:paraId="5CFFF49B" w14:textId="77777777" w:rsidR="00CA07A0" w:rsidRDefault="00CA07A0" w:rsidP="00CA07A0">
      <w:pPr>
        <w:pStyle w:val="Heading1boardreport"/>
      </w:pPr>
      <w:r>
        <w:t>Summary of activity</w:t>
      </w:r>
    </w:p>
    <w:p w14:paraId="6257D7EA" w14:textId="2C29F729" w:rsidR="00CA07A0" w:rsidRDefault="00CA07A0" w:rsidP="00186DEA">
      <w:pPr>
        <w:pStyle w:val="Paragraph"/>
      </w:pPr>
      <w:r w:rsidRPr="006E594A">
        <w:t xml:space="preserve">During this reporting period, the directorate's work </w:t>
      </w:r>
      <w:r w:rsidR="00B276C9">
        <w:t xml:space="preserve">has </w:t>
      </w:r>
      <w:r w:rsidR="009E7A63">
        <w:t xml:space="preserve">continued to </w:t>
      </w:r>
      <w:r w:rsidR="00B276C9">
        <w:t>focus</w:t>
      </w:r>
      <w:r w:rsidR="009E7A63">
        <w:t xml:space="preserve"> </w:t>
      </w:r>
      <w:r w:rsidR="00B276C9">
        <w:t xml:space="preserve">on business as usual activities </w:t>
      </w:r>
      <w:r w:rsidR="00FE19E3">
        <w:t xml:space="preserve">and </w:t>
      </w:r>
      <w:r w:rsidR="00B276C9">
        <w:t>support</w:t>
      </w:r>
      <w:r w:rsidR="00FE19E3">
        <w:t>ing</w:t>
      </w:r>
      <w:r w:rsidR="00B276C9">
        <w:t xml:space="preserve"> the system to use NICE COVID-19 resources.</w:t>
      </w:r>
    </w:p>
    <w:p w14:paraId="3A1FED0C" w14:textId="1E5E0DE2" w:rsidR="00C808A0" w:rsidRDefault="00C808A0" w:rsidP="00C808A0">
      <w:pPr>
        <w:pStyle w:val="Paragraph"/>
      </w:pPr>
      <w:bookmarkStart w:id="0" w:name="_Hlk55370192"/>
      <w:r>
        <w:t>In September, the NICE indicator menu was published as planned</w:t>
      </w:r>
      <w:r w:rsidR="00D60374">
        <w:t>. This includes</w:t>
      </w:r>
      <w:r>
        <w:t xml:space="preserve"> 9 new indicators covering a range of clinical areas including vaccinations and immunisations, </w:t>
      </w:r>
      <w:proofErr w:type="gramStart"/>
      <w:r>
        <w:t>obesity</w:t>
      </w:r>
      <w:proofErr w:type="gramEnd"/>
      <w:r>
        <w:t xml:space="preserve"> and cancer. The new NICE indicators will be used to inform negotiations between NHS England and the British Medical Association’s General Practitioners Committee (GPC) and will be considered for inclusion in the 2021/22 </w:t>
      </w:r>
      <w:r w:rsidR="00D60374">
        <w:t>Quality and Outcomes Framework</w:t>
      </w:r>
      <w:r>
        <w:t>.</w:t>
      </w:r>
    </w:p>
    <w:p w14:paraId="2E53937D" w14:textId="70917CB3" w:rsidR="002B00E3" w:rsidRDefault="002B00E3" w:rsidP="002B00E3">
      <w:pPr>
        <w:pStyle w:val="Paragraph"/>
      </w:pPr>
      <w:r>
        <w:t xml:space="preserve">The Public Involvement Programme (PIP) ran the first online training session for guideline committee lay members. Feedback from the session was positive with participants reflecting that the training content worked well in an online setting and that breakout groups enabled discussions to flow. </w:t>
      </w:r>
    </w:p>
    <w:bookmarkEnd w:id="0"/>
    <w:p w14:paraId="051E198B" w14:textId="1C21647F" w:rsidR="00DF52EE" w:rsidRPr="00120023" w:rsidRDefault="370C016F" w:rsidP="00DF52EE">
      <w:pPr>
        <w:pStyle w:val="Paragraph"/>
      </w:pPr>
      <w:r>
        <w:t xml:space="preserve">We delivered a successful </w:t>
      </w:r>
      <w:r w:rsidR="26912C09">
        <w:t xml:space="preserve">campaign to engage with social workers </w:t>
      </w:r>
      <w:r>
        <w:t>featuring</w:t>
      </w:r>
      <w:r w:rsidR="26912C09">
        <w:t xml:space="preserve"> a range of resources</w:t>
      </w:r>
      <w:r w:rsidR="00FE19E3">
        <w:t xml:space="preserve">. These include </w:t>
      </w:r>
      <w:r w:rsidR="26912C09">
        <w:t xml:space="preserve">a </w:t>
      </w:r>
      <w:hyperlink r:id="rId8">
        <w:r w:rsidR="00E14A7B">
          <w:rPr>
            <w:rStyle w:val="Hyperlink"/>
          </w:rPr>
          <w:t>podcast on continuing professional development (CPD)</w:t>
        </w:r>
      </w:hyperlink>
      <w:r w:rsidR="26912C09">
        <w:t xml:space="preserve"> with social work leaders</w:t>
      </w:r>
      <w:r w:rsidR="00FE19E3">
        <w:t xml:space="preserve">, which has been viewed </w:t>
      </w:r>
      <w:r w:rsidR="00D74231">
        <w:t xml:space="preserve">over </w:t>
      </w:r>
      <w:r w:rsidR="00FE19E3">
        <w:t>2</w:t>
      </w:r>
      <w:r w:rsidR="00D74231">
        <w:t xml:space="preserve">000 </w:t>
      </w:r>
      <w:r w:rsidR="00FE19E3">
        <w:t>times,</w:t>
      </w:r>
      <w:r w:rsidR="26912C09">
        <w:t xml:space="preserve"> and </w:t>
      </w:r>
      <w:r>
        <w:t xml:space="preserve">a suite of </w:t>
      </w:r>
      <w:r w:rsidR="26912C09">
        <w:t xml:space="preserve">scenarios showing </w:t>
      </w:r>
      <w:hyperlink r:id="rId9">
        <w:r w:rsidR="26912C09" w:rsidRPr="4B848EF7">
          <w:rPr>
            <w:rStyle w:val="Hyperlink"/>
          </w:rPr>
          <w:t>how to use NICE guidance in social work</w:t>
        </w:r>
      </w:hyperlink>
      <w:r w:rsidR="26912C09">
        <w:t xml:space="preserve"> practice</w:t>
      </w:r>
      <w:r w:rsidR="6D2F1A86">
        <w:t>.</w:t>
      </w:r>
      <w:r w:rsidR="26912C09">
        <w:t xml:space="preserve"> </w:t>
      </w:r>
      <w:r w:rsidR="00FE19E3">
        <w:t>R</w:t>
      </w:r>
      <w:r w:rsidR="26912C09">
        <w:t xml:space="preserve">esources have been promoted during </w:t>
      </w:r>
      <w:r w:rsidR="66667B30">
        <w:t xml:space="preserve">recent </w:t>
      </w:r>
      <w:r w:rsidR="00EB659D">
        <w:t>F</w:t>
      </w:r>
      <w:r w:rsidR="26912C09">
        <w:t>ield team engagements with Princip</w:t>
      </w:r>
      <w:r w:rsidR="00BB3768">
        <w:t>al</w:t>
      </w:r>
      <w:r w:rsidR="26912C09">
        <w:t xml:space="preserve"> Social Worker Networks and local authority social worker forums and have been very well received</w:t>
      </w:r>
      <w:r w:rsidR="00FE19E3">
        <w:t>.</w:t>
      </w:r>
    </w:p>
    <w:p w14:paraId="5CC220B7" w14:textId="77777777" w:rsidR="00067DA7" w:rsidRPr="00B511F7" w:rsidRDefault="00BC7A03" w:rsidP="00067DA7">
      <w:pPr>
        <w:pStyle w:val="Paragraph"/>
      </w:pPr>
      <w:r>
        <w:t xml:space="preserve">In October the </w:t>
      </w:r>
      <w:r w:rsidR="00067DA7" w:rsidRPr="00B511F7">
        <w:t xml:space="preserve">NICE Chief Executive, Chair and local </w:t>
      </w:r>
      <w:r w:rsidR="00EB659D">
        <w:t>F</w:t>
      </w:r>
      <w:r w:rsidR="00067DA7" w:rsidRPr="00B511F7">
        <w:t xml:space="preserve">ield team members met with </w:t>
      </w:r>
      <w:r w:rsidR="00696F95">
        <w:t xml:space="preserve">both </w:t>
      </w:r>
      <w:r w:rsidR="00067DA7" w:rsidRPr="00B511F7">
        <w:t xml:space="preserve">the Minister of Health and Social Services for Welsh Government </w:t>
      </w:r>
      <w:r w:rsidR="00067DA7" w:rsidRPr="00B511F7">
        <w:lastRenderedPageBreak/>
        <w:t xml:space="preserve">and </w:t>
      </w:r>
      <w:r w:rsidR="00696F95">
        <w:t xml:space="preserve">the </w:t>
      </w:r>
      <w:r w:rsidR="00067DA7" w:rsidRPr="00B511F7">
        <w:t xml:space="preserve">Chief Medical Officer </w:t>
      </w:r>
      <w:r w:rsidR="00067DA7">
        <w:t xml:space="preserve">(CMO) </w:t>
      </w:r>
      <w:r w:rsidR="00067DA7" w:rsidRPr="00B511F7">
        <w:t>for Wales. The CMO views the relationship between NICE and Welsh Government as stable and valued</w:t>
      </w:r>
      <w:r w:rsidR="00D74231">
        <w:t xml:space="preserve">. </w:t>
      </w:r>
      <w:r w:rsidR="00886EBD">
        <w:t xml:space="preserve">He also commented </w:t>
      </w:r>
      <w:r w:rsidR="00067DA7" w:rsidRPr="00B511F7">
        <w:t>that appointing an I</w:t>
      </w:r>
      <w:r w:rsidR="007C6BAA">
        <w:t>mpleme</w:t>
      </w:r>
      <w:r w:rsidR="00C3671E">
        <w:t>n</w:t>
      </w:r>
      <w:r w:rsidR="007C6BAA">
        <w:t xml:space="preserve">tation </w:t>
      </w:r>
      <w:r w:rsidR="00067DA7" w:rsidRPr="00B511F7">
        <w:t>F</w:t>
      </w:r>
      <w:r w:rsidR="007C6BAA">
        <w:t>acilitator</w:t>
      </w:r>
      <w:r w:rsidR="00067DA7" w:rsidRPr="00B511F7">
        <w:t xml:space="preserve"> for Wales was the right decision and has helped to raise the profile of NICE within Wales as “implementation is the thing”.</w:t>
      </w:r>
      <w:r w:rsidR="00067DA7">
        <w:t xml:space="preserve"> </w:t>
      </w:r>
    </w:p>
    <w:p w14:paraId="4F785A51" w14:textId="77777777" w:rsidR="00CA07A0" w:rsidRPr="00C30FD9" w:rsidRDefault="00CA07A0" w:rsidP="00EF2FF4">
      <w:pPr>
        <w:pStyle w:val="Heading1boardreport"/>
      </w:pPr>
      <w:r>
        <w:t xml:space="preserve">Notable </w:t>
      </w:r>
      <w:r w:rsidRPr="00EF2FF4">
        <w:t>issues</w:t>
      </w:r>
      <w:r>
        <w:t xml:space="preserve"> and developments </w:t>
      </w:r>
    </w:p>
    <w:p w14:paraId="5A1F2572" w14:textId="77777777" w:rsidR="00CA07A0" w:rsidRDefault="00CA07A0" w:rsidP="00EF2FF4">
      <w:pPr>
        <w:pStyle w:val="Heading2boardreport"/>
      </w:pPr>
      <w:r>
        <w:t xml:space="preserve">Ongoing </w:t>
      </w:r>
      <w:r w:rsidRPr="00EF2FF4">
        <w:t>response</w:t>
      </w:r>
      <w:r>
        <w:t xml:space="preserve"> to COVID-19</w:t>
      </w:r>
    </w:p>
    <w:p w14:paraId="67E979F5" w14:textId="7B650925" w:rsidR="00067DA7" w:rsidRDefault="000E12E3" w:rsidP="00EB132E">
      <w:pPr>
        <w:pStyle w:val="Paragraph"/>
      </w:pPr>
      <w:r w:rsidRPr="000E12E3">
        <w:t>The NICE resources for local partnerships w</w:t>
      </w:r>
      <w:r w:rsidR="00CA6FE3">
        <w:t>ere</w:t>
      </w:r>
      <w:r w:rsidRPr="000E12E3">
        <w:t xml:space="preserve"> reviewed and updated in the context of COVID-19 and Simon Stevens</w:t>
      </w:r>
      <w:r w:rsidR="00EF2FF4">
        <w:t>'</w:t>
      </w:r>
      <w:r w:rsidRPr="000E12E3">
        <w:t xml:space="preserve"> phase 3 letter to NHS services. These have been positioned as a key element of NICE’s support offer for service restoration and recovery, and are highlighted on the </w:t>
      </w:r>
      <w:hyperlink r:id="rId10" w:history="1">
        <w:r w:rsidRPr="008742FC">
          <w:rPr>
            <w:rStyle w:val="Hyperlink"/>
          </w:rPr>
          <w:t>NICE COVID-19 webpage</w:t>
        </w:r>
      </w:hyperlink>
      <w:r w:rsidRPr="000E12E3">
        <w:t>.</w:t>
      </w:r>
    </w:p>
    <w:p w14:paraId="28F42F37" w14:textId="11433015" w:rsidR="00886EBD" w:rsidRPr="009813CB" w:rsidRDefault="00886EBD" w:rsidP="008B61C8">
      <w:pPr>
        <w:pStyle w:val="Paragraph"/>
        <w:ind w:right="-46"/>
      </w:pPr>
      <w:r>
        <w:t>We engaged with</w:t>
      </w:r>
      <w:r w:rsidRPr="08C0ED3B">
        <w:t xml:space="preserve"> frontline services to identify, </w:t>
      </w:r>
      <w:proofErr w:type="gramStart"/>
      <w:r w:rsidRPr="08C0ED3B">
        <w:t>develop</w:t>
      </w:r>
      <w:proofErr w:type="gramEnd"/>
      <w:r w:rsidRPr="08C0ED3B">
        <w:t xml:space="preserve"> and publish C</w:t>
      </w:r>
      <w:r w:rsidR="00EF2FF4">
        <w:t>OVID</w:t>
      </w:r>
      <w:r w:rsidRPr="08C0ED3B">
        <w:t xml:space="preserve">-19 related shared learning examples. </w:t>
      </w:r>
      <w:r w:rsidR="00E14A7B">
        <w:t>Four have been published to date with 2</w:t>
      </w:r>
      <w:r w:rsidRPr="08C0ED3B">
        <w:t xml:space="preserve"> examples selected to feature in the 2020 Shared Learning Awards.</w:t>
      </w:r>
    </w:p>
    <w:p w14:paraId="64082EE5" w14:textId="77777777" w:rsidR="00CA07A0" w:rsidRDefault="00CA07A0" w:rsidP="00CA07A0">
      <w:pPr>
        <w:pStyle w:val="Heading2boardreport"/>
      </w:pPr>
      <w:r w:rsidRPr="00AD39F9">
        <w:t>Developing products and tools</w:t>
      </w:r>
    </w:p>
    <w:p w14:paraId="1488067D" w14:textId="77777777" w:rsidR="00886EBD" w:rsidRPr="00E51CC9" w:rsidRDefault="00886EBD" w:rsidP="00886EBD">
      <w:pPr>
        <w:pStyle w:val="Paragraph"/>
      </w:pPr>
      <w:r w:rsidRPr="00886EBD">
        <w:rPr>
          <w:rFonts w:eastAsia="Arial"/>
        </w:rPr>
        <w:t>The indicator team has finalised the contractual arrangements for working in partnership with NHS Digital, with NICE taking on the hosting and assurance of the national library of quality indicators. This funded work brings £350K income over three years and will help position NICE as a system leader in the development and assurance of national indicators. The NICE menu was updated to include the national library of indicators in September.</w:t>
      </w:r>
    </w:p>
    <w:p w14:paraId="14718596" w14:textId="3771F5EB" w:rsidR="00886EBD" w:rsidRDefault="00886EBD" w:rsidP="00886EBD">
      <w:pPr>
        <w:pStyle w:val="Paragraph"/>
      </w:pPr>
      <w:r>
        <w:t>In September, there was a high level of media interest during consultation on the draft quality standard on fetal alcohol spectrum disorder (FASD). This quality standard is underpinned by guidance produced by the Scottish Intercollegiate Guidelines Network (SIGN); NICE has not developed guidance on FASD. The story was featured on the front page of several national newspapers, radio programmes and social media and was also tied into International FASD awareness day. The consultation resulted in many more stakeholder comments than usual and has provided valuable feedback. It has highlighted several complex issues and publication of the final standard will be delayed to ensure issues raised are properly considered.</w:t>
      </w:r>
    </w:p>
    <w:p w14:paraId="6FA07C86" w14:textId="50F29899" w:rsidR="1B451CC2" w:rsidRDefault="1B451CC2" w:rsidP="71BC33F3">
      <w:pPr>
        <w:pStyle w:val="Paragraph"/>
        <w:rPr>
          <w:rFonts w:eastAsia="Arial" w:cs="Arial"/>
        </w:rPr>
      </w:pPr>
      <w:r>
        <w:t xml:space="preserve">For the past few years PIP has been </w:t>
      </w:r>
      <w:r w:rsidR="17F53123">
        <w:t>involved</w:t>
      </w:r>
      <w:r>
        <w:t xml:space="preserve"> in an Innovative Medicines Initiative (IMI) project called PARADIGM</w:t>
      </w:r>
      <w:r w:rsidR="0DD94FB7">
        <w:t xml:space="preserve"> which has look</w:t>
      </w:r>
      <w:r w:rsidR="003E381A">
        <w:t>ed</w:t>
      </w:r>
      <w:r w:rsidR="0DD94FB7">
        <w:t xml:space="preserve"> at patient involvement in Early Dialogues (the equiva</w:t>
      </w:r>
      <w:r w:rsidR="2F1212EA">
        <w:t>lent</w:t>
      </w:r>
      <w:r w:rsidR="0DD94FB7">
        <w:t xml:space="preserve"> of NICE Scientific Advice). </w:t>
      </w:r>
      <w:r w:rsidR="4110B7AB">
        <w:t>In October</w:t>
      </w:r>
      <w:r w:rsidR="45493C18">
        <w:t xml:space="preserve"> the results of this work,</w:t>
      </w:r>
      <w:r w:rsidR="4110B7AB">
        <w:t xml:space="preserve"> </w:t>
      </w:r>
      <w:hyperlink r:id="rId11" w:history="1">
        <w:r w:rsidR="2ACC014B" w:rsidRPr="002F2CC0">
          <w:rPr>
            <w:rStyle w:val="Hyperlink"/>
          </w:rPr>
          <w:t>a toolkit</w:t>
        </w:r>
        <w:r w:rsidR="6FF2DF45" w:rsidRPr="002F2CC0">
          <w:rPr>
            <w:rStyle w:val="Hyperlink"/>
          </w:rPr>
          <w:t xml:space="preserve"> for patient engagement in Early Dialogues</w:t>
        </w:r>
      </w:hyperlink>
      <w:r w:rsidR="6FF2DF45">
        <w:t xml:space="preserve"> was launched. The project team </w:t>
      </w:r>
      <w:r w:rsidR="01D39293">
        <w:t>are</w:t>
      </w:r>
      <w:r w:rsidR="2EA4442A">
        <w:t xml:space="preserve"> submitting a panel proposal </w:t>
      </w:r>
      <w:r w:rsidR="4F7045E9">
        <w:t xml:space="preserve">about the work </w:t>
      </w:r>
      <w:r w:rsidR="2EA4442A">
        <w:t>for</w:t>
      </w:r>
      <w:r w:rsidR="76C378D3">
        <w:t xml:space="preserve"> the</w:t>
      </w:r>
      <w:r w:rsidR="2EA4442A">
        <w:t xml:space="preserve"> HTAi 2021</w:t>
      </w:r>
      <w:r w:rsidR="4EE1CB88">
        <w:t xml:space="preserve"> conference in Manchester.</w:t>
      </w:r>
    </w:p>
    <w:p w14:paraId="7E9183F9" w14:textId="77777777" w:rsidR="00CA07A0" w:rsidRDefault="00CA07A0" w:rsidP="00CA07A0">
      <w:pPr>
        <w:pStyle w:val="Heading2boardreport"/>
      </w:pPr>
      <w:r w:rsidRPr="00D97DC8">
        <w:t>Disseminating key messages</w:t>
      </w:r>
    </w:p>
    <w:p w14:paraId="3E69C6EE" w14:textId="18EFD2E5" w:rsidR="005355A8" w:rsidRDefault="00AB0128" w:rsidP="00EB132E">
      <w:pPr>
        <w:pStyle w:val="Paragraph"/>
      </w:pPr>
      <w:r>
        <w:t xml:space="preserve">As part of a regular series, we authored an article with members of the </w:t>
      </w:r>
      <w:r w:rsidR="005355A8" w:rsidRPr="005355A8">
        <w:t>Royal College of General Practitioners (RCGP)</w:t>
      </w:r>
      <w:r>
        <w:t>.</w:t>
      </w:r>
      <w:r w:rsidR="005355A8" w:rsidRPr="005355A8">
        <w:t xml:space="preserve"> </w:t>
      </w:r>
      <w:r>
        <w:t xml:space="preserve">This has been published in the RCGP </w:t>
      </w:r>
      <w:r w:rsidR="005355A8" w:rsidRPr="005355A8">
        <w:t xml:space="preserve">journal, InnovAiT, publicising the guidance and quality standards on Lyme Disease: </w:t>
      </w:r>
      <w:hyperlink r:id="rId12" w:history="1">
        <w:r w:rsidR="005355A8" w:rsidRPr="005355A8">
          <w:rPr>
            <w:rStyle w:val="Hyperlink"/>
          </w:rPr>
          <w:t>NICE Nuggets: NG95 and QS186 Lyme Disease</w:t>
        </w:r>
      </w:hyperlink>
      <w:r>
        <w:rPr>
          <w:rStyle w:val="Hyperlink"/>
        </w:rPr>
        <w:t>.</w:t>
      </w:r>
    </w:p>
    <w:p w14:paraId="1620EE18" w14:textId="75E37EBC" w:rsidR="00CA07A0" w:rsidRDefault="00A84547" w:rsidP="00EB132E">
      <w:pPr>
        <w:pStyle w:val="Paragraph"/>
      </w:pPr>
      <w:r>
        <w:t>Our</w:t>
      </w:r>
      <w:r w:rsidR="00AB0128">
        <w:t xml:space="preserve"> partnership work</w:t>
      </w:r>
      <w:r>
        <w:t xml:space="preserve"> </w:t>
      </w:r>
      <w:r w:rsidR="00AB0128">
        <w:t>with H</w:t>
      </w:r>
      <w:r>
        <w:t>ealth Education England (</w:t>
      </w:r>
      <w:r w:rsidR="00621DB2">
        <w:t>HEE</w:t>
      </w:r>
      <w:r>
        <w:t>)</w:t>
      </w:r>
      <w:r w:rsidR="00AB0128">
        <w:t xml:space="preserve"> resulted in NICE guidance and resources being embedded throughout </w:t>
      </w:r>
      <w:hyperlink r:id="rId13">
        <w:r w:rsidR="004B5221" w:rsidRPr="71BC33F3">
          <w:rPr>
            <w:rStyle w:val="Hyperlink"/>
          </w:rPr>
          <w:t>guidance on the support of mental health social workers working in NHS, independent or integrated services</w:t>
        </w:r>
      </w:hyperlink>
      <w:r w:rsidR="00AB0128">
        <w:rPr>
          <w:rStyle w:val="Hyperlink"/>
        </w:rPr>
        <w:t>.</w:t>
      </w:r>
      <w:r w:rsidR="004B5221">
        <w:t xml:space="preserve"> </w:t>
      </w:r>
    </w:p>
    <w:p w14:paraId="0DA84836" w14:textId="6C6C20D3" w:rsidR="00067DA7" w:rsidRPr="00AD4371" w:rsidRDefault="00067DA7" w:rsidP="00067DA7">
      <w:pPr>
        <w:pStyle w:val="Paragraph"/>
      </w:pPr>
      <w:r>
        <w:t>The Fellows and Scholars programme has moved to virtual delivery of workshops with shorter, more frequent sessions. Several events have taken place covering topics such as NICE methodology, NICE’s role in implementation, co-production and quality improvement.  A process has been introduced to enable alumni to join the virtual events and has resulted in them becoming more actively engaged.</w:t>
      </w:r>
    </w:p>
    <w:p w14:paraId="7323FB8A" w14:textId="25433967" w:rsidR="00067DA7" w:rsidRDefault="00067DA7" w:rsidP="00067DA7">
      <w:pPr>
        <w:pStyle w:val="Paragraph"/>
      </w:pPr>
      <w:bookmarkStart w:id="1" w:name="_Hlk52786547"/>
      <w:r>
        <w:t xml:space="preserve">Demand for our student champion workshops remains high and 7 online sessions were held in September and October. In September, over 50 participants from 14 universities joined our first online Learning about NICE event which focussed on NICE guideline development and implementation. </w:t>
      </w:r>
      <w:bookmarkEnd w:id="1"/>
      <w:r w:rsidR="00953B31">
        <w:t xml:space="preserve">A recent article in </w:t>
      </w:r>
      <w:r w:rsidR="008B61C8">
        <w:t xml:space="preserve">the </w:t>
      </w:r>
      <w:r w:rsidR="00953B31" w:rsidRPr="00953B31">
        <w:t xml:space="preserve">Leeds School of Medicine </w:t>
      </w:r>
      <w:r w:rsidR="00641870">
        <w:t>‘</w:t>
      </w:r>
      <w:r w:rsidR="00953B31" w:rsidRPr="00953B31">
        <w:t>Medicine Matters</w:t>
      </w:r>
      <w:r w:rsidR="00641870">
        <w:t>’</w:t>
      </w:r>
      <w:r w:rsidR="00953B31">
        <w:t xml:space="preserve"> magazine</w:t>
      </w:r>
      <w:r w:rsidR="008B61C8">
        <w:t>,</w:t>
      </w:r>
      <w:r w:rsidR="00641870">
        <w:t xml:space="preserve"> written by a former student champion</w:t>
      </w:r>
      <w:r w:rsidR="008B61C8">
        <w:t>,</w:t>
      </w:r>
      <w:r w:rsidR="00641870">
        <w:t xml:space="preserve"> </w:t>
      </w:r>
      <w:r w:rsidR="00953B31">
        <w:t xml:space="preserve">publicised the NICE scheme </w:t>
      </w:r>
      <w:r w:rsidR="00641870">
        <w:t xml:space="preserve">and described her involvement as “a really valuable and enjoyable experience” that she would “highly recommend to other students”. </w:t>
      </w:r>
    </w:p>
    <w:p w14:paraId="75AEAB7C" w14:textId="57E61780" w:rsidR="00AC587A" w:rsidRDefault="00AC587A" w:rsidP="00AC587A">
      <w:pPr>
        <w:pStyle w:val="Paragraph"/>
      </w:pPr>
      <w:bookmarkStart w:id="2" w:name="_Hlk54175997"/>
      <w:r>
        <w:t xml:space="preserve">The </w:t>
      </w:r>
      <w:r w:rsidR="00EB659D">
        <w:t>F</w:t>
      </w:r>
      <w:r>
        <w:t>ield team ha</w:t>
      </w:r>
      <w:r w:rsidR="009E7A63">
        <w:t>s</w:t>
      </w:r>
      <w:r>
        <w:t xml:space="preserve"> continued to collaborate with Skills for Care (SfC) to </w:t>
      </w:r>
      <w:r w:rsidR="008D3109">
        <w:t>deliver presentations and</w:t>
      </w:r>
      <w:r w:rsidR="008A755F">
        <w:t xml:space="preserve"> webinars</w:t>
      </w:r>
      <w:r>
        <w:t xml:space="preserve"> for social care providers and trainers. These have been accessed by over 1000 people and feedback has been very positive. A recent article in the </w:t>
      </w:r>
      <w:r w:rsidR="000D3234">
        <w:t>SfC</w:t>
      </w:r>
      <w:r>
        <w:t xml:space="preserve"> national newsletter for registered managers</w:t>
      </w:r>
      <w:r w:rsidR="00A10CE4">
        <w:t>,</w:t>
      </w:r>
      <w:r>
        <w:t xml:space="preserve"> promoting NICE resources and </w:t>
      </w:r>
      <w:r w:rsidR="00EB659D">
        <w:t>F</w:t>
      </w:r>
      <w:r>
        <w:t>ield team support</w:t>
      </w:r>
      <w:r w:rsidR="00A10CE4">
        <w:t>,</w:t>
      </w:r>
      <w:r>
        <w:t xml:space="preserve"> has resulted in more requests for presentations to their regional networks</w:t>
      </w:r>
      <w:r w:rsidR="00A10CE4">
        <w:t>.</w:t>
      </w:r>
      <w:r>
        <w:t xml:space="preserve"> </w:t>
      </w:r>
      <w:bookmarkEnd w:id="2"/>
    </w:p>
    <w:p w14:paraId="293D29AF" w14:textId="2890F550" w:rsidR="00AC587A" w:rsidRDefault="00AC587A" w:rsidP="00AC587A">
      <w:pPr>
        <w:pStyle w:val="Paragraph"/>
      </w:pPr>
      <w:r>
        <w:t xml:space="preserve">The </w:t>
      </w:r>
      <w:r w:rsidR="00EB659D">
        <w:t>F</w:t>
      </w:r>
      <w:r>
        <w:t xml:space="preserve">ield team </w:t>
      </w:r>
      <w:r w:rsidR="009E7A63">
        <w:t>is</w:t>
      </w:r>
      <w:r>
        <w:t xml:space="preserve"> working with public health teams on priorities including:</w:t>
      </w:r>
    </w:p>
    <w:p w14:paraId="2A74F904" w14:textId="2BE1A0E0" w:rsidR="00AC587A" w:rsidRDefault="000D0ECB" w:rsidP="00AC587A">
      <w:pPr>
        <w:pStyle w:val="Bullets"/>
      </w:pPr>
      <w:r>
        <w:lastRenderedPageBreak/>
        <w:t>Advising sustainability</w:t>
      </w:r>
      <w:r w:rsidR="000D3234" w:rsidRPr="000D3234">
        <w:t xml:space="preserve"> and transformation partnership</w:t>
      </w:r>
      <w:r w:rsidR="004D6A33">
        <w:t>s</w:t>
      </w:r>
      <w:r w:rsidR="000D3234" w:rsidRPr="000D3234">
        <w:t xml:space="preserve"> (STPs) and Integrated Care System</w:t>
      </w:r>
      <w:r w:rsidR="00A10CE4">
        <w:t>s</w:t>
      </w:r>
      <w:r w:rsidR="000D3234" w:rsidRPr="000D3234">
        <w:t xml:space="preserve"> (ICSs) </w:t>
      </w:r>
      <w:r>
        <w:t>in the South East on</w:t>
      </w:r>
      <w:r w:rsidR="00AC587A">
        <w:t xml:space="preserve"> COVID-19 Emergency Locally Commissioned Service</w:t>
      </w:r>
      <w:r>
        <w:t>s</w:t>
      </w:r>
      <w:r w:rsidR="00AC587A">
        <w:t xml:space="preserve"> to support BAME and Vulnerable Groups. These services are provided by general practices and include health promotion and clinical management interventions underpinned by NICE guidance to protect those at greatest clinical risk </w:t>
      </w:r>
      <w:r w:rsidR="00D36FFD">
        <w:t>from</w:t>
      </w:r>
      <w:r w:rsidR="00AC587A">
        <w:t xml:space="preserve"> COVID</w:t>
      </w:r>
      <w:r w:rsidR="000D3234">
        <w:t>-19</w:t>
      </w:r>
      <w:r w:rsidR="00AC587A">
        <w:t xml:space="preserve">. </w:t>
      </w:r>
    </w:p>
    <w:p w14:paraId="6481CB25" w14:textId="09E58E37" w:rsidR="00AC587A" w:rsidRPr="003C6C30" w:rsidRDefault="00AC587A" w:rsidP="00AC587A">
      <w:pPr>
        <w:pStyle w:val="Bulletslast"/>
      </w:pPr>
      <w:r>
        <w:t xml:space="preserve">Advising regional CVD prevention boards on </w:t>
      </w:r>
      <w:r w:rsidR="00D36FFD">
        <w:t xml:space="preserve">current </w:t>
      </w:r>
      <w:r>
        <w:t>priorities</w:t>
      </w:r>
      <w:r w:rsidR="00D36FFD">
        <w:t>,</w:t>
      </w:r>
      <w:r>
        <w:t xml:space="preserve"> including heart failure and access to rehabilitation</w:t>
      </w:r>
      <w:r w:rsidR="000D0ECB">
        <w:t>.</w:t>
      </w:r>
    </w:p>
    <w:p w14:paraId="2EA229D3" w14:textId="4996EE06" w:rsidR="006629BA" w:rsidRPr="006629BA" w:rsidRDefault="00AC587A" w:rsidP="006629BA">
      <w:pPr>
        <w:pStyle w:val="Paragraph"/>
      </w:pPr>
      <w:r w:rsidRPr="71BC33F3">
        <w:rPr>
          <w:lang w:val="en-US"/>
        </w:rPr>
        <w:t xml:space="preserve">The </w:t>
      </w:r>
      <w:r w:rsidR="00EB659D">
        <w:rPr>
          <w:lang w:val="en-US"/>
        </w:rPr>
        <w:t>F</w:t>
      </w:r>
      <w:r w:rsidRPr="71BC33F3">
        <w:rPr>
          <w:lang w:val="en-US"/>
        </w:rPr>
        <w:t xml:space="preserve">ield team is supporting </w:t>
      </w:r>
      <w:r w:rsidR="000D3234" w:rsidRPr="71BC33F3">
        <w:rPr>
          <w:lang w:val="en-US"/>
        </w:rPr>
        <w:t>STPs and ICSs</w:t>
      </w:r>
      <w:r w:rsidR="006629BA">
        <w:t xml:space="preserve"> </w:t>
      </w:r>
      <w:r>
        <w:t>to</w:t>
      </w:r>
      <w:r w:rsidR="006629BA">
        <w:t xml:space="preserve"> re-start</w:t>
      </w:r>
      <w:r>
        <w:t xml:space="preserve"> </w:t>
      </w:r>
      <w:r w:rsidR="006629BA">
        <w:t xml:space="preserve">work paused due to </w:t>
      </w:r>
      <w:r w:rsidR="00D36FFD">
        <w:t xml:space="preserve">the </w:t>
      </w:r>
      <w:r w:rsidR="006629BA">
        <w:t xml:space="preserve">pandemic. </w:t>
      </w:r>
      <w:r>
        <w:t>This</w:t>
      </w:r>
      <w:r w:rsidR="006629BA">
        <w:t xml:space="preserve"> includes supporting the development of a ‘Living Well at Home' quality framework; advising a respiratory programme team; </w:t>
      </w:r>
      <w:r w:rsidR="009E7A63">
        <w:t xml:space="preserve">and </w:t>
      </w:r>
      <w:r w:rsidR="006629BA">
        <w:t xml:space="preserve">contributing to a health inequalities workshop to agree the scope of </w:t>
      </w:r>
      <w:r w:rsidR="006B6B5D">
        <w:t>a</w:t>
      </w:r>
      <w:r w:rsidR="006629BA">
        <w:t xml:space="preserve"> health inequalities framework</w:t>
      </w:r>
      <w:r w:rsidR="009E7A63">
        <w:t>.</w:t>
      </w:r>
    </w:p>
    <w:p w14:paraId="085AC9C4" w14:textId="77777777" w:rsidR="00CA07A0" w:rsidRDefault="00CA07A0" w:rsidP="00CA07A0">
      <w:pPr>
        <w:pStyle w:val="Heading2boardreport"/>
      </w:pPr>
      <w:r w:rsidRPr="00D97DC8">
        <w:t>Engaging with partners</w:t>
      </w:r>
    </w:p>
    <w:p w14:paraId="53A27B83" w14:textId="6E3D2C45" w:rsidR="00CA6FE3" w:rsidRDefault="00CA6FE3" w:rsidP="00CA6FE3">
      <w:pPr>
        <w:pStyle w:val="Paragraph"/>
        <w:rPr>
          <w:lang w:eastAsia="en-US"/>
        </w:rPr>
      </w:pPr>
      <w:r w:rsidRPr="71BC33F3">
        <w:rPr>
          <w:lang w:eastAsia="en-US"/>
        </w:rPr>
        <w:t xml:space="preserve">We have been working with the corporate office and communications team to ensure a joined up and strategic approach to engagement, producing briefings for key meetings and </w:t>
      </w:r>
      <w:r w:rsidR="004D6A33">
        <w:rPr>
          <w:lang w:eastAsia="en-US"/>
        </w:rPr>
        <w:t xml:space="preserve">the </w:t>
      </w:r>
      <w:r w:rsidRPr="71BC33F3">
        <w:rPr>
          <w:lang w:eastAsia="en-US"/>
        </w:rPr>
        <w:t>dissemination of information from key partners across NICE.</w:t>
      </w:r>
    </w:p>
    <w:p w14:paraId="6D392060" w14:textId="2CA969F3" w:rsidR="00B7321E" w:rsidRDefault="00B7321E" w:rsidP="00B7321E">
      <w:pPr>
        <w:pStyle w:val="Paragraph"/>
        <w:rPr>
          <w:lang w:eastAsia="en-US"/>
        </w:rPr>
      </w:pPr>
      <w:bookmarkStart w:id="3" w:name="_Hlk55370082"/>
      <w:r>
        <w:t xml:space="preserve">Staff from Health and Social Care and the Centre for Guidelines have worked together on an initiative for international collaboration on assessments in the field of social care. We have been part of a co-ordinating group establishing the first international network in this field and joined discussions on approaches to economic assessment. </w:t>
      </w:r>
    </w:p>
    <w:p w14:paraId="4B6FB929" w14:textId="2924ED7B" w:rsidR="00837FA6" w:rsidRPr="00837FA6" w:rsidRDefault="00837FA6" w:rsidP="004F1554">
      <w:pPr>
        <w:pStyle w:val="Paragraph"/>
        <w:rPr>
          <w:sz w:val="22"/>
          <w:szCs w:val="22"/>
          <w:lang w:eastAsia="en-US"/>
        </w:rPr>
      </w:pPr>
      <w:bookmarkStart w:id="4" w:name="_Hlk54702565"/>
      <w:bookmarkEnd w:id="3"/>
      <w:r>
        <w:t xml:space="preserve">The quarterly NICE and Care Quality Commission (CQC) strategic meeting took place in October and there was discussion around partnership working, our respective work on COVID-19 </w:t>
      </w:r>
      <w:r w:rsidRPr="00837FA6">
        <w:t>and the development of our respective organisations</w:t>
      </w:r>
      <w:r>
        <w:t>’</w:t>
      </w:r>
      <w:r w:rsidRPr="00837FA6">
        <w:t xml:space="preserve"> strategies. We are currently engaging through a range of methods (questionnaires and workshops) to </w:t>
      </w:r>
      <w:r w:rsidR="004D6A33">
        <w:t>contribute to</w:t>
      </w:r>
      <w:r w:rsidRPr="00837FA6">
        <w:t xml:space="preserve"> the CQC strategy and expect to see the benefits of this in the future. An immediate example </w:t>
      </w:r>
      <w:r>
        <w:t xml:space="preserve">of the successful impact of </w:t>
      </w:r>
      <w:r w:rsidR="00865EB4">
        <w:t>our</w:t>
      </w:r>
      <w:r w:rsidR="00641870">
        <w:t xml:space="preserve"> </w:t>
      </w:r>
      <w:r>
        <w:t xml:space="preserve">relationship is the reference to NICE guidance in the </w:t>
      </w:r>
      <w:hyperlink r:id="rId14" w:history="1">
        <w:r>
          <w:rPr>
            <w:rStyle w:val="Hyperlink"/>
          </w:rPr>
          <w:t>CQC updated guidance for providers supporting autistic people and people with a learning disability.</w:t>
        </w:r>
      </w:hyperlink>
      <w:r>
        <w:t xml:space="preserve"> The CQC also drew heavily on NICE guidance and standards in its review of restraint, seclusion and segregation for autistic people, and people with a learning disability and/or mental health condition. The report</w:t>
      </w:r>
      <w:r w:rsidR="00865EB4">
        <w:t>,</w:t>
      </w:r>
      <w:r>
        <w:t xml:space="preserve"> published in October</w:t>
      </w:r>
      <w:r w:rsidR="00865EB4">
        <w:t>,</w:t>
      </w:r>
      <w:r>
        <w:t xml:space="preserve"> provid</w:t>
      </w:r>
      <w:r w:rsidR="00865EB4">
        <w:t>es</w:t>
      </w:r>
      <w:r>
        <w:t xml:space="preserve"> a good assessment of where care needs to improve </w:t>
      </w:r>
      <w:r w:rsidR="00EC6CB8">
        <w:t xml:space="preserve">in </w:t>
      </w:r>
      <w:r>
        <w:t xml:space="preserve">line with NICE guidance and standards. We will work with the CQC to support the implementation of the </w:t>
      </w:r>
      <w:r>
        <w:lastRenderedPageBreak/>
        <w:t xml:space="preserve">recommendations. Work is also on-going </w:t>
      </w:r>
      <w:r w:rsidR="004D6A33">
        <w:t>t</w:t>
      </w:r>
      <w:r>
        <w:t xml:space="preserve">o ensure that NICE guidance is a key element of the </w:t>
      </w:r>
      <w:r w:rsidR="00865EB4">
        <w:t>CQC</w:t>
      </w:r>
      <w:r w:rsidR="004D6A33">
        <w:t>’</w:t>
      </w:r>
      <w:r w:rsidR="00865EB4">
        <w:t xml:space="preserve">s </w:t>
      </w:r>
      <w:r>
        <w:t>Provider Collaboration Reviews</w:t>
      </w:r>
      <w:r w:rsidR="00865EB4">
        <w:t>. We are also working together</w:t>
      </w:r>
      <w:r w:rsidR="004D6A33">
        <w:t xml:space="preserve"> </w:t>
      </w:r>
      <w:r>
        <w:t>to address recommendations from the Independent Medicines and Medical Devices Safety Review.</w:t>
      </w:r>
    </w:p>
    <w:bookmarkEnd w:id="4"/>
    <w:p w14:paraId="2343EFCA" w14:textId="3D2C20B1" w:rsidR="00CA07A0" w:rsidRPr="003C6C30" w:rsidRDefault="008935B2" w:rsidP="00186DEA">
      <w:pPr>
        <w:pStyle w:val="Paragraph"/>
      </w:pPr>
      <w:r>
        <w:t xml:space="preserve">There have been meetings with several Royal Colleges including the Royal College of Obstetricians and Gynaecologists (RCOG) and </w:t>
      </w:r>
      <w:r w:rsidR="000D0ECB">
        <w:t xml:space="preserve">the </w:t>
      </w:r>
      <w:r>
        <w:t xml:space="preserve">RCGP. Partnership working </w:t>
      </w:r>
      <w:r w:rsidR="000D0ECB">
        <w:t>has been</w:t>
      </w:r>
      <w:r>
        <w:t xml:space="preserve"> a key focus of both discussions. </w:t>
      </w:r>
    </w:p>
    <w:p w14:paraId="49503EC8" w14:textId="67B103DE" w:rsidR="005E40D6" w:rsidRDefault="00AC587A" w:rsidP="00186DEA">
      <w:pPr>
        <w:pStyle w:val="Paragraph"/>
      </w:pPr>
      <w:r>
        <w:t xml:space="preserve">Engagement is continuing with </w:t>
      </w:r>
      <w:r w:rsidR="00865EB4">
        <w:t xml:space="preserve">the </w:t>
      </w:r>
      <w:r>
        <w:t>Social Care Institute for Excellence (SCIE) and,</w:t>
      </w:r>
      <w:r w:rsidR="000D3234">
        <w:t xml:space="preserve"> </w:t>
      </w:r>
      <w:r>
        <w:t>i</w:t>
      </w:r>
      <w:r w:rsidR="0090779D">
        <w:t>n September, we responded to the</w:t>
      </w:r>
      <w:r>
        <w:t>ir</w:t>
      </w:r>
      <w:r w:rsidR="0090779D">
        <w:t xml:space="preserve"> strategy consultation</w:t>
      </w:r>
      <w:r w:rsidR="009C30EC">
        <w:t>.</w:t>
      </w:r>
      <w:r w:rsidR="0090779D">
        <w:t xml:space="preserve"> </w:t>
      </w:r>
      <w:r>
        <w:t>Regular meetings have been established with the</w:t>
      </w:r>
      <w:r w:rsidR="0090779D">
        <w:t xml:space="preserve"> Chief Executive of </w:t>
      </w:r>
      <w:r>
        <w:t>SCIE</w:t>
      </w:r>
      <w:r w:rsidR="0090779D">
        <w:t xml:space="preserve"> </w:t>
      </w:r>
      <w:r w:rsidR="00D47938">
        <w:t xml:space="preserve">and </w:t>
      </w:r>
      <w:r w:rsidR="000D3234">
        <w:t>discussions are taking place about</w:t>
      </w:r>
      <w:r w:rsidR="00D47938">
        <w:t xml:space="preserve"> the development of a partnership agreement.</w:t>
      </w:r>
    </w:p>
    <w:p w14:paraId="08FF1934" w14:textId="0C9C1D68" w:rsidR="008935B2" w:rsidRDefault="005E40D6" w:rsidP="00186DEA">
      <w:pPr>
        <w:pStyle w:val="Paragraph"/>
      </w:pPr>
      <w:r>
        <w:t xml:space="preserve">We are involved in a new national working group, led by </w:t>
      </w:r>
      <w:r w:rsidR="000D3234">
        <w:t>SfC</w:t>
      </w:r>
      <w:r>
        <w:t xml:space="preserve">, including </w:t>
      </w:r>
      <w:r w:rsidR="000D3234">
        <w:t>the Association of Directors of Adult Social Services in England (</w:t>
      </w:r>
      <w:r>
        <w:t>ADASS</w:t>
      </w:r>
      <w:r w:rsidR="000D3234">
        <w:t>)</w:t>
      </w:r>
      <w:r>
        <w:t xml:space="preserve"> and </w:t>
      </w:r>
      <w:r w:rsidR="00AD19CA">
        <w:t xml:space="preserve">the </w:t>
      </w:r>
      <w:r>
        <w:t>L</w:t>
      </w:r>
      <w:r w:rsidR="00AD19CA">
        <w:t xml:space="preserve">ocal </w:t>
      </w:r>
      <w:r>
        <w:t>G</w:t>
      </w:r>
      <w:r w:rsidR="00AD19CA">
        <w:t xml:space="preserve">overnment </w:t>
      </w:r>
      <w:r>
        <w:t>A</w:t>
      </w:r>
      <w:r w:rsidR="00AD19CA">
        <w:t>ssociation</w:t>
      </w:r>
      <w:r w:rsidR="00671E84">
        <w:t xml:space="preserve"> (LGA)</w:t>
      </w:r>
      <w:r w:rsidR="000D3234">
        <w:t xml:space="preserve">, focussing </w:t>
      </w:r>
      <w:r>
        <w:t>on develop</w:t>
      </w:r>
      <w:r w:rsidR="00D63F32">
        <w:t>ing</w:t>
      </w:r>
      <w:r>
        <w:t xml:space="preserve"> advice and support to promote positive wellbeing in the social care workforce.</w:t>
      </w:r>
      <w:r w:rsidR="00740FE5">
        <w:t xml:space="preserve"> </w:t>
      </w:r>
    </w:p>
    <w:p w14:paraId="723DEAB8" w14:textId="337530B5" w:rsidR="00206E01" w:rsidRPr="00206E01" w:rsidRDefault="000D3234" w:rsidP="00BA320F">
      <w:pPr>
        <w:pStyle w:val="Paragraph"/>
        <w:rPr>
          <w:rFonts w:eastAsia="Arial"/>
        </w:rPr>
      </w:pPr>
      <w:bookmarkStart w:id="5" w:name="_Hlk55378594"/>
      <w:r>
        <w:t>In September, w</w:t>
      </w:r>
      <w:r w:rsidR="005E40D6">
        <w:t xml:space="preserve">e met with Quality Matter partners (including </w:t>
      </w:r>
      <w:r w:rsidR="006E2242">
        <w:t>SfC</w:t>
      </w:r>
      <w:r w:rsidR="005E40D6">
        <w:t xml:space="preserve">, </w:t>
      </w:r>
      <w:r>
        <w:t>LGA</w:t>
      </w:r>
      <w:r w:rsidR="005E40D6">
        <w:t xml:space="preserve">, </w:t>
      </w:r>
      <w:r w:rsidR="006E2242">
        <w:t>Care Provider Alliance</w:t>
      </w:r>
      <w:r w:rsidR="005E40D6">
        <w:t xml:space="preserve">, CQC) to </w:t>
      </w:r>
      <w:r w:rsidR="00D30008">
        <w:t>plan</w:t>
      </w:r>
      <w:r w:rsidR="005E40D6">
        <w:t xml:space="preserve"> a series of virtual events (to be hosted by </w:t>
      </w:r>
      <w:r w:rsidR="006E2242">
        <w:t>SfC)</w:t>
      </w:r>
      <w:r w:rsidR="00D30008">
        <w:t xml:space="preserve"> to support collaborative working between health and social care</w:t>
      </w:r>
      <w:r w:rsidR="006E2242">
        <w:t>.</w:t>
      </w:r>
      <w:r w:rsidR="00206E01">
        <w:t xml:space="preserve"> </w:t>
      </w:r>
      <w:r w:rsidR="00206E01" w:rsidRPr="00206E01">
        <w:t xml:space="preserve">Quality Matters is </w:t>
      </w:r>
      <w:r w:rsidR="004E7E2A">
        <w:t>a shared commitment</w:t>
      </w:r>
      <w:r w:rsidR="00206E01" w:rsidRPr="00206E01">
        <w:t xml:space="preserve"> to improve the quality of adult social care and is jointly led by the Department of Health and Social Care and partners across the adult social care sector.</w:t>
      </w:r>
      <w:bookmarkStart w:id="6" w:name="_Hlk53515429"/>
    </w:p>
    <w:bookmarkEnd w:id="5"/>
    <w:p w14:paraId="6C6237F5" w14:textId="7B291600" w:rsidR="00013C48" w:rsidRPr="00206E01" w:rsidRDefault="00F35087" w:rsidP="00BA320F">
      <w:pPr>
        <w:pStyle w:val="Paragraph"/>
        <w:rPr>
          <w:rFonts w:eastAsia="Arial"/>
        </w:rPr>
      </w:pPr>
      <w:r>
        <w:t>C</w:t>
      </w:r>
      <w:r w:rsidR="00013C48">
        <w:t xml:space="preserve">onsultation </w:t>
      </w:r>
      <w:r>
        <w:t xml:space="preserve">comments have been submitted </w:t>
      </w:r>
      <w:r w:rsidR="00D63F32">
        <w:t xml:space="preserve">to </w:t>
      </w:r>
      <w:r w:rsidRPr="00206E01">
        <w:rPr>
          <w:rFonts w:eastAsia="Arial"/>
        </w:rPr>
        <w:t>Getting It Right First Time</w:t>
      </w:r>
      <w:r>
        <w:t xml:space="preserve"> (GIRFT)</w:t>
      </w:r>
      <w:r w:rsidR="00013C48">
        <w:t xml:space="preserve"> </w:t>
      </w:r>
      <w:r w:rsidR="00D63F32">
        <w:t xml:space="preserve">on </w:t>
      </w:r>
      <w:r w:rsidR="00013C48">
        <w:t>national specialty reports</w:t>
      </w:r>
      <w:r w:rsidR="00AF25D1">
        <w:t xml:space="preserve"> </w:t>
      </w:r>
      <w:r w:rsidR="00D63F32">
        <w:t>for</w:t>
      </w:r>
      <w:r w:rsidR="00AF25D1">
        <w:t xml:space="preserve"> rheumatology, anaesthesia and perioperative medicine, mental health crisis and acute care</w:t>
      </w:r>
      <w:r w:rsidR="00720E9F">
        <w:t>, and m</w:t>
      </w:r>
      <w:r w:rsidR="00AF25D1">
        <w:t>aternity and gynaecology</w:t>
      </w:r>
      <w:r w:rsidR="0050209B">
        <w:t>. W</w:t>
      </w:r>
      <w:r>
        <w:t xml:space="preserve">e are </w:t>
      </w:r>
      <w:r w:rsidR="00013C48">
        <w:t xml:space="preserve">working with GIRFT leads to see how NICE </w:t>
      </w:r>
      <w:r w:rsidR="00DC180F">
        <w:t>I</w:t>
      </w:r>
      <w:r w:rsidR="00013C48">
        <w:t xml:space="preserve">mpact reports can be incorporated into </w:t>
      </w:r>
      <w:r w:rsidR="00D63F32">
        <w:t xml:space="preserve">GIRFT reports </w:t>
      </w:r>
      <w:r w:rsidR="005A2BC2">
        <w:t>and vice versa</w:t>
      </w:r>
      <w:r w:rsidR="00013C48">
        <w:t>.</w:t>
      </w:r>
    </w:p>
    <w:p w14:paraId="59D17CF6" w14:textId="6F73A338" w:rsidR="000D3234" w:rsidRPr="008720BA" w:rsidRDefault="000D3234" w:rsidP="00EB132E">
      <w:pPr>
        <w:pStyle w:val="Paragraph"/>
        <w:rPr>
          <w:rFonts w:eastAsia="Arial"/>
        </w:rPr>
      </w:pPr>
      <w:r w:rsidRPr="71BC33F3">
        <w:rPr>
          <w:rFonts w:eastAsia="Arial"/>
        </w:rPr>
        <w:t xml:space="preserve">The Field team continues to engage with regional branches of </w:t>
      </w:r>
      <w:r w:rsidR="008720BA" w:rsidRPr="71BC33F3">
        <w:rPr>
          <w:rFonts w:eastAsia="Arial"/>
        </w:rPr>
        <w:t xml:space="preserve">ADASS. </w:t>
      </w:r>
      <w:r w:rsidR="007D6888">
        <w:rPr>
          <w:rFonts w:eastAsia="Arial"/>
        </w:rPr>
        <w:t xml:space="preserve">Examples include involvement in </w:t>
      </w:r>
      <w:r w:rsidR="007D6888" w:rsidRPr="71BC33F3">
        <w:rPr>
          <w:rFonts w:eastAsia="Arial"/>
        </w:rPr>
        <w:t>overseeing continued development of the Improved Market Insight Tool</w:t>
      </w:r>
      <w:r w:rsidR="007D6888">
        <w:rPr>
          <w:rFonts w:eastAsia="Arial"/>
        </w:rPr>
        <w:t xml:space="preserve"> as a member </w:t>
      </w:r>
      <w:r w:rsidRPr="71BC33F3">
        <w:rPr>
          <w:rFonts w:eastAsia="Arial"/>
        </w:rPr>
        <w:t xml:space="preserve">of </w:t>
      </w:r>
      <w:r w:rsidR="007D6888">
        <w:rPr>
          <w:rFonts w:eastAsia="Arial"/>
        </w:rPr>
        <w:t xml:space="preserve">the </w:t>
      </w:r>
      <w:r w:rsidRPr="71BC33F3">
        <w:rPr>
          <w:rFonts w:eastAsia="Arial"/>
        </w:rPr>
        <w:t>London Adult Social Care Market Insight Board</w:t>
      </w:r>
      <w:r w:rsidR="006F2A4D">
        <w:rPr>
          <w:rFonts w:eastAsia="Arial"/>
        </w:rPr>
        <w:t xml:space="preserve"> and</w:t>
      </w:r>
      <w:r w:rsidR="007D6888">
        <w:rPr>
          <w:rFonts w:eastAsia="Arial"/>
        </w:rPr>
        <w:t xml:space="preserve"> </w:t>
      </w:r>
      <w:r w:rsidRPr="71BC33F3">
        <w:rPr>
          <w:rFonts w:eastAsia="Arial"/>
        </w:rPr>
        <w:t>co-producing a framework with North West ADASS to support local authority peer reviews</w:t>
      </w:r>
      <w:r w:rsidR="006F2A4D">
        <w:rPr>
          <w:rFonts w:eastAsia="Arial"/>
        </w:rPr>
        <w:t>.</w:t>
      </w:r>
    </w:p>
    <w:bookmarkEnd w:id="6"/>
    <w:p w14:paraId="6D41E055" w14:textId="77777777" w:rsidR="00CA07A0" w:rsidRDefault="00CA07A0" w:rsidP="00CA07A0">
      <w:pPr>
        <w:pStyle w:val="Heading2boardreport"/>
      </w:pPr>
      <w:r>
        <w:t>Assessing the impact</w:t>
      </w:r>
    </w:p>
    <w:p w14:paraId="4BAC785D" w14:textId="4330138E" w:rsidR="006629BA" w:rsidRPr="006629BA" w:rsidRDefault="006629BA" w:rsidP="006629BA">
      <w:pPr>
        <w:pStyle w:val="Paragraph"/>
      </w:pPr>
      <w:r>
        <w:t xml:space="preserve">A </w:t>
      </w:r>
      <w:r w:rsidR="00EB659D">
        <w:t>F</w:t>
      </w:r>
      <w:r>
        <w:t xml:space="preserve">ield team survey sent to NICE/Clinical Audit Networks across England and Wales, designed to understand the impact of COVID-19 on NICE uptake, revealed that our rapid guidance was </w:t>
      </w:r>
      <w:r w:rsidR="00911DC1">
        <w:t>well received</w:t>
      </w:r>
      <w:r w:rsidR="00D30008">
        <w:t>.</w:t>
      </w:r>
      <w:r>
        <w:t xml:space="preserve"> Over 100 responses were </w:t>
      </w:r>
      <w:r w:rsidR="00E640EF">
        <w:t>received,</w:t>
      </w:r>
      <w:r>
        <w:t xml:space="preserve"> with one respondent saying “the COVID-19 rapid guidelines have woken up a lot of clinicians when it comes to the importance of good NICE implementation”.</w:t>
      </w:r>
    </w:p>
    <w:p w14:paraId="6DDC7892" w14:textId="71F2DD7E" w:rsidR="007A477F" w:rsidRPr="005D287C" w:rsidRDefault="006629BA" w:rsidP="00186DEA">
      <w:pPr>
        <w:pStyle w:val="Paragraph"/>
      </w:pPr>
      <w:bookmarkStart w:id="7" w:name="_Hlk55299822"/>
      <w:r>
        <w:t xml:space="preserve">Feedback gathered by the </w:t>
      </w:r>
      <w:r w:rsidR="00EB659D">
        <w:t>F</w:t>
      </w:r>
      <w:r>
        <w:t>ield team shows that t</w:t>
      </w:r>
      <w:r w:rsidR="007A477F">
        <w:t xml:space="preserve">here continues to be significant interest in using NICE guidance and </w:t>
      </w:r>
      <w:r w:rsidR="00D30008">
        <w:t>quality standards</w:t>
      </w:r>
      <w:r w:rsidR="007A477F">
        <w:t xml:space="preserve"> across social care (including social work, care homes and ADASS branches). Examples include:</w:t>
      </w:r>
    </w:p>
    <w:p w14:paraId="092E13F7" w14:textId="6894FC06" w:rsidR="00D30008" w:rsidRPr="00D30008" w:rsidRDefault="007A477F" w:rsidP="00106741">
      <w:pPr>
        <w:pStyle w:val="Bullets"/>
        <w:rPr>
          <w:sz w:val="22"/>
          <w:szCs w:val="22"/>
          <w:lang w:eastAsia="en-US"/>
        </w:rPr>
      </w:pPr>
      <w:r w:rsidRPr="005D287C">
        <w:t>A network of registered managers said</w:t>
      </w:r>
      <w:r w:rsidR="00EB659D">
        <w:t>,</w:t>
      </w:r>
      <w:r w:rsidRPr="005D287C">
        <w:t xml:space="preserve"> </w:t>
      </w:r>
      <w:r w:rsidR="00D30008" w:rsidRPr="005D287C">
        <w:t>as a result of the COVID-19 rapid guideline: arranging planned care in hospitals and diagnostic services (NG179)</w:t>
      </w:r>
      <w:r w:rsidR="00EB659D">
        <w:t xml:space="preserve">, </w:t>
      </w:r>
      <w:r w:rsidRPr="005D287C">
        <w:t xml:space="preserve">they felt empowered to challenge </w:t>
      </w:r>
      <w:r w:rsidR="00D30008">
        <w:t>hospital providers who refused to provide test results prior to discharge.</w:t>
      </w:r>
    </w:p>
    <w:bookmarkEnd w:id="7"/>
    <w:p w14:paraId="1C79B144" w14:textId="4C23D922" w:rsidR="007A477F" w:rsidRPr="005D287C" w:rsidRDefault="007A477F" w:rsidP="001E7D68">
      <w:pPr>
        <w:pStyle w:val="Bulletslast"/>
      </w:pPr>
      <w:r w:rsidRPr="005D287C">
        <w:t>An ADASS North West report includes recommendations that NICE quality standards should be used in a consistent way across all 23 local authorities to help understand care home quality</w:t>
      </w:r>
      <w:r w:rsidR="008D3109">
        <w:t>.</w:t>
      </w:r>
    </w:p>
    <w:p w14:paraId="49989609" w14:textId="77777777" w:rsidR="007C096D" w:rsidRDefault="007C096D" w:rsidP="00CA07A0">
      <w:pPr>
        <w:pStyle w:val="NICEnormal"/>
      </w:pPr>
    </w:p>
    <w:p w14:paraId="47CD775C" w14:textId="4F068E94" w:rsidR="00CA07A0" w:rsidRPr="00070124" w:rsidRDefault="00CA07A0" w:rsidP="00CA07A0">
      <w:pPr>
        <w:pStyle w:val="NICEnormal"/>
      </w:pPr>
      <w:r w:rsidRPr="00070124">
        <w:t xml:space="preserve">© NICE </w:t>
      </w:r>
      <w:r>
        <w:t>2020</w:t>
      </w:r>
      <w:r w:rsidRPr="00070124">
        <w:t xml:space="preserve">. All rights reserved. </w:t>
      </w:r>
      <w:hyperlink r:id="rId15" w:anchor="notice-of-rights" w:history="1">
        <w:r w:rsidRPr="00070124">
          <w:rPr>
            <w:rStyle w:val="Hyperlink"/>
          </w:rPr>
          <w:t>Subject to Notice of rights</w:t>
        </w:r>
      </w:hyperlink>
      <w:r w:rsidRPr="00070124">
        <w:t>.</w:t>
      </w:r>
    </w:p>
    <w:p w14:paraId="3068F291" w14:textId="77777777" w:rsidR="00CA07A0" w:rsidRDefault="00CA07A0" w:rsidP="00CA07A0">
      <w:pPr>
        <w:pStyle w:val="NICEnormal"/>
      </w:pPr>
      <w:r>
        <w:t>November 2020</w:t>
      </w:r>
    </w:p>
    <w:p w14:paraId="05161C9C" w14:textId="08FFD791" w:rsidR="00EB1C36" w:rsidRPr="00A36575" w:rsidRDefault="00EB1C36" w:rsidP="00CA07A0">
      <w:pPr>
        <w:pStyle w:val="Title1"/>
      </w:pPr>
    </w:p>
    <w:sectPr w:rsidR="00EB1C36" w:rsidRPr="00A36575" w:rsidSect="00CA07A0">
      <w:headerReference w:type="default" r:id="rId16"/>
      <w:footerReference w:type="defaul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8BF56F" w14:textId="77777777" w:rsidR="00E9668A" w:rsidRDefault="00E9668A">
      <w:r>
        <w:separator/>
      </w:r>
    </w:p>
  </w:endnote>
  <w:endnote w:type="continuationSeparator" w:id="0">
    <w:p w14:paraId="5788A1DD" w14:textId="77777777" w:rsidR="00E9668A" w:rsidRDefault="00E9668A">
      <w:r>
        <w:continuationSeparator/>
      </w:r>
    </w:p>
  </w:endnote>
  <w:endnote w:type="continuationNotice" w:id="1">
    <w:p w14:paraId="06D7915E" w14:textId="77777777" w:rsidR="00E9668A" w:rsidRDefault="00E966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34772" w14:textId="77777777" w:rsidR="00853C26" w:rsidRPr="00BA589F" w:rsidRDefault="00853C26" w:rsidP="00EB132E">
    <w:pPr>
      <w:pStyle w:val="Footer"/>
    </w:pPr>
  </w:p>
  <w:p w14:paraId="2B38D3BB" w14:textId="35116A65" w:rsidR="00853C26" w:rsidRPr="00BA589F" w:rsidRDefault="00853C26" w:rsidP="00BA589F">
    <w:pPr>
      <w:pStyle w:val="Footer"/>
    </w:pPr>
    <w:r w:rsidRPr="00BA589F">
      <w:t>National Institute for Health and Care Excellence</w:t>
    </w:r>
    <w:r w:rsidRPr="00BA589F">
      <w:tab/>
    </w:r>
    <w:r w:rsidR="008C08EA">
      <w:tab/>
    </w:r>
    <w:r w:rsidRPr="00BA589F">
      <w:t xml:space="preserve">Page </w:t>
    </w:r>
    <w:r w:rsidRPr="00BA589F">
      <w:fldChar w:fldCharType="begin"/>
    </w:r>
    <w:r w:rsidRPr="00BA589F">
      <w:instrText xml:space="preserve"> PAGE  \* Arabic  \* MERGEFORMAT </w:instrText>
    </w:r>
    <w:r w:rsidRPr="00BA589F">
      <w:fldChar w:fldCharType="separate"/>
    </w:r>
    <w:r w:rsidRPr="00BA589F">
      <w:t>7</w:t>
    </w:r>
    <w:r w:rsidRPr="00BA589F">
      <w:fldChar w:fldCharType="end"/>
    </w:r>
    <w:r w:rsidRPr="00BA589F">
      <w:t xml:space="preserve"> of </w:t>
    </w:r>
    <w:fldSimple w:instr="NUMPAGES  \* Arabic  \* MERGEFORMAT">
      <w:r w:rsidRPr="00BA589F">
        <w:t>7</w:t>
      </w:r>
    </w:fldSimple>
  </w:p>
  <w:p w14:paraId="3E1F7564" w14:textId="3B2DDE6D" w:rsidR="00853C26" w:rsidRPr="008C08EA" w:rsidRDefault="008C08EA" w:rsidP="00EB132E">
    <w:pPr>
      <w:pStyle w:val="Footer"/>
    </w:pPr>
    <w:r w:rsidRPr="008C08EA">
      <w:t xml:space="preserve">Health and Social Care Directorate progress report </w:t>
    </w:r>
  </w:p>
  <w:p w14:paraId="57E7499B" w14:textId="634B861F" w:rsidR="00853C26" w:rsidRPr="008C08EA" w:rsidRDefault="008C08EA" w:rsidP="00EB132E">
    <w:pPr>
      <w:pStyle w:val="Footer"/>
    </w:pPr>
    <w:r w:rsidRPr="008C08EA">
      <w:t xml:space="preserve">Date: 18 November 2020 </w:t>
    </w:r>
  </w:p>
  <w:p w14:paraId="5EFF95B3" w14:textId="660FB651" w:rsidR="00853C26" w:rsidRPr="00BA589F" w:rsidRDefault="00853C26" w:rsidP="00EB132E">
    <w:pPr>
      <w:pStyle w:val="Footer"/>
    </w:pPr>
    <w:r w:rsidRPr="008C08EA">
      <w:t>Reference</w:t>
    </w:r>
    <w:r w:rsidR="008C08EA" w:rsidRPr="008C08EA">
      <w:t>: 20/</w:t>
    </w:r>
    <w:proofErr w:type="gramStart"/>
    <w:r w:rsidR="008C08EA" w:rsidRPr="008C08EA">
      <w:t xml:space="preserve">102 </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EF048C" w14:textId="77777777" w:rsidR="00E9668A" w:rsidRDefault="00E9668A">
      <w:r>
        <w:separator/>
      </w:r>
    </w:p>
  </w:footnote>
  <w:footnote w:type="continuationSeparator" w:id="0">
    <w:p w14:paraId="006299E5" w14:textId="77777777" w:rsidR="00E9668A" w:rsidRDefault="00E9668A">
      <w:r>
        <w:continuationSeparator/>
      </w:r>
    </w:p>
  </w:footnote>
  <w:footnote w:type="continuationNotice" w:id="1">
    <w:p w14:paraId="34E18A6B" w14:textId="77777777" w:rsidR="00E9668A" w:rsidRDefault="00E966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74EA1" w14:textId="2EBE32C5" w:rsidR="00853C26" w:rsidRPr="002F15CF" w:rsidRDefault="00853C26" w:rsidP="002F15CF">
    <w:pPr>
      <w:pStyle w:val="Header"/>
      <w:ind w:left="0"/>
      <w:jc w:val="right"/>
    </w:pPr>
    <w:r w:rsidRPr="00F07534">
      <w:t xml:space="preserve">Item </w:t>
    </w:r>
    <w:r w:rsidR="008C08EA">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hybridMultilevel"/>
    <w:tmpl w:val="72188DC4"/>
    <w:lvl w:ilvl="0" w:tplc="7FAEBCC4">
      <w:start w:val="1"/>
      <w:numFmt w:val="bullet"/>
      <w:pStyle w:val="Bulletindent1"/>
      <w:lvlText w:val=""/>
      <w:lvlJc w:val="left"/>
      <w:pPr>
        <w:tabs>
          <w:tab w:val="num" w:pos="1418"/>
        </w:tabs>
        <w:ind w:left="1418" w:hanging="284"/>
      </w:pPr>
      <w:rPr>
        <w:rFonts w:ascii="Symbol" w:hAnsi="Symbol" w:hint="default"/>
        <w:color w:val="auto"/>
      </w:rPr>
    </w:lvl>
    <w:lvl w:ilvl="1" w:tplc="3718E736">
      <w:start w:val="1"/>
      <w:numFmt w:val="bullet"/>
      <w:lvlText w:val=""/>
      <w:lvlJc w:val="left"/>
      <w:pPr>
        <w:tabs>
          <w:tab w:val="num" w:pos="1701"/>
        </w:tabs>
        <w:ind w:left="1701" w:hanging="283"/>
      </w:pPr>
      <w:rPr>
        <w:rFonts w:ascii="Symbol" w:hAnsi="Symbol" w:hint="default"/>
      </w:rPr>
    </w:lvl>
    <w:lvl w:ilvl="2" w:tplc="A5D08976">
      <w:start w:val="1"/>
      <w:numFmt w:val="bullet"/>
      <w:lvlText w:val=""/>
      <w:lvlJc w:val="left"/>
      <w:pPr>
        <w:tabs>
          <w:tab w:val="num" w:pos="1985"/>
        </w:tabs>
        <w:ind w:left="1985" w:hanging="284"/>
      </w:pPr>
      <w:rPr>
        <w:rFonts w:ascii="Symbol" w:hAnsi="Symbol" w:hint="default"/>
        <w:color w:val="auto"/>
      </w:rPr>
    </w:lvl>
    <w:lvl w:ilvl="3" w:tplc="F358132E">
      <w:start w:val="1"/>
      <w:numFmt w:val="decimal"/>
      <w:lvlText w:val="%1.%2.%3.%4"/>
      <w:lvlJc w:val="left"/>
      <w:pPr>
        <w:tabs>
          <w:tab w:val="num" w:pos="1968"/>
        </w:tabs>
        <w:ind w:left="1968" w:hanging="964"/>
      </w:pPr>
      <w:rPr>
        <w:rFonts w:hint="default"/>
      </w:rPr>
    </w:lvl>
    <w:lvl w:ilvl="4" w:tplc="464E7FAC">
      <w:start w:val="1"/>
      <w:numFmt w:val="decimal"/>
      <w:lvlText w:val="%1.%2.%3.%4.%5."/>
      <w:lvlJc w:val="left"/>
      <w:pPr>
        <w:tabs>
          <w:tab w:val="num" w:pos="5324"/>
        </w:tabs>
        <w:ind w:left="3236" w:hanging="792"/>
      </w:pPr>
      <w:rPr>
        <w:rFonts w:hint="default"/>
      </w:rPr>
    </w:lvl>
    <w:lvl w:ilvl="5" w:tplc="4CCC7C32">
      <w:start w:val="1"/>
      <w:numFmt w:val="decimal"/>
      <w:lvlText w:val="%1.%2.%3.%4.%5.%6."/>
      <w:lvlJc w:val="left"/>
      <w:pPr>
        <w:tabs>
          <w:tab w:val="num" w:pos="6404"/>
        </w:tabs>
        <w:ind w:left="3740" w:hanging="936"/>
      </w:pPr>
      <w:rPr>
        <w:rFonts w:hint="default"/>
      </w:rPr>
    </w:lvl>
    <w:lvl w:ilvl="6" w:tplc="1F44E6CC">
      <w:start w:val="1"/>
      <w:numFmt w:val="decimal"/>
      <w:lvlText w:val="%1.%2.%3.%4.%5.%6.%7."/>
      <w:lvlJc w:val="left"/>
      <w:pPr>
        <w:tabs>
          <w:tab w:val="num" w:pos="7484"/>
        </w:tabs>
        <w:ind w:left="4244" w:hanging="1080"/>
      </w:pPr>
      <w:rPr>
        <w:rFonts w:hint="default"/>
      </w:rPr>
    </w:lvl>
    <w:lvl w:ilvl="7" w:tplc="C0AACF92">
      <w:start w:val="1"/>
      <w:numFmt w:val="decimal"/>
      <w:lvlText w:val="%1.%2.%3.%4.%5.%6.%7.%8."/>
      <w:lvlJc w:val="left"/>
      <w:pPr>
        <w:tabs>
          <w:tab w:val="num" w:pos="8204"/>
        </w:tabs>
        <w:ind w:left="4748" w:hanging="1224"/>
      </w:pPr>
      <w:rPr>
        <w:rFonts w:hint="default"/>
      </w:rPr>
    </w:lvl>
    <w:lvl w:ilvl="8" w:tplc="9A8693EC">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hybridMultilevel"/>
    <w:tmpl w:val="2B6892E8"/>
    <w:lvl w:ilvl="0" w:tplc="C096AAA6">
      <w:start w:val="1"/>
      <w:numFmt w:val="bullet"/>
      <w:lvlText w:val=""/>
      <w:lvlJc w:val="left"/>
      <w:pPr>
        <w:tabs>
          <w:tab w:val="num" w:pos="284"/>
        </w:tabs>
        <w:ind w:left="284" w:hanging="284"/>
      </w:pPr>
      <w:rPr>
        <w:rFonts w:ascii="Symbol" w:hAnsi="Symbol" w:hint="default"/>
        <w:color w:val="auto"/>
      </w:rPr>
    </w:lvl>
    <w:lvl w:ilvl="1" w:tplc="57D0197A">
      <w:start w:val="1"/>
      <w:numFmt w:val="bullet"/>
      <w:pStyle w:val="Bulletleft2"/>
      <w:lvlText w:val=""/>
      <w:lvlJc w:val="left"/>
      <w:pPr>
        <w:tabs>
          <w:tab w:val="num" w:pos="567"/>
        </w:tabs>
        <w:ind w:left="567" w:hanging="283"/>
      </w:pPr>
      <w:rPr>
        <w:rFonts w:ascii="Symbol" w:hAnsi="Symbol" w:hint="default"/>
      </w:rPr>
    </w:lvl>
    <w:lvl w:ilvl="2" w:tplc="BE3A5ACE">
      <w:start w:val="1"/>
      <w:numFmt w:val="bullet"/>
      <w:lvlText w:val=""/>
      <w:lvlJc w:val="left"/>
      <w:pPr>
        <w:tabs>
          <w:tab w:val="num" w:pos="1364"/>
        </w:tabs>
        <w:ind w:left="1364" w:hanging="360"/>
      </w:pPr>
      <w:rPr>
        <w:rFonts w:ascii="Symbol" w:hAnsi="Symbol" w:hint="default"/>
        <w:color w:val="auto"/>
      </w:rPr>
    </w:lvl>
    <w:lvl w:ilvl="3" w:tplc="2A264F66">
      <w:start w:val="1"/>
      <w:numFmt w:val="decimal"/>
      <w:lvlText w:val="(%4)"/>
      <w:lvlJc w:val="left"/>
      <w:pPr>
        <w:tabs>
          <w:tab w:val="num" w:pos="1724"/>
        </w:tabs>
        <w:ind w:left="1724" w:hanging="360"/>
      </w:pPr>
      <w:rPr>
        <w:rFonts w:hint="default"/>
      </w:rPr>
    </w:lvl>
    <w:lvl w:ilvl="4" w:tplc="7D546532">
      <w:start w:val="1"/>
      <w:numFmt w:val="lowerLetter"/>
      <w:lvlText w:val="(%5)"/>
      <w:lvlJc w:val="left"/>
      <w:pPr>
        <w:tabs>
          <w:tab w:val="num" w:pos="2084"/>
        </w:tabs>
        <w:ind w:left="2084" w:hanging="360"/>
      </w:pPr>
      <w:rPr>
        <w:rFonts w:hint="default"/>
      </w:rPr>
    </w:lvl>
    <w:lvl w:ilvl="5" w:tplc="CFF0CBD0">
      <w:start w:val="1"/>
      <w:numFmt w:val="lowerRoman"/>
      <w:lvlText w:val="(%6)"/>
      <w:lvlJc w:val="left"/>
      <w:pPr>
        <w:tabs>
          <w:tab w:val="num" w:pos="2444"/>
        </w:tabs>
        <w:ind w:left="2444" w:hanging="360"/>
      </w:pPr>
      <w:rPr>
        <w:rFonts w:hint="default"/>
      </w:rPr>
    </w:lvl>
    <w:lvl w:ilvl="6" w:tplc="99CA717E">
      <w:start w:val="1"/>
      <w:numFmt w:val="decimal"/>
      <w:lvlText w:val="%7."/>
      <w:lvlJc w:val="left"/>
      <w:pPr>
        <w:tabs>
          <w:tab w:val="num" w:pos="2804"/>
        </w:tabs>
        <w:ind w:left="2804" w:hanging="360"/>
      </w:pPr>
      <w:rPr>
        <w:rFonts w:hint="default"/>
      </w:rPr>
    </w:lvl>
    <w:lvl w:ilvl="7" w:tplc="4940A78E">
      <w:start w:val="1"/>
      <w:numFmt w:val="lowerLetter"/>
      <w:lvlText w:val="%8."/>
      <w:lvlJc w:val="left"/>
      <w:pPr>
        <w:tabs>
          <w:tab w:val="num" w:pos="3164"/>
        </w:tabs>
        <w:ind w:left="3164" w:hanging="360"/>
      </w:pPr>
      <w:rPr>
        <w:rFonts w:hint="default"/>
      </w:rPr>
    </w:lvl>
    <w:lvl w:ilvl="8" w:tplc="7C1230A4">
      <w:start w:val="1"/>
      <w:numFmt w:val="lowerRoman"/>
      <w:lvlText w:val="%9."/>
      <w:lvlJc w:val="left"/>
      <w:pPr>
        <w:tabs>
          <w:tab w:val="num" w:pos="3524"/>
        </w:tabs>
        <w:ind w:left="3524" w:hanging="360"/>
      </w:pPr>
      <w:rPr>
        <w:rFonts w:hint="default"/>
      </w:rPr>
    </w:lvl>
  </w:abstractNum>
  <w:abstractNum w:abstractNumId="3" w15:restartNumberingAfterBreak="0">
    <w:nsid w:val="0EB913DC"/>
    <w:multiLevelType w:val="hybridMultilevel"/>
    <w:tmpl w:val="3EE67CA8"/>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start w:val="1"/>
      <w:numFmt w:val="bullet"/>
      <w:lvlText w:val=""/>
      <w:lvlJc w:val="left"/>
      <w:pPr>
        <w:ind w:left="2226" w:hanging="360"/>
      </w:pPr>
      <w:rPr>
        <w:rFonts w:ascii="Wingdings" w:hAnsi="Wingdings" w:hint="default"/>
      </w:rPr>
    </w:lvl>
    <w:lvl w:ilvl="3" w:tplc="08090001">
      <w:start w:val="1"/>
      <w:numFmt w:val="bullet"/>
      <w:lvlText w:val=""/>
      <w:lvlJc w:val="left"/>
      <w:pPr>
        <w:ind w:left="2946" w:hanging="360"/>
      </w:pPr>
      <w:rPr>
        <w:rFonts w:ascii="Symbol" w:hAnsi="Symbol" w:hint="default"/>
      </w:rPr>
    </w:lvl>
    <w:lvl w:ilvl="4" w:tplc="08090003">
      <w:start w:val="1"/>
      <w:numFmt w:val="bullet"/>
      <w:lvlText w:val="o"/>
      <w:lvlJc w:val="left"/>
      <w:pPr>
        <w:ind w:left="3666" w:hanging="360"/>
      </w:pPr>
      <w:rPr>
        <w:rFonts w:ascii="Courier New" w:hAnsi="Courier New" w:cs="Courier New" w:hint="default"/>
      </w:rPr>
    </w:lvl>
    <w:lvl w:ilvl="5" w:tplc="08090005">
      <w:start w:val="1"/>
      <w:numFmt w:val="bullet"/>
      <w:lvlText w:val=""/>
      <w:lvlJc w:val="left"/>
      <w:pPr>
        <w:ind w:left="4386" w:hanging="360"/>
      </w:pPr>
      <w:rPr>
        <w:rFonts w:ascii="Wingdings" w:hAnsi="Wingdings" w:hint="default"/>
      </w:rPr>
    </w:lvl>
    <w:lvl w:ilvl="6" w:tplc="08090001">
      <w:start w:val="1"/>
      <w:numFmt w:val="bullet"/>
      <w:lvlText w:val=""/>
      <w:lvlJc w:val="left"/>
      <w:pPr>
        <w:ind w:left="5106" w:hanging="360"/>
      </w:pPr>
      <w:rPr>
        <w:rFonts w:ascii="Symbol" w:hAnsi="Symbol" w:hint="default"/>
      </w:rPr>
    </w:lvl>
    <w:lvl w:ilvl="7" w:tplc="08090003">
      <w:start w:val="1"/>
      <w:numFmt w:val="bullet"/>
      <w:lvlText w:val="o"/>
      <w:lvlJc w:val="left"/>
      <w:pPr>
        <w:ind w:left="5826" w:hanging="360"/>
      </w:pPr>
      <w:rPr>
        <w:rFonts w:ascii="Courier New" w:hAnsi="Courier New" w:cs="Courier New" w:hint="default"/>
      </w:rPr>
    </w:lvl>
    <w:lvl w:ilvl="8" w:tplc="08090005">
      <w:start w:val="1"/>
      <w:numFmt w:val="bullet"/>
      <w:lvlText w:val=""/>
      <w:lvlJc w:val="left"/>
      <w:pPr>
        <w:ind w:left="6546" w:hanging="360"/>
      </w:pPr>
      <w:rPr>
        <w:rFonts w:ascii="Wingdings" w:hAnsi="Wingdings" w:hint="default"/>
      </w:rPr>
    </w:lvl>
  </w:abstractNum>
  <w:abstractNum w:abstractNumId="4" w15:restartNumberingAfterBreak="0">
    <w:nsid w:val="11B15797"/>
    <w:multiLevelType w:val="hybridMultilevel"/>
    <w:tmpl w:val="6BA6316C"/>
    <w:lvl w:ilvl="0" w:tplc="7F9E7226">
      <w:start w:val="1"/>
      <w:numFmt w:val="decimal"/>
      <w:pStyle w:val="Paragraph"/>
      <w:lvlText w:val="%1."/>
      <w:lvlJc w:val="left"/>
      <w:pPr>
        <w:ind w:left="1637"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017405"/>
    <w:multiLevelType w:val="hybridMultilevel"/>
    <w:tmpl w:val="B0A899F0"/>
    <w:lvl w:ilvl="0" w:tplc="B35EA970">
      <w:start w:val="1"/>
      <w:numFmt w:val="bullet"/>
      <w:pStyle w:val="Bulletleft1"/>
      <w:lvlText w:val=""/>
      <w:lvlJc w:val="left"/>
      <w:pPr>
        <w:tabs>
          <w:tab w:val="num" w:pos="284"/>
        </w:tabs>
        <w:ind w:left="284" w:hanging="284"/>
      </w:pPr>
      <w:rPr>
        <w:rFonts w:ascii="Symbol" w:hAnsi="Symbol" w:hint="default"/>
        <w:color w:val="auto"/>
      </w:rPr>
    </w:lvl>
    <w:lvl w:ilvl="1" w:tplc="AAF6286E">
      <w:start w:val="1"/>
      <w:numFmt w:val="bullet"/>
      <w:lvlText w:val=""/>
      <w:lvlJc w:val="left"/>
      <w:pPr>
        <w:tabs>
          <w:tab w:val="num" w:pos="567"/>
        </w:tabs>
        <w:ind w:left="567" w:hanging="283"/>
      </w:pPr>
      <w:rPr>
        <w:rFonts w:ascii="Symbol" w:hAnsi="Symbol" w:hint="default"/>
      </w:rPr>
    </w:lvl>
    <w:lvl w:ilvl="2" w:tplc="77C2C722">
      <w:start w:val="1"/>
      <w:numFmt w:val="bullet"/>
      <w:lvlText w:val=""/>
      <w:lvlJc w:val="left"/>
      <w:pPr>
        <w:tabs>
          <w:tab w:val="num" w:pos="851"/>
        </w:tabs>
        <w:ind w:left="851" w:hanging="284"/>
      </w:pPr>
      <w:rPr>
        <w:rFonts w:ascii="Symbol" w:hAnsi="Symbol" w:hint="default"/>
        <w:color w:val="auto"/>
      </w:rPr>
    </w:lvl>
    <w:lvl w:ilvl="3" w:tplc="0F105E5C">
      <w:start w:val="1"/>
      <w:numFmt w:val="decimal"/>
      <w:lvlText w:val="(%4)"/>
      <w:lvlJc w:val="left"/>
      <w:pPr>
        <w:tabs>
          <w:tab w:val="num" w:pos="1724"/>
        </w:tabs>
        <w:ind w:left="1724" w:hanging="360"/>
      </w:pPr>
      <w:rPr>
        <w:rFonts w:hint="default"/>
      </w:rPr>
    </w:lvl>
    <w:lvl w:ilvl="4" w:tplc="77649D5C">
      <w:start w:val="1"/>
      <w:numFmt w:val="lowerLetter"/>
      <w:lvlText w:val="(%5)"/>
      <w:lvlJc w:val="left"/>
      <w:pPr>
        <w:tabs>
          <w:tab w:val="num" w:pos="2084"/>
        </w:tabs>
        <w:ind w:left="2084" w:hanging="360"/>
      </w:pPr>
      <w:rPr>
        <w:rFonts w:hint="default"/>
      </w:rPr>
    </w:lvl>
    <w:lvl w:ilvl="5" w:tplc="51C21440">
      <w:start w:val="1"/>
      <w:numFmt w:val="lowerRoman"/>
      <w:lvlText w:val="(%6)"/>
      <w:lvlJc w:val="left"/>
      <w:pPr>
        <w:tabs>
          <w:tab w:val="num" w:pos="2444"/>
        </w:tabs>
        <w:ind w:left="2444" w:hanging="360"/>
      </w:pPr>
      <w:rPr>
        <w:rFonts w:hint="default"/>
      </w:rPr>
    </w:lvl>
    <w:lvl w:ilvl="6" w:tplc="54B62586">
      <w:start w:val="1"/>
      <w:numFmt w:val="decimal"/>
      <w:lvlText w:val="%7."/>
      <w:lvlJc w:val="left"/>
      <w:pPr>
        <w:tabs>
          <w:tab w:val="num" w:pos="2804"/>
        </w:tabs>
        <w:ind w:left="2804" w:hanging="360"/>
      </w:pPr>
      <w:rPr>
        <w:rFonts w:hint="default"/>
      </w:rPr>
    </w:lvl>
    <w:lvl w:ilvl="7" w:tplc="FE4AF208">
      <w:start w:val="1"/>
      <w:numFmt w:val="lowerLetter"/>
      <w:lvlText w:val="%8."/>
      <w:lvlJc w:val="left"/>
      <w:pPr>
        <w:tabs>
          <w:tab w:val="num" w:pos="3164"/>
        </w:tabs>
        <w:ind w:left="3164" w:hanging="360"/>
      </w:pPr>
      <w:rPr>
        <w:rFonts w:hint="default"/>
      </w:rPr>
    </w:lvl>
    <w:lvl w:ilvl="8" w:tplc="C25CD1AE">
      <w:start w:val="1"/>
      <w:numFmt w:val="lowerRoman"/>
      <w:lvlText w:val="%9."/>
      <w:lvlJc w:val="left"/>
      <w:pPr>
        <w:tabs>
          <w:tab w:val="num" w:pos="3524"/>
        </w:tabs>
        <w:ind w:left="3524" w:hanging="360"/>
      </w:pPr>
      <w:rPr>
        <w:rFonts w:hint="default"/>
      </w:rPr>
    </w:lvl>
  </w:abstractNum>
  <w:abstractNum w:abstractNumId="6"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9CC3584"/>
    <w:multiLevelType w:val="hybridMultilevel"/>
    <w:tmpl w:val="721069A2"/>
    <w:lvl w:ilvl="0" w:tplc="155AA47E">
      <w:start w:val="1"/>
      <w:numFmt w:val="decimal"/>
      <w:pStyle w:val="Numberedheading1"/>
      <w:lvlText w:val="%1"/>
      <w:lvlJc w:val="left"/>
      <w:pPr>
        <w:tabs>
          <w:tab w:val="num" w:pos="1134"/>
        </w:tabs>
        <w:ind w:left="1134" w:hanging="1134"/>
      </w:pPr>
      <w:rPr>
        <w:rFonts w:hint="default"/>
      </w:rPr>
    </w:lvl>
    <w:lvl w:ilvl="1" w:tplc="275A2330">
      <w:start w:val="1"/>
      <w:numFmt w:val="decimal"/>
      <w:pStyle w:val="Numberedheading2"/>
      <w:lvlText w:val="%1.%2"/>
      <w:lvlJc w:val="left"/>
      <w:pPr>
        <w:tabs>
          <w:tab w:val="num" w:pos="1134"/>
        </w:tabs>
        <w:ind w:left="1134" w:hanging="1134"/>
      </w:pPr>
      <w:rPr>
        <w:rFonts w:hint="default"/>
      </w:rPr>
    </w:lvl>
    <w:lvl w:ilvl="2" w:tplc="53ECF41A">
      <w:start w:val="1"/>
      <w:numFmt w:val="decimal"/>
      <w:pStyle w:val="Numberedheading3"/>
      <w:lvlText w:val="%1.%2.%3"/>
      <w:lvlJc w:val="left"/>
      <w:pPr>
        <w:tabs>
          <w:tab w:val="num" w:pos="1134"/>
        </w:tabs>
        <w:ind w:left="1134" w:hanging="1134"/>
      </w:pPr>
      <w:rPr>
        <w:rFonts w:hint="default"/>
      </w:rPr>
    </w:lvl>
    <w:lvl w:ilvl="3" w:tplc="2700B6A0">
      <w:start w:val="1"/>
      <w:numFmt w:val="decimal"/>
      <w:pStyle w:val="Numberedlevel4text"/>
      <w:lvlText w:val="%1.%2.%3.%4"/>
      <w:lvlJc w:val="left"/>
      <w:pPr>
        <w:tabs>
          <w:tab w:val="num" w:pos="1134"/>
        </w:tabs>
        <w:ind w:left="1134" w:hanging="1134"/>
      </w:pPr>
      <w:rPr>
        <w:rFonts w:hint="default"/>
      </w:rPr>
    </w:lvl>
    <w:lvl w:ilvl="4" w:tplc="C5D64830">
      <w:start w:val="1"/>
      <w:numFmt w:val="decimal"/>
      <w:lvlText w:val="%1.%2.%3.%4.%5."/>
      <w:lvlJc w:val="left"/>
      <w:pPr>
        <w:tabs>
          <w:tab w:val="num" w:pos="4320"/>
        </w:tabs>
        <w:ind w:left="2232" w:hanging="792"/>
      </w:pPr>
      <w:rPr>
        <w:rFonts w:hint="default"/>
      </w:rPr>
    </w:lvl>
    <w:lvl w:ilvl="5" w:tplc="C8AC000E">
      <w:start w:val="1"/>
      <w:numFmt w:val="decimal"/>
      <w:lvlText w:val="%1.%2.%3.%4.%5.%6."/>
      <w:lvlJc w:val="left"/>
      <w:pPr>
        <w:tabs>
          <w:tab w:val="num" w:pos="5400"/>
        </w:tabs>
        <w:ind w:left="2736" w:hanging="936"/>
      </w:pPr>
      <w:rPr>
        <w:rFonts w:hint="default"/>
      </w:rPr>
    </w:lvl>
    <w:lvl w:ilvl="6" w:tplc="86EA3A9E">
      <w:start w:val="1"/>
      <w:numFmt w:val="decimal"/>
      <w:lvlText w:val="%1.%2.%3.%4.%5.%6.%7."/>
      <w:lvlJc w:val="left"/>
      <w:pPr>
        <w:tabs>
          <w:tab w:val="num" w:pos="6480"/>
        </w:tabs>
        <w:ind w:left="3240" w:hanging="1080"/>
      </w:pPr>
      <w:rPr>
        <w:rFonts w:hint="default"/>
      </w:rPr>
    </w:lvl>
    <w:lvl w:ilvl="7" w:tplc="27567380">
      <w:start w:val="1"/>
      <w:numFmt w:val="decimal"/>
      <w:lvlText w:val="%1.%2.%3.%4.%5.%6.%7.%8."/>
      <w:lvlJc w:val="left"/>
      <w:pPr>
        <w:tabs>
          <w:tab w:val="num" w:pos="7200"/>
        </w:tabs>
        <w:ind w:left="3744" w:hanging="1224"/>
      </w:pPr>
      <w:rPr>
        <w:rFonts w:hint="default"/>
      </w:rPr>
    </w:lvl>
    <w:lvl w:ilvl="8" w:tplc="56044B00">
      <w:start w:val="1"/>
      <w:numFmt w:val="decimal"/>
      <w:lvlText w:val="%1.%2.%3.%4.%5.%6.%7.%8.%9."/>
      <w:lvlJc w:val="left"/>
      <w:pPr>
        <w:tabs>
          <w:tab w:val="num" w:pos="8280"/>
        </w:tabs>
        <w:ind w:left="4320" w:hanging="1440"/>
      </w:pPr>
      <w:rPr>
        <w:rFonts w:hint="default"/>
      </w:rPr>
    </w:lvl>
  </w:abstractNum>
  <w:abstractNum w:abstractNumId="13" w15:restartNumberingAfterBreak="0">
    <w:nsid w:val="2C0030D9"/>
    <w:multiLevelType w:val="hybridMultilevel"/>
    <w:tmpl w:val="69B0F2CA"/>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start w:val="1"/>
      <w:numFmt w:val="bullet"/>
      <w:lvlText w:val="o"/>
      <w:lvlJc w:val="left"/>
      <w:pPr>
        <w:ind w:left="3884" w:hanging="360"/>
      </w:pPr>
      <w:rPr>
        <w:rFonts w:ascii="Courier New" w:hAnsi="Courier New" w:cs="Courier New" w:hint="default"/>
      </w:rPr>
    </w:lvl>
    <w:lvl w:ilvl="5" w:tplc="08090005">
      <w:start w:val="1"/>
      <w:numFmt w:val="bullet"/>
      <w:lvlText w:val=""/>
      <w:lvlJc w:val="left"/>
      <w:pPr>
        <w:ind w:left="4604" w:hanging="360"/>
      </w:pPr>
      <w:rPr>
        <w:rFonts w:ascii="Wingdings" w:hAnsi="Wingdings" w:hint="default"/>
      </w:rPr>
    </w:lvl>
    <w:lvl w:ilvl="6" w:tplc="08090001">
      <w:start w:val="1"/>
      <w:numFmt w:val="bullet"/>
      <w:lvlText w:val=""/>
      <w:lvlJc w:val="left"/>
      <w:pPr>
        <w:ind w:left="5324" w:hanging="360"/>
      </w:pPr>
      <w:rPr>
        <w:rFonts w:ascii="Symbol" w:hAnsi="Symbol" w:hint="default"/>
      </w:rPr>
    </w:lvl>
    <w:lvl w:ilvl="7" w:tplc="08090003">
      <w:start w:val="1"/>
      <w:numFmt w:val="bullet"/>
      <w:lvlText w:val="o"/>
      <w:lvlJc w:val="left"/>
      <w:pPr>
        <w:ind w:left="6044" w:hanging="360"/>
      </w:pPr>
      <w:rPr>
        <w:rFonts w:ascii="Courier New" w:hAnsi="Courier New" w:cs="Courier New" w:hint="default"/>
      </w:rPr>
    </w:lvl>
    <w:lvl w:ilvl="8" w:tplc="08090005">
      <w:start w:val="1"/>
      <w:numFmt w:val="bullet"/>
      <w:lvlText w:val=""/>
      <w:lvlJc w:val="left"/>
      <w:pPr>
        <w:ind w:left="6764" w:hanging="360"/>
      </w:pPr>
      <w:rPr>
        <w:rFonts w:ascii="Wingdings" w:hAnsi="Wingdings" w:hint="default"/>
      </w:rPr>
    </w:lvl>
  </w:abstractNum>
  <w:abstractNum w:abstractNumId="14"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41B7135"/>
    <w:multiLevelType w:val="hybridMultilevel"/>
    <w:tmpl w:val="5ACC9930"/>
    <w:lvl w:ilvl="0" w:tplc="79C84F00">
      <w:start w:val="1"/>
      <w:numFmt w:val="bullet"/>
      <w:lvlText w:val=""/>
      <w:lvlJc w:val="left"/>
      <w:pPr>
        <w:tabs>
          <w:tab w:val="num" w:pos="1418"/>
        </w:tabs>
        <w:ind w:left="1418" w:hanging="284"/>
      </w:pPr>
      <w:rPr>
        <w:rFonts w:ascii="Symbol" w:hAnsi="Symbol" w:hint="default"/>
        <w:color w:val="auto"/>
      </w:rPr>
    </w:lvl>
    <w:lvl w:ilvl="1" w:tplc="15CED0A4">
      <w:start w:val="1"/>
      <w:numFmt w:val="bullet"/>
      <w:pStyle w:val="Bulletindent2"/>
      <w:lvlText w:val=""/>
      <w:lvlJc w:val="left"/>
      <w:pPr>
        <w:tabs>
          <w:tab w:val="num" w:pos="1701"/>
        </w:tabs>
        <w:ind w:left="1701" w:hanging="283"/>
      </w:pPr>
      <w:rPr>
        <w:rFonts w:ascii="Symbol" w:hAnsi="Symbol" w:hint="default"/>
      </w:rPr>
    </w:lvl>
    <w:lvl w:ilvl="2" w:tplc="AF5CE78C">
      <w:start w:val="1"/>
      <w:numFmt w:val="decimal"/>
      <w:lvlText w:val="%3.%1.%2"/>
      <w:lvlJc w:val="left"/>
      <w:pPr>
        <w:tabs>
          <w:tab w:val="num" w:pos="1968"/>
        </w:tabs>
        <w:ind w:left="1968" w:hanging="964"/>
      </w:pPr>
      <w:rPr>
        <w:rFonts w:hint="default"/>
      </w:rPr>
    </w:lvl>
    <w:lvl w:ilvl="3" w:tplc="9F1A40CC">
      <w:start w:val="1"/>
      <w:numFmt w:val="decimal"/>
      <w:lvlText w:val="%1.%2.%3.%4"/>
      <w:lvlJc w:val="left"/>
      <w:pPr>
        <w:tabs>
          <w:tab w:val="num" w:pos="1968"/>
        </w:tabs>
        <w:ind w:left="1968" w:hanging="964"/>
      </w:pPr>
      <w:rPr>
        <w:rFonts w:hint="default"/>
      </w:rPr>
    </w:lvl>
    <w:lvl w:ilvl="4" w:tplc="35E625BC">
      <w:start w:val="1"/>
      <w:numFmt w:val="decimal"/>
      <w:lvlText w:val="%1.%2.%3.%4.%5."/>
      <w:lvlJc w:val="left"/>
      <w:pPr>
        <w:tabs>
          <w:tab w:val="num" w:pos="5324"/>
        </w:tabs>
        <w:ind w:left="3236" w:hanging="792"/>
      </w:pPr>
      <w:rPr>
        <w:rFonts w:hint="default"/>
      </w:rPr>
    </w:lvl>
    <w:lvl w:ilvl="5" w:tplc="03982864">
      <w:start w:val="1"/>
      <w:numFmt w:val="decimal"/>
      <w:lvlText w:val="%1.%2.%3.%4.%5.%6."/>
      <w:lvlJc w:val="left"/>
      <w:pPr>
        <w:tabs>
          <w:tab w:val="num" w:pos="6404"/>
        </w:tabs>
        <w:ind w:left="3740" w:hanging="936"/>
      </w:pPr>
      <w:rPr>
        <w:rFonts w:hint="default"/>
      </w:rPr>
    </w:lvl>
    <w:lvl w:ilvl="6" w:tplc="1072360E">
      <w:start w:val="1"/>
      <w:numFmt w:val="decimal"/>
      <w:lvlText w:val="%1.%2.%3.%4.%5.%6.%7."/>
      <w:lvlJc w:val="left"/>
      <w:pPr>
        <w:tabs>
          <w:tab w:val="num" w:pos="7484"/>
        </w:tabs>
        <w:ind w:left="4244" w:hanging="1080"/>
      </w:pPr>
      <w:rPr>
        <w:rFonts w:hint="default"/>
      </w:rPr>
    </w:lvl>
    <w:lvl w:ilvl="7" w:tplc="0214F41A">
      <w:start w:val="1"/>
      <w:numFmt w:val="decimal"/>
      <w:lvlText w:val="%1.%2.%3.%4.%5.%6.%7.%8."/>
      <w:lvlJc w:val="left"/>
      <w:pPr>
        <w:tabs>
          <w:tab w:val="num" w:pos="8204"/>
        </w:tabs>
        <w:ind w:left="4748" w:hanging="1224"/>
      </w:pPr>
      <w:rPr>
        <w:rFonts w:hint="default"/>
      </w:rPr>
    </w:lvl>
    <w:lvl w:ilvl="8" w:tplc="2E62EB96">
      <w:start w:val="1"/>
      <w:numFmt w:val="decimal"/>
      <w:lvlText w:val="%1.%2.%3.%4.%5.%6.%7.%8.%9."/>
      <w:lvlJc w:val="left"/>
      <w:pPr>
        <w:tabs>
          <w:tab w:val="num" w:pos="9284"/>
        </w:tabs>
        <w:ind w:left="5324" w:hanging="1440"/>
      </w:pPr>
      <w:rPr>
        <w:rFonts w:hint="default"/>
      </w:rPr>
    </w:lvl>
  </w:abstractNum>
  <w:abstractNum w:abstractNumId="18" w15:restartNumberingAfterBreak="0">
    <w:nsid w:val="470E2489"/>
    <w:multiLevelType w:val="hybridMultilevel"/>
    <w:tmpl w:val="CF7423B4"/>
    <w:lvl w:ilvl="0" w:tplc="0C685030">
      <w:start w:val="1"/>
      <w:numFmt w:val="bullet"/>
      <w:lvlText w:val=""/>
      <w:lvlJc w:val="left"/>
      <w:pPr>
        <w:tabs>
          <w:tab w:val="num" w:pos="1418"/>
        </w:tabs>
        <w:ind w:left="1418" w:hanging="284"/>
      </w:pPr>
      <w:rPr>
        <w:rFonts w:ascii="Symbol" w:hAnsi="Symbol" w:hint="default"/>
        <w:color w:val="auto"/>
      </w:rPr>
    </w:lvl>
    <w:lvl w:ilvl="1" w:tplc="A79A2E56">
      <w:start w:val="1"/>
      <w:numFmt w:val="bullet"/>
      <w:lvlText w:val=""/>
      <w:lvlJc w:val="left"/>
      <w:pPr>
        <w:tabs>
          <w:tab w:val="num" w:pos="1701"/>
        </w:tabs>
        <w:ind w:left="1701" w:hanging="283"/>
      </w:pPr>
      <w:rPr>
        <w:rFonts w:ascii="Symbol" w:hAnsi="Symbol" w:hint="default"/>
      </w:rPr>
    </w:lvl>
    <w:lvl w:ilvl="2" w:tplc="08F2AC4E">
      <w:start w:val="1"/>
      <w:numFmt w:val="bullet"/>
      <w:pStyle w:val="Bulletindent3"/>
      <w:lvlText w:val=""/>
      <w:lvlJc w:val="left"/>
      <w:pPr>
        <w:tabs>
          <w:tab w:val="num" w:pos="1985"/>
        </w:tabs>
        <w:ind w:left="1985" w:hanging="284"/>
      </w:pPr>
      <w:rPr>
        <w:rFonts w:ascii="Symbol" w:hAnsi="Symbol" w:hint="default"/>
        <w:color w:val="auto"/>
      </w:rPr>
    </w:lvl>
    <w:lvl w:ilvl="3" w:tplc="9676B5AA">
      <w:start w:val="1"/>
      <w:numFmt w:val="decimal"/>
      <w:lvlText w:val="%1.%2.%3.%4"/>
      <w:lvlJc w:val="left"/>
      <w:pPr>
        <w:tabs>
          <w:tab w:val="num" w:pos="1968"/>
        </w:tabs>
        <w:ind w:left="1968" w:hanging="964"/>
      </w:pPr>
      <w:rPr>
        <w:rFonts w:hint="default"/>
      </w:rPr>
    </w:lvl>
    <w:lvl w:ilvl="4" w:tplc="EB9414B4">
      <w:start w:val="1"/>
      <w:numFmt w:val="decimal"/>
      <w:lvlText w:val="%1.%2.%3.%4.%5."/>
      <w:lvlJc w:val="left"/>
      <w:pPr>
        <w:tabs>
          <w:tab w:val="num" w:pos="5324"/>
        </w:tabs>
        <w:ind w:left="3236" w:hanging="792"/>
      </w:pPr>
      <w:rPr>
        <w:rFonts w:hint="default"/>
      </w:rPr>
    </w:lvl>
    <w:lvl w:ilvl="5" w:tplc="B3BCB584">
      <w:start w:val="1"/>
      <w:numFmt w:val="decimal"/>
      <w:lvlText w:val="%1.%2.%3.%4.%5.%6."/>
      <w:lvlJc w:val="left"/>
      <w:pPr>
        <w:tabs>
          <w:tab w:val="num" w:pos="6404"/>
        </w:tabs>
        <w:ind w:left="3740" w:hanging="936"/>
      </w:pPr>
      <w:rPr>
        <w:rFonts w:hint="default"/>
      </w:rPr>
    </w:lvl>
    <w:lvl w:ilvl="6" w:tplc="35462AB2">
      <w:start w:val="1"/>
      <w:numFmt w:val="decimal"/>
      <w:lvlText w:val="%1.%2.%3.%4.%5.%6.%7."/>
      <w:lvlJc w:val="left"/>
      <w:pPr>
        <w:tabs>
          <w:tab w:val="num" w:pos="7484"/>
        </w:tabs>
        <w:ind w:left="4244" w:hanging="1080"/>
      </w:pPr>
      <w:rPr>
        <w:rFonts w:hint="default"/>
      </w:rPr>
    </w:lvl>
    <w:lvl w:ilvl="7" w:tplc="688643BA">
      <w:start w:val="1"/>
      <w:numFmt w:val="decimal"/>
      <w:lvlText w:val="%1.%2.%3.%4.%5.%6.%7.%8."/>
      <w:lvlJc w:val="left"/>
      <w:pPr>
        <w:tabs>
          <w:tab w:val="num" w:pos="8204"/>
        </w:tabs>
        <w:ind w:left="4748" w:hanging="1224"/>
      </w:pPr>
      <w:rPr>
        <w:rFonts w:hint="default"/>
      </w:rPr>
    </w:lvl>
    <w:lvl w:ilvl="8" w:tplc="B5E23394">
      <w:start w:val="1"/>
      <w:numFmt w:val="decimal"/>
      <w:lvlText w:val="%1.%2.%3.%4.%5.%6.%7.%8.%9."/>
      <w:lvlJc w:val="left"/>
      <w:pPr>
        <w:tabs>
          <w:tab w:val="num" w:pos="9284"/>
        </w:tabs>
        <w:ind w:left="5324" w:hanging="1440"/>
      </w:pPr>
      <w:rPr>
        <w:rFonts w:hint="default"/>
      </w:rPr>
    </w:lvl>
  </w:abstractNum>
  <w:abstractNum w:abstractNumId="19"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43841DF"/>
    <w:multiLevelType w:val="hybridMultilevel"/>
    <w:tmpl w:val="0809001D"/>
    <w:name w:val="numberedheadings2"/>
    <w:lvl w:ilvl="0" w:tplc="7F545148">
      <w:start w:val="1"/>
      <w:numFmt w:val="decimal"/>
      <w:lvlText w:val="%1)"/>
      <w:lvlJc w:val="left"/>
      <w:pPr>
        <w:tabs>
          <w:tab w:val="num" w:pos="360"/>
        </w:tabs>
        <w:ind w:left="360" w:hanging="360"/>
      </w:pPr>
    </w:lvl>
    <w:lvl w:ilvl="1" w:tplc="B1662EEE">
      <w:start w:val="1"/>
      <w:numFmt w:val="lowerLetter"/>
      <w:lvlText w:val="%2)"/>
      <w:lvlJc w:val="left"/>
      <w:pPr>
        <w:tabs>
          <w:tab w:val="num" w:pos="720"/>
        </w:tabs>
        <w:ind w:left="720" w:hanging="360"/>
      </w:pPr>
    </w:lvl>
    <w:lvl w:ilvl="2" w:tplc="AA7CDC3A">
      <w:start w:val="1"/>
      <w:numFmt w:val="lowerRoman"/>
      <w:lvlText w:val="%3)"/>
      <w:lvlJc w:val="left"/>
      <w:pPr>
        <w:tabs>
          <w:tab w:val="num" w:pos="1080"/>
        </w:tabs>
        <w:ind w:left="1080" w:hanging="360"/>
      </w:pPr>
    </w:lvl>
    <w:lvl w:ilvl="3" w:tplc="36966000">
      <w:start w:val="1"/>
      <w:numFmt w:val="decimal"/>
      <w:lvlText w:val="(%4)"/>
      <w:lvlJc w:val="left"/>
      <w:pPr>
        <w:tabs>
          <w:tab w:val="num" w:pos="1440"/>
        </w:tabs>
        <w:ind w:left="1440" w:hanging="360"/>
      </w:pPr>
    </w:lvl>
    <w:lvl w:ilvl="4" w:tplc="372E30C0">
      <w:start w:val="1"/>
      <w:numFmt w:val="lowerLetter"/>
      <w:lvlText w:val="(%5)"/>
      <w:lvlJc w:val="left"/>
      <w:pPr>
        <w:tabs>
          <w:tab w:val="num" w:pos="1800"/>
        </w:tabs>
        <w:ind w:left="1800" w:hanging="360"/>
      </w:pPr>
    </w:lvl>
    <w:lvl w:ilvl="5" w:tplc="A6BE3AF8">
      <w:start w:val="1"/>
      <w:numFmt w:val="lowerRoman"/>
      <w:lvlText w:val="(%6)"/>
      <w:lvlJc w:val="left"/>
      <w:pPr>
        <w:tabs>
          <w:tab w:val="num" w:pos="2160"/>
        </w:tabs>
        <w:ind w:left="2160" w:hanging="360"/>
      </w:pPr>
    </w:lvl>
    <w:lvl w:ilvl="6" w:tplc="C24693C0">
      <w:start w:val="1"/>
      <w:numFmt w:val="decimal"/>
      <w:lvlText w:val="%7."/>
      <w:lvlJc w:val="left"/>
      <w:pPr>
        <w:tabs>
          <w:tab w:val="num" w:pos="2520"/>
        </w:tabs>
        <w:ind w:left="2520" w:hanging="360"/>
      </w:pPr>
    </w:lvl>
    <w:lvl w:ilvl="7" w:tplc="AE849306">
      <w:start w:val="1"/>
      <w:numFmt w:val="lowerLetter"/>
      <w:lvlText w:val="%8."/>
      <w:lvlJc w:val="left"/>
      <w:pPr>
        <w:tabs>
          <w:tab w:val="num" w:pos="2880"/>
        </w:tabs>
        <w:ind w:left="2880" w:hanging="360"/>
      </w:pPr>
    </w:lvl>
    <w:lvl w:ilvl="8" w:tplc="D6A64A6C">
      <w:start w:val="1"/>
      <w:numFmt w:val="lowerRoman"/>
      <w:lvlText w:val="%9."/>
      <w:lvlJc w:val="left"/>
      <w:pPr>
        <w:tabs>
          <w:tab w:val="num" w:pos="3240"/>
        </w:tabs>
        <w:ind w:left="3240" w:hanging="360"/>
      </w:pPr>
    </w:lvl>
  </w:abstractNum>
  <w:abstractNum w:abstractNumId="22"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6" w15:restartNumberingAfterBreak="0">
    <w:nsid w:val="66C20063"/>
    <w:multiLevelType w:val="hybridMultilevel"/>
    <w:tmpl w:val="043E412C"/>
    <w:lvl w:ilvl="0" w:tplc="E6D03BB6">
      <w:start w:val="1"/>
      <w:numFmt w:val="bullet"/>
      <w:lvlText w:val=""/>
      <w:lvlJc w:val="left"/>
      <w:pPr>
        <w:tabs>
          <w:tab w:val="num" w:pos="284"/>
        </w:tabs>
        <w:ind w:left="284" w:hanging="284"/>
      </w:pPr>
      <w:rPr>
        <w:rFonts w:ascii="Symbol" w:hAnsi="Symbol" w:hint="default"/>
        <w:color w:val="auto"/>
      </w:rPr>
    </w:lvl>
    <w:lvl w:ilvl="1" w:tplc="003664EC">
      <w:start w:val="1"/>
      <w:numFmt w:val="bullet"/>
      <w:lvlText w:val=""/>
      <w:lvlJc w:val="left"/>
      <w:pPr>
        <w:tabs>
          <w:tab w:val="num" w:pos="567"/>
        </w:tabs>
        <w:ind w:left="567" w:hanging="283"/>
      </w:pPr>
      <w:rPr>
        <w:rFonts w:ascii="Symbol" w:hAnsi="Symbol" w:hint="default"/>
      </w:rPr>
    </w:lvl>
    <w:lvl w:ilvl="2" w:tplc="2862C088">
      <w:start w:val="1"/>
      <w:numFmt w:val="bullet"/>
      <w:pStyle w:val="Bulletleft3"/>
      <w:lvlText w:val=""/>
      <w:lvlJc w:val="left"/>
      <w:pPr>
        <w:tabs>
          <w:tab w:val="num" w:pos="851"/>
        </w:tabs>
        <w:ind w:left="851" w:hanging="284"/>
      </w:pPr>
      <w:rPr>
        <w:rFonts w:ascii="Symbol" w:hAnsi="Symbol" w:hint="default"/>
        <w:color w:val="auto"/>
      </w:rPr>
    </w:lvl>
    <w:lvl w:ilvl="3" w:tplc="9B3499D6">
      <w:start w:val="1"/>
      <w:numFmt w:val="decimal"/>
      <w:lvlText w:val="(%4)"/>
      <w:lvlJc w:val="left"/>
      <w:pPr>
        <w:tabs>
          <w:tab w:val="num" w:pos="1724"/>
        </w:tabs>
        <w:ind w:left="1724" w:hanging="360"/>
      </w:pPr>
      <w:rPr>
        <w:rFonts w:hint="default"/>
      </w:rPr>
    </w:lvl>
    <w:lvl w:ilvl="4" w:tplc="3912EE9A">
      <w:start w:val="1"/>
      <w:numFmt w:val="lowerLetter"/>
      <w:lvlText w:val="(%5)"/>
      <w:lvlJc w:val="left"/>
      <w:pPr>
        <w:tabs>
          <w:tab w:val="num" w:pos="2084"/>
        </w:tabs>
        <w:ind w:left="2084" w:hanging="360"/>
      </w:pPr>
      <w:rPr>
        <w:rFonts w:hint="default"/>
      </w:rPr>
    </w:lvl>
    <w:lvl w:ilvl="5" w:tplc="19900498">
      <w:start w:val="1"/>
      <w:numFmt w:val="lowerRoman"/>
      <w:lvlText w:val="(%6)"/>
      <w:lvlJc w:val="left"/>
      <w:pPr>
        <w:tabs>
          <w:tab w:val="num" w:pos="2444"/>
        </w:tabs>
        <w:ind w:left="2444" w:hanging="360"/>
      </w:pPr>
      <w:rPr>
        <w:rFonts w:hint="default"/>
      </w:rPr>
    </w:lvl>
    <w:lvl w:ilvl="6" w:tplc="B068168E">
      <w:start w:val="1"/>
      <w:numFmt w:val="decimal"/>
      <w:lvlText w:val="%7."/>
      <w:lvlJc w:val="left"/>
      <w:pPr>
        <w:tabs>
          <w:tab w:val="num" w:pos="2804"/>
        </w:tabs>
        <w:ind w:left="2804" w:hanging="360"/>
      </w:pPr>
      <w:rPr>
        <w:rFonts w:hint="default"/>
      </w:rPr>
    </w:lvl>
    <w:lvl w:ilvl="7" w:tplc="B7FA8394">
      <w:start w:val="1"/>
      <w:numFmt w:val="lowerLetter"/>
      <w:lvlText w:val="%8."/>
      <w:lvlJc w:val="left"/>
      <w:pPr>
        <w:tabs>
          <w:tab w:val="num" w:pos="3164"/>
        </w:tabs>
        <w:ind w:left="3164" w:hanging="360"/>
      </w:pPr>
      <w:rPr>
        <w:rFonts w:hint="default"/>
      </w:rPr>
    </w:lvl>
    <w:lvl w:ilvl="8" w:tplc="4B0A45D8">
      <w:start w:val="1"/>
      <w:numFmt w:val="lowerRoman"/>
      <w:lvlText w:val="%9."/>
      <w:lvlJc w:val="left"/>
      <w:pPr>
        <w:tabs>
          <w:tab w:val="num" w:pos="3524"/>
        </w:tabs>
        <w:ind w:left="3524" w:hanging="360"/>
      </w:pPr>
      <w:rPr>
        <w:rFonts w:hint="default"/>
      </w:rPr>
    </w:lvl>
  </w:abstractNum>
  <w:abstractNum w:abstractNumId="2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770260"/>
    <w:multiLevelType w:val="hybridMultilevel"/>
    <w:tmpl w:val="0809001D"/>
    <w:name w:val="numberedheadings3"/>
    <w:lvl w:ilvl="0" w:tplc="C8EE0E18">
      <w:start w:val="1"/>
      <w:numFmt w:val="decimal"/>
      <w:lvlText w:val="%1)"/>
      <w:lvlJc w:val="left"/>
      <w:pPr>
        <w:tabs>
          <w:tab w:val="num" w:pos="360"/>
        </w:tabs>
        <w:ind w:left="360" w:hanging="360"/>
      </w:pPr>
    </w:lvl>
    <w:lvl w:ilvl="1" w:tplc="2A9AB8A0">
      <w:start w:val="1"/>
      <w:numFmt w:val="lowerLetter"/>
      <w:lvlText w:val="%2)"/>
      <w:lvlJc w:val="left"/>
      <w:pPr>
        <w:tabs>
          <w:tab w:val="num" w:pos="720"/>
        </w:tabs>
        <w:ind w:left="720" w:hanging="360"/>
      </w:pPr>
    </w:lvl>
    <w:lvl w:ilvl="2" w:tplc="4CE08CD8">
      <w:start w:val="1"/>
      <w:numFmt w:val="lowerRoman"/>
      <w:lvlText w:val="%3)"/>
      <w:lvlJc w:val="left"/>
      <w:pPr>
        <w:tabs>
          <w:tab w:val="num" w:pos="1080"/>
        </w:tabs>
        <w:ind w:left="1080" w:hanging="360"/>
      </w:pPr>
    </w:lvl>
    <w:lvl w:ilvl="3" w:tplc="BC3CF428">
      <w:start w:val="1"/>
      <w:numFmt w:val="decimal"/>
      <w:lvlText w:val="(%4)"/>
      <w:lvlJc w:val="left"/>
      <w:pPr>
        <w:tabs>
          <w:tab w:val="num" w:pos="1440"/>
        </w:tabs>
        <w:ind w:left="1440" w:hanging="360"/>
      </w:pPr>
    </w:lvl>
    <w:lvl w:ilvl="4" w:tplc="2DA0BC34">
      <w:start w:val="1"/>
      <w:numFmt w:val="lowerLetter"/>
      <w:lvlText w:val="(%5)"/>
      <w:lvlJc w:val="left"/>
      <w:pPr>
        <w:tabs>
          <w:tab w:val="num" w:pos="1800"/>
        </w:tabs>
        <w:ind w:left="1800" w:hanging="360"/>
      </w:pPr>
    </w:lvl>
    <w:lvl w:ilvl="5" w:tplc="BF301176">
      <w:start w:val="1"/>
      <w:numFmt w:val="lowerRoman"/>
      <w:lvlText w:val="(%6)"/>
      <w:lvlJc w:val="left"/>
      <w:pPr>
        <w:tabs>
          <w:tab w:val="num" w:pos="2160"/>
        </w:tabs>
        <w:ind w:left="2160" w:hanging="360"/>
      </w:pPr>
    </w:lvl>
    <w:lvl w:ilvl="6" w:tplc="4CF4854C">
      <w:start w:val="1"/>
      <w:numFmt w:val="decimal"/>
      <w:lvlText w:val="%7."/>
      <w:lvlJc w:val="left"/>
      <w:pPr>
        <w:tabs>
          <w:tab w:val="num" w:pos="2520"/>
        </w:tabs>
        <w:ind w:left="2520" w:hanging="360"/>
      </w:pPr>
    </w:lvl>
    <w:lvl w:ilvl="7" w:tplc="33465976">
      <w:start w:val="1"/>
      <w:numFmt w:val="lowerLetter"/>
      <w:lvlText w:val="%8."/>
      <w:lvlJc w:val="left"/>
      <w:pPr>
        <w:tabs>
          <w:tab w:val="num" w:pos="2880"/>
        </w:tabs>
        <w:ind w:left="2880" w:hanging="360"/>
      </w:pPr>
    </w:lvl>
    <w:lvl w:ilvl="8" w:tplc="867E0CE8">
      <w:start w:val="1"/>
      <w:numFmt w:val="lowerRoman"/>
      <w:lvlText w:val="%9."/>
      <w:lvlJc w:val="left"/>
      <w:pPr>
        <w:tabs>
          <w:tab w:val="num" w:pos="3240"/>
        </w:tabs>
        <w:ind w:left="3240" w:hanging="360"/>
      </w:pPr>
    </w:lvl>
  </w:abstractNum>
  <w:num w:numId="1">
    <w:abstractNumId w:val="2"/>
  </w:num>
  <w:num w:numId="2">
    <w:abstractNumId w:val="26"/>
  </w:num>
  <w:num w:numId="3">
    <w:abstractNumId w:val="17"/>
  </w:num>
  <w:num w:numId="4">
    <w:abstractNumId w:val="18"/>
  </w:num>
  <w:num w:numId="5">
    <w:abstractNumId w:val="5"/>
  </w:num>
  <w:num w:numId="6">
    <w:abstractNumId w:val="8"/>
  </w:num>
  <w:num w:numId="7">
    <w:abstractNumId w:val="14"/>
  </w:num>
  <w:num w:numId="8">
    <w:abstractNumId w:val="16"/>
  </w:num>
  <w:num w:numId="9">
    <w:abstractNumId w:val="20"/>
  </w:num>
  <w:num w:numId="10">
    <w:abstractNumId w:val="7"/>
  </w:num>
  <w:num w:numId="11">
    <w:abstractNumId w:val="24"/>
  </w:num>
  <w:num w:numId="12">
    <w:abstractNumId w:val="11"/>
  </w:num>
  <w:num w:numId="13">
    <w:abstractNumId w:val="19"/>
  </w:num>
  <w:num w:numId="14">
    <w:abstractNumId w:val="22"/>
  </w:num>
  <w:num w:numId="15">
    <w:abstractNumId w:val="12"/>
  </w:num>
  <w:num w:numId="16">
    <w:abstractNumId w:val="0"/>
  </w:num>
  <w:num w:numId="17">
    <w:abstractNumId w:val="1"/>
  </w:num>
  <w:num w:numId="18">
    <w:abstractNumId w:val="9"/>
  </w:num>
  <w:num w:numId="19">
    <w:abstractNumId w:val="15"/>
  </w:num>
  <w:num w:numId="20">
    <w:abstractNumId w:val="6"/>
  </w:num>
  <w:num w:numId="21">
    <w:abstractNumId w:val="25"/>
  </w:num>
  <w:num w:numId="22">
    <w:abstractNumId w:val="23"/>
  </w:num>
  <w:num w:numId="23">
    <w:abstractNumId w:val="27"/>
  </w:num>
  <w:num w:numId="24">
    <w:abstractNumId w:val="10"/>
  </w:num>
  <w:num w:numId="25">
    <w:abstractNumId w:val="4"/>
  </w:num>
  <w:num w:numId="26">
    <w:abstractNumId w:val="4"/>
    <w:lvlOverride w:ilvl="0">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displayBackgroundShape/>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1" w:cryptProviderType="rsaAES" w:cryptAlgorithmClass="hash" w:cryptAlgorithmType="typeAny" w:cryptAlgorithmSid="14" w:cryptSpinCount="100000" w:hash="+ilJgS3AOcfStewk2lhi+SecpKNllHYXSgpfeRJiHDNiLpm92ZcwmDqMgomdVuYtJRLy6rJm2XK9JUrW+91jVg==" w:salt="Sxvao8mXe5F8+sNk1Ww4LQ=="/>
  <w:defaultTabStop w:val="720"/>
  <w:characterSpacingControl w:val="doNotCompress"/>
  <w:hdrShapeDefaults>
    <o:shapedefaults v:ext="edit" spidmax="2049">
      <o:colormru v:ext="edit" colors="#f0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372"/>
    <w:rsid w:val="00007F7F"/>
    <w:rsid w:val="000119FB"/>
    <w:rsid w:val="00013C48"/>
    <w:rsid w:val="000242AA"/>
    <w:rsid w:val="00043DFE"/>
    <w:rsid w:val="00056DC3"/>
    <w:rsid w:val="00064EA4"/>
    <w:rsid w:val="00067DA7"/>
    <w:rsid w:val="000A1EC0"/>
    <w:rsid w:val="000B585E"/>
    <w:rsid w:val="000C4168"/>
    <w:rsid w:val="000D0ECB"/>
    <w:rsid w:val="000D3234"/>
    <w:rsid w:val="000E12E3"/>
    <w:rsid w:val="000E6C5F"/>
    <w:rsid w:val="00101F34"/>
    <w:rsid w:val="00107394"/>
    <w:rsid w:val="001172E1"/>
    <w:rsid w:val="001219F1"/>
    <w:rsid w:val="00123C4A"/>
    <w:rsid w:val="00123D3F"/>
    <w:rsid w:val="001317E5"/>
    <w:rsid w:val="00131EB8"/>
    <w:rsid w:val="001450C3"/>
    <w:rsid w:val="001564C2"/>
    <w:rsid w:val="00161AA0"/>
    <w:rsid w:val="0016252C"/>
    <w:rsid w:val="001626C4"/>
    <w:rsid w:val="00186DEA"/>
    <w:rsid w:val="00192EDF"/>
    <w:rsid w:val="001A3130"/>
    <w:rsid w:val="001B0506"/>
    <w:rsid w:val="001B6379"/>
    <w:rsid w:val="001C032E"/>
    <w:rsid w:val="001C0476"/>
    <w:rsid w:val="001C48A7"/>
    <w:rsid w:val="001E3DA9"/>
    <w:rsid w:val="001E7D68"/>
    <w:rsid w:val="001F7E9D"/>
    <w:rsid w:val="00206E01"/>
    <w:rsid w:val="002167C8"/>
    <w:rsid w:val="002169E7"/>
    <w:rsid w:val="002179B5"/>
    <w:rsid w:val="00220D89"/>
    <w:rsid w:val="00221733"/>
    <w:rsid w:val="00235CAB"/>
    <w:rsid w:val="0023702A"/>
    <w:rsid w:val="00251D56"/>
    <w:rsid w:val="002526E6"/>
    <w:rsid w:val="002535B1"/>
    <w:rsid w:val="00266E6D"/>
    <w:rsid w:val="00281646"/>
    <w:rsid w:val="00282E2A"/>
    <w:rsid w:val="002959FB"/>
    <w:rsid w:val="00295B78"/>
    <w:rsid w:val="002A1946"/>
    <w:rsid w:val="002A3712"/>
    <w:rsid w:val="002B00E3"/>
    <w:rsid w:val="002C3FAA"/>
    <w:rsid w:val="002C7FE7"/>
    <w:rsid w:val="002D4B58"/>
    <w:rsid w:val="002E13E5"/>
    <w:rsid w:val="002F15CF"/>
    <w:rsid w:val="002F2CC0"/>
    <w:rsid w:val="00303240"/>
    <w:rsid w:val="003118F2"/>
    <w:rsid w:val="0031664C"/>
    <w:rsid w:val="003209CA"/>
    <w:rsid w:val="003330E6"/>
    <w:rsid w:val="00334021"/>
    <w:rsid w:val="00353D3E"/>
    <w:rsid w:val="00361896"/>
    <w:rsid w:val="00362226"/>
    <w:rsid w:val="00370265"/>
    <w:rsid w:val="00377E36"/>
    <w:rsid w:val="00391429"/>
    <w:rsid w:val="003A575B"/>
    <w:rsid w:val="003A6149"/>
    <w:rsid w:val="003A7508"/>
    <w:rsid w:val="003B1379"/>
    <w:rsid w:val="003C36AC"/>
    <w:rsid w:val="003D5FCF"/>
    <w:rsid w:val="003E381A"/>
    <w:rsid w:val="004417FA"/>
    <w:rsid w:val="004505E0"/>
    <w:rsid w:val="004519B2"/>
    <w:rsid w:val="00461997"/>
    <w:rsid w:val="004820E9"/>
    <w:rsid w:val="0048361F"/>
    <w:rsid w:val="00484FE9"/>
    <w:rsid w:val="00485B88"/>
    <w:rsid w:val="004914C0"/>
    <w:rsid w:val="00496981"/>
    <w:rsid w:val="004A3C71"/>
    <w:rsid w:val="004A52D3"/>
    <w:rsid w:val="004B514C"/>
    <w:rsid w:val="004B5221"/>
    <w:rsid w:val="004D58D9"/>
    <w:rsid w:val="004D6A33"/>
    <w:rsid w:val="004E5689"/>
    <w:rsid w:val="004E7E2A"/>
    <w:rsid w:val="0050209B"/>
    <w:rsid w:val="00523D17"/>
    <w:rsid w:val="00526C07"/>
    <w:rsid w:val="0053387C"/>
    <w:rsid w:val="005355A8"/>
    <w:rsid w:val="005526DB"/>
    <w:rsid w:val="0055693D"/>
    <w:rsid w:val="005860F4"/>
    <w:rsid w:val="005866B1"/>
    <w:rsid w:val="005A2BC2"/>
    <w:rsid w:val="005A5E10"/>
    <w:rsid w:val="005C051F"/>
    <w:rsid w:val="005C762E"/>
    <w:rsid w:val="005D098C"/>
    <w:rsid w:val="005E3277"/>
    <w:rsid w:val="005E40D6"/>
    <w:rsid w:val="005F5F97"/>
    <w:rsid w:val="00603E56"/>
    <w:rsid w:val="006048E9"/>
    <w:rsid w:val="0060662A"/>
    <w:rsid w:val="00612D2B"/>
    <w:rsid w:val="00614BDA"/>
    <w:rsid w:val="00617519"/>
    <w:rsid w:val="00621DB2"/>
    <w:rsid w:val="00631868"/>
    <w:rsid w:val="006331B4"/>
    <w:rsid w:val="006343F3"/>
    <w:rsid w:val="00641870"/>
    <w:rsid w:val="00642906"/>
    <w:rsid w:val="00642AD6"/>
    <w:rsid w:val="006571D4"/>
    <w:rsid w:val="006629BA"/>
    <w:rsid w:val="00671E84"/>
    <w:rsid w:val="00680B94"/>
    <w:rsid w:val="00687FE8"/>
    <w:rsid w:val="00696F95"/>
    <w:rsid w:val="006A44B2"/>
    <w:rsid w:val="006A721F"/>
    <w:rsid w:val="006B3F78"/>
    <w:rsid w:val="006B6B5D"/>
    <w:rsid w:val="006C7AEA"/>
    <w:rsid w:val="006D73F1"/>
    <w:rsid w:val="006E2242"/>
    <w:rsid w:val="006E594A"/>
    <w:rsid w:val="006F2A4D"/>
    <w:rsid w:val="00720E9F"/>
    <w:rsid w:val="007277C3"/>
    <w:rsid w:val="00732519"/>
    <w:rsid w:val="00737F9C"/>
    <w:rsid w:val="00740FE5"/>
    <w:rsid w:val="00742968"/>
    <w:rsid w:val="00760D62"/>
    <w:rsid w:val="00797436"/>
    <w:rsid w:val="007A064C"/>
    <w:rsid w:val="007A174B"/>
    <w:rsid w:val="007A477F"/>
    <w:rsid w:val="007A4EEE"/>
    <w:rsid w:val="007A531C"/>
    <w:rsid w:val="007C096D"/>
    <w:rsid w:val="007C6BAA"/>
    <w:rsid w:val="007D583D"/>
    <w:rsid w:val="007D6888"/>
    <w:rsid w:val="007D74C4"/>
    <w:rsid w:val="00804FA3"/>
    <w:rsid w:val="00813096"/>
    <w:rsid w:val="00837FA6"/>
    <w:rsid w:val="008505C3"/>
    <w:rsid w:val="008522B3"/>
    <w:rsid w:val="00853C26"/>
    <w:rsid w:val="00862C0C"/>
    <w:rsid w:val="00865EB4"/>
    <w:rsid w:val="0087030D"/>
    <w:rsid w:val="008720BA"/>
    <w:rsid w:val="008742FC"/>
    <w:rsid w:val="008747E3"/>
    <w:rsid w:val="008853CB"/>
    <w:rsid w:val="00886EBD"/>
    <w:rsid w:val="008935B2"/>
    <w:rsid w:val="008A3CB5"/>
    <w:rsid w:val="008A6557"/>
    <w:rsid w:val="008A755F"/>
    <w:rsid w:val="008B0722"/>
    <w:rsid w:val="008B61C8"/>
    <w:rsid w:val="008C08EA"/>
    <w:rsid w:val="008C782E"/>
    <w:rsid w:val="008D3109"/>
    <w:rsid w:val="008D6069"/>
    <w:rsid w:val="008E7585"/>
    <w:rsid w:val="008F0716"/>
    <w:rsid w:val="0090779D"/>
    <w:rsid w:val="00911DC1"/>
    <w:rsid w:val="00921354"/>
    <w:rsid w:val="00922784"/>
    <w:rsid w:val="00922934"/>
    <w:rsid w:val="009239F1"/>
    <w:rsid w:val="00933859"/>
    <w:rsid w:val="00942149"/>
    <w:rsid w:val="0094366C"/>
    <w:rsid w:val="00943E0F"/>
    <w:rsid w:val="00944DAB"/>
    <w:rsid w:val="00950798"/>
    <w:rsid w:val="00953ADF"/>
    <w:rsid w:val="00953B31"/>
    <w:rsid w:val="00953C46"/>
    <w:rsid w:val="00954EEE"/>
    <w:rsid w:val="00956AD8"/>
    <w:rsid w:val="00971131"/>
    <w:rsid w:val="00977683"/>
    <w:rsid w:val="009871F3"/>
    <w:rsid w:val="0099290C"/>
    <w:rsid w:val="009A0289"/>
    <w:rsid w:val="009B08C5"/>
    <w:rsid w:val="009B30AF"/>
    <w:rsid w:val="009B621A"/>
    <w:rsid w:val="009C30EC"/>
    <w:rsid w:val="009C45D9"/>
    <w:rsid w:val="009E0CD5"/>
    <w:rsid w:val="009E7A63"/>
    <w:rsid w:val="00A06657"/>
    <w:rsid w:val="00A07B7B"/>
    <w:rsid w:val="00A10CE4"/>
    <w:rsid w:val="00A12FA5"/>
    <w:rsid w:val="00A153BC"/>
    <w:rsid w:val="00A24C1C"/>
    <w:rsid w:val="00A36575"/>
    <w:rsid w:val="00A46A36"/>
    <w:rsid w:val="00A47372"/>
    <w:rsid w:val="00A81BF2"/>
    <w:rsid w:val="00A84547"/>
    <w:rsid w:val="00A86D3D"/>
    <w:rsid w:val="00A956DE"/>
    <w:rsid w:val="00AB0128"/>
    <w:rsid w:val="00AB2948"/>
    <w:rsid w:val="00AB387B"/>
    <w:rsid w:val="00AB39FA"/>
    <w:rsid w:val="00AC2B11"/>
    <w:rsid w:val="00AC587A"/>
    <w:rsid w:val="00AD12F5"/>
    <w:rsid w:val="00AD19CA"/>
    <w:rsid w:val="00AD4371"/>
    <w:rsid w:val="00AD5CB7"/>
    <w:rsid w:val="00AD5E0B"/>
    <w:rsid w:val="00AD6933"/>
    <w:rsid w:val="00AD6B7B"/>
    <w:rsid w:val="00AF25D1"/>
    <w:rsid w:val="00B15262"/>
    <w:rsid w:val="00B241B5"/>
    <w:rsid w:val="00B276C9"/>
    <w:rsid w:val="00B40859"/>
    <w:rsid w:val="00B60D70"/>
    <w:rsid w:val="00B64881"/>
    <w:rsid w:val="00B7321E"/>
    <w:rsid w:val="00B84BC1"/>
    <w:rsid w:val="00B87951"/>
    <w:rsid w:val="00BA0179"/>
    <w:rsid w:val="00BA51EA"/>
    <w:rsid w:val="00BA589F"/>
    <w:rsid w:val="00BB00D3"/>
    <w:rsid w:val="00BB047B"/>
    <w:rsid w:val="00BB1F5D"/>
    <w:rsid w:val="00BB3768"/>
    <w:rsid w:val="00BB6398"/>
    <w:rsid w:val="00BC0E86"/>
    <w:rsid w:val="00BC5CA9"/>
    <w:rsid w:val="00BC73B0"/>
    <w:rsid w:val="00BC7A03"/>
    <w:rsid w:val="00BD0372"/>
    <w:rsid w:val="00BD246E"/>
    <w:rsid w:val="00BE076C"/>
    <w:rsid w:val="00BE48AE"/>
    <w:rsid w:val="00BF4768"/>
    <w:rsid w:val="00BF734D"/>
    <w:rsid w:val="00C054FB"/>
    <w:rsid w:val="00C139CA"/>
    <w:rsid w:val="00C3671E"/>
    <w:rsid w:val="00C36937"/>
    <w:rsid w:val="00C433C5"/>
    <w:rsid w:val="00C4420D"/>
    <w:rsid w:val="00C51429"/>
    <w:rsid w:val="00C535C0"/>
    <w:rsid w:val="00C55963"/>
    <w:rsid w:val="00C56FFF"/>
    <w:rsid w:val="00C6539B"/>
    <w:rsid w:val="00C72CA7"/>
    <w:rsid w:val="00C808A0"/>
    <w:rsid w:val="00C8182C"/>
    <w:rsid w:val="00CA07A0"/>
    <w:rsid w:val="00CA3397"/>
    <w:rsid w:val="00CA33E1"/>
    <w:rsid w:val="00CA6FE3"/>
    <w:rsid w:val="00CB6BEB"/>
    <w:rsid w:val="00CE6D97"/>
    <w:rsid w:val="00CE7855"/>
    <w:rsid w:val="00D25497"/>
    <w:rsid w:val="00D30008"/>
    <w:rsid w:val="00D3612A"/>
    <w:rsid w:val="00D36FFD"/>
    <w:rsid w:val="00D37703"/>
    <w:rsid w:val="00D37F25"/>
    <w:rsid w:val="00D40C22"/>
    <w:rsid w:val="00D432A6"/>
    <w:rsid w:val="00D453F6"/>
    <w:rsid w:val="00D47938"/>
    <w:rsid w:val="00D53002"/>
    <w:rsid w:val="00D55B6E"/>
    <w:rsid w:val="00D60374"/>
    <w:rsid w:val="00D60D8D"/>
    <w:rsid w:val="00D63F32"/>
    <w:rsid w:val="00D73C98"/>
    <w:rsid w:val="00D74231"/>
    <w:rsid w:val="00D80FD0"/>
    <w:rsid w:val="00DA11DD"/>
    <w:rsid w:val="00DC0120"/>
    <w:rsid w:val="00DC180F"/>
    <w:rsid w:val="00DE173B"/>
    <w:rsid w:val="00DE4288"/>
    <w:rsid w:val="00DE643F"/>
    <w:rsid w:val="00DF52EE"/>
    <w:rsid w:val="00E14A7B"/>
    <w:rsid w:val="00E17C35"/>
    <w:rsid w:val="00E2509B"/>
    <w:rsid w:val="00E30D8D"/>
    <w:rsid w:val="00E4622C"/>
    <w:rsid w:val="00E46571"/>
    <w:rsid w:val="00E51FFB"/>
    <w:rsid w:val="00E63855"/>
    <w:rsid w:val="00E640EF"/>
    <w:rsid w:val="00E9668A"/>
    <w:rsid w:val="00EB03BB"/>
    <w:rsid w:val="00EB132E"/>
    <w:rsid w:val="00EB1C36"/>
    <w:rsid w:val="00EB659D"/>
    <w:rsid w:val="00EC03AE"/>
    <w:rsid w:val="00EC550E"/>
    <w:rsid w:val="00EC6CB8"/>
    <w:rsid w:val="00EE2EB2"/>
    <w:rsid w:val="00EE406C"/>
    <w:rsid w:val="00EF162D"/>
    <w:rsid w:val="00EF29B5"/>
    <w:rsid w:val="00EF2FF4"/>
    <w:rsid w:val="00F07534"/>
    <w:rsid w:val="00F07BBC"/>
    <w:rsid w:val="00F24D31"/>
    <w:rsid w:val="00F26A9F"/>
    <w:rsid w:val="00F26E68"/>
    <w:rsid w:val="00F33119"/>
    <w:rsid w:val="00F35087"/>
    <w:rsid w:val="00F36F77"/>
    <w:rsid w:val="00F60049"/>
    <w:rsid w:val="00F73C47"/>
    <w:rsid w:val="00F81F2C"/>
    <w:rsid w:val="00F90E63"/>
    <w:rsid w:val="00F94ADC"/>
    <w:rsid w:val="00FA1C00"/>
    <w:rsid w:val="00FA66A6"/>
    <w:rsid w:val="00FA6EE7"/>
    <w:rsid w:val="00FB47DD"/>
    <w:rsid w:val="00FB73D3"/>
    <w:rsid w:val="00FB74EF"/>
    <w:rsid w:val="00FD2BC9"/>
    <w:rsid w:val="00FD4756"/>
    <w:rsid w:val="00FE19E3"/>
    <w:rsid w:val="01D39293"/>
    <w:rsid w:val="0201B159"/>
    <w:rsid w:val="08DE396E"/>
    <w:rsid w:val="09247BC9"/>
    <w:rsid w:val="0B882E4F"/>
    <w:rsid w:val="0BA6A00F"/>
    <w:rsid w:val="0C84EE25"/>
    <w:rsid w:val="0DD94FB7"/>
    <w:rsid w:val="16612867"/>
    <w:rsid w:val="17F53123"/>
    <w:rsid w:val="1AE3BA74"/>
    <w:rsid w:val="1B451CC2"/>
    <w:rsid w:val="20CAC0F8"/>
    <w:rsid w:val="22A56D43"/>
    <w:rsid w:val="22C0F603"/>
    <w:rsid w:val="26912C09"/>
    <w:rsid w:val="2ACC014B"/>
    <w:rsid w:val="2B114936"/>
    <w:rsid w:val="2EA4442A"/>
    <w:rsid w:val="2F1212EA"/>
    <w:rsid w:val="2F193E8B"/>
    <w:rsid w:val="2F88E7F3"/>
    <w:rsid w:val="33950B14"/>
    <w:rsid w:val="36267FF2"/>
    <w:rsid w:val="370C016F"/>
    <w:rsid w:val="3B302820"/>
    <w:rsid w:val="40EA73E1"/>
    <w:rsid w:val="4110B7AB"/>
    <w:rsid w:val="44DD55A8"/>
    <w:rsid w:val="45493C18"/>
    <w:rsid w:val="499D9DB8"/>
    <w:rsid w:val="49B15A03"/>
    <w:rsid w:val="4B094440"/>
    <w:rsid w:val="4B848EF7"/>
    <w:rsid w:val="4E0F79E8"/>
    <w:rsid w:val="4EE1CB88"/>
    <w:rsid w:val="4F7045E9"/>
    <w:rsid w:val="4F723AA2"/>
    <w:rsid w:val="50B18B3D"/>
    <w:rsid w:val="5559B1C9"/>
    <w:rsid w:val="58F04A8C"/>
    <w:rsid w:val="5B3E4CE7"/>
    <w:rsid w:val="5DB6DB8D"/>
    <w:rsid w:val="66667B30"/>
    <w:rsid w:val="6D2F1A86"/>
    <w:rsid w:val="6E670F1D"/>
    <w:rsid w:val="6EF7B368"/>
    <w:rsid w:val="6FF2DF45"/>
    <w:rsid w:val="6FF80783"/>
    <w:rsid w:val="71BC33F3"/>
    <w:rsid w:val="7589BAC4"/>
    <w:rsid w:val="7651F928"/>
    <w:rsid w:val="76C378D3"/>
    <w:rsid w:val="7973D0D1"/>
    <w:rsid w:val="79AEDAB5"/>
    <w:rsid w:val="7B8AC4D2"/>
    <w:rsid w:val="7BEB138A"/>
    <w:rsid w:val="7E7175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06"/>
    </o:shapedefaults>
    <o:shapelayout v:ext="edit">
      <o:idmap v:ext="edit" data="1"/>
    </o:shapelayout>
  </w:shapeDefaults>
  <w:decimalSymbol w:val="."/>
  <w:listSeparator w:val=","/>
  <w14:docId w14:val="29D34B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uiPriority="9"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qFormat="1"/>
    <w:lsdException w:name="Emphasis" w:locked="0" w:qFormat="1"/>
    <w:lsdException w:name="HTML Top of Form" w:locked="0"/>
    <w:lsdException w:name="HTML Bottom of Form" w:locked="0"/>
    <w:lsdException w:name="Normal (Web)" w:uiPriority="99"/>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F07534"/>
    <w:rPr>
      <w:sz w:val="24"/>
      <w:szCs w:val="24"/>
      <w:lang w:eastAsia="en-US"/>
    </w:rPr>
  </w:style>
  <w:style w:type="paragraph" w:styleId="Heading1">
    <w:name w:val="heading 1"/>
    <w:basedOn w:val="Normal"/>
    <w:next w:val="NICEnormal"/>
    <w:link w:val="Heading1Char"/>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uiPriority w:val="9"/>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uiPriority w:val="9"/>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locked/>
    <w:rsid w:val="00BB047B"/>
    <w:pPr>
      <w:keepNext/>
      <w:spacing w:before="240" w:after="240"/>
      <w:jc w:val="center"/>
      <w:outlineLvl w:val="0"/>
    </w:pPr>
    <w:rPr>
      <w:rFonts w:ascii="Arial" w:hAnsi="Arial" w:cs="Arial"/>
      <w:b/>
      <w:bCs/>
      <w:kern w:val="28"/>
      <w:sz w:val="40"/>
      <w:szCs w:val="32"/>
    </w:rPr>
  </w:style>
  <w:style w:type="paragraph" w:customStyle="1" w:styleId="Title2">
    <w:name w:val="Title2"/>
    <w:basedOn w:val="Title"/>
    <w:locked/>
    <w:rsid w:val="005C762E"/>
    <w:rPr>
      <w:sz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18"/>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Title"/>
    <w:qFormat/>
    <w:rsid w:val="001C032E"/>
    <w:rPr>
      <w:bCs w:val="0"/>
      <w:sz w:val="32"/>
    </w:rPr>
  </w:style>
  <w:style w:type="paragraph" w:styleId="Caption">
    <w:name w:val="caption"/>
    <w:basedOn w:val="Heading3"/>
    <w:next w:val="NICEnormal"/>
    <w:unhideWhenUsed/>
    <w:qFormat/>
    <w:rsid w:val="00FB73D3"/>
    <w:pPr>
      <w:spacing w:after="200"/>
    </w:pPr>
    <w:rPr>
      <w:bCs w:val="0"/>
      <w:iCs/>
      <w:color w:val="00506A"/>
      <w:sz w:val="24"/>
      <w:szCs w:val="18"/>
    </w:rPr>
  </w:style>
  <w:style w:type="table" w:styleId="TableGrid">
    <w:name w:val="Table Grid"/>
    <w:basedOn w:val="TableNormal"/>
    <w:uiPriority w:val="99"/>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4914C0"/>
    <w:rPr>
      <w:b/>
      <w:color w:val="00506A"/>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2"/>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Title"/>
    <w:qFormat/>
    <w:rsid w:val="001C032E"/>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4914C0"/>
    <w:rPr>
      <w:color w:val="00506A"/>
    </w:rPr>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F33119"/>
  </w:style>
  <w:style w:type="paragraph" w:customStyle="1" w:styleId="Heading3boardreport">
    <w:name w:val="Heading 3 board report"/>
    <w:basedOn w:val="Heading3"/>
    <w:next w:val="NICEnormal"/>
    <w:qFormat/>
    <w:rsid w:val="004914C0"/>
    <w:rPr>
      <w:color w:val="00506A"/>
    </w:rPr>
  </w:style>
  <w:style w:type="paragraph" w:customStyle="1" w:styleId="Paragraph">
    <w:name w:val="Paragraph"/>
    <w:basedOn w:val="Paragraphnonumbers"/>
    <w:uiPriority w:val="4"/>
    <w:qFormat/>
    <w:locked/>
    <w:rsid w:val="00EB1C36"/>
    <w:pPr>
      <w:numPr>
        <w:numId w:val="25"/>
      </w:numPr>
      <w:tabs>
        <w:tab w:val="left" w:pos="426"/>
      </w:tabs>
      <w:ind w:left="644"/>
    </w:pPr>
  </w:style>
  <w:style w:type="character" w:customStyle="1" w:styleId="TitleChar">
    <w:name w:val="Title Char"/>
    <w:link w:val="Title"/>
    <w:rsid w:val="00EB1C36"/>
    <w:rPr>
      <w:rFonts w:ascii="Arial" w:hAnsi="Arial" w:cs="Arial"/>
      <w:b/>
      <w:bCs/>
      <w:kern w:val="28"/>
      <w:sz w:val="40"/>
      <w:szCs w:val="32"/>
      <w:lang w:eastAsia="en-US"/>
    </w:rPr>
  </w:style>
  <w:style w:type="paragraph" w:customStyle="1" w:styleId="Bullets">
    <w:name w:val="Bullets"/>
    <w:basedOn w:val="Normal"/>
    <w:uiPriority w:val="5"/>
    <w:qFormat/>
    <w:locked/>
    <w:rsid w:val="00EB1C36"/>
    <w:pPr>
      <w:numPr>
        <w:numId w:val="23"/>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4"/>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EB1C36"/>
    <w:rPr>
      <w:rFonts w:ascii="Arial" w:hAnsi="Arial" w:cs="Arial"/>
      <w:b/>
      <w:bCs/>
      <w:color w:val="00506A"/>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paragraph" w:styleId="CommentSubject">
    <w:name w:val="annotation subject"/>
    <w:basedOn w:val="CommentText"/>
    <w:next w:val="CommentText"/>
    <w:link w:val="CommentSubjectChar"/>
    <w:rsid w:val="005E40D6"/>
    <w:rPr>
      <w:b/>
      <w:bCs/>
      <w:lang w:eastAsia="en-US"/>
    </w:rPr>
  </w:style>
  <w:style w:type="character" w:customStyle="1" w:styleId="CommentSubjectChar">
    <w:name w:val="Comment Subject Char"/>
    <w:basedOn w:val="CommentTextChar"/>
    <w:link w:val="CommentSubject"/>
    <w:rsid w:val="005E40D6"/>
    <w:rPr>
      <w:b/>
      <w:bCs/>
      <w:lang w:eastAsia="en-US"/>
    </w:rPr>
  </w:style>
  <w:style w:type="paragraph" w:styleId="NormalWeb">
    <w:name w:val="Normal (Web)"/>
    <w:basedOn w:val="Normal"/>
    <w:uiPriority w:val="99"/>
    <w:unhideWhenUsed/>
    <w:locked/>
    <w:rsid w:val="00AC2B11"/>
    <w:pPr>
      <w:spacing w:before="100" w:beforeAutospacing="1" w:after="100" w:afterAutospacing="1"/>
    </w:pPr>
    <w:rPr>
      <w:rFonts w:ascii="Calibri" w:eastAsiaTheme="minorHAnsi" w:hAnsi="Calibri" w:cs="Calibri"/>
      <w:sz w:val="22"/>
      <w:szCs w:val="22"/>
      <w:lang w:eastAsia="en-GB"/>
    </w:rPr>
  </w:style>
  <w:style w:type="paragraph" w:styleId="Revision">
    <w:name w:val="Revision"/>
    <w:hidden/>
    <w:uiPriority w:val="99"/>
    <w:semiHidden/>
    <w:rsid w:val="009B30AF"/>
    <w:rPr>
      <w:sz w:val="24"/>
      <w:szCs w:val="24"/>
      <w:lang w:eastAsia="en-US"/>
    </w:rPr>
  </w:style>
  <w:style w:type="character" w:styleId="FollowedHyperlink">
    <w:name w:val="FollowedHyperlink"/>
    <w:basedOn w:val="DefaultParagraphFont"/>
    <w:rsid w:val="00C55963"/>
    <w:rPr>
      <w:color w:val="954F72" w:themeColor="followedHyperlink"/>
      <w:u w:val="single"/>
    </w:rPr>
  </w:style>
  <w:style w:type="character" w:styleId="Mention">
    <w:name w:val="Mention"/>
    <w:basedOn w:val="DefaultParagraphFont"/>
    <w:uiPriority w:val="99"/>
    <w:unhideWhenUsed/>
    <w:locked/>
    <w:rsid w:val="008A755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577824">
      <w:bodyDiv w:val="1"/>
      <w:marLeft w:val="0"/>
      <w:marRight w:val="0"/>
      <w:marTop w:val="0"/>
      <w:marBottom w:val="0"/>
      <w:divBdr>
        <w:top w:val="none" w:sz="0" w:space="0" w:color="auto"/>
        <w:left w:val="none" w:sz="0" w:space="0" w:color="auto"/>
        <w:bottom w:val="none" w:sz="0" w:space="0" w:color="auto"/>
        <w:right w:val="none" w:sz="0" w:space="0" w:color="auto"/>
      </w:divBdr>
    </w:div>
    <w:div w:id="602105176">
      <w:bodyDiv w:val="1"/>
      <w:marLeft w:val="0"/>
      <w:marRight w:val="0"/>
      <w:marTop w:val="0"/>
      <w:marBottom w:val="0"/>
      <w:divBdr>
        <w:top w:val="none" w:sz="0" w:space="0" w:color="auto"/>
        <w:left w:val="none" w:sz="0" w:space="0" w:color="auto"/>
        <w:bottom w:val="none" w:sz="0" w:space="0" w:color="auto"/>
        <w:right w:val="none" w:sz="0" w:space="0" w:color="auto"/>
      </w:divBdr>
    </w:div>
    <w:div w:id="794562120">
      <w:bodyDiv w:val="1"/>
      <w:marLeft w:val="0"/>
      <w:marRight w:val="0"/>
      <w:marTop w:val="0"/>
      <w:marBottom w:val="0"/>
      <w:divBdr>
        <w:top w:val="none" w:sz="0" w:space="0" w:color="auto"/>
        <w:left w:val="none" w:sz="0" w:space="0" w:color="auto"/>
        <w:bottom w:val="none" w:sz="0" w:space="0" w:color="auto"/>
        <w:right w:val="none" w:sz="0" w:space="0" w:color="auto"/>
      </w:divBdr>
    </w:div>
    <w:div w:id="1002201750">
      <w:bodyDiv w:val="1"/>
      <w:marLeft w:val="0"/>
      <w:marRight w:val="0"/>
      <w:marTop w:val="0"/>
      <w:marBottom w:val="0"/>
      <w:divBdr>
        <w:top w:val="none" w:sz="0" w:space="0" w:color="auto"/>
        <w:left w:val="none" w:sz="0" w:space="0" w:color="auto"/>
        <w:bottom w:val="none" w:sz="0" w:space="0" w:color="auto"/>
        <w:right w:val="none" w:sz="0" w:space="0" w:color="auto"/>
      </w:divBdr>
    </w:div>
    <w:div w:id="1013073140">
      <w:bodyDiv w:val="1"/>
      <w:marLeft w:val="0"/>
      <w:marRight w:val="0"/>
      <w:marTop w:val="0"/>
      <w:marBottom w:val="0"/>
      <w:divBdr>
        <w:top w:val="none" w:sz="0" w:space="0" w:color="auto"/>
        <w:left w:val="none" w:sz="0" w:space="0" w:color="auto"/>
        <w:bottom w:val="none" w:sz="0" w:space="0" w:color="auto"/>
        <w:right w:val="none" w:sz="0" w:space="0" w:color="auto"/>
      </w:divBdr>
    </w:div>
    <w:div w:id="1070006843">
      <w:bodyDiv w:val="1"/>
      <w:marLeft w:val="0"/>
      <w:marRight w:val="0"/>
      <w:marTop w:val="0"/>
      <w:marBottom w:val="0"/>
      <w:divBdr>
        <w:top w:val="none" w:sz="0" w:space="0" w:color="auto"/>
        <w:left w:val="none" w:sz="0" w:space="0" w:color="auto"/>
        <w:bottom w:val="none" w:sz="0" w:space="0" w:color="auto"/>
        <w:right w:val="none" w:sz="0" w:space="0" w:color="auto"/>
      </w:divBdr>
    </w:div>
    <w:div w:id="1316029878">
      <w:bodyDiv w:val="1"/>
      <w:marLeft w:val="0"/>
      <w:marRight w:val="0"/>
      <w:marTop w:val="0"/>
      <w:marBottom w:val="0"/>
      <w:divBdr>
        <w:top w:val="none" w:sz="0" w:space="0" w:color="auto"/>
        <w:left w:val="none" w:sz="0" w:space="0" w:color="auto"/>
        <w:bottom w:val="none" w:sz="0" w:space="0" w:color="auto"/>
        <w:right w:val="none" w:sz="0" w:space="0" w:color="auto"/>
      </w:divBdr>
    </w:div>
    <w:div w:id="1319260840">
      <w:bodyDiv w:val="1"/>
      <w:marLeft w:val="0"/>
      <w:marRight w:val="0"/>
      <w:marTop w:val="0"/>
      <w:marBottom w:val="0"/>
      <w:divBdr>
        <w:top w:val="none" w:sz="0" w:space="0" w:color="auto"/>
        <w:left w:val="none" w:sz="0" w:space="0" w:color="auto"/>
        <w:bottom w:val="none" w:sz="0" w:space="0" w:color="auto"/>
        <w:right w:val="none" w:sz="0" w:space="0" w:color="auto"/>
      </w:divBdr>
    </w:div>
    <w:div w:id="1336613626">
      <w:bodyDiv w:val="1"/>
      <w:marLeft w:val="0"/>
      <w:marRight w:val="0"/>
      <w:marTop w:val="0"/>
      <w:marBottom w:val="0"/>
      <w:divBdr>
        <w:top w:val="none" w:sz="0" w:space="0" w:color="auto"/>
        <w:left w:val="none" w:sz="0" w:space="0" w:color="auto"/>
        <w:bottom w:val="none" w:sz="0" w:space="0" w:color="auto"/>
        <w:right w:val="none" w:sz="0" w:space="0" w:color="auto"/>
      </w:divBdr>
    </w:div>
    <w:div w:id="1669597191">
      <w:bodyDiv w:val="1"/>
      <w:marLeft w:val="0"/>
      <w:marRight w:val="0"/>
      <w:marTop w:val="0"/>
      <w:marBottom w:val="0"/>
      <w:divBdr>
        <w:top w:val="none" w:sz="0" w:space="0" w:color="auto"/>
        <w:left w:val="none" w:sz="0" w:space="0" w:color="auto"/>
        <w:bottom w:val="none" w:sz="0" w:space="0" w:color="auto"/>
        <w:right w:val="none" w:sz="0" w:space="0" w:color="auto"/>
      </w:divBdr>
    </w:div>
    <w:div w:id="1708794448">
      <w:bodyDiv w:val="1"/>
      <w:marLeft w:val="0"/>
      <w:marRight w:val="0"/>
      <w:marTop w:val="0"/>
      <w:marBottom w:val="0"/>
      <w:divBdr>
        <w:top w:val="none" w:sz="0" w:space="0" w:color="auto"/>
        <w:left w:val="none" w:sz="0" w:space="0" w:color="auto"/>
        <w:bottom w:val="none" w:sz="0" w:space="0" w:color="auto"/>
        <w:right w:val="none" w:sz="0" w:space="0" w:color="auto"/>
      </w:divBdr>
    </w:div>
    <w:div w:id="1762026805">
      <w:bodyDiv w:val="1"/>
      <w:marLeft w:val="0"/>
      <w:marRight w:val="0"/>
      <w:marTop w:val="0"/>
      <w:marBottom w:val="0"/>
      <w:divBdr>
        <w:top w:val="none" w:sz="0" w:space="0" w:color="auto"/>
        <w:left w:val="none" w:sz="0" w:space="0" w:color="auto"/>
        <w:bottom w:val="none" w:sz="0" w:space="0" w:color="auto"/>
        <w:right w:val="none" w:sz="0" w:space="0" w:color="auto"/>
      </w:divBdr>
    </w:div>
    <w:div w:id="1798379457">
      <w:bodyDiv w:val="1"/>
      <w:marLeft w:val="0"/>
      <w:marRight w:val="0"/>
      <w:marTop w:val="0"/>
      <w:marBottom w:val="0"/>
      <w:divBdr>
        <w:top w:val="none" w:sz="0" w:space="0" w:color="auto"/>
        <w:left w:val="none" w:sz="0" w:space="0" w:color="auto"/>
        <w:bottom w:val="none" w:sz="0" w:space="0" w:color="auto"/>
        <w:right w:val="none" w:sz="0" w:space="0" w:color="auto"/>
      </w:divBdr>
    </w:div>
    <w:div w:id="1929343113">
      <w:bodyDiv w:val="1"/>
      <w:marLeft w:val="0"/>
      <w:marRight w:val="0"/>
      <w:marTop w:val="0"/>
      <w:marBottom w:val="0"/>
      <w:divBdr>
        <w:top w:val="none" w:sz="0" w:space="0" w:color="auto"/>
        <w:left w:val="none" w:sz="0" w:space="0" w:color="auto"/>
        <w:bottom w:val="none" w:sz="0" w:space="0" w:color="auto"/>
        <w:right w:val="none" w:sz="0" w:space="0" w:color="auto"/>
      </w:divBdr>
    </w:div>
    <w:div w:id="205090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videos/search?q=NICE+cpd+PODCAST&amp;docid=608049004380883675&amp;mid=2AC190E16B0D3E842F4D2AC190E16B0D3E842F4D&amp;view=detail&amp;FORM=VIRE" TargetMode="External"/><Relationship Id="rId13" Type="http://schemas.openxmlformats.org/officeDocument/2006/relationships/hyperlink" Target="https://www.hee.nhs.uk/sites/default/files/documents/Guidance%20on%20the%20support%20of%20mental%20health%20social%20workers%20in%20the%20NHS.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nfo.sagepub.com/c/1qnFtMead473T4JWbV5kwK5aIjb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mi-paradigm.eu/petoolbox/pe-in-ed-hta/" TargetMode="External"/><Relationship Id="rId5" Type="http://schemas.openxmlformats.org/officeDocument/2006/relationships/webSettings" Target="webSettings.xml"/><Relationship Id="rId15" Type="http://schemas.openxmlformats.org/officeDocument/2006/relationships/hyperlink" Target="https://www.nice.org.uk/terms-and-conditions" TargetMode="External"/><Relationship Id="rId10" Type="http://schemas.openxmlformats.org/officeDocument/2006/relationships/hyperlink" Target="https://www.nice.org.uk/covid-1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ice.org.uk/about/nice-communities/social-care/using-nice-guidance-in-social-work" TargetMode="External"/><Relationship Id="rId14" Type="http://schemas.openxmlformats.org/officeDocument/2006/relationships/hyperlink" Target="https://www.cqc.org.uk/sites/default/files/20200929-900582-Right-support-right-care-right-culture-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FE704-F20E-47D3-B7BE-ADEA15FE7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1887</Words>
  <Characters>11162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2020-11-06T10:53:00Z</dcterms:created>
  <dcterms:modified xsi:type="dcterms:W3CDTF">2020-11-06T10:59:00Z</dcterms:modified>
</cp:coreProperties>
</file>