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9A86A" w14:textId="77777777" w:rsidR="004B4705" w:rsidRDefault="004B4705" w:rsidP="005614AA">
      <w:pPr>
        <w:pStyle w:val="Title20"/>
      </w:pPr>
      <w:r>
        <w:t>National Institute for Health and Care Excellence</w:t>
      </w:r>
    </w:p>
    <w:p w14:paraId="758C7076" w14:textId="10484D03" w:rsidR="002B6FDE" w:rsidRDefault="002B6FDE" w:rsidP="002B6FDE">
      <w:pPr>
        <w:pStyle w:val="Title"/>
      </w:pPr>
      <w:r>
        <w:t>NICE impact report: prostate cancer</w:t>
      </w:r>
    </w:p>
    <w:p w14:paraId="40BF3153" w14:textId="77777777" w:rsidR="00EA3E7D" w:rsidRPr="00EA3E7D" w:rsidRDefault="00EA3E7D" w:rsidP="00EA3E7D">
      <w:pPr>
        <w:rPr>
          <w:lang w:eastAsia="en-GB"/>
        </w:rPr>
      </w:pPr>
    </w:p>
    <w:p w14:paraId="49D799DF" w14:textId="77777777" w:rsidR="002B6FDE" w:rsidRPr="002B6FDE" w:rsidRDefault="004B4705" w:rsidP="002B6FDE">
      <w:pPr>
        <w:pStyle w:val="NICEnormal"/>
      </w:pPr>
      <w:r w:rsidRPr="005F613C">
        <w:t xml:space="preserve">This report </w:t>
      </w:r>
      <w:r>
        <w:t xml:space="preserve">gives details of </w:t>
      </w:r>
      <w:r w:rsidR="002B6FDE" w:rsidRPr="002B6FDE">
        <w:t xml:space="preserve">how NICE's evidence-based guidance is being used to help improve outcomes for people with prostate cancer. </w:t>
      </w:r>
    </w:p>
    <w:p w14:paraId="2124338B" w14:textId="6F36CDC9" w:rsidR="004B4705" w:rsidRDefault="002B6FDE" w:rsidP="002B6FDE">
      <w:pPr>
        <w:pStyle w:val="NICEnormal"/>
      </w:pPr>
      <w:r w:rsidRPr="002B6FDE">
        <w:t>It provides information about NICE's communication activity in relation to the previous impact report on end of life care in adults.</w:t>
      </w:r>
    </w:p>
    <w:p w14:paraId="04DA23A8" w14:textId="501ED7E2" w:rsidR="004B4705" w:rsidRPr="005614AA" w:rsidRDefault="004B4705" w:rsidP="005614AA">
      <w:pPr>
        <w:pStyle w:val="NICEnormal"/>
      </w:pPr>
      <w:r>
        <w:t xml:space="preserve">The Board is asked to </w:t>
      </w:r>
      <w:r w:rsidR="002B6FDE" w:rsidRPr="002B6FDE">
        <w:t>review the NICE impact prostate cancer report, and to note the communications activities.</w:t>
      </w:r>
    </w:p>
    <w:p w14:paraId="3F96946F" w14:textId="64307022" w:rsidR="004B4705" w:rsidRPr="00B43E83" w:rsidRDefault="002B6FDE" w:rsidP="005614AA">
      <w:pPr>
        <w:pStyle w:val="NICEnormal"/>
      </w:pPr>
      <w:r>
        <w:t>Dr Judith Richardson</w:t>
      </w:r>
    </w:p>
    <w:p w14:paraId="0EC94D34" w14:textId="3353E6B7" w:rsidR="004B4705" w:rsidRPr="00B43E83" w:rsidRDefault="002B6FDE" w:rsidP="005614AA">
      <w:pPr>
        <w:pStyle w:val="NICEnormal"/>
      </w:pPr>
      <w:r>
        <w:t>Acting Director</w:t>
      </w:r>
      <w:r w:rsidR="003347A9">
        <w:t xml:space="preserve">, </w:t>
      </w:r>
      <w:r>
        <w:t>Health and Social Care</w:t>
      </w:r>
    </w:p>
    <w:p w14:paraId="5BA3866D" w14:textId="0F0B3F4B" w:rsidR="004B4705" w:rsidRPr="00B43E83" w:rsidRDefault="002B6FDE" w:rsidP="005614AA">
      <w:pPr>
        <w:pStyle w:val="NICEnormal"/>
      </w:pPr>
      <w:r>
        <w:t>November 2020</w:t>
      </w:r>
    </w:p>
    <w:p w14:paraId="2B68E8D4" w14:textId="77777777" w:rsidR="004B4705" w:rsidRDefault="004B4705" w:rsidP="004511A7">
      <w:pPr>
        <w:pStyle w:val="NICEnormal"/>
      </w:pPr>
    </w:p>
    <w:p w14:paraId="72B8CFB3" w14:textId="77777777" w:rsidR="004B4705" w:rsidRPr="005F10EE" w:rsidRDefault="004B4705" w:rsidP="004511A7">
      <w:pPr>
        <w:pStyle w:val="NICEnormal"/>
      </w:pPr>
      <w:r w:rsidRPr="005F10EE">
        <w:br w:type="page"/>
      </w:r>
    </w:p>
    <w:p w14:paraId="3704F931" w14:textId="292FF9AF" w:rsidR="004B4705" w:rsidRPr="00C30FD9" w:rsidRDefault="004B4705" w:rsidP="004B4705">
      <w:pPr>
        <w:pStyle w:val="Heading1boardreport"/>
      </w:pPr>
      <w:r>
        <w:lastRenderedPageBreak/>
        <w:t xml:space="preserve">Introduction </w:t>
      </w:r>
    </w:p>
    <w:p w14:paraId="7FF3013D" w14:textId="77777777" w:rsidR="002B6FDE" w:rsidRPr="002B6FDE" w:rsidRDefault="002B6FDE" w:rsidP="002B6FDE">
      <w:pPr>
        <w:pStyle w:val="NICEnormalnumbered"/>
      </w:pPr>
      <w:r w:rsidRPr="00763F7A">
        <w:t xml:space="preserve">The attached NICE impact report focuses on </w:t>
      </w:r>
      <w:r w:rsidRPr="002B6FDE">
        <w:t xml:space="preserve">prostate cancer and reviews the uptake of NICE guidance in this area. It </w:t>
      </w:r>
      <w:proofErr w:type="gramStart"/>
      <w:r w:rsidRPr="002B6FDE">
        <w:t>covers:</w:t>
      </w:r>
      <w:proofErr w:type="gramEnd"/>
      <w:r w:rsidRPr="002B6FDE">
        <w:t xml:space="preserve"> recognition and diagnosis of prostate cancer, treatment, managing adverse effects of treatment and people's experience of care.</w:t>
      </w:r>
    </w:p>
    <w:p w14:paraId="1B7BA2AC" w14:textId="77777777" w:rsidR="002B6FDE" w:rsidRPr="002B6FDE" w:rsidRDefault="002B6FDE" w:rsidP="002B6FDE">
      <w:pPr>
        <w:pStyle w:val="Heading1boardreport"/>
      </w:pPr>
      <w:r w:rsidRPr="002B6FDE">
        <w:t xml:space="preserve">System support for implementation </w:t>
      </w:r>
    </w:p>
    <w:p w14:paraId="37CCD324" w14:textId="6BE2427B" w:rsidR="002B6FDE" w:rsidRPr="002B6FDE" w:rsidRDefault="004B4705" w:rsidP="002B6FDE">
      <w:pPr>
        <w:pStyle w:val="NICEnormalnumbered"/>
      </w:pPr>
      <w:r>
        <w:t xml:space="preserve"> </w:t>
      </w:r>
      <w:r w:rsidR="002B6FDE" w:rsidRPr="002B6FDE">
        <w:t>The system support for implementation (SSI) team is currently reviewing this impact report and will consider how to address any implementation issues highlighted.</w:t>
      </w:r>
    </w:p>
    <w:p w14:paraId="7FCA0FDC" w14:textId="336BF76E" w:rsidR="004B4705" w:rsidRDefault="002B6FDE" w:rsidP="002B6FDE">
      <w:pPr>
        <w:pStyle w:val="NICEnormalnumbered"/>
      </w:pPr>
      <w:r w:rsidRPr="002B6FDE">
        <w:t>As highlighted at the last board meeting a new way of working is being implemented for the cardiovascular disease management impact report, which will be published in January 2021.</w:t>
      </w:r>
    </w:p>
    <w:p w14:paraId="50000689" w14:textId="5F075B27" w:rsidR="002B6FDE" w:rsidRDefault="002B6FDE" w:rsidP="002B6FDE">
      <w:pPr>
        <w:pStyle w:val="Heading1boardreport"/>
      </w:pPr>
      <w:r>
        <w:t>Promoting NICE impact reports</w:t>
      </w:r>
    </w:p>
    <w:p w14:paraId="221FF678" w14:textId="0C4CB056" w:rsidR="002B6FDE" w:rsidRPr="002B6FDE" w:rsidRDefault="002B6FDE" w:rsidP="002B6FDE">
      <w:pPr>
        <w:pStyle w:val="NICEnormalnumbered"/>
      </w:pPr>
      <w:r w:rsidRPr="002B6FDE">
        <w:t xml:space="preserve">The NICE impact report on end of life care was published on 21 September.  </w:t>
      </w:r>
    </w:p>
    <w:p w14:paraId="3840DAA2" w14:textId="00FD2C30" w:rsidR="002B6FDE" w:rsidRDefault="002B6FDE" w:rsidP="002B6FDE">
      <w:pPr>
        <w:pStyle w:val="NICEnormalnumbered"/>
      </w:pPr>
      <w:r>
        <w:t>T</w:t>
      </w:r>
      <w:r w:rsidRPr="002B6FDE">
        <w:t>he following is a summary of key communications and engagement activities to promote the report. As in previous months, it should be noted that many stakeholder organisations have been focussing on COVID-19 and have either reduced the number and range of e-newsletters they produce (in which we might usually seek to achieve coverage) or have diverted the focus of their newsletters exclusively onto COVID-19.</w:t>
      </w:r>
    </w:p>
    <w:p w14:paraId="78E28637" w14:textId="6F516D4C" w:rsidR="002B6FDE" w:rsidRPr="00F87ABC" w:rsidRDefault="002B6FDE" w:rsidP="00F87ABC">
      <w:pPr>
        <w:pStyle w:val="Heading2boardreport"/>
      </w:pPr>
      <w:r w:rsidRPr="00F87ABC">
        <w:t>Impact report: end of life care</w:t>
      </w:r>
    </w:p>
    <w:p w14:paraId="65E5AE8E" w14:textId="77777777" w:rsidR="00F87ABC" w:rsidRDefault="00F87ABC" w:rsidP="00F87ABC">
      <w:pPr>
        <w:pStyle w:val="Heading3boardreport"/>
      </w:pPr>
      <w:r>
        <w:t xml:space="preserve">Working with partners and stakeholders </w:t>
      </w:r>
    </w:p>
    <w:p w14:paraId="17D84B5C" w14:textId="77777777" w:rsidR="00F87ABC" w:rsidRPr="00F87ABC" w:rsidRDefault="00F87ABC" w:rsidP="00F87ABC">
      <w:pPr>
        <w:pStyle w:val="NICEnormalnumbered"/>
      </w:pPr>
      <w:r w:rsidRPr="00C96745">
        <w:t xml:space="preserve">The report was shared widely across the health and care system, including </w:t>
      </w:r>
      <w:r w:rsidRPr="00F87ABC">
        <w:t xml:space="preserve">regional strategic clinical networks and NHS England and NHS Improvement's regional communications teams so that they could cascade it to providers and commissioners in their areas. </w:t>
      </w:r>
    </w:p>
    <w:p w14:paraId="5FCFBD8B" w14:textId="77777777" w:rsidR="00F87ABC" w:rsidRPr="00F87ABC" w:rsidRDefault="00F87ABC" w:rsidP="00F87ABC">
      <w:pPr>
        <w:pStyle w:val="Bulletindent1"/>
      </w:pPr>
      <w:r w:rsidRPr="00CD20A1">
        <w:lastRenderedPageBreak/>
        <w:t xml:space="preserve">Partner organisations involved in the report were encouraged to share it through their networks. The partner organisations were </w:t>
      </w:r>
      <w:r w:rsidRPr="00F87ABC">
        <w:t>NHS England, Marie Cure, Macmillan, NHS Benchmarking Network (providers of the National Audit for Care at the End of Life) and the Department of Health and Social Care.</w:t>
      </w:r>
    </w:p>
    <w:p w14:paraId="3FA77562" w14:textId="77777777" w:rsidR="00F87ABC" w:rsidRPr="00F87ABC" w:rsidRDefault="00F87ABC" w:rsidP="00F87ABC">
      <w:pPr>
        <w:pStyle w:val="Bulletindent1"/>
      </w:pPr>
      <w:r>
        <w:t>The Association of Palliative Care Social Workers put details of the report on its website.</w:t>
      </w:r>
    </w:p>
    <w:p w14:paraId="164EFC0F" w14:textId="77777777" w:rsidR="00F87ABC" w:rsidRPr="00F87ABC" w:rsidRDefault="00F87ABC" w:rsidP="00F87ABC">
      <w:pPr>
        <w:pStyle w:val="Bulletindent1"/>
      </w:pPr>
      <w:r>
        <w:t>The report was featured in NHS England and NHS Improvement's primary care e-bulletin, which goes out twice per week to around 22,000 primary care subscribers.</w:t>
      </w:r>
    </w:p>
    <w:p w14:paraId="6F287B8D" w14:textId="77777777" w:rsidR="00F87ABC" w:rsidRPr="00F87ABC" w:rsidRDefault="00F87ABC" w:rsidP="00F87ABC">
      <w:pPr>
        <w:pStyle w:val="Bulletindent1"/>
      </w:pPr>
      <w:r w:rsidRPr="001F7277">
        <w:t xml:space="preserve">National Health Executive featured a </w:t>
      </w:r>
      <w:hyperlink r:id="rId8" w:history="1">
        <w:r w:rsidRPr="00F87ABC">
          <w:rPr>
            <w:rStyle w:val="Hyperlink"/>
          </w:rPr>
          <w:t>blog</w:t>
        </w:r>
      </w:hyperlink>
      <w:r w:rsidRPr="00F87ABC">
        <w:t xml:space="preserve"> on their website in which Judith Richardson, acting director for health and social care, discussed the main findings from the report. </w:t>
      </w:r>
    </w:p>
    <w:p w14:paraId="7F18C196" w14:textId="77777777" w:rsidR="00F87ABC" w:rsidRPr="00F87ABC" w:rsidRDefault="00F87ABC" w:rsidP="00F87ABC">
      <w:pPr>
        <w:pStyle w:val="Bulletindent1"/>
      </w:pPr>
      <w:r w:rsidRPr="00934590">
        <w:t>Our commentators</w:t>
      </w:r>
      <w:r w:rsidRPr="00F87ABC">
        <w:t xml:space="preserve"> for the impact report, Julie Pearce, chief nurse and executive director of Caring Services and Dr Sarah Holmes, Marie Curie medical director and consultant in palliative care wrote a </w:t>
      </w:r>
      <w:hyperlink r:id="rId9" w:history="1">
        <w:r w:rsidRPr="00F87ABC">
          <w:rPr>
            <w:rStyle w:val="Hyperlink"/>
          </w:rPr>
          <w:t>blog</w:t>
        </w:r>
      </w:hyperlink>
      <w:r w:rsidRPr="00F87ABC">
        <w:t xml:space="preserve"> on the Marie Curie website, which talks about and links to the impact report. </w:t>
      </w:r>
    </w:p>
    <w:p w14:paraId="73C790F3" w14:textId="77777777" w:rsidR="00F87ABC" w:rsidRPr="00F87ABC" w:rsidRDefault="00F87ABC" w:rsidP="00F87ABC">
      <w:pPr>
        <w:pStyle w:val="Bulletindent1"/>
      </w:pPr>
      <w:r>
        <w:t>Activity on Twitter included retweets by the charity Sue Ryder (10,440 followers).</w:t>
      </w:r>
    </w:p>
    <w:p w14:paraId="4A10A50D" w14:textId="504DB7FA" w:rsidR="00F87ABC" w:rsidRDefault="00F87ABC" w:rsidP="00F87ABC">
      <w:pPr>
        <w:pStyle w:val="Bulletindent1"/>
      </w:pPr>
      <w:r>
        <w:t>NICE Newsletters and Website</w:t>
      </w:r>
    </w:p>
    <w:p w14:paraId="5097C0CB" w14:textId="77777777" w:rsidR="00F87ABC" w:rsidRPr="00A111C2" w:rsidRDefault="00F87ABC" w:rsidP="00F87ABC">
      <w:pPr>
        <w:pStyle w:val="Bulletindent1"/>
        <w:numPr>
          <w:ilvl w:val="0"/>
          <w:numId w:val="0"/>
        </w:numPr>
        <w:ind w:left="1418"/>
      </w:pPr>
    </w:p>
    <w:p w14:paraId="7B98B76A" w14:textId="77777777" w:rsidR="00F87ABC" w:rsidRPr="00F87ABC" w:rsidRDefault="00F87ABC" w:rsidP="00F87ABC">
      <w:pPr>
        <w:pStyle w:val="NICEnormalnumbered"/>
      </w:pPr>
      <w:r>
        <w:t>The impact report was featured in the</w:t>
      </w:r>
      <w:r w:rsidRPr="00F87ABC">
        <w:t xml:space="preserve"> September issues of NICE News and Update for Primary Care, reaching a combined circulation of 45,013.</w:t>
      </w:r>
    </w:p>
    <w:p w14:paraId="2CC15997" w14:textId="77777777" w:rsidR="00F87ABC" w:rsidRPr="00F87ABC" w:rsidRDefault="00F87ABC" w:rsidP="00F87ABC">
      <w:pPr>
        <w:pStyle w:val="NICEnormalnumbered"/>
      </w:pPr>
      <w:r w:rsidRPr="00775B71">
        <w:t xml:space="preserve">Between </w:t>
      </w:r>
      <w:r w:rsidRPr="00F87ABC">
        <w:t xml:space="preserve">21 September and 23 October, the impact report was viewed more than 2,000 times. </w:t>
      </w:r>
    </w:p>
    <w:p w14:paraId="1096C7E8" w14:textId="77777777" w:rsidR="00F87ABC" w:rsidRPr="0018745E" w:rsidRDefault="00F87ABC" w:rsidP="00F87ABC">
      <w:pPr>
        <w:pStyle w:val="Heading3boardreport"/>
      </w:pPr>
      <w:r>
        <w:t>Social media</w:t>
      </w:r>
    </w:p>
    <w:p w14:paraId="037FBECA" w14:textId="77777777" w:rsidR="00F87ABC" w:rsidRPr="00F87ABC" w:rsidRDefault="00F87ABC" w:rsidP="00F87ABC">
      <w:pPr>
        <w:pStyle w:val="NICEnormalnumbered"/>
      </w:pPr>
      <w:r w:rsidRPr="002A4389">
        <w:t xml:space="preserve">We promoted the </w:t>
      </w:r>
      <w:r w:rsidRPr="00F87ABC">
        <w:t xml:space="preserve">end of life care impact report over a two-week period on Twitter, </w:t>
      </w:r>
      <w:proofErr w:type="gramStart"/>
      <w:r w:rsidRPr="00F87ABC">
        <w:t>Facebook</w:t>
      </w:r>
      <w:proofErr w:type="gramEnd"/>
      <w:r w:rsidRPr="00F87ABC">
        <w:t xml:space="preserve"> and LinkedIn. By posting on 3 channels we reached a varied audience: professionals in health and care on Twitter and LinkedIn and the public on Facebook. We were careful to include notes in each post explaining that the findings related to pre-COVID work.</w:t>
      </w:r>
    </w:p>
    <w:p w14:paraId="56C70500" w14:textId="77777777" w:rsidR="00F87ABC" w:rsidRDefault="00F87ABC" w:rsidP="00F87ABC">
      <w:pPr>
        <w:pStyle w:val="Heading3boardreport"/>
      </w:pPr>
      <w:r>
        <w:lastRenderedPageBreak/>
        <w:t>Twitter</w:t>
      </w:r>
      <w:r w:rsidRPr="00FE6B45">
        <w:t>:</w:t>
      </w:r>
    </w:p>
    <w:p w14:paraId="2C17C4FE" w14:textId="77777777" w:rsidR="00F87ABC" w:rsidRDefault="00F87ABC" w:rsidP="00F87ABC">
      <w:pPr>
        <w:pStyle w:val="NICEnormalnumbered"/>
      </w:pPr>
      <w:r>
        <w:t>On Twitter our 3 posts were viewed 25,624 times overall and received 194 total clicks, likes, comments or shares. Our first post received the highest engagement rate of 1.0%. The Twitter average for an individual post is 0.06%.</w:t>
      </w:r>
    </w:p>
    <w:p w14:paraId="26ECFEA5" w14:textId="31C89FD7" w:rsidR="00F87ABC" w:rsidRDefault="00F87ABC" w:rsidP="00F87ABC">
      <w:r w:rsidRPr="00F87ABC">
        <w:rPr>
          <w:noProof/>
        </w:rPr>
        <w:drawing>
          <wp:inline distT="0" distB="0" distL="0" distR="0" wp14:anchorId="6CF1C685" wp14:editId="1259E091">
            <wp:extent cx="4604866" cy="3213100"/>
            <wp:effectExtent l="0" t="0" r="5715" b="6350"/>
            <wp:docPr id="1" name="Picture 1" descr="An example of a Twitter post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 example of a Twitter post.&#10;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5785" cy="322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C92D" w14:textId="7E3ACDE3" w:rsidR="003A3575" w:rsidRDefault="003A3575" w:rsidP="00F87ABC"/>
    <w:p w14:paraId="55BF9CB1" w14:textId="77777777" w:rsidR="003A3575" w:rsidRPr="00070124" w:rsidRDefault="003A3575" w:rsidP="003A3575">
      <w:pPr>
        <w:pStyle w:val="NICEnormal"/>
      </w:pPr>
      <w:r w:rsidRPr="00070124">
        <w:t xml:space="preserve">© NICE </w:t>
      </w:r>
      <w:r>
        <w:t>2020</w:t>
      </w:r>
      <w:r w:rsidRPr="00070124">
        <w:t xml:space="preserve">. All rights reserved. </w:t>
      </w:r>
      <w:hyperlink r:id="rId11" w:anchor="notice-of-rights" w:history="1">
        <w:r w:rsidRPr="00070124">
          <w:rPr>
            <w:rStyle w:val="Hyperlink"/>
          </w:rPr>
          <w:t>Subject to Notice of rights</w:t>
        </w:r>
      </w:hyperlink>
      <w:r w:rsidRPr="00070124">
        <w:t>.</w:t>
      </w:r>
    </w:p>
    <w:p w14:paraId="32EB0F37" w14:textId="77777777" w:rsidR="003A3575" w:rsidRDefault="003A3575" w:rsidP="003A3575">
      <w:pPr>
        <w:pStyle w:val="NICEnormal"/>
      </w:pPr>
      <w:r>
        <w:t>November 2020</w:t>
      </w:r>
    </w:p>
    <w:p w14:paraId="30F97820" w14:textId="77777777" w:rsidR="003A3575" w:rsidRPr="00F87ABC" w:rsidRDefault="003A3575" w:rsidP="00F87ABC"/>
    <w:sectPr w:rsidR="003A3575" w:rsidRPr="00F87ABC" w:rsidSect="00B0463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E6406" w14:textId="77777777" w:rsidR="00D505AA" w:rsidRDefault="00D505AA">
      <w:r>
        <w:separator/>
      </w:r>
    </w:p>
  </w:endnote>
  <w:endnote w:type="continuationSeparator" w:id="0">
    <w:p w14:paraId="6822A5C8" w14:textId="77777777" w:rsidR="00D505AA" w:rsidRDefault="00D5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7044" w14:textId="77777777" w:rsidR="00EA3E7D" w:rsidRPr="00EA3E7D" w:rsidRDefault="00EA3E7D" w:rsidP="00EA3E7D">
    <w:pPr>
      <w:pStyle w:val="Footer"/>
    </w:pPr>
    <w:r w:rsidRPr="00EA3E7D">
      <w:t>National Institute for Health and Care Excellence</w:t>
    </w:r>
    <w:r w:rsidRPr="00EA3E7D">
      <w:tab/>
    </w:r>
    <w:r w:rsidRPr="00EA3E7D">
      <w:tab/>
      <w:t xml:space="preserve">Page </w:t>
    </w:r>
    <w:r w:rsidRPr="00EA3E7D">
      <w:fldChar w:fldCharType="begin"/>
    </w:r>
    <w:r w:rsidRPr="00EA3E7D">
      <w:instrText xml:space="preserve"> PAGE  \* Arabic  \* MERGEFORMAT </w:instrText>
    </w:r>
    <w:r w:rsidRPr="00EA3E7D">
      <w:fldChar w:fldCharType="separate"/>
    </w:r>
    <w:r w:rsidRPr="00EA3E7D">
      <w:t>1</w:t>
    </w:r>
    <w:r w:rsidRPr="00EA3E7D">
      <w:fldChar w:fldCharType="end"/>
    </w:r>
    <w:r w:rsidRPr="00EA3E7D">
      <w:t xml:space="preserve"> of </w:t>
    </w:r>
    <w:fldSimple w:instr=" NUMPAGES  \* Arabic  \* MERGEFORMAT ">
      <w:r w:rsidRPr="00EA3E7D">
        <w:t>11</w:t>
      </w:r>
    </w:fldSimple>
  </w:p>
  <w:p w14:paraId="7E1DC135" w14:textId="7A295025" w:rsidR="00EA3E7D" w:rsidRPr="003A3575" w:rsidRDefault="00EA3E7D" w:rsidP="00EA3E7D">
    <w:pPr>
      <w:pStyle w:val="Footer"/>
    </w:pPr>
    <w:r w:rsidRPr="003A3575">
      <w:t>NICE impact report: prostate cancer</w:t>
    </w:r>
    <w:r w:rsidRPr="003A3575">
      <w:tab/>
    </w:r>
  </w:p>
  <w:p w14:paraId="568A0CA8" w14:textId="46B814CE" w:rsidR="00EA3E7D" w:rsidRPr="003A3575" w:rsidRDefault="003A3575" w:rsidP="00EA3E7D">
    <w:pPr>
      <w:pStyle w:val="Footer"/>
    </w:pPr>
    <w:r w:rsidRPr="003A3575">
      <w:t xml:space="preserve">Date: 18 </w:t>
    </w:r>
    <w:r w:rsidR="00EA3E7D" w:rsidRPr="003A3575">
      <w:t>November 2020</w:t>
    </w:r>
  </w:p>
  <w:p w14:paraId="0914735C" w14:textId="43D79620" w:rsidR="00EA3E7D" w:rsidRDefault="00EA3E7D" w:rsidP="00EA3E7D">
    <w:pPr>
      <w:pStyle w:val="Footer"/>
    </w:pPr>
    <w:r w:rsidRPr="003A3575">
      <w:t>Reference</w:t>
    </w:r>
    <w:r w:rsidR="003A3575" w:rsidRPr="003A3575">
      <w:t>: 20/109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3B815" w14:textId="77777777" w:rsidR="00D505AA" w:rsidRDefault="00D505AA">
      <w:r>
        <w:separator/>
      </w:r>
    </w:p>
  </w:footnote>
  <w:footnote w:type="continuationSeparator" w:id="0">
    <w:p w14:paraId="094D31E5" w14:textId="77777777" w:rsidR="00D505AA" w:rsidRDefault="00D50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CF160" w14:textId="1C3BA93F" w:rsidR="003A3575" w:rsidRDefault="003A3575">
    <w:pPr>
      <w:pStyle w:val="Header"/>
    </w:pPr>
    <w:r>
      <w:tab/>
      <w:t>Item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4005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8C05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E87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066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C40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A68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A73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82A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C00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FEC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3" w15:restartNumberingAfterBreak="0">
    <w:nsid w:val="0B904144"/>
    <w:multiLevelType w:val="hybridMultilevel"/>
    <w:tmpl w:val="2ADA4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15797"/>
    <w:multiLevelType w:val="hybridMultilevel"/>
    <w:tmpl w:val="6BA6316C"/>
    <w:lvl w:ilvl="0" w:tplc="7F9E7226">
      <w:start w:val="1"/>
      <w:numFmt w:val="decimal"/>
      <w:pStyle w:val="Paragraph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EE2"/>
    <w:multiLevelType w:val="hybridMultilevel"/>
    <w:tmpl w:val="C36C9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444DE"/>
    <w:multiLevelType w:val="hybridMultilevel"/>
    <w:tmpl w:val="7258226E"/>
    <w:lvl w:ilvl="0" w:tplc="1C347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D22FE4"/>
    <w:multiLevelType w:val="hybridMultilevel"/>
    <w:tmpl w:val="172C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1" w15:restartNumberingAfterBreak="0">
    <w:nsid w:val="451877F9"/>
    <w:multiLevelType w:val="hybridMultilevel"/>
    <w:tmpl w:val="AEC44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3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40"/>
  </w:num>
  <w:num w:numId="3">
    <w:abstractNumId w:val="30"/>
  </w:num>
  <w:num w:numId="4">
    <w:abstractNumId w:val="32"/>
  </w:num>
  <w:num w:numId="5">
    <w:abstractNumId w:val="16"/>
  </w:num>
  <w:num w:numId="6">
    <w:abstractNumId w:val="19"/>
  </w:num>
  <w:num w:numId="7">
    <w:abstractNumId w:val="25"/>
  </w:num>
  <w:num w:numId="8">
    <w:abstractNumId w:val="27"/>
  </w:num>
  <w:num w:numId="9">
    <w:abstractNumId w:val="34"/>
  </w:num>
  <w:num w:numId="10">
    <w:abstractNumId w:val="18"/>
  </w:num>
  <w:num w:numId="11">
    <w:abstractNumId w:val="38"/>
  </w:num>
  <w:num w:numId="12">
    <w:abstractNumId w:val="23"/>
  </w:num>
  <w:num w:numId="13">
    <w:abstractNumId w:val="33"/>
  </w:num>
  <w:num w:numId="14">
    <w:abstractNumId w:val="36"/>
  </w:num>
  <w:num w:numId="15">
    <w:abstractNumId w:val="24"/>
  </w:num>
  <w:num w:numId="16">
    <w:abstractNumId w:val="10"/>
  </w:num>
  <w:num w:numId="17">
    <w:abstractNumId w:val="11"/>
  </w:num>
  <w:num w:numId="18">
    <w:abstractNumId w:val="21"/>
  </w:num>
  <w:num w:numId="19">
    <w:abstractNumId w:val="26"/>
  </w:num>
  <w:num w:numId="20">
    <w:abstractNumId w:val="17"/>
  </w:num>
  <w:num w:numId="21">
    <w:abstractNumId w:val="39"/>
  </w:num>
  <w:num w:numId="22">
    <w:abstractNumId w:val="2"/>
  </w:num>
  <w:num w:numId="23">
    <w:abstractNumId w:val="37"/>
  </w:num>
  <w:num w:numId="24">
    <w:abstractNumId w:val="13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1"/>
  </w:num>
  <w:num w:numId="33">
    <w:abstractNumId w:val="0"/>
  </w:num>
  <w:num w:numId="34">
    <w:abstractNumId w:val="15"/>
  </w:num>
  <w:num w:numId="35">
    <w:abstractNumId w:val="28"/>
  </w:num>
  <w:num w:numId="36">
    <w:abstractNumId w:val="41"/>
  </w:num>
  <w:num w:numId="37">
    <w:abstractNumId w:val="41"/>
    <w:lvlOverride w:ilvl="0">
      <w:startOverride w:val="1"/>
    </w:lvlOverride>
  </w:num>
  <w:num w:numId="38">
    <w:abstractNumId w:val="41"/>
    <w:lvlOverride w:ilvl="0">
      <w:startOverride w:val="1"/>
    </w:lvlOverride>
  </w:num>
  <w:num w:numId="39">
    <w:abstractNumId w:val="22"/>
  </w:num>
  <w:num w:numId="40">
    <w:abstractNumId w:val="22"/>
    <w:lvlOverride w:ilvl="0">
      <w:startOverride w:val="1"/>
    </w:lvlOverride>
  </w:num>
  <w:num w:numId="41">
    <w:abstractNumId w:val="14"/>
  </w:num>
  <w:num w:numId="42">
    <w:abstractNumId w:val="31"/>
  </w:num>
  <w:num w:numId="43">
    <w:abstractNumId w:val="29"/>
  </w:num>
  <w:num w:numId="44">
    <w:abstractNumId w:val="20"/>
  </w:num>
  <w:num w:numId="45">
    <w:abstractNumId w:val="14"/>
    <w:lvlOverride w:ilvl="0">
      <w:startOverride w:val="1"/>
    </w:lvlOverride>
  </w:num>
  <w:num w:numId="46">
    <w:abstractNumId w:val="14"/>
    <w:lvlOverride w:ilvl="0">
      <w:startOverride w:val="1"/>
    </w:lvlOverride>
  </w:num>
  <w:num w:numId="47">
    <w:abstractNumId w:val="14"/>
    <w:lvlOverride w:ilvl="0">
      <w:startOverride w:val="1"/>
    </w:lvlOverride>
  </w:num>
  <w:num w:numId="48">
    <w:abstractNumId w:val="14"/>
    <w:lvlOverride w:ilvl="0">
      <w:startOverride w:val="1"/>
    </w:lvlOverride>
  </w:num>
  <w:num w:numId="49">
    <w:abstractNumId w:val="14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TnOpDPrixAzSaYQs+iUU9Cd0dXzz8ZhDuOcNYZEjKi8OP4kUPq2A2LuhRkOtXv5oqstO5IqNUcbdTVGXB24VUA==" w:salt="JyY24Hk7dOsFN55e2+gE5Q==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AA"/>
    <w:rsid w:val="000119FB"/>
    <w:rsid w:val="000242AA"/>
    <w:rsid w:val="000A1EC0"/>
    <w:rsid w:val="000C3F75"/>
    <w:rsid w:val="000C4168"/>
    <w:rsid w:val="000E6C5F"/>
    <w:rsid w:val="00101F34"/>
    <w:rsid w:val="001172E1"/>
    <w:rsid w:val="001219F1"/>
    <w:rsid w:val="00123D3F"/>
    <w:rsid w:val="00131EB8"/>
    <w:rsid w:val="00161AA0"/>
    <w:rsid w:val="001B0506"/>
    <w:rsid w:val="001C032E"/>
    <w:rsid w:val="002169E7"/>
    <w:rsid w:val="00235CAB"/>
    <w:rsid w:val="00251D56"/>
    <w:rsid w:val="002526E6"/>
    <w:rsid w:val="002535B1"/>
    <w:rsid w:val="002A3712"/>
    <w:rsid w:val="002B6FDE"/>
    <w:rsid w:val="002C3FAA"/>
    <w:rsid w:val="002F15CF"/>
    <w:rsid w:val="0031664C"/>
    <w:rsid w:val="003330E6"/>
    <w:rsid w:val="003347A9"/>
    <w:rsid w:val="00353D3E"/>
    <w:rsid w:val="00362226"/>
    <w:rsid w:val="00377E36"/>
    <w:rsid w:val="003A3575"/>
    <w:rsid w:val="003B1379"/>
    <w:rsid w:val="003B7BCF"/>
    <w:rsid w:val="003C36AC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7277C3"/>
    <w:rsid w:val="00732519"/>
    <w:rsid w:val="00737F9C"/>
    <w:rsid w:val="007A174B"/>
    <w:rsid w:val="007A4EEE"/>
    <w:rsid w:val="008505C3"/>
    <w:rsid w:val="00862C0C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621A"/>
    <w:rsid w:val="009C45D9"/>
    <w:rsid w:val="00A06657"/>
    <w:rsid w:val="00A24C1C"/>
    <w:rsid w:val="00A36575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C139CA"/>
    <w:rsid w:val="00C433C5"/>
    <w:rsid w:val="00C51429"/>
    <w:rsid w:val="00CA3397"/>
    <w:rsid w:val="00CA33E1"/>
    <w:rsid w:val="00CB6BEB"/>
    <w:rsid w:val="00CE7855"/>
    <w:rsid w:val="00D3612A"/>
    <w:rsid w:val="00D37703"/>
    <w:rsid w:val="00D37F25"/>
    <w:rsid w:val="00D453F6"/>
    <w:rsid w:val="00D505AA"/>
    <w:rsid w:val="00D60D8D"/>
    <w:rsid w:val="00D73C98"/>
    <w:rsid w:val="00DA11DD"/>
    <w:rsid w:val="00DC0120"/>
    <w:rsid w:val="00DE643F"/>
    <w:rsid w:val="00E2509B"/>
    <w:rsid w:val="00E4622C"/>
    <w:rsid w:val="00E46571"/>
    <w:rsid w:val="00E51FFB"/>
    <w:rsid w:val="00E63855"/>
    <w:rsid w:val="00E95993"/>
    <w:rsid w:val="00EA3E7D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87AB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213E34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FB73D3"/>
    <w:pPr>
      <w:spacing w:after="200"/>
    </w:pPr>
    <w:rPr>
      <w:bCs w:val="0"/>
      <w:iCs/>
      <w:color w:val="00506A"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4914C0"/>
    <w:rPr>
      <w:b/>
      <w:color w:val="00506A"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3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4914C0"/>
    <w:rPr>
      <w:color w:val="00506A"/>
    </w:rPr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F33119"/>
  </w:style>
  <w:style w:type="paragraph" w:customStyle="1" w:styleId="Heading3boardreport">
    <w:name w:val="Heading 3 board report"/>
    <w:basedOn w:val="Heading3"/>
    <w:next w:val="NICEnormal"/>
    <w:qFormat/>
    <w:rsid w:val="004914C0"/>
    <w:rPr>
      <w:color w:val="00506A"/>
    </w:rPr>
  </w:style>
  <w:style w:type="paragraph" w:customStyle="1" w:styleId="Paragraph">
    <w:name w:val="Paragraph"/>
    <w:basedOn w:val="Paragraphnonumbers"/>
    <w:uiPriority w:val="4"/>
    <w:qFormat/>
    <w:locked/>
    <w:rsid w:val="00EB1C36"/>
    <w:pPr>
      <w:numPr>
        <w:numId w:val="41"/>
      </w:numPr>
      <w:tabs>
        <w:tab w:val="left" w:pos="426"/>
      </w:tabs>
    </w:pPr>
  </w:style>
  <w:style w:type="paragraph" w:customStyle="1" w:styleId="Bullets">
    <w:name w:val="Bullets"/>
    <w:basedOn w:val="Normal"/>
    <w:uiPriority w:val="5"/>
    <w:qFormat/>
    <w:locked/>
    <w:rsid w:val="00EB1C36"/>
    <w:pPr>
      <w:numPr>
        <w:numId w:val="36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39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EB1C36"/>
    <w:rPr>
      <w:rFonts w:ascii="Arial" w:hAnsi="Arial" w:cs="Arial"/>
      <w:b/>
      <w:bCs/>
      <w:color w:val="00506A"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e">
    <w:name w:val="Title"/>
    <w:basedOn w:val="Normal"/>
    <w:next w:val="Heading1"/>
    <w:link w:val="TitleChar"/>
    <w:qFormat/>
    <w:rsid w:val="002B6FDE"/>
    <w:pPr>
      <w:spacing w:before="12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2B6FDE"/>
    <w:rPr>
      <w:rFonts w:ascii="Arial" w:hAnsi="Arial"/>
      <w:b/>
      <w:bCs/>
      <w:kern w:val="28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healthexecutive.com/articles/nice-impact-report-end-life-car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terms-and-condition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mariecurie.org.uk/blog/we-need-to-look-wider-than-hospitals-to-understand-how-well-were-managing-dying-in-the-uk/28193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2020-11-06T12:37:00Z</dcterms:created>
  <dcterms:modified xsi:type="dcterms:W3CDTF">2020-11-06T12:39:00Z</dcterms:modified>
</cp:coreProperties>
</file>