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66DCD" w14:textId="77777777" w:rsidR="00EB1C36" w:rsidRPr="00D73C98" w:rsidRDefault="00EB1C36" w:rsidP="00F07534">
      <w:pPr>
        <w:pStyle w:val="Title20"/>
      </w:pPr>
      <w:r>
        <w:t>National Institute for Health and Care Excellence</w:t>
      </w:r>
    </w:p>
    <w:p w14:paraId="4D6F5472" w14:textId="448E64EC" w:rsidR="00EB1C36" w:rsidRPr="00D73C98" w:rsidRDefault="00FA05A6" w:rsidP="00F07534">
      <w:pPr>
        <w:pStyle w:val="Title1"/>
      </w:pPr>
      <w:r>
        <w:t>Resources</w:t>
      </w:r>
      <w:r w:rsidR="00EB1C36" w:rsidRPr="00D73C98">
        <w:t xml:space="preserve"> report</w:t>
      </w:r>
    </w:p>
    <w:p w14:paraId="12C8B4AA" w14:textId="75B5D4B5" w:rsidR="00EB1C36" w:rsidRDefault="00FA6C4F" w:rsidP="005F6CE3">
      <w:pPr>
        <w:pStyle w:val="NICEnormalnumbered"/>
      </w:pPr>
      <w:r w:rsidRPr="00FA6C4F">
        <w:t xml:space="preserve">This report gives details of the financial position as </w:t>
      </w:r>
      <w:proofErr w:type="gramStart"/>
      <w:r w:rsidRPr="00FA6C4F">
        <w:t>at</w:t>
      </w:r>
      <w:proofErr w:type="gramEnd"/>
      <w:r w:rsidRPr="00FA6C4F">
        <w:t xml:space="preserve"> 30 September 2020</w:t>
      </w:r>
      <w:r w:rsidR="005F6CE3">
        <w:t>, an</w:t>
      </w:r>
      <w:r w:rsidR="009573A0">
        <w:t xml:space="preserve"> </w:t>
      </w:r>
      <w:r w:rsidR="005F6CE3">
        <w:t xml:space="preserve">update on </w:t>
      </w:r>
      <w:r w:rsidR="005F6CE3" w:rsidRPr="005F6CE3">
        <w:t xml:space="preserve">Human Resources &amp; Organisational Development </w:t>
      </w:r>
      <w:r w:rsidR="005F6CE3">
        <w:t>and an update on the NICE Connect transformation programme.</w:t>
      </w:r>
    </w:p>
    <w:p w14:paraId="34C349B4" w14:textId="168515B6" w:rsidR="00EB1C36" w:rsidRDefault="00FA6C4F" w:rsidP="00EB1C36">
      <w:pPr>
        <w:pStyle w:val="Heading1boardreport"/>
      </w:pPr>
      <w:r w:rsidRPr="00FA6C4F">
        <w:t xml:space="preserve">Year to Date Financial Position as </w:t>
      </w:r>
      <w:proofErr w:type="gramStart"/>
      <w:r w:rsidRPr="00FA6C4F">
        <w:t>at</w:t>
      </w:r>
      <w:proofErr w:type="gramEnd"/>
      <w:r w:rsidRPr="00FA6C4F">
        <w:t xml:space="preserve"> 30 September 2020</w:t>
      </w:r>
    </w:p>
    <w:p w14:paraId="6252447C" w14:textId="1BA5F01C" w:rsidR="000B6695" w:rsidRDefault="00FA6C4F" w:rsidP="000B6695">
      <w:pPr>
        <w:pStyle w:val="NICEnormalnumbered"/>
      </w:pPr>
      <w:r w:rsidRPr="00691AAE">
        <w:t xml:space="preserve">Table 1 summarises the financial position as </w:t>
      </w:r>
      <w:proofErr w:type="gramStart"/>
      <w:r w:rsidRPr="00691AAE">
        <w:t>at</w:t>
      </w:r>
      <w:proofErr w:type="gramEnd"/>
      <w:r w:rsidRPr="00691AAE">
        <w:t xml:space="preserve"> 30 September 2020. There is a full breakdown in Appendix A.</w:t>
      </w:r>
    </w:p>
    <w:tbl>
      <w:tblPr>
        <w:tblpPr w:leftFromText="180" w:rightFromText="180" w:vertAnchor="text" w:horzAnchor="margin" w:tblpY="742"/>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position as at 30 September 2020"/>
        <w:tblDescription w:val="Table1: year to date financial position, April 2020 to September 2020"/>
      </w:tblPr>
      <w:tblGrid>
        <w:gridCol w:w="1930"/>
        <w:gridCol w:w="1771"/>
        <w:gridCol w:w="1772"/>
        <w:gridCol w:w="1771"/>
        <w:gridCol w:w="1772"/>
      </w:tblGrid>
      <w:tr w:rsidR="00350D6E" w14:paraId="41EEEC4B" w14:textId="77777777" w:rsidTr="0038661C">
        <w:trPr>
          <w:cantSplit/>
          <w:tblHeader/>
        </w:trPr>
        <w:tc>
          <w:tcPr>
            <w:tcW w:w="1930" w:type="dxa"/>
          </w:tcPr>
          <w:p w14:paraId="5ECE8844" w14:textId="77777777" w:rsidR="00350D6E" w:rsidRPr="007277C3" w:rsidRDefault="00350D6E" w:rsidP="00350D6E">
            <w:pPr>
              <w:pStyle w:val="Tableheadingboardreport"/>
            </w:pPr>
            <w:r>
              <w:t>Spend Category</w:t>
            </w:r>
          </w:p>
        </w:tc>
        <w:tc>
          <w:tcPr>
            <w:tcW w:w="1771" w:type="dxa"/>
          </w:tcPr>
          <w:p w14:paraId="344E7A7C" w14:textId="77777777" w:rsidR="00350D6E" w:rsidRPr="007277C3" w:rsidRDefault="00350D6E" w:rsidP="00350D6E">
            <w:pPr>
              <w:pStyle w:val="Tableheadingboardreport"/>
            </w:pPr>
            <w:r>
              <w:t>Year to Date Budget £m</w:t>
            </w:r>
          </w:p>
        </w:tc>
        <w:tc>
          <w:tcPr>
            <w:tcW w:w="1772" w:type="dxa"/>
          </w:tcPr>
          <w:p w14:paraId="41BDC276" w14:textId="77777777" w:rsidR="00350D6E" w:rsidRPr="007277C3" w:rsidRDefault="00350D6E" w:rsidP="00350D6E">
            <w:pPr>
              <w:pStyle w:val="Tableheadingboardreport"/>
            </w:pPr>
            <w:r>
              <w:t>Year to Date Actual £m</w:t>
            </w:r>
          </w:p>
        </w:tc>
        <w:tc>
          <w:tcPr>
            <w:tcW w:w="1771" w:type="dxa"/>
          </w:tcPr>
          <w:p w14:paraId="27D9F36C" w14:textId="77777777" w:rsidR="00350D6E" w:rsidRPr="007277C3" w:rsidRDefault="00350D6E" w:rsidP="00350D6E">
            <w:pPr>
              <w:pStyle w:val="Tableheadingboardreport"/>
            </w:pPr>
            <w:r w:rsidRPr="00350D6E">
              <w:t>Year to Date Variance %</w:t>
            </w:r>
          </w:p>
        </w:tc>
        <w:tc>
          <w:tcPr>
            <w:tcW w:w="1772" w:type="dxa"/>
          </w:tcPr>
          <w:p w14:paraId="6F5C45CE" w14:textId="77777777" w:rsidR="00350D6E" w:rsidRPr="00350D6E" w:rsidRDefault="00350D6E" w:rsidP="00350D6E">
            <w:pPr>
              <w:pStyle w:val="Tableheadingboardreport"/>
            </w:pPr>
            <w:r w:rsidRPr="008D1F67">
              <w:t>Year to Date Variance %</w:t>
            </w:r>
          </w:p>
        </w:tc>
      </w:tr>
      <w:tr w:rsidR="00350D6E" w14:paraId="2ABB5468" w14:textId="77777777" w:rsidTr="0038661C">
        <w:tc>
          <w:tcPr>
            <w:tcW w:w="1930" w:type="dxa"/>
          </w:tcPr>
          <w:p w14:paraId="05EBC7DA" w14:textId="77777777" w:rsidR="00350D6E" w:rsidRPr="007277C3" w:rsidRDefault="00350D6E" w:rsidP="00350D6E">
            <w:pPr>
              <w:pStyle w:val="Tabletext"/>
            </w:pPr>
            <w:r>
              <w:t>Pay</w:t>
            </w:r>
          </w:p>
        </w:tc>
        <w:tc>
          <w:tcPr>
            <w:tcW w:w="1771" w:type="dxa"/>
          </w:tcPr>
          <w:p w14:paraId="415E9810" w14:textId="77777777" w:rsidR="00350D6E" w:rsidRPr="007277C3" w:rsidRDefault="00350D6E" w:rsidP="00350D6E">
            <w:pPr>
              <w:pStyle w:val="Tabletext"/>
              <w:jc w:val="right"/>
            </w:pPr>
            <w:r w:rsidRPr="009F7D73">
              <w:t>22.8</w:t>
            </w:r>
          </w:p>
        </w:tc>
        <w:tc>
          <w:tcPr>
            <w:tcW w:w="1772" w:type="dxa"/>
          </w:tcPr>
          <w:p w14:paraId="64FC7B8C" w14:textId="77777777" w:rsidR="00350D6E" w:rsidRPr="007277C3" w:rsidRDefault="00350D6E" w:rsidP="00350D6E">
            <w:pPr>
              <w:pStyle w:val="Tabletext"/>
              <w:jc w:val="right"/>
            </w:pPr>
            <w:r w:rsidRPr="001C20E2">
              <w:t>20.7</w:t>
            </w:r>
          </w:p>
        </w:tc>
        <w:tc>
          <w:tcPr>
            <w:tcW w:w="1771" w:type="dxa"/>
          </w:tcPr>
          <w:p w14:paraId="451C8C9D" w14:textId="77777777" w:rsidR="00350D6E" w:rsidRPr="007277C3" w:rsidRDefault="00350D6E" w:rsidP="00350D6E">
            <w:pPr>
              <w:pStyle w:val="Tabletext"/>
              <w:jc w:val="right"/>
            </w:pPr>
            <w:r w:rsidRPr="00EF73EC">
              <w:t>(2.2)</w:t>
            </w:r>
          </w:p>
        </w:tc>
        <w:tc>
          <w:tcPr>
            <w:tcW w:w="1772" w:type="dxa"/>
          </w:tcPr>
          <w:p w14:paraId="734B4C4E" w14:textId="77777777" w:rsidR="00350D6E" w:rsidRPr="00EF73EC" w:rsidRDefault="00350D6E" w:rsidP="00350D6E">
            <w:pPr>
              <w:pStyle w:val="Tabletext"/>
              <w:jc w:val="right"/>
            </w:pPr>
            <w:r w:rsidRPr="008D1F67">
              <w:t>(9%)</w:t>
            </w:r>
          </w:p>
        </w:tc>
      </w:tr>
      <w:tr w:rsidR="00350D6E" w14:paraId="441B1259" w14:textId="77777777" w:rsidTr="0038661C">
        <w:tc>
          <w:tcPr>
            <w:tcW w:w="1930" w:type="dxa"/>
          </w:tcPr>
          <w:p w14:paraId="6FA1EE39" w14:textId="77777777" w:rsidR="00350D6E" w:rsidRPr="007277C3" w:rsidRDefault="00350D6E" w:rsidP="00350D6E">
            <w:pPr>
              <w:pStyle w:val="Tabletext"/>
            </w:pPr>
            <w:r>
              <w:t>Non pay</w:t>
            </w:r>
          </w:p>
        </w:tc>
        <w:tc>
          <w:tcPr>
            <w:tcW w:w="1771" w:type="dxa"/>
          </w:tcPr>
          <w:p w14:paraId="323CF5BF" w14:textId="77777777" w:rsidR="00350D6E" w:rsidRPr="007277C3" w:rsidRDefault="00350D6E" w:rsidP="00350D6E">
            <w:pPr>
              <w:pStyle w:val="Tabletext"/>
              <w:jc w:val="right"/>
            </w:pPr>
            <w:r w:rsidRPr="009F7D73">
              <w:t>14.7</w:t>
            </w:r>
          </w:p>
        </w:tc>
        <w:tc>
          <w:tcPr>
            <w:tcW w:w="1772" w:type="dxa"/>
          </w:tcPr>
          <w:p w14:paraId="67AC6FBC" w14:textId="77777777" w:rsidR="00350D6E" w:rsidRPr="007277C3" w:rsidRDefault="00350D6E" w:rsidP="00350D6E">
            <w:pPr>
              <w:pStyle w:val="Tabletext"/>
              <w:jc w:val="right"/>
            </w:pPr>
            <w:r w:rsidRPr="001C20E2">
              <w:t>13.1</w:t>
            </w:r>
          </w:p>
        </w:tc>
        <w:tc>
          <w:tcPr>
            <w:tcW w:w="1771" w:type="dxa"/>
          </w:tcPr>
          <w:p w14:paraId="5D4766D9" w14:textId="77777777" w:rsidR="00350D6E" w:rsidRPr="007277C3" w:rsidRDefault="00350D6E" w:rsidP="00350D6E">
            <w:pPr>
              <w:pStyle w:val="Tabletext"/>
              <w:jc w:val="right"/>
            </w:pPr>
            <w:r w:rsidRPr="00EF73EC">
              <w:t>(1.6)</w:t>
            </w:r>
          </w:p>
        </w:tc>
        <w:tc>
          <w:tcPr>
            <w:tcW w:w="1772" w:type="dxa"/>
          </w:tcPr>
          <w:p w14:paraId="17416DB9" w14:textId="77777777" w:rsidR="00350D6E" w:rsidRPr="00EF73EC" w:rsidRDefault="00350D6E" w:rsidP="00350D6E">
            <w:pPr>
              <w:pStyle w:val="Tabletext"/>
              <w:jc w:val="right"/>
            </w:pPr>
            <w:r w:rsidRPr="008D1F67">
              <w:t>(11%)</w:t>
            </w:r>
          </w:p>
        </w:tc>
      </w:tr>
      <w:tr w:rsidR="00350D6E" w14:paraId="6FB2A083" w14:textId="77777777" w:rsidTr="0038661C">
        <w:tc>
          <w:tcPr>
            <w:tcW w:w="1930" w:type="dxa"/>
          </w:tcPr>
          <w:p w14:paraId="5D9BA663" w14:textId="77777777" w:rsidR="00350D6E" w:rsidRPr="007277C3" w:rsidRDefault="00350D6E" w:rsidP="00350D6E">
            <w:pPr>
              <w:pStyle w:val="Tabletext"/>
            </w:pPr>
            <w:r>
              <w:t>Income</w:t>
            </w:r>
          </w:p>
        </w:tc>
        <w:tc>
          <w:tcPr>
            <w:tcW w:w="1771" w:type="dxa"/>
          </w:tcPr>
          <w:p w14:paraId="374B1DCD" w14:textId="77777777" w:rsidR="00350D6E" w:rsidRPr="007277C3" w:rsidRDefault="00350D6E" w:rsidP="00350D6E">
            <w:pPr>
              <w:pStyle w:val="Tabletext"/>
              <w:jc w:val="right"/>
            </w:pPr>
            <w:r w:rsidRPr="009F7D73">
              <w:t>(11.1)</w:t>
            </w:r>
          </w:p>
        </w:tc>
        <w:tc>
          <w:tcPr>
            <w:tcW w:w="1772" w:type="dxa"/>
          </w:tcPr>
          <w:p w14:paraId="57C30249" w14:textId="77777777" w:rsidR="00350D6E" w:rsidRPr="007277C3" w:rsidRDefault="00350D6E" w:rsidP="00350D6E">
            <w:pPr>
              <w:pStyle w:val="Tabletext"/>
              <w:jc w:val="right"/>
            </w:pPr>
            <w:r w:rsidRPr="001C20E2">
              <w:t>(8.8)</w:t>
            </w:r>
          </w:p>
        </w:tc>
        <w:tc>
          <w:tcPr>
            <w:tcW w:w="1771" w:type="dxa"/>
          </w:tcPr>
          <w:p w14:paraId="6F3B88ED" w14:textId="77777777" w:rsidR="00350D6E" w:rsidRPr="007277C3" w:rsidRDefault="00350D6E" w:rsidP="00350D6E">
            <w:pPr>
              <w:pStyle w:val="Tabletext"/>
              <w:jc w:val="right"/>
            </w:pPr>
            <w:r w:rsidRPr="00EF73EC">
              <w:t>2.4</w:t>
            </w:r>
          </w:p>
        </w:tc>
        <w:tc>
          <w:tcPr>
            <w:tcW w:w="1772" w:type="dxa"/>
          </w:tcPr>
          <w:p w14:paraId="5A00E734" w14:textId="77777777" w:rsidR="00350D6E" w:rsidRPr="00EF73EC" w:rsidRDefault="00350D6E" w:rsidP="00350D6E">
            <w:pPr>
              <w:pStyle w:val="Tabletext"/>
              <w:jc w:val="right"/>
            </w:pPr>
            <w:r w:rsidRPr="008D1F67">
              <w:t>21%</w:t>
            </w:r>
          </w:p>
        </w:tc>
      </w:tr>
      <w:tr w:rsidR="00350D6E" w14:paraId="189BD2D9" w14:textId="77777777" w:rsidTr="0038661C">
        <w:tc>
          <w:tcPr>
            <w:tcW w:w="1930" w:type="dxa"/>
          </w:tcPr>
          <w:p w14:paraId="32C4ADA3" w14:textId="77777777" w:rsidR="00350D6E" w:rsidRPr="00350D6E" w:rsidRDefault="00350D6E" w:rsidP="00350D6E">
            <w:pPr>
              <w:pStyle w:val="Tabletext"/>
              <w:rPr>
                <w:b/>
                <w:bCs/>
              </w:rPr>
            </w:pPr>
            <w:r w:rsidRPr="00350D6E">
              <w:rPr>
                <w:b/>
                <w:bCs/>
              </w:rPr>
              <w:t>Total</w:t>
            </w:r>
          </w:p>
        </w:tc>
        <w:tc>
          <w:tcPr>
            <w:tcW w:w="1771" w:type="dxa"/>
          </w:tcPr>
          <w:p w14:paraId="3E461D5B" w14:textId="77777777" w:rsidR="00350D6E" w:rsidRPr="00350D6E" w:rsidRDefault="00350D6E" w:rsidP="00350D6E">
            <w:pPr>
              <w:pStyle w:val="Tabletext"/>
              <w:jc w:val="right"/>
              <w:rPr>
                <w:b/>
                <w:bCs/>
              </w:rPr>
            </w:pPr>
            <w:r w:rsidRPr="00350D6E">
              <w:rPr>
                <w:b/>
                <w:bCs/>
              </w:rPr>
              <w:t>26.4</w:t>
            </w:r>
          </w:p>
        </w:tc>
        <w:tc>
          <w:tcPr>
            <w:tcW w:w="1772" w:type="dxa"/>
          </w:tcPr>
          <w:p w14:paraId="22E10F6A" w14:textId="77777777" w:rsidR="00350D6E" w:rsidRPr="00350D6E" w:rsidRDefault="00350D6E" w:rsidP="00350D6E">
            <w:pPr>
              <w:pStyle w:val="Tabletext"/>
              <w:jc w:val="right"/>
              <w:rPr>
                <w:b/>
                <w:bCs/>
              </w:rPr>
            </w:pPr>
            <w:r w:rsidRPr="00350D6E">
              <w:rPr>
                <w:b/>
                <w:bCs/>
              </w:rPr>
              <w:t>25.0</w:t>
            </w:r>
          </w:p>
        </w:tc>
        <w:tc>
          <w:tcPr>
            <w:tcW w:w="1771" w:type="dxa"/>
          </w:tcPr>
          <w:p w14:paraId="2F1929CE" w14:textId="77777777" w:rsidR="00350D6E" w:rsidRPr="00350D6E" w:rsidRDefault="00350D6E" w:rsidP="00350D6E">
            <w:pPr>
              <w:pStyle w:val="Tabletext"/>
              <w:jc w:val="right"/>
              <w:rPr>
                <w:b/>
                <w:bCs/>
              </w:rPr>
            </w:pPr>
            <w:r w:rsidRPr="00350D6E">
              <w:rPr>
                <w:b/>
                <w:bCs/>
              </w:rPr>
              <w:t>(1.4)</w:t>
            </w:r>
          </w:p>
        </w:tc>
        <w:tc>
          <w:tcPr>
            <w:tcW w:w="1772" w:type="dxa"/>
          </w:tcPr>
          <w:p w14:paraId="73658492" w14:textId="77777777" w:rsidR="00350D6E" w:rsidRPr="00350D6E" w:rsidRDefault="00350D6E" w:rsidP="00350D6E">
            <w:pPr>
              <w:pStyle w:val="Tabletext"/>
              <w:jc w:val="right"/>
              <w:rPr>
                <w:b/>
                <w:bCs/>
              </w:rPr>
            </w:pPr>
            <w:r w:rsidRPr="00350D6E">
              <w:rPr>
                <w:b/>
                <w:bCs/>
              </w:rPr>
              <w:t>(5%)</w:t>
            </w:r>
          </w:p>
        </w:tc>
      </w:tr>
    </w:tbl>
    <w:p w14:paraId="55A3E91C" w14:textId="46B0FF46" w:rsidR="00691AAE" w:rsidRDefault="00691AAE" w:rsidP="00691AAE">
      <w:pPr>
        <w:pStyle w:val="Caption"/>
      </w:pPr>
      <w:r w:rsidRPr="00691AAE">
        <w:t xml:space="preserve">Table 1: Financial position as </w:t>
      </w:r>
      <w:proofErr w:type="gramStart"/>
      <w:r w:rsidRPr="00691AAE">
        <w:t>at</w:t>
      </w:r>
      <w:proofErr w:type="gramEnd"/>
      <w:r w:rsidRPr="00691AAE">
        <w:t xml:space="preserve"> 30 September 2020</w:t>
      </w:r>
    </w:p>
    <w:p w14:paraId="719DC134" w14:textId="77777777" w:rsidR="00691AAE" w:rsidRDefault="00691AAE" w:rsidP="00691AAE">
      <w:pPr>
        <w:pStyle w:val="NICEnormalnumbered"/>
        <w:numPr>
          <w:ilvl w:val="0"/>
          <w:numId w:val="0"/>
        </w:numPr>
      </w:pPr>
    </w:p>
    <w:p w14:paraId="1AA8DDA0" w14:textId="0FC873B5" w:rsidR="00691AAE" w:rsidRDefault="00691AAE" w:rsidP="00691AAE">
      <w:pPr>
        <w:pStyle w:val="NICEnormalnumbered"/>
      </w:pPr>
      <w:r w:rsidRPr="00507AED">
        <w:t xml:space="preserve">Overall, the year to date position to 30 September 2020 was an underspend of £1.4m (5%) as shown in Table 1 above. </w:t>
      </w:r>
    </w:p>
    <w:p w14:paraId="180BB2E2" w14:textId="1B018F18" w:rsidR="00691AAE" w:rsidRDefault="00691AAE" w:rsidP="00691AAE">
      <w:pPr>
        <w:pStyle w:val="Heading2boardreport"/>
      </w:pPr>
      <w:r w:rsidRPr="00691AAE">
        <w:t>Pay expenditure</w:t>
      </w:r>
    </w:p>
    <w:p w14:paraId="464A6558" w14:textId="3B909666" w:rsidR="00691AAE" w:rsidRPr="00691AAE" w:rsidRDefault="00691AAE" w:rsidP="00691AAE">
      <w:pPr>
        <w:pStyle w:val="NICEnormalnumbered"/>
      </w:pPr>
      <w:r w:rsidRPr="00691AAE">
        <w:t xml:space="preserve">Pay expenditure to 30 September 2020 was £20.7m against a budget of £22.8m, resulting in an underspend of £2.2m (9%). </w:t>
      </w:r>
    </w:p>
    <w:p w14:paraId="25DB415F" w14:textId="6357157B" w:rsidR="00691AAE" w:rsidRDefault="00691AAE" w:rsidP="00691AAE">
      <w:pPr>
        <w:pStyle w:val="NICEnormalnumbered"/>
      </w:pPr>
      <w:r w:rsidRPr="00691AAE">
        <w:t>As of 30 September 2020, NICE had 101 whole time equivalent (</w:t>
      </w:r>
      <w:proofErr w:type="spellStart"/>
      <w:r w:rsidRPr="00691AAE">
        <w:t>wte</w:t>
      </w:r>
      <w:proofErr w:type="spellEnd"/>
      <w:r w:rsidRPr="00691AAE">
        <w:t>) vacant posts across the organisation. These vacancies are a mixture of vacancies relating to general staff turnover and new posts to support transformation and new activity (for which recruitment had been planned to begin in the latter half of 2020-21).</w:t>
      </w:r>
    </w:p>
    <w:p w14:paraId="1EE0004E" w14:textId="1FDCB62B" w:rsidR="00714C42" w:rsidRDefault="00714C42" w:rsidP="00714C42">
      <w:pPr>
        <w:pStyle w:val="Heading2boardreport"/>
      </w:pPr>
      <w:r w:rsidRPr="00714C42">
        <w:lastRenderedPageBreak/>
        <w:t>Non-pay expenditure</w:t>
      </w:r>
    </w:p>
    <w:p w14:paraId="7145645D" w14:textId="7E229100" w:rsidR="00714C42" w:rsidRDefault="00714C42" w:rsidP="00714C42">
      <w:pPr>
        <w:pStyle w:val="NICEnormalnumbered"/>
      </w:pPr>
      <w:r w:rsidRPr="00714C42">
        <w:t>Non-Pay expenditure to 30 September 2020 was £13.1m against a budget of £14.7m, resulting in an underspend of £1.6m (11%). The year to date underspend is mainly due to the following:</w:t>
      </w:r>
    </w:p>
    <w:p w14:paraId="18F89429" w14:textId="77777777" w:rsidR="00714C42" w:rsidRPr="00714C42" w:rsidRDefault="00714C42" w:rsidP="00714C42">
      <w:pPr>
        <w:pStyle w:val="Bulletindent1"/>
      </w:pPr>
      <w:r w:rsidRPr="00714C42">
        <w:t xml:space="preserve">£0.4m underspend against the flexible element of the MedTech External Assessment Centre contracts. It is expected that the fixed element of the contract will be fully utilised this year despite limited activity at the beginning of the year because of COVID-19, but it is unlikely that much of the variable budget will be used this year. </w:t>
      </w:r>
    </w:p>
    <w:p w14:paraId="135898A0" w14:textId="77777777" w:rsidR="00714C42" w:rsidRPr="00714C42" w:rsidRDefault="00714C42" w:rsidP="00714C42">
      <w:pPr>
        <w:pStyle w:val="Bulletindent1"/>
      </w:pPr>
      <w:r w:rsidRPr="00714C42">
        <w:t>£0.8m underspend on travel and subsistence and committee costs across NICE. This will likely continue for the rest of the financial year.</w:t>
      </w:r>
    </w:p>
    <w:p w14:paraId="48E400A6" w14:textId="77777777" w:rsidR="00714C42" w:rsidRPr="00714C42" w:rsidRDefault="00714C42" w:rsidP="00714C42">
      <w:pPr>
        <w:pStyle w:val="Bulletindent1"/>
      </w:pPr>
      <w:r w:rsidRPr="00714C42">
        <w:t xml:space="preserve">£0.2m underspend against the project budget within NICE Connect set aside for contractor / consultancy spend on the content development strategy and operational productivity (including SharePoint Online implementation). </w:t>
      </w:r>
    </w:p>
    <w:p w14:paraId="6DF9C7EE" w14:textId="77777777" w:rsidR="00714C42" w:rsidRPr="00714C42" w:rsidRDefault="00714C42" w:rsidP="00B7043C">
      <w:pPr>
        <w:pStyle w:val="Bulletindent1last"/>
      </w:pPr>
      <w:r w:rsidRPr="00714C42">
        <w:t>£0.1m relating to unspent conference and seminar budgets, including the NICE annual conference and attendance at external conferences. Many of these have been moved into the next financial year.</w:t>
      </w:r>
    </w:p>
    <w:p w14:paraId="0F21B932" w14:textId="52DD1720" w:rsidR="00714C42" w:rsidRDefault="00847D22" w:rsidP="00847D22">
      <w:pPr>
        <w:pStyle w:val="Heading2boardreport"/>
      </w:pPr>
      <w:r w:rsidRPr="00847D22">
        <w:t>Income</w:t>
      </w:r>
    </w:p>
    <w:p w14:paraId="5A6E824D" w14:textId="36384573" w:rsidR="00847D22" w:rsidRPr="00847D22" w:rsidRDefault="00847D22" w:rsidP="00847D22">
      <w:pPr>
        <w:pStyle w:val="NICEnormalnumbered"/>
      </w:pPr>
      <w:r w:rsidRPr="00847D22">
        <w:t xml:space="preserve">Income generated to 30 September 2020 was £8.8m against a budget of £11.1m, resulting in an under recovery of £2.4m (21%). This is due to £2.7m under recovery of income from the TA / HST programme arising from the impact of the COVID-19 pandemic. </w:t>
      </w:r>
    </w:p>
    <w:p w14:paraId="06CCF800" w14:textId="42BCC491" w:rsidR="00847D22" w:rsidRDefault="00847D22" w:rsidP="00847D22">
      <w:pPr>
        <w:pStyle w:val="NICEnormalnumbered"/>
      </w:pPr>
      <w:r w:rsidRPr="00847D22">
        <w:t>The under recovery of income is partially offset by NICE Scientific Advice (NSA) which has generated a surplus of £0.2m due to higher than expected income generation in the first half of the year. Further, the first instalment of the recently agreed partnership with NICE and NHS Digital for delivery of the national library of quality indicators was charged in September (£0.1m).</w:t>
      </w:r>
    </w:p>
    <w:p w14:paraId="5ECDCB83" w14:textId="1E0DCF47" w:rsidR="00FE116A" w:rsidRDefault="00FE116A" w:rsidP="00FE116A">
      <w:pPr>
        <w:pStyle w:val="Heading1boardreport"/>
      </w:pPr>
      <w:r w:rsidRPr="00FE116A">
        <w:lastRenderedPageBreak/>
        <w:t>Forecast Outturn</w:t>
      </w:r>
    </w:p>
    <w:p w14:paraId="211E076A" w14:textId="77777777" w:rsidR="00C00F7A" w:rsidRPr="00C00F7A" w:rsidRDefault="00C00F7A" w:rsidP="00C00F7A">
      <w:pPr>
        <w:pStyle w:val="NICEnormalnumbered"/>
      </w:pPr>
      <w:r w:rsidRPr="00C00F7A">
        <w:t>The estimated outturn financial position is an underspend of £1.3m as shown in table 2 below.</w:t>
      </w:r>
    </w:p>
    <w:p w14:paraId="12D58FBE" w14:textId="3A0A5734" w:rsidR="00FE116A" w:rsidRDefault="00C00F7A" w:rsidP="00C00F7A">
      <w:pPr>
        <w:pStyle w:val="Caption"/>
      </w:pPr>
      <w:r w:rsidRPr="00C00F7A">
        <w:t>Table 2: Estimated outturn to 31 March 2021</w:t>
      </w:r>
    </w:p>
    <w:tbl>
      <w:tblPr>
        <w:tblpPr w:leftFromText="180" w:rightFromText="180" w:vertAnchor="text" w:horzAnchor="margin" w:tblpY="2"/>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timated outturn to 31 March 2021"/>
        <w:tblDescription w:val="Table 2: Estimated outturn financial position, April 2020 to March 2021"/>
      </w:tblPr>
      <w:tblGrid>
        <w:gridCol w:w="1930"/>
        <w:gridCol w:w="1771"/>
        <w:gridCol w:w="1772"/>
        <w:gridCol w:w="1771"/>
        <w:gridCol w:w="1772"/>
      </w:tblGrid>
      <w:tr w:rsidR="0038661C" w14:paraId="12166ACA" w14:textId="77777777" w:rsidTr="0038661C">
        <w:trPr>
          <w:cantSplit/>
          <w:tblHeader/>
        </w:trPr>
        <w:tc>
          <w:tcPr>
            <w:tcW w:w="1930" w:type="dxa"/>
          </w:tcPr>
          <w:p w14:paraId="41DB17AD" w14:textId="77777777" w:rsidR="0038661C" w:rsidRPr="007277C3" w:rsidRDefault="0038661C" w:rsidP="0038661C">
            <w:pPr>
              <w:pStyle w:val="Tableheadingboardreport"/>
            </w:pPr>
            <w:r>
              <w:t>Spend Category</w:t>
            </w:r>
          </w:p>
        </w:tc>
        <w:tc>
          <w:tcPr>
            <w:tcW w:w="1771" w:type="dxa"/>
          </w:tcPr>
          <w:p w14:paraId="0D282609" w14:textId="77777777" w:rsidR="0038661C" w:rsidRPr="007277C3" w:rsidRDefault="0038661C" w:rsidP="0038661C">
            <w:pPr>
              <w:pStyle w:val="Tableheadingboardreport"/>
            </w:pPr>
            <w:r w:rsidRPr="007F472E">
              <w:t>Annual Budget £m</w:t>
            </w:r>
          </w:p>
        </w:tc>
        <w:tc>
          <w:tcPr>
            <w:tcW w:w="1772" w:type="dxa"/>
          </w:tcPr>
          <w:p w14:paraId="5847E71B" w14:textId="77777777" w:rsidR="0038661C" w:rsidRPr="007277C3" w:rsidRDefault="0038661C" w:rsidP="0038661C">
            <w:pPr>
              <w:pStyle w:val="Tableheadingboardreport"/>
            </w:pPr>
            <w:r w:rsidRPr="00872C0D">
              <w:t>Estimated Outturn £m</w:t>
            </w:r>
          </w:p>
        </w:tc>
        <w:tc>
          <w:tcPr>
            <w:tcW w:w="1771" w:type="dxa"/>
          </w:tcPr>
          <w:p w14:paraId="5979EDB8" w14:textId="77777777" w:rsidR="0038661C" w:rsidRPr="007277C3" w:rsidRDefault="0038661C" w:rsidP="0038661C">
            <w:pPr>
              <w:pStyle w:val="Tableheadingboardreport"/>
            </w:pPr>
            <w:r w:rsidRPr="00872C0D">
              <w:t>Estimated Outturn Variance £m</w:t>
            </w:r>
          </w:p>
        </w:tc>
        <w:tc>
          <w:tcPr>
            <w:tcW w:w="1772" w:type="dxa"/>
          </w:tcPr>
          <w:p w14:paraId="35A18FCD" w14:textId="77777777" w:rsidR="0038661C" w:rsidRPr="00350D6E" w:rsidRDefault="0038661C" w:rsidP="0038661C">
            <w:pPr>
              <w:pStyle w:val="Tableheadingboardreport"/>
            </w:pPr>
            <w:r w:rsidRPr="00872C0D">
              <w:t>Estimated Outturn Variance %</w:t>
            </w:r>
          </w:p>
        </w:tc>
      </w:tr>
      <w:tr w:rsidR="0038661C" w14:paraId="2B6F4489" w14:textId="77777777" w:rsidTr="0038661C">
        <w:tc>
          <w:tcPr>
            <w:tcW w:w="1930" w:type="dxa"/>
          </w:tcPr>
          <w:p w14:paraId="010B8D85" w14:textId="77777777" w:rsidR="0038661C" w:rsidRPr="007277C3" w:rsidRDefault="0038661C" w:rsidP="0038661C">
            <w:pPr>
              <w:pStyle w:val="Tabletext"/>
            </w:pPr>
            <w:r>
              <w:t>Pay</w:t>
            </w:r>
          </w:p>
        </w:tc>
        <w:tc>
          <w:tcPr>
            <w:tcW w:w="1771" w:type="dxa"/>
          </w:tcPr>
          <w:p w14:paraId="3340DB65" w14:textId="77777777" w:rsidR="0038661C" w:rsidRPr="007277C3" w:rsidRDefault="0038661C" w:rsidP="0038661C">
            <w:pPr>
              <w:pStyle w:val="Tabletext"/>
              <w:jc w:val="right"/>
            </w:pPr>
            <w:r w:rsidRPr="007F472E">
              <w:t>46.1</w:t>
            </w:r>
          </w:p>
        </w:tc>
        <w:tc>
          <w:tcPr>
            <w:tcW w:w="1772" w:type="dxa"/>
          </w:tcPr>
          <w:p w14:paraId="5A2D6E62" w14:textId="77777777" w:rsidR="0038661C" w:rsidRPr="007277C3" w:rsidRDefault="0038661C" w:rsidP="0038661C">
            <w:pPr>
              <w:pStyle w:val="Tabletext"/>
              <w:jc w:val="right"/>
            </w:pPr>
            <w:r w:rsidRPr="00872C0D">
              <w:t>43.2</w:t>
            </w:r>
          </w:p>
        </w:tc>
        <w:tc>
          <w:tcPr>
            <w:tcW w:w="1771" w:type="dxa"/>
          </w:tcPr>
          <w:p w14:paraId="1BF08FE4" w14:textId="77777777" w:rsidR="0038661C" w:rsidRPr="007277C3" w:rsidRDefault="0038661C" w:rsidP="0038661C">
            <w:pPr>
              <w:pStyle w:val="Tabletext"/>
              <w:jc w:val="right"/>
            </w:pPr>
            <w:r w:rsidRPr="00872C0D">
              <w:t>(2.9)</w:t>
            </w:r>
          </w:p>
        </w:tc>
        <w:tc>
          <w:tcPr>
            <w:tcW w:w="1772" w:type="dxa"/>
          </w:tcPr>
          <w:p w14:paraId="76CCD75F" w14:textId="77777777" w:rsidR="0038661C" w:rsidRPr="00EF73EC" w:rsidRDefault="0038661C" w:rsidP="0038661C">
            <w:pPr>
              <w:pStyle w:val="Tabletext"/>
              <w:jc w:val="right"/>
            </w:pPr>
            <w:r w:rsidRPr="00872C0D">
              <w:t>(6%)</w:t>
            </w:r>
          </w:p>
        </w:tc>
      </w:tr>
      <w:tr w:rsidR="0038661C" w14:paraId="7AB0647B" w14:textId="77777777" w:rsidTr="0038661C">
        <w:tc>
          <w:tcPr>
            <w:tcW w:w="1930" w:type="dxa"/>
          </w:tcPr>
          <w:p w14:paraId="66A4FA55" w14:textId="77777777" w:rsidR="0038661C" w:rsidRPr="007277C3" w:rsidRDefault="0038661C" w:rsidP="0038661C">
            <w:pPr>
              <w:pStyle w:val="Tabletext"/>
            </w:pPr>
            <w:r>
              <w:t>Non pay</w:t>
            </w:r>
          </w:p>
        </w:tc>
        <w:tc>
          <w:tcPr>
            <w:tcW w:w="1771" w:type="dxa"/>
          </w:tcPr>
          <w:p w14:paraId="6224826B" w14:textId="77777777" w:rsidR="0038661C" w:rsidRPr="007277C3" w:rsidRDefault="0038661C" w:rsidP="0038661C">
            <w:pPr>
              <w:pStyle w:val="Tabletext"/>
              <w:jc w:val="right"/>
            </w:pPr>
            <w:r w:rsidRPr="007F472E">
              <w:t>29.2</w:t>
            </w:r>
          </w:p>
        </w:tc>
        <w:tc>
          <w:tcPr>
            <w:tcW w:w="1772" w:type="dxa"/>
          </w:tcPr>
          <w:p w14:paraId="2DAC2029" w14:textId="77777777" w:rsidR="0038661C" w:rsidRPr="007277C3" w:rsidRDefault="0038661C" w:rsidP="0038661C">
            <w:pPr>
              <w:pStyle w:val="Tabletext"/>
              <w:jc w:val="right"/>
            </w:pPr>
            <w:r w:rsidRPr="00872C0D">
              <w:t>26.7</w:t>
            </w:r>
          </w:p>
        </w:tc>
        <w:tc>
          <w:tcPr>
            <w:tcW w:w="1771" w:type="dxa"/>
          </w:tcPr>
          <w:p w14:paraId="3F5A7DD7" w14:textId="77777777" w:rsidR="0038661C" w:rsidRPr="007277C3" w:rsidRDefault="0038661C" w:rsidP="0038661C">
            <w:pPr>
              <w:pStyle w:val="Tabletext"/>
              <w:jc w:val="right"/>
            </w:pPr>
            <w:r w:rsidRPr="00872C0D">
              <w:t>(2.5)</w:t>
            </w:r>
          </w:p>
        </w:tc>
        <w:tc>
          <w:tcPr>
            <w:tcW w:w="1772" w:type="dxa"/>
          </w:tcPr>
          <w:p w14:paraId="0D9A7CBF" w14:textId="77777777" w:rsidR="0038661C" w:rsidRPr="00EF73EC" w:rsidRDefault="0038661C" w:rsidP="0038661C">
            <w:pPr>
              <w:pStyle w:val="Tabletext"/>
              <w:jc w:val="right"/>
            </w:pPr>
            <w:r w:rsidRPr="00872C0D">
              <w:t>(9%)</w:t>
            </w:r>
          </w:p>
        </w:tc>
      </w:tr>
      <w:tr w:rsidR="0038661C" w14:paraId="6EA5FEC7" w14:textId="77777777" w:rsidTr="0038661C">
        <w:tc>
          <w:tcPr>
            <w:tcW w:w="1930" w:type="dxa"/>
          </w:tcPr>
          <w:p w14:paraId="5C0BAC42" w14:textId="77777777" w:rsidR="0038661C" w:rsidRPr="007277C3" w:rsidRDefault="0038661C" w:rsidP="0038661C">
            <w:pPr>
              <w:pStyle w:val="Tabletext"/>
            </w:pPr>
            <w:r>
              <w:t>Income</w:t>
            </w:r>
          </w:p>
        </w:tc>
        <w:tc>
          <w:tcPr>
            <w:tcW w:w="1771" w:type="dxa"/>
          </w:tcPr>
          <w:p w14:paraId="46DC3745" w14:textId="77777777" w:rsidR="0038661C" w:rsidRPr="007277C3" w:rsidRDefault="0038661C" w:rsidP="0038661C">
            <w:pPr>
              <w:pStyle w:val="Tabletext"/>
              <w:jc w:val="right"/>
            </w:pPr>
            <w:r w:rsidRPr="007F472E">
              <w:t>(22.0)</w:t>
            </w:r>
          </w:p>
        </w:tc>
        <w:tc>
          <w:tcPr>
            <w:tcW w:w="1772" w:type="dxa"/>
          </w:tcPr>
          <w:p w14:paraId="09411D00" w14:textId="77777777" w:rsidR="0038661C" w:rsidRPr="007277C3" w:rsidRDefault="0038661C" w:rsidP="0038661C">
            <w:pPr>
              <w:pStyle w:val="Tabletext"/>
              <w:jc w:val="right"/>
            </w:pPr>
            <w:r w:rsidRPr="00872C0D">
              <w:t>(18.0)</w:t>
            </w:r>
          </w:p>
        </w:tc>
        <w:tc>
          <w:tcPr>
            <w:tcW w:w="1771" w:type="dxa"/>
          </w:tcPr>
          <w:p w14:paraId="22022EB1" w14:textId="77777777" w:rsidR="0038661C" w:rsidRPr="007277C3" w:rsidRDefault="0038661C" w:rsidP="0038661C">
            <w:pPr>
              <w:pStyle w:val="Tabletext"/>
              <w:jc w:val="right"/>
            </w:pPr>
            <w:r w:rsidRPr="00872C0D">
              <w:t>4.0</w:t>
            </w:r>
          </w:p>
        </w:tc>
        <w:tc>
          <w:tcPr>
            <w:tcW w:w="1772" w:type="dxa"/>
          </w:tcPr>
          <w:p w14:paraId="48C5FDCA" w14:textId="77777777" w:rsidR="0038661C" w:rsidRPr="00EF73EC" w:rsidRDefault="0038661C" w:rsidP="0038661C">
            <w:pPr>
              <w:pStyle w:val="Tabletext"/>
              <w:jc w:val="right"/>
            </w:pPr>
            <w:r w:rsidRPr="00872C0D">
              <w:t>18%</w:t>
            </w:r>
          </w:p>
        </w:tc>
      </w:tr>
      <w:tr w:rsidR="0038661C" w14:paraId="016AE2A2" w14:textId="77777777" w:rsidTr="0038661C">
        <w:tc>
          <w:tcPr>
            <w:tcW w:w="1930" w:type="dxa"/>
          </w:tcPr>
          <w:p w14:paraId="712C14AC" w14:textId="77777777" w:rsidR="0038661C" w:rsidRPr="0038661C" w:rsidRDefault="0038661C" w:rsidP="0038661C">
            <w:pPr>
              <w:pStyle w:val="Tabletext"/>
              <w:rPr>
                <w:b/>
                <w:bCs/>
              </w:rPr>
            </w:pPr>
            <w:r w:rsidRPr="0038661C">
              <w:rPr>
                <w:b/>
                <w:bCs/>
              </w:rPr>
              <w:t>Total</w:t>
            </w:r>
          </w:p>
        </w:tc>
        <w:tc>
          <w:tcPr>
            <w:tcW w:w="1771" w:type="dxa"/>
          </w:tcPr>
          <w:p w14:paraId="4321F868" w14:textId="77777777" w:rsidR="0038661C" w:rsidRPr="0038661C" w:rsidRDefault="0038661C" w:rsidP="0038661C">
            <w:pPr>
              <w:pStyle w:val="Tabletext"/>
              <w:jc w:val="right"/>
              <w:rPr>
                <w:b/>
                <w:bCs/>
              </w:rPr>
            </w:pPr>
            <w:r w:rsidRPr="0038661C">
              <w:rPr>
                <w:b/>
                <w:bCs/>
              </w:rPr>
              <w:t>53.2</w:t>
            </w:r>
          </w:p>
        </w:tc>
        <w:tc>
          <w:tcPr>
            <w:tcW w:w="1772" w:type="dxa"/>
          </w:tcPr>
          <w:p w14:paraId="0943733E" w14:textId="77777777" w:rsidR="0038661C" w:rsidRPr="0038661C" w:rsidRDefault="0038661C" w:rsidP="0038661C">
            <w:pPr>
              <w:pStyle w:val="Tabletext"/>
              <w:jc w:val="right"/>
              <w:rPr>
                <w:b/>
                <w:bCs/>
              </w:rPr>
            </w:pPr>
            <w:r w:rsidRPr="0038661C">
              <w:rPr>
                <w:b/>
                <w:bCs/>
              </w:rPr>
              <w:t>51.9</w:t>
            </w:r>
          </w:p>
        </w:tc>
        <w:tc>
          <w:tcPr>
            <w:tcW w:w="1771" w:type="dxa"/>
          </w:tcPr>
          <w:p w14:paraId="7BA8D39B" w14:textId="77777777" w:rsidR="0038661C" w:rsidRPr="0038661C" w:rsidRDefault="0038661C" w:rsidP="0038661C">
            <w:pPr>
              <w:pStyle w:val="Tabletext"/>
              <w:jc w:val="right"/>
              <w:rPr>
                <w:b/>
                <w:bCs/>
              </w:rPr>
            </w:pPr>
            <w:r w:rsidRPr="0038661C">
              <w:rPr>
                <w:b/>
                <w:bCs/>
              </w:rPr>
              <w:t>(1.3)</w:t>
            </w:r>
          </w:p>
        </w:tc>
        <w:tc>
          <w:tcPr>
            <w:tcW w:w="1772" w:type="dxa"/>
          </w:tcPr>
          <w:p w14:paraId="16CAE975" w14:textId="77777777" w:rsidR="0038661C" w:rsidRPr="0038661C" w:rsidRDefault="0038661C" w:rsidP="0038661C">
            <w:pPr>
              <w:pStyle w:val="Tabletext"/>
              <w:jc w:val="right"/>
              <w:rPr>
                <w:b/>
                <w:bCs/>
              </w:rPr>
            </w:pPr>
            <w:r w:rsidRPr="0038661C">
              <w:rPr>
                <w:b/>
                <w:bCs/>
              </w:rPr>
              <w:t>(2%)</w:t>
            </w:r>
          </w:p>
        </w:tc>
      </w:tr>
    </w:tbl>
    <w:p w14:paraId="1D69E362" w14:textId="77777777" w:rsidR="0038661C" w:rsidRDefault="0038661C" w:rsidP="00C00F7A">
      <w:pPr>
        <w:pStyle w:val="NICEnormal"/>
      </w:pPr>
    </w:p>
    <w:p w14:paraId="7C713E51" w14:textId="6AB3EFE2" w:rsidR="00B7043C" w:rsidRPr="00B7043C" w:rsidRDefault="00B7043C" w:rsidP="00B7043C">
      <w:pPr>
        <w:pStyle w:val="NICEnormalnumbered"/>
      </w:pPr>
      <w:r w:rsidRPr="00B7043C">
        <w:t xml:space="preserve">The September Resources Board paper stated a forecast deficit of £0.1m. This was based on the financial position and uncertainties as at the end of July (4 months). Following a mid-year forecast review by the finance team we now expect the forecast outturn to be an under spend of £1.3m in 2020/21. </w:t>
      </w:r>
    </w:p>
    <w:p w14:paraId="61F41DF9" w14:textId="2A9E51D9" w:rsidR="00B7043C" w:rsidRDefault="00B7043C" w:rsidP="00B7043C">
      <w:pPr>
        <w:pStyle w:val="NICEnormalnumbered"/>
      </w:pPr>
      <w:r w:rsidRPr="00B7043C">
        <w:t>The £1.4m change in forecast variance has arisen due to the following:</w:t>
      </w:r>
    </w:p>
    <w:p w14:paraId="23B72CF9" w14:textId="77777777" w:rsidR="00B7043C" w:rsidRPr="00B7043C" w:rsidRDefault="00B7043C" w:rsidP="00B7043C">
      <w:pPr>
        <w:pStyle w:val="Bulletindent1"/>
      </w:pPr>
      <w:r w:rsidRPr="00B7043C">
        <w:t>£0.4m further underspend in pay relating to delayed recruitment to new posts and the recruitment gaps expected on staff who handed in their notice after July.</w:t>
      </w:r>
    </w:p>
    <w:p w14:paraId="45452253" w14:textId="77777777" w:rsidR="00B7043C" w:rsidRPr="00B7043C" w:rsidRDefault="00B7043C" w:rsidP="00B7043C">
      <w:pPr>
        <w:pStyle w:val="Bulletindent1"/>
      </w:pPr>
      <w:r w:rsidRPr="00B7043C">
        <w:t>A £0.3m reduction in the cost pressure relating to the new COVID-19 Unit, it had previously been assumed these posts would be filled by external candidates, but they have thus far been filled internally.</w:t>
      </w:r>
    </w:p>
    <w:p w14:paraId="0842AA24" w14:textId="77777777" w:rsidR="00B7043C" w:rsidRPr="00B7043C" w:rsidRDefault="00B7043C" w:rsidP="00B7043C">
      <w:pPr>
        <w:pStyle w:val="Bulletindent1"/>
      </w:pPr>
      <w:r w:rsidRPr="00B7043C">
        <w:t>£0.2m of potential costs in London due to overlapping rent and rate costs have been avoided due to slippage in the new lease start date.</w:t>
      </w:r>
    </w:p>
    <w:p w14:paraId="0085CE58" w14:textId="77777777" w:rsidR="00B7043C" w:rsidRPr="00B7043C" w:rsidRDefault="00B7043C" w:rsidP="00B7043C">
      <w:pPr>
        <w:pStyle w:val="Bulletindent1"/>
      </w:pPr>
      <w:r w:rsidRPr="00B7043C">
        <w:t>£0.3m higher income forecast, mainly attributable to increased expectation that Scientific Advice will make a surplus this year.</w:t>
      </w:r>
    </w:p>
    <w:p w14:paraId="2849C057" w14:textId="77777777" w:rsidR="00B7043C" w:rsidRPr="00B7043C" w:rsidRDefault="00B7043C" w:rsidP="00B7043C">
      <w:pPr>
        <w:pStyle w:val="Bulletindent1last"/>
      </w:pPr>
      <w:r w:rsidRPr="00B7043C">
        <w:t>A £0.1m reduction in our assumption of potential legal costs relating to judicial reviews since July.</w:t>
      </w:r>
    </w:p>
    <w:p w14:paraId="16B6C169" w14:textId="586A149C" w:rsidR="00B7043C" w:rsidRDefault="00982788" w:rsidP="00982788">
      <w:pPr>
        <w:pStyle w:val="Heading2boardreport"/>
      </w:pPr>
      <w:r w:rsidRPr="00982788">
        <w:lastRenderedPageBreak/>
        <w:t>Update on COVID-19 assumptions in 2020-21 business plan</w:t>
      </w:r>
    </w:p>
    <w:p w14:paraId="78A57EF5" w14:textId="0B15612F" w:rsidR="00982788" w:rsidRDefault="000B3FCE" w:rsidP="000B3FCE">
      <w:pPr>
        <w:pStyle w:val="NICEnormalnumbered"/>
      </w:pPr>
      <w:r w:rsidRPr="000B3FCE">
        <w:t>We made some financial assumptions in the 2020-21 Business Plan regarding COVID-19, with a reasonable worst-case scenario of £0.4m deficit, rising to £2.1m in the worst-case scenario. Table 3 below shows an update on the current year-end forecast against these assumptions.</w:t>
      </w:r>
    </w:p>
    <w:p w14:paraId="4E3DF8A1" w14:textId="6D22102E" w:rsidR="000B3FCE" w:rsidRDefault="000B3FCE" w:rsidP="000B3FCE">
      <w:pPr>
        <w:pStyle w:val="Caption"/>
      </w:pPr>
      <w:r w:rsidRPr="000B3FCE">
        <w:t>Table 3: Business plan vs forecast COVID-19 assumptions</w:t>
      </w:r>
    </w:p>
    <w:tbl>
      <w:tblPr>
        <w:tblpPr w:leftFromText="180" w:rightFromText="180" w:vertAnchor="text" w:horzAnchor="margin" w:tblpY="2"/>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usiness plan vs forecast COVID-19 assumptions"/>
        <w:tblDescription w:val="Table 3: compares the estimated financial position in the business plan as at April 2020 to the forecast financial position as at September 2020"/>
      </w:tblPr>
      <w:tblGrid>
        <w:gridCol w:w="3321"/>
        <w:gridCol w:w="3047"/>
        <w:gridCol w:w="3049"/>
      </w:tblGrid>
      <w:tr w:rsidR="00CE6E49" w14:paraId="4FF33908" w14:textId="77777777" w:rsidTr="00CE6E49">
        <w:trPr>
          <w:cantSplit/>
          <w:trHeight w:val="713"/>
          <w:tblHeader/>
        </w:trPr>
        <w:tc>
          <w:tcPr>
            <w:tcW w:w="3321" w:type="dxa"/>
          </w:tcPr>
          <w:p w14:paraId="7FB4FD1D" w14:textId="70490BE8" w:rsidR="00CE6E49" w:rsidRPr="007277C3" w:rsidRDefault="00CE6E49" w:rsidP="00CE6E49">
            <w:pPr>
              <w:pStyle w:val="Tableheadingboardreport"/>
            </w:pPr>
            <w:r w:rsidRPr="00C82097">
              <w:t xml:space="preserve">Assumption </w:t>
            </w:r>
          </w:p>
        </w:tc>
        <w:tc>
          <w:tcPr>
            <w:tcW w:w="3047" w:type="dxa"/>
          </w:tcPr>
          <w:p w14:paraId="5D5F46FB" w14:textId="3D5AB878" w:rsidR="00CE6E49" w:rsidRPr="007277C3" w:rsidRDefault="00CE6E49" w:rsidP="00CE6E49">
            <w:pPr>
              <w:pStyle w:val="Tableheadingboardreport"/>
            </w:pPr>
            <w:r w:rsidRPr="00C82097">
              <w:t>Business Plan (April 20)</w:t>
            </w:r>
          </w:p>
        </w:tc>
        <w:tc>
          <w:tcPr>
            <w:tcW w:w="3049" w:type="dxa"/>
          </w:tcPr>
          <w:p w14:paraId="2B32F85B" w14:textId="5C63B0BA" w:rsidR="00CE6E49" w:rsidRPr="007277C3" w:rsidRDefault="00CE6E49" w:rsidP="00CE6E49">
            <w:pPr>
              <w:pStyle w:val="Tableheadingboardreport"/>
            </w:pPr>
            <w:r w:rsidRPr="00C82097">
              <w:t>Forecast (September 20)</w:t>
            </w:r>
          </w:p>
        </w:tc>
      </w:tr>
      <w:tr w:rsidR="00CE6E49" w14:paraId="24065114" w14:textId="77777777" w:rsidTr="00CE6E49">
        <w:trPr>
          <w:trHeight w:val="1162"/>
        </w:trPr>
        <w:tc>
          <w:tcPr>
            <w:tcW w:w="3321" w:type="dxa"/>
          </w:tcPr>
          <w:p w14:paraId="40DFBFF3" w14:textId="76A5F5E3" w:rsidR="00CE6E49" w:rsidRPr="007277C3" w:rsidRDefault="00CE6E49" w:rsidP="00CE6E49">
            <w:pPr>
              <w:pStyle w:val="Tabletext"/>
            </w:pPr>
            <w:r w:rsidRPr="00CB47B9">
              <w:t>Income: Reduction in Technology Appraisal income (35 to 50%)</w:t>
            </w:r>
          </w:p>
        </w:tc>
        <w:tc>
          <w:tcPr>
            <w:tcW w:w="3047" w:type="dxa"/>
          </w:tcPr>
          <w:p w14:paraId="62D39129" w14:textId="57D6F8DA" w:rsidR="00CE6E49" w:rsidRPr="007277C3" w:rsidRDefault="00CE6E49" w:rsidP="00CE6E49">
            <w:pPr>
              <w:pStyle w:val="Tabletext"/>
            </w:pPr>
            <w:r w:rsidRPr="00CB47B9">
              <w:t>Between £3.7m to £5.4m deficit</w:t>
            </w:r>
          </w:p>
        </w:tc>
        <w:tc>
          <w:tcPr>
            <w:tcW w:w="3049" w:type="dxa"/>
          </w:tcPr>
          <w:p w14:paraId="6974C176" w14:textId="6D15B8E8" w:rsidR="00CE6E49" w:rsidRPr="007277C3" w:rsidRDefault="00CE6E49" w:rsidP="00CE6E49">
            <w:pPr>
              <w:pStyle w:val="Tabletext"/>
            </w:pPr>
            <w:r w:rsidRPr="00CB47B9">
              <w:t>£4.5m deficit</w:t>
            </w:r>
          </w:p>
        </w:tc>
      </w:tr>
      <w:tr w:rsidR="00CE6E49" w14:paraId="2BEBF728" w14:textId="77777777" w:rsidTr="00CE6E49">
        <w:trPr>
          <w:trHeight w:val="932"/>
        </w:trPr>
        <w:tc>
          <w:tcPr>
            <w:tcW w:w="3321" w:type="dxa"/>
          </w:tcPr>
          <w:p w14:paraId="21612058" w14:textId="0AB3AB27" w:rsidR="00CE6E49" w:rsidRPr="007277C3" w:rsidRDefault="00CE6E49" w:rsidP="00CE6E49">
            <w:pPr>
              <w:pStyle w:val="Tabletext"/>
            </w:pPr>
            <w:r w:rsidRPr="00365840">
              <w:t>Income: Reduction in NSA/ OMA income</w:t>
            </w:r>
          </w:p>
        </w:tc>
        <w:tc>
          <w:tcPr>
            <w:tcW w:w="3047" w:type="dxa"/>
          </w:tcPr>
          <w:p w14:paraId="26228CAA" w14:textId="29B9BF07" w:rsidR="00CE6E49" w:rsidRPr="007277C3" w:rsidRDefault="00CE6E49" w:rsidP="00CE6E49">
            <w:pPr>
              <w:pStyle w:val="Tabletext"/>
            </w:pPr>
            <w:r w:rsidRPr="00365840">
              <w:t>Estimated £0.3m deficit</w:t>
            </w:r>
          </w:p>
        </w:tc>
        <w:tc>
          <w:tcPr>
            <w:tcW w:w="3049" w:type="dxa"/>
          </w:tcPr>
          <w:p w14:paraId="167B0E2F" w14:textId="55E22A70" w:rsidR="00CE6E49" w:rsidRPr="007277C3" w:rsidRDefault="00CE6E49" w:rsidP="00CE6E49">
            <w:pPr>
              <w:pStyle w:val="Tabletext"/>
            </w:pPr>
            <w:r w:rsidRPr="00365840">
              <w:t>OMA breakeven                        NSA £0.4m surplus</w:t>
            </w:r>
          </w:p>
        </w:tc>
      </w:tr>
      <w:tr w:rsidR="00CE6E49" w14:paraId="22EC2E5A" w14:textId="77777777" w:rsidTr="00CE6E49">
        <w:trPr>
          <w:trHeight w:val="713"/>
        </w:trPr>
        <w:tc>
          <w:tcPr>
            <w:tcW w:w="3321" w:type="dxa"/>
          </w:tcPr>
          <w:p w14:paraId="1675830A" w14:textId="242594FA" w:rsidR="00CE6E49" w:rsidRPr="007277C3" w:rsidRDefault="00CE6E49" w:rsidP="00CE6E49">
            <w:pPr>
              <w:pStyle w:val="Tabletext"/>
            </w:pPr>
            <w:r w:rsidRPr="00775CEA">
              <w:t>Expenditure: Pay underspend due to vacancies</w:t>
            </w:r>
          </w:p>
        </w:tc>
        <w:tc>
          <w:tcPr>
            <w:tcW w:w="3047" w:type="dxa"/>
          </w:tcPr>
          <w:p w14:paraId="3530D161" w14:textId="50D0F351" w:rsidR="00CE6E49" w:rsidRPr="007277C3" w:rsidRDefault="00CE6E49" w:rsidP="00CE6E49">
            <w:pPr>
              <w:pStyle w:val="Tabletext"/>
            </w:pPr>
            <w:r w:rsidRPr="00775CEA">
              <w:t>£3.0m underspend</w:t>
            </w:r>
          </w:p>
        </w:tc>
        <w:tc>
          <w:tcPr>
            <w:tcW w:w="3049" w:type="dxa"/>
          </w:tcPr>
          <w:p w14:paraId="2CDD394D" w14:textId="7B13429D" w:rsidR="00CE6E49" w:rsidRPr="007277C3" w:rsidRDefault="00CE6E49" w:rsidP="00CE6E49">
            <w:pPr>
              <w:pStyle w:val="Tabletext"/>
            </w:pPr>
            <w:r w:rsidRPr="00775CEA">
              <w:t>£2.9m underspend</w:t>
            </w:r>
          </w:p>
        </w:tc>
      </w:tr>
      <w:tr w:rsidR="00CE6E49" w14:paraId="18CF5FD0" w14:textId="77777777" w:rsidTr="00CE6E49">
        <w:trPr>
          <w:trHeight w:val="723"/>
        </w:trPr>
        <w:tc>
          <w:tcPr>
            <w:tcW w:w="3321" w:type="dxa"/>
          </w:tcPr>
          <w:p w14:paraId="7DC10715" w14:textId="41D890D1" w:rsidR="00CE6E49" w:rsidRDefault="00CE6E49" w:rsidP="00CE6E49">
            <w:pPr>
              <w:pStyle w:val="Tabletext"/>
            </w:pPr>
            <w:r w:rsidRPr="001F3843">
              <w:t>Expenditure: Travel underspend</w:t>
            </w:r>
          </w:p>
        </w:tc>
        <w:tc>
          <w:tcPr>
            <w:tcW w:w="3047" w:type="dxa"/>
          </w:tcPr>
          <w:p w14:paraId="7139B46D" w14:textId="2C387F23" w:rsidR="00CE6E49" w:rsidRPr="007F472E" w:rsidRDefault="00CE6E49" w:rsidP="00CE6E49">
            <w:pPr>
              <w:pStyle w:val="Tabletext"/>
            </w:pPr>
            <w:r w:rsidRPr="001F3843">
              <w:t>£0.6m underspend</w:t>
            </w:r>
          </w:p>
        </w:tc>
        <w:tc>
          <w:tcPr>
            <w:tcW w:w="3049" w:type="dxa"/>
          </w:tcPr>
          <w:p w14:paraId="4DCBA6EB" w14:textId="0E723A0F" w:rsidR="00CE6E49" w:rsidRPr="00872C0D" w:rsidRDefault="00CE6E49" w:rsidP="00CE6E49">
            <w:pPr>
              <w:pStyle w:val="Tabletext"/>
            </w:pPr>
            <w:r w:rsidRPr="001F3843">
              <w:t>£1.6m underspend</w:t>
            </w:r>
          </w:p>
        </w:tc>
      </w:tr>
      <w:tr w:rsidR="00CE6E49" w14:paraId="3C449D15" w14:textId="77777777" w:rsidTr="00CE6E49">
        <w:trPr>
          <w:trHeight w:val="713"/>
        </w:trPr>
        <w:tc>
          <w:tcPr>
            <w:tcW w:w="3321" w:type="dxa"/>
          </w:tcPr>
          <w:p w14:paraId="74F09EAA" w14:textId="1660FEEC" w:rsidR="00CE6E49" w:rsidRDefault="00CE6E49" w:rsidP="00CE6E49">
            <w:pPr>
              <w:pStyle w:val="Tabletext"/>
            </w:pPr>
            <w:r w:rsidRPr="001B333B">
              <w:t>Issues arising in year</w:t>
            </w:r>
          </w:p>
        </w:tc>
        <w:tc>
          <w:tcPr>
            <w:tcW w:w="3047" w:type="dxa"/>
          </w:tcPr>
          <w:p w14:paraId="4E03DE76" w14:textId="22205736" w:rsidR="00CE6E49" w:rsidRPr="007F472E" w:rsidRDefault="00CE6E49" w:rsidP="00CE6E49">
            <w:pPr>
              <w:pStyle w:val="Tabletext"/>
            </w:pPr>
            <w:r w:rsidRPr="001B333B">
              <w:t xml:space="preserve"> n/a</w:t>
            </w:r>
          </w:p>
        </w:tc>
        <w:tc>
          <w:tcPr>
            <w:tcW w:w="3049" w:type="dxa"/>
          </w:tcPr>
          <w:p w14:paraId="057A34B4" w14:textId="4DBE844A" w:rsidR="00CE6E49" w:rsidRPr="00872C0D" w:rsidRDefault="00CE6E49" w:rsidP="00CE6E49">
            <w:pPr>
              <w:pStyle w:val="Tabletext"/>
            </w:pPr>
            <w:r w:rsidRPr="001B333B">
              <w:t>£0.7m EAC variable budget underspend</w:t>
            </w:r>
          </w:p>
        </w:tc>
      </w:tr>
      <w:tr w:rsidR="00CE6E49" w14:paraId="4AD9E7CF" w14:textId="77777777" w:rsidTr="00CE6E49">
        <w:trPr>
          <w:trHeight w:val="52"/>
        </w:trPr>
        <w:tc>
          <w:tcPr>
            <w:tcW w:w="3321" w:type="dxa"/>
          </w:tcPr>
          <w:p w14:paraId="59BAFADA" w14:textId="6772C0AB" w:rsidR="00CE6E49" w:rsidRPr="00CE6E49" w:rsidRDefault="00CE6E49" w:rsidP="00CE6E49">
            <w:pPr>
              <w:pStyle w:val="Tabletext"/>
              <w:rPr>
                <w:b/>
                <w:bCs/>
              </w:rPr>
            </w:pPr>
            <w:r w:rsidRPr="00CE6E49">
              <w:rPr>
                <w:b/>
                <w:bCs/>
              </w:rPr>
              <w:t>Total Forecast</w:t>
            </w:r>
          </w:p>
        </w:tc>
        <w:tc>
          <w:tcPr>
            <w:tcW w:w="3047" w:type="dxa"/>
          </w:tcPr>
          <w:p w14:paraId="753653F6" w14:textId="38565D1A" w:rsidR="00CE6E49" w:rsidRPr="00CE6E49" w:rsidRDefault="00CE6E49" w:rsidP="00CE6E49">
            <w:pPr>
              <w:pStyle w:val="Tabletext"/>
              <w:rPr>
                <w:b/>
                <w:bCs/>
              </w:rPr>
            </w:pPr>
            <w:r w:rsidRPr="00CE6E49">
              <w:rPr>
                <w:b/>
                <w:bCs/>
              </w:rPr>
              <w:t>£0.4m to £2.1m deficit</w:t>
            </w:r>
          </w:p>
        </w:tc>
        <w:tc>
          <w:tcPr>
            <w:tcW w:w="3049" w:type="dxa"/>
          </w:tcPr>
          <w:p w14:paraId="403FEB3E" w14:textId="643E8762" w:rsidR="00CE6E49" w:rsidRPr="00CE6E49" w:rsidRDefault="00CE6E49" w:rsidP="00CE6E49">
            <w:pPr>
              <w:pStyle w:val="Tabletext"/>
              <w:rPr>
                <w:b/>
                <w:bCs/>
              </w:rPr>
            </w:pPr>
            <w:r w:rsidRPr="00CE6E49">
              <w:rPr>
                <w:b/>
                <w:bCs/>
              </w:rPr>
              <w:t xml:space="preserve"> £1.3m surplus</w:t>
            </w:r>
          </w:p>
        </w:tc>
      </w:tr>
    </w:tbl>
    <w:p w14:paraId="66AB1ADC" w14:textId="77777777" w:rsidR="00CE6E49" w:rsidRDefault="00CE6E49" w:rsidP="000B3FCE">
      <w:pPr>
        <w:pStyle w:val="NICEnormalnumbered"/>
        <w:numPr>
          <w:ilvl w:val="0"/>
          <w:numId w:val="0"/>
        </w:numPr>
      </w:pPr>
    </w:p>
    <w:p w14:paraId="629AF5A9" w14:textId="77777777" w:rsidR="000B3FCE" w:rsidRPr="000B3FCE" w:rsidRDefault="000B3FCE" w:rsidP="000B3FCE">
      <w:pPr>
        <w:pStyle w:val="NICEnormalnumbered"/>
      </w:pPr>
      <w:r w:rsidRPr="000B3FCE">
        <w:t>The largest uncertainty in March and April was how much TA &amp; HST income would be impacted by the pandemic and the impact on committees and staff availability. We estimated that a reasonable worst-case scenario was a 35% (£3.7m) reduction in income and our worst-case assumption was a 50% (£5.7m) reduction, which assumed a second wave during the winter period. The current assumption is that we will fall somewhere between these two scenarios, but this will depend on the impact of additional national and local restrictions to suppress COVID-19 transmission.</w:t>
      </w:r>
    </w:p>
    <w:p w14:paraId="6DCF393F" w14:textId="77777777" w:rsidR="000B3FCE" w:rsidRPr="000B3FCE" w:rsidRDefault="000B3FCE" w:rsidP="000B3FCE">
      <w:pPr>
        <w:pStyle w:val="NICEnormalnumbered"/>
      </w:pPr>
      <w:r w:rsidRPr="000B3FCE">
        <w:t>It had been prudently assumed the NICE Scientific Advice (NSA) and Office for Market Access (OMA) programmes might expect to see income levels fall because of the pandemic, however this has not materialised.</w:t>
      </w:r>
    </w:p>
    <w:p w14:paraId="41D41275" w14:textId="77777777" w:rsidR="000B3FCE" w:rsidRPr="000B3FCE" w:rsidRDefault="000B3FCE" w:rsidP="000B3FCE">
      <w:pPr>
        <w:pStyle w:val="NICEnormalnumbered"/>
      </w:pPr>
      <w:r w:rsidRPr="000B3FCE">
        <w:lastRenderedPageBreak/>
        <w:t xml:space="preserve">At the start of the year, given the number of new and vacant posts, it was assumed there would be significant pay slippage. We are currently forecasting close to the £3m predicted, based on higher pay spend in the second half of the year </w:t>
      </w:r>
      <w:proofErr w:type="gramStart"/>
      <w:r w:rsidRPr="000B3FCE">
        <w:t>as a result of</w:t>
      </w:r>
      <w:proofErr w:type="gramEnd"/>
      <w:r w:rsidRPr="000B3FCE">
        <w:t xml:space="preserve"> recruitment across the organisation. This is a prudent estimate and could increase further if there is slippage in these plans or posts are filled by internal candidates.</w:t>
      </w:r>
    </w:p>
    <w:p w14:paraId="7FD4F3FB" w14:textId="77777777" w:rsidR="000B3FCE" w:rsidRPr="000B3FCE" w:rsidRDefault="000B3FCE" w:rsidP="000B3FCE">
      <w:pPr>
        <w:pStyle w:val="NICEnormalnumbered"/>
      </w:pPr>
      <w:r w:rsidRPr="000B3FCE">
        <w:t>The travel budget is £1.6m. It had been assumed during business planning that there would be a reduction in travel costs for several months, including the possibility of a second wave, thereby saving approximately £0.6m. It is now assumed that there will be almost nil travel costs incurred this year.</w:t>
      </w:r>
    </w:p>
    <w:p w14:paraId="27A0F073" w14:textId="77777777" w:rsidR="000B3FCE" w:rsidRPr="000B3FCE" w:rsidRDefault="000B3FCE" w:rsidP="000B3FCE">
      <w:pPr>
        <w:pStyle w:val="NICEnormalnumbered"/>
      </w:pPr>
      <w:r w:rsidRPr="000B3FCE">
        <w:t>In addition to the assumptions made in the business plan, other underspends have materialised during the year. The key underspend is against the MedTech EAC budget as noted earlier, with several other smaller underspends totalling £0.2m making up the balance to the forecast £1.3m underspend.</w:t>
      </w:r>
    </w:p>
    <w:p w14:paraId="24304724" w14:textId="17254417" w:rsidR="001C33EE" w:rsidRDefault="001C33EE">
      <w:pPr>
        <w:rPr>
          <w:rFonts w:ascii="Arial" w:hAnsi="Arial" w:cs="Arial"/>
          <w:b/>
          <w:bCs/>
          <w:color w:val="00506A"/>
          <w:kern w:val="32"/>
          <w:sz w:val="32"/>
          <w:szCs w:val="32"/>
        </w:rPr>
      </w:pPr>
      <w:r>
        <w:br w:type="page"/>
      </w:r>
    </w:p>
    <w:p w14:paraId="3A2090C8" w14:textId="5DF3A751" w:rsidR="000B3FCE" w:rsidRDefault="00184700" w:rsidP="00184700">
      <w:pPr>
        <w:pStyle w:val="Heading1boardreport"/>
      </w:pPr>
      <w:r w:rsidRPr="00184700">
        <w:t>Human Resources &amp; Organisational Development Update: September and October 2020</w:t>
      </w:r>
    </w:p>
    <w:p w14:paraId="03BEA31A" w14:textId="67C6A3A0" w:rsidR="00184700" w:rsidRDefault="00184700" w:rsidP="00184700">
      <w:pPr>
        <w:pStyle w:val="NICEnormalnumbered"/>
      </w:pPr>
      <w:r w:rsidRPr="00184700">
        <w:t>This section is to provide an update on people issues and activities in September and October 2020.</w:t>
      </w:r>
    </w:p>
    <w:p w14:paraId="4A80117C" w14:textId="0B73D5F7" w:rsidR="00184700" w:rsidRDefault="00184700" w:rsidP="00184700">
      <w:pPr>
        <w:pStyle w:val="Heading2boardreport"/>
      </w:pPr>
      <w:r w:rsidRPr="00184700">
        <w:t>Values and behaviours</w:t>
      </w:r>
    </w:p>
    <w:p w14:paraId="75E42DB5" w14:textId="4EBB643A" w:rsidR="00184700" w:rsidRDefault="00184700" w:rsidP="00184700">
      <w:pPr>
        <w:pStyle w:val="NICEnormalnumbered"/>
      </w:pPr>
      <w:r w:rsidRPr="00184700">
        <w:t>Following considerable engagement with our staff through surveys and focus groups, we have now agreed a set of seven values and behaviours:</w:t>
      </w:r>
    </w:p>
    <w:p w14:paraId="13796142" w14:textId="77777777" w:rsidR="00184700" w:rsidRPr="00184700" w:rsidRDefault="00184700" w:rsidP="00184700">
      <w:pPr>
        <w:pStyle w:val="Bulletindent1"/>
      </w:pPr>
      <w:r w:rsidRPr="00184700">
        <w:t>Collaborative: We believe in the power of working together, involving the right people at the right time, in a meaningful way.</w:t>
      </w:r>
    </w:p>
    <w:p w14:paraId="3294E131" w14:textId="77777777" w:rsidR="00184700" w:rsidRPr="00184700" w:rsidRDefault="00184700" w:rsidP="00184700">
      <w:pPr>
        <w:pStyle w:val="Bulletindent1"/>
      </w:pPr>
      <w:r w:rsidRPr="00184700">
        <w:t>Kind: We are attentive to the needs of others, and act with empathy and consideration.</w:t>
      </w:r>
    </w:p>
    <w:p w14:paraId="148FE1D4" w14:textId="77777777" w:rsidR="00184700" w:rsidRPr="00184700" w:rsidRDefault="00184700" w:rsidP="00184700">
      <w:pPr>
        <w:pStyle w:val="Bulletindent1"/>
      </w:pPr>
      <w:r w:rsidRPr="00184700">
        <w:t>Respectful: We show due regard for each other’s wishes, feelings, and rights.</w:t>
      </w:r>
    </w:p>
    <w:p w14:paraId="6ED7515D" w14:textId="77777777" w:rsidR="00184700" w:rsidRPr="00184700" w:rsidRDefault="00184700" w:rsidP="00184700">
      <w:pPr>
        <w:pStyle w:val="Bulletindent1"/>
      </w:pPr>
      <w:r w:rsidRPr="00184700">
        <w:t>Dynamic: We are flexible and adaptive, and embrace opportunities to make improvements, grow and innovate.</w:t>
      </w:r>
    </w:p>
    <w:p w14:paraId="55594456" w14:textId="77777777" w:rsidR="00184700" w:rsidRPr="00184700" w:rsidRDefault="00184700" w:rsidP="00184700">
      <w:pPr>
        <w:pStyle w:val="Bulletindent1"/>
      </w:pPr>
      <w:r w:rsidRPr="00184700">
        <w:t xml:space="preserve">Inclusive: We proactively build inclusion, </w:t>
      </w:r>
      <w:proofErr w:type="gramStart"/>
      <w:r w:rsidRPr="00184700">
        <w:t>equality</w:t>
      </w:r>
      <w:proofErr w:type="gramEnd"/>
      <w:r w:rsidRPr="00184700">
        <w:t xml:space="preserve"> and diversity into everything we do.</w:t>
      </w:r>
    </w:p>
    <w:p w14:paraId="5C9F7247" w14:textId="77777777" w:rsidR="00184700" w:rsidRPr="00184700" w:rsidRDefault="00184700" w:rsidP="00184700">
      <w:pPr>
        <w:pStyle w:val="Bulletindent1"/>
      </w:pPr>
      <w:r w:rsidRPr="00184700">
        <w:t>Excellent: We take pride in our work, bringing the highest levels of expertise and professionality to everything we do.</w:t>
      </w:r>
    </w:p>
    <w:p w14:paraId="6BF0023B" w14:textId="77777777" w:rsidR="00184700" w:rsidRPr="00184700" w:rsidRDefault="00184700" w:rsidP="00184700">
      <w:pPr>
        <w:pStyle w:val="Bulletindent1"/>
      </w:pPr>
      <w:r w:rsidRPr="00184700">
        <w:t>Empowered: We encourage open and honest dialogue, welcome constructive challenge, and trust each other to act.</w:t>
      </w:r>
    </w:p>
    <w:p w14:paraId="0A216160" w14:textId="77777777" w:rsidR="00184700" w:rsidRPr="00184700" w:rsidRDefault="00184700" w:rsidP="00184700">
      <w:pPr>
        <w:pStyle w:val="NICEnormalnumbered"/>
      </w:pPr>
      <w:r w:rsidRPr="00184700">
        <w:t xml:space="preserve">We are now working to embed our values into a range of activities including recruitment, </w:t>
      </w:r>
      <w:proofErr w:type="gramStart"/>
      <w:r w:rsidRPr="00184700">
        <w:t>appraisals</w:t>
      </w:r>
      <w:proofErr w:type="gramEnd"/>
      <w:r w:rsidRPr="00184700">
        <w:t xml:space="preserve"> and line manager conversations.</w:t>
      </w:r>
    </w:p>
    <w:p w14:paraId="0600F70A" w14:textId="2EA757A9" w:rsidR="00184700" w:rsidRDefault="00184700" w:rsidP="00184700">
      <w:pPr>
        <w:pStyle w:val="Heading2boardreport"/>
      </w:pPr>
      <w:r w:rsidRPr="00184700">
        <w:t>Re-opening of Manchester office</w:t>
      </w:r>
    </w:p>
    <w:p w14:paraId="64DABE7E" w14:textId="6056E1D6" w:rsidR="00184700" w:rsidRDefault="00184700" w:rsidP="00184700">
      <w:pPr>
        <w:pStyle w:val="NICEnormalnumbered"/>
      </w:pPr>
      <w:r w:rsidRPr="00184700">
        <w:t>Almost all NICE staff continue to work from home. We opened the Manchester office in October for those staff who need or strongly desire to work from the offices, although a decision was made to close the office when the current restrictions came into force on 5 November. The CQC has offered space at Buckingham Palace Road for London-based staff who need or strongly desire to work from an office location.</w:t>
      </w:r>
    </w:p>
    <w:p w14:paraId="0022AF8E" w14:textId="2D32CE56" w:rsidR="00184700" w:rsidRDefault="00184700" w:rsidP="00184700">
      <w:pPr>
        <w:pStyle w:val="Heading2boardreport"/>
      </w:pPr>
      <w:r w:rsidRPr="00184700">
        <w:lastRenderedPageBreak/>
        <w:t>Workforce planning</w:t>
      </w:r>
    </w:p>
    <w:p w14:paraId="5E144F0D" w14:textId="1E5CD001" w:rsidR="00184700" w:rsidRPr="00184700" w:rsidRDefault="00184700" w:rsidP="00184700">
      <w:pPr>
        <w:pStyle w:val="NICEnormalnumbered"/>
      </w:pPr>
      <w:r w:rsidRPr="00184700">
        <w:t>To support staff and managers in agreeing their options for working flexibly whilst maintaining their contracted hours, we have produced a managers’ guide and released a range of policy addendums, and HR surgeries were held throughout October.</w:t>
      </w:r>
    </w:p>
    <w:p w14:paraId="4C298388" w14:textId="2F1574A3" w:rsidR="00184700" w:rsidRPr="00184700" w:rsidRDefault="00184700" w:rsidP="00184700">
      <w:pPr>
        <w:pStyle w:val="NICEnormalnumbered"/>
      </w:pPr>
      <w:r w:rsidRPr="00184700">
        <w:t xml:space="preserve">We established a recruitment and workforce planning working group to review the principles of short term recruitment, discuss any barriers experienced in recruitment, discuss and implement innovative ideas for resourcing and to consider an organisation wide approach to workforce planning. </w:t>
      </w:r>
    </w:p>
    <w:p w14:paraId="1122775C" w14:textId="64178244" w:rsidR="00184700" w:rsidRDefault="00184700" w:rsidP="00184700">
      <w:pPr>
        <w:pStyle w:val="NICEnormalnumbered"/>
      </w:pPr>
      <w:r w:rsidRPr="00184700">
        <w:t xml:space="preserve">Our digital marketplace, which was established to match skills, </w:t>
      </w:r>
      <w:proofErr w:type="gramStart"/>
      <w:r w:rsidRPr="00184700">
        <w:t>capacity</w:t>
      </w:r>
      <w:proofErr w:type="gramEnd"/>
      <w:r w:rsidRPr="00184700">
        <w:t xml:space="preserve"> and demand more effectively, is now being used to support the recruitment to the NICE Connect programme. We received 18 expressions of interest through the marketplace system and have appointed 8, with the remaining 10 on hold. </w:t>
      </w:r>
      <w:proofErr w:type="gramStart"/>
      <w:r w:rsidRPr="00184700">
        <w:t>A number of</w:t>
      </w:r>
      <w:proofErr w:type="gramEnd"/>
      <w:r w:rsidRPr="00184700">
        <w:t xml:space="preserve"> backfill posts will be advertised externally in November.</w:t>
      </w:r>
    </w:p>
    <w:p w14:paraId="74ED5433" w14:textId="3F2971D5" w:rsidR="00184700" w:rsidRDefault="00184700" w:rsidP="00184700">
      <w:pPr>
        <w:pStyle w:val="Heading2boardreport"/>
      </w:pPr>
      <w:r w:rsidRPr="00184700">
        <w:t>Employee Relations</w:t>
      </w:r>
    </w:p>
    <w:p w14:paraId="7885B084" w14:textId="6C5BB5EA" w:rsidR="00184700" w:rsidRPr="00184700" w:rsidRDefault="00184700" w:rsidP="00184700">
      <w:pPr>
        <w:pStyle w:val="NICEnormalnumbered"/>
      </w:pPr>
      <w:r w:rsidRPr="00184700">
        <w:t xml:space="preserve">The HR operations team are continuing to support </w:t>
      </w:r>
      <w:proofErr w:type="gramStart"/>
      <w:r w:rsidRPr="00184700">
        <w:t>a number of</w:t>
      </w:r>
      <w:proofErr w:type="gramEnd"/>
      <w:r w:rsidRPr="00184700">
        <w:t xml:space="preserve"> ongoing employee relations cases. Although there was a slight slow-down in employee relations activity at the start of the move to homeworking, we have returned to our usual activity levels and are successfully managing employee relations issues remotely, albeit with appropriately adapted processes to ensure that everyone affected has the support that they need. </w:t>
      </w:r>
    </w:p>
    <w:p w14:paraId="3BD1B861" w14:textId="2097CCD2" w:rsidR="00184700" w:rsidRPr="00184700" w:rsidRDefault="00184700" w:rsidP="00184700">
      <w:pPr>
        <w:pStyle w:val="NICEnormalnumbered"/>
      </w:pPr>
      <w:r w:rsidRPr="00184700">
        <w:t xml:space="preserve">There has been a marked reduction in staff sickness absence when compared to the same period last year and absence levels remain low across the organisation. We are continuing to monitor the time it takes for absences to be recorded and to monitor the affect this has on absence figures across the organisation. </w:t>
      </w:r>
    </w:p>
    <w:p w14:paraId="3400DE95" w14:textId="3E622F9A" w:rsidR="00184700" w:rsidRDefault="00184700" w:rsidP="00184700">
      <w:pPr>
        <w:pStyle w:val="NICEnormalnumbered"/>
      </w:pPr>
      <w:r w:rsidRPr="00184700">
        <w:t xml:space="preserve">Mental health and stress related absences have shown a small upward trajectory in the months of July and August 2020 both from the beginning of the year and when compared with the same period last year. However, levels in September and October are down when compared to the same period last </w:t>
      </w:r>
      <w:r w:rsidRPr="00184700">
        <w:lastRenderedPageBreak/>
        <w:t>year and we will continue to monitor this on a month by month basis. Any stress related illnesses have been supported informally by the HR team and we continue to see resolution on an individual level.</w:t>
      </w:r>
    </w:p>
    <w:p w14:paraId="57C90893" w14:textId="3B539D0F" w:rsidR="00184700" w:rsidRDefault="00184700" w:rsidP="00184700">
      <w:pPr>
        <w:pStyle w:val="Heading2boardreport"/>
      </w:pPr>
      <w:r w:rsidRPr="00184700">
        <w:t>Healthy Work Week</w:t>
      </w:r>
    </w:p>
    <w:p w14:paraId="7BE54A87" w14:textId="77777777" w:rsidR="00184700" w:rsidRPr="00184700" w:rsidRDefault="00184700" w:rsidP="00184700">
      <w:pPr>
        <w:pStyle w:val="NICEnormalnumbered"/>
      </w:pPr>
      <w:r>
        <w:t xml:space="preserve">In September, NICE held a virtual healthy work week for staff to take part in with a range of activities focused on the </w:t>
      </w:r>
      <w:hyperlink r:id="rId8" w:history="1">
        <w:r w:rsidRPr="00184700">
          <w:rPr>
            <w:rStyle w:val="Hyperlink"/>
          </w:rPr>
          <w:t>five ways to wellbeing.</w:t>
        </w:r>
      </w:hyperlink>
      <w:r w:rsidRPr="00184700">
        <w:t xml:space="preserve"> Activities during the week included crochet with the Woolpack craft group, virtual art sessions, a book club session, mindfulness and yoga. </w:t>
      </w:r>
    </w:p>
    <w:p w14:paraId="266929FC" w14:textId="28598A23" w:rsidR="00184700" w:rsidRDefault="008D2418" w:rsidP="00184700">
      <w:pPr>
        <w:pStyle w:val="NICEnormalnumbered"/>
      </w:pPr>
      <w:r>
        <w:t>Ninety-four</w:t>
      </w:r>
      <w:r w:rsidR="00184700">
        <w:t xml:space="preserve"> attendees signed up for the sessions during the week and 72 staff members took part in the pedometer challenge. Staff commented on benefitting from spending time with people outside their direct teams, time to relax during the busy working day and taking part in a fun activity with colleagues. There is enthusiasm for us to continue running virtual wellbeing events. </w:t>
      </w:r>
    </w:p>
    <w:p w14:paraId="28CAF89A" w14:textId="16BA88BC" w:rsidR="00184700" w:rsidRDefault="00184700" w:rsidP="00184700">
      <w:pPr>
        <w:pStyle w:val="Heading2boardreport"/>
      </w:pPr>
      <w:r w:rsidRPr="00184700">
        <w:t>National Inclusion Week</w:t>
      </w:r>
    </w:p>
    <w:p w14:paraId="08C81EEF" w14:textId="6EFADBAF" w:rsidR="00184700" w:rsidRPr="00184700" w:rsidRDefault="00184700" w:rsidP="00184700">
      <w:pPr>
        <w:pStyle w:val="NICEnormalnumbered"/>
      </w:pPr>
      <w:r w:rsidRPr="00184700">
        <w:t xml:space="preserve">In September, NICE celebrated National Inclusion week, which is a nationwide event organised by Inclusive Employers. They aim to bring people and organisations together to make inclusion an everyday reality. </w:t>
      </w:r>
    </w:p>
    <w:p w14:paraId="0D1C49E0" w14:textId="4C5E213E" w:rsidR="00184700" w:rsidRDefault="00184700" w:rsidP="00184700">
      <w:pPr>
        <w:pStyle w:val="NICEnormalnumbered"/>
      </w:pPr>
      <w:r w:rsidRPr="00184700">
        <w:t>We had a series of blogs sharing lived experiences, shared educational resources, and held daily challenges for staff to take part in throughout the week. NICE’s Cultural Exchange Group held a virtual session, we had a diversity &amp; inclusion quiz, and a workshop on allyship in the workplace. The week was rounded off by a panel session on diversity and inclusion with our Chairman Sharmila Nebhrajani, NICE diversity champions and external panellist Paul Henry (Risk &amp; Compliance Director, National Savings &amp; Investments). 174 colleagues watched the event live, and the recording is available on our intranet.</w:t>
      </w:r>
    </w:p>
    <w:p w14:paraId="522E355E" w14:textId="4273F9E4" w:rsidR="00184700" w:rsidRDefault="00184700" w:rsidP="00184700">
      <w:pPr>
        <w:pStyle w:val="Heading2boardreport"/>
      </w:pPr>
      <w:r w:rsidRPr="00184700">
        <w:lastRenderedPageBreak/>
        <w:t>The impact of remote recruitment on diversity and inclusion</w:t>
      </w:r>
    </w:p>
    <w:p w14:paraId="212CAEA7" w14:textId="0E4509CD" w:rsidR="00184700" w:rsidRPr="00184700" w:rsidRDefault="00184700" w:rsidP="00184700">
      <w:pPr>
        <w:pStyle w:val="NICEnormalnumbered"/>
      </w:pPr>
      <w:r w:rsidRPr="00184700">
        <w:t xml:space="preserve">Since the end of March, </w:t>
      </w:r>
      <w:proofErr w:type="gramStart"/>
      <w:r w:rsidRPr="00184700">
        <w:t>all of</w:t>
      </w:r>
      <w:proofErr w:type="gramEnd"/>
      <w:r w:rsidRPr="00184700">
        <w:t xml:space="preserve"> our recruitment and onboarding has been conducted remotely. We have analysed our recruitment diversity data for 1 April 2020 to 30 September 2020 and compared it to our recruitment statistics from the last financial year, where interviews and induction was conducted almost entirely face-to-face. </w:t>
      </w:r>
    </w:p>
    <w:p w14:paraId="4A34F5D7" w14:textId="47FF42A8" w:rsidR="00184700" w:rsidRPr="00184700" w:rsidRDefault="00184700" w:rsidP="00184700">
      <w:pPr>
        <w:pStyle w:val="NICEnormalnumbered"/>
      </w:pPr>
      <w:r w:rsidRPr="00184700">
        <w:t>Since working from home, disabled applicants are slightly more likely to apply (increase from 5.7% to 6.3% of applicants), get shortlisted for interview (increase from 6.9% to 8.9%) and get appointed (increase from 6.9% to 8.4% of appointees).</w:t>
      </w:r>
    </w:p>
    <w:p w14:paraId="6CC80348" w14:textId="7D1A0909" w:rsidR="00184700" w:rsidRPr="00184700" w:rsidRDefault="00184700" w:rsidP="00184700">
      <w:pPr>
        <w:pStyle w:val="NICEnormalnumbered"/>
      </w:pPr>
      <w:r w:rsidRPr="00184700">
        <w:t xml:space="preserve">Male applicants are more likely to apply (increase from 39% to 48% of applicants), more likely to get shortlisted (increase from 35% to 47%) and are more likely to be appointed (increase from 28% to 34%). </w:t>
      </w:r>
    </w:p>
    <w:p w14:paraId="5032DA9D" w14:textId="74FD8D9A" w:rsidR="00184700" w:rsidRPr="00184700" w:rsidRDefault="00184700" w:rsidP="00184700">
      <w:pPr>
        <w:pStyle w:val="NICEnormalnumbered"/>
      </w:pPr>
      <w:r w:rsidRPr="00184700">
        <w:t>The percentage of applications from black, Asian and minority ethnic (BAME) backgrounds has decreased from 45% to 40%. The percentage of BAME candidates being appointed has stayed similar at 13.3% (compared to 13.7% previously). We are concerned by the outcomes for people from BAME backgrounds in our recruitment, and we will be taking steps to address these directly. We will do this alongside the projects to deliver our equalities objectives.</w:t>
      </w:r>
    </w:p>
    <w:p w14:paraId="76467F82" w14:textId="0995C63B" w:rsidR="00184700" w:rsidRDefault="00184700" w:rsidP="00184700">
      <w:pPr>
        <w:pStyle w:val="NICEnormalnumbered"/>
      </w:pPr>
      <w:r w:rsidRPr="00184700">
        <w:t>The percentage of applications from lesbian, gay or bisexual people has increased slightly from 6.2% to 7.9%, and appointments have stayed similar at 8.4% (compared to 8.9% last year).</w:t>
      </w:r>
    </w:p>
    <w:p w14:paraId="51E28738" w14:textId="4D1FC12C" w:rsidR="00184700" w:rsidRDefault="00184700" w:rsidP="00184700">
      <w:pPr>
        <w:pStyle w:val="Heading1boardreport"/>
      </w:pPr>
      <w:r w:rsidRPr="00184700">
        <w:t>Connect transformation update: September and October 2020</w:t>
      </w:r>
    </w:p>
    <w:p w14:paraId="6E6F148F" w14:textId="27E461E8" w:rsidR="004C612D" w:rsidRPr="005F613C" w:rsidRDefault="00184700" w:rsidP="008A6557">
      <w:pPr>
        <w:pStyle w:val="NICEnormalnumbered"/>
      </w:pPr>
      <w:r w:rsidRPr="00184700">
        <w:t xml:space="preserve">The overall programme rating remains as amber due to resource capacity; however, the position is improving. Appendix B provides a summary of progress made during the past two months along with upcoming milestones. It describes how significant progress has been made in addressing the Connect </w:t>
      </w:r>
      <w:r w:rsidRPr="00184700">
        <w:lastRenderedPageBreak/>
        <w:t>resource gaps, the organisational development plan has been approved and 3 project initiation documents (PIDs) have been approved by the Steering Group.</w:t>
      </w:r>
    </w:p>
    <w:p w14:paraId="296AE042" w14:textId="77777777" w:rsidR="00EB1C36" w:rsidRDefault="00EB1C36" w:rsidP="008A6557">
      <w:pPr>
        <w:pStyle w:val="NICEnormal"/>
        <w:sectPr w:rsidR="00EB1C36" w:rsidSect="0017149E">
          <w:headerReference w:type="default" r:id="rId9"/>
          <w:footerReference w:type="default" r:id="rId10"/>
          <w:pgSz w:w="11906" w:h="16838"/>
          <w:pgMar w:top="1440" w:right="1440" w:bottom="1440" w:left="1440" w:header="708" w:footer="708" w:gutter="0"/>
          <w:cols w:space="708"/>
          <w:docGrid w:linePitch="360"/>
        </w:sectPr>
      </w:pPr>
    </w:p>
    <w:p w14:paraId="2231174F" w14:textId="6AE5714D" w:rsidR="004C612D" w:rsidRDefault="004C612D" w:rsidP="004C612D">
      <w:pPr>
        <w:pStyle w:val="Heading1boardreport"/>
        <w:rPr>
          <w:lang w:eastAsia="en-US"/>
        </w:rPr>
      </w:pPr>
      <w:r w:rsidRPr="004C612D">
        <w:rPr>
          <w:lang w:eastAsia="en-US"/>
        </w:rPr>
        <w:lastRenderedPageBreak/>
        <w:t>Appendix A: NICE financial position</w:t>
      </w:r>
    </w:p>
    <w:p w14:paraId="0029B4D4" w14:textId="2896AF51" w:rsidR="004C612D" w:rsidRDefault="004C612D" w:rsidP="004C612D">
      <w:pPr>
        <w:pStyle w:val="NICEnormalnumbered"/>
        <w:rPr>
          <w:lang w:eastAsia="en-US"/>
        </w:rPr>
      </w:pPr>
      <w:r w:rsidRPr="004C612D">
        <w:t xml:space="preserve">The table below is a summary of the financial position per centre and directorate as </w:t>
      </w:r>
      <w:proofErr w:type="gramStart"/>
      <w:r w:rsidRPr="004C612D">
        <w:t>at</w:t>
      </w:r>
      <w:proofErr w:type="gramEnd"/>
      <w:r w:rsidRPr="004C612D">
        <w:t xml:space="preserve"> 30 September 2020 and gives an estimated outturn to March 2021.</w:t>
      </w:r>
    </w:p>
    <w:p w14:paraId="37D08853" w14:textId="1DDF61F9" w:rsidR="008D2418" w:rsidRDefault="008D2418" w:rsidP="008D2418">
      <w:pPr>
        <w:pStyle w:val="Caption"/>
        <w:rPr>
          <w:lang w:eastAsia="en-US"/>
        </w:rPr>
      </w:pPr>
      <w:r w:rsidRPr="008D2418">
        <w:rPr>
          <w:lang w:eastAsia="en-US"/>
        </w:rPr>
        <w:t xml:space="preserve">NICE financial position per centre and directorate as </w:t>
      </w:r>
      <w:proofErr w:type="gramStart"/>
      <w:r w:rsidRPr="008D2418">
        <w:rPr>
          <w:lang w:eastAsia="en-US"/>
        </w:rPr>
        <w:t>at</w:t>
      </w:r>
      <w:proofErr w:type="gramEnd"/>
      <w:r w:rsidRPr="008D2418">
        <w:rPr>
          <w:lang w:eastAsia="en-US"/>
        </w:rPr>
        <w:t xml:space="preserve"> 30 September 2020</w:t>
      </w:r>
    </w:p>
    <w:tbl>
      <w:tblPr>
        <w:tblpPr w:leftFromText="180" w:rightFromText="180" w:vertAnchor="text" w:horzAnchor="margin" w:tblpXSpec="center" w:tblpY="2"/>
        <w:tblW w:w="1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ICE financial position"/>
        <w:tblDescription w:val="Appendix A: year to date and estimated outturn financial position, split by centre/directorate"/>
      </w:tblPr>
      <w:tblGrid>
        <w:gridCol w:w="2037"/>
        <w:gridCol w:w="1130"/>
        <w:gridCol w:w="1130"/>
        <w:gridCol w:w="1130"/>
        <w:gridCol w:w="1130"/>
        <w:gridCol w:w="1130"/>
        <w:gridCol w:w="1130"/>
        <w:gridCol w:w="1130"/>
        <w:gridCol w:w="1130"/>
      </w:tblGrid>
      <w:tr w:rsidR="0008202A" w14:paraId="1D1866DD" w14:textId="451CF3B8" w:rsidTr="00741254">
        <w:trPr>
          <w:cantSplit/>
          <w:trHeight w:val="184"/>
          <w:tblHeader/>
        </w:trPr>
        <w:tc>
          <w:tcPr>
            <w:tcW w:w="2037" w:type="dxa"/>
          </w:tcPr>
          <w:p w14:paraId="73DF2B58" w14:textId="736C68B6" w:rsidR="0008202A" w:rsidRPr="007277C3" w:rsidRDefault="0008202A" w:rsidP="0008202A">
            <w:pPr>
              <w:pStyle w:val="Tableheadingboardreport"/>
            </w:pPr>
            <w:r w:rsidRPr="00130DDA">
              <w:t>Centre / Directorate</w:t>
            </w:r>
          </w:p>
        </w:tc>
        <w:tc>
          <w:tcPr>
            <w:tcW w:w="1130" w:type="dxa"/>
          </w:tcPr>
          <w:p w14:paraId="538EB791" w14:textId="53A8D7C5" w:rsidR="0008202A" w:rsidRPr="007277C3" w:rsidRDefault="0008202A" w:rsidP="0008202A">
            <w:pPr>
              <w:pStyle w:val="Tableheadingboardreport"/>
            </w:pPr>
            <w:r w:rsidRPr="00542A6B">
              <w:t>Year to Date Budget £m</w:t>
            </w:r>
          </w:p>
        </w:tc>
        <w:tc>
          <w:tcPr>
            <w:tcW w:w="1130" w:type="dxa"/>
          </w:tcPr>
          <w:p w14:paraId="25252565" w14:textId="1409D1C4" w:rsidR="0008202A" w:rsidRPr="007277C3" w:rsidRDefault="0008202A" w:rsidP="0008202A">
            <w:pPr>
              <w:pStyle w:val="Tableheadingboardreport"/>
            </w:pPr>
            <w:r w:rsidRPr="00D36DCB">
              <w:t>Year to Date Actual £m</w:t>
            </w:r>
          </w:p>
        </w:tc>
        <w:tc>
          <w:tcPr>
            <w:tcW w:w="1130" w:type="dxa"/>
          </w:tcPr>
          <w:p w14:paraId="438727DA" w14:textId="6CBEBD0E" w:rsidR="0008202A" w:rsidRPr="00C82097" w:rsidRDefault="0008202A" w:rsidP="0008202A">
            <w:pPr>
              <w:pStyle w:val="Tableheadingboardreport"/>
            </w:pPr>
            <w:r w:rsidRPr="00940397">
              <w:t>Year to Date Variance £m</w:t>
            </w:r>
          </w:p>
        </w:tc>
        <w:tc>
          <w:tcPr>
            <w:tcW w:w="1130" w:type="dxa"/>
          </w:tcPr>
          <w:p w14:paraId="44F3A6DF" w14:textId="489A3472" w:rsidR="0008202A" w:rsidRPr="00C82097" w:rsidRDefault="0008202A" w:rsidP="0008202A">
            <w:pPr>
              <w:pStyle w:val="Tableheadingboardreport"/>
            </w:pPr>
            <w:r w:rsidRPr="00CB7F42">
              <w:t>Year to Date Variance %</w:t>
            </w:r>
          </w:p>
        </w:tc>
        <w:tc>
          <w:tcPr>
            <w:tcW w:w="1130" w:type="dxa"/>
          </w:tcPr>
          <w:p w14:paraId="1EC874DB" w14:textId="37F46DE0" w:rsidR="0008202A" w:rsidRPr="00C82097" w:rsidRDefault="0008202A" w:rsidP="0008202A">
            <w:pPr>
              <w:pStyle w:val="Tableheadingboardreport"/>
            </w:pPr>
            <w:r w:rsidRPr="003141AE">
              <w:t>Annual Budget £m</w:t>
            </w:r>
          </w:p>
        </w:tc>
        <w:tc>
          <w:tcPr>
            <w:tcW w:w="1130" w:type="dxa"/>
          </w:tcPr>
          <w:p w14:paraId="4EEA0E5A" w14:textId="455838CC" w:rsidR="0008202A" w:rsidRPr="00C82097" w:rsidRDefault="0008202A" w:rsidP="0008202A">
            <w:pPr>
              <w:pStyle w:val="Tableheadingboardreport"/>
            </w:pPr>
            <w:r w:rsidRPr="00C57E9D">
              <w:t>Estimated Outturn £m</w:t>
            </w:r>
          </w:p>
        </w:tc>
        <w:tc>
          <w:tcPr>
            <w:tcW w:w="1130" w:type="dxa"/>
          </w:tcPr>
          <w:p w14:paraId="22261288" w14:textId="38F69A54" w:rsidR="0008202A" w:rsidRPr="00C82097" w:rsidRDefault="0008202A" w:rsidP="0008202A">
            <w:pPr>
              <w:pStyle w:val="Tableheadingboardreport"/>
            </w:pPr>
            <w:r w:rsidRPr="00A56A4E">
              <w:t>Estimated Outturn Variance £m</w:t>
            </w:r>
          </w:p>
        </w:tc>
        <w:tc>
          <w:tcPr>
            <w:tcW w:w="1130" w:type="dxa"/>
          </w:tcPr>
          <w:p w14:paraId="39E1C0CD" w14:textId="0A2EE3E9" w:rsidR="0008202A" w:rsidRPr="00C82097" w:rsidRDefault="0008202A" w:rsidP="0008202A">
            <w:pPr>
              <w:pStyle w:val="Tableheadingboardreport"/>
            </w:pPr>
            <w:r w:rsidRPr="003F7222">
              <w:t>Estimated Outturn Variance %</w:t>
            </w:r>
          </w:p>
        </w:tc>
      </w:tr>
      <w:tr w:rsidR="0008202A" w14:paraId="1C6C92E4" w14:textId="69F7471F" w:rsidTr="00741254">
        <w:trPr>
          <w:trHeight w:val="302"/>
        </w:trPr>
        <w:tc>
          <w:tcPr>
            <w:tcW w:w="2037" w:type="dxa"/>
          </w:tcPr>
          <w:p w14:paraId="4C2EF796" w14:textId="20FA0D7F" w:rsidR="0008202A" w:rsidRPr="007277C3" w:rsidRDefault="0008202A" w:rsidP="0008202A">
            <w:pPr>
              <w:pStyle w:val="Tabletext"/>
            </w:pPr>
            <w:r w:rsidRPr="00130DDA">
              <w:t>Income from TA and HST cost recovery</w:t>
            </w:r>
          </w:p>
        </w:tc>
        <w:tc>
          <w:tcPr>
            <w:tcW w:w="1130" w:type="dxa"/>
          </w:tcPr>
          <w:p w14:paraId="40DD2463" w14:textId="0F6A758A" w:rsidR="0008202A" w:rsidRPr="007277C3" w:rsidRDefault="0008202A" w:rsidP="0008202A">
            <w:pPr>
              <w:pStyle w:val="Tabletext"/>
              <w:jc w:val="right"/>
            </w:pPr>
            <w:r w:rsidRPr="00542A6B">
              <w:t>(5.3)</w:t>
            </w:r>
          </w:p>
        </w:tc>
        <w:tc>
          <w:tcPr>
            <w:tcW w:w="1130" w:type="dxa"/>
          </w:tcPr>
          <w:p w14:paraId="7EC9BD35" w14:textId="57C1139C" w:rsidR="0008202A" w:rsidRPr="007277C3" w:rsidRDefault="0008202A" w:rsidP="0008202A">
            <w:pPr>
              <w:pStyle w:val="Tabletext"/>
              <w:jc w:val="right"/>
            </w:pPr>
            <w:r w:rsidRPr="00D36DCB">
              <w:t>(2.7)</w:t>
            </w:r>
          </w:p>
        </w:tc>
        <w:tc>
          <w:tcPr>
            <w:tcW w:w="1130" w:type="dxa"/>
          </w:tcPr>
          <w:p w14:paraId="23468F0C" w14:textId="6C67BA32" w:rsidR="0008202A" w:rsidRPr="00CB47B9" w:rsidRDefault="0008202A" w:rsidP="0008202A">
            <w:pPr>
              <w:pStyle w:val="Tabletext"/>
              <w:jc w:val="right"/>
            </w:pPr>
            <w:r w:rsidRPr="00940397">
              <w:t>2.7</w:t>
            </w:r>
          </w:p>
        </w:tc>
        <w:tc>
          <w:tcPr>
            <w:tcW w:w="1130" w:type="dxa"/>
          </w:tcPr>
          <w:p w14:paraId="3962562F" w14:textId="5EDACDA2" w:rsidR="0008202A" w:rsidRPr="00CB47B9" w:rsidRDefault="0008202A" w:rsidP="0008202A">
            <w:pPr>
              <w:pStyle w:val="Tabletext"/>
              <w:jc w:val="right"/>
            </w:pPr>
            <w:r w:rsidRPr="00CB7F42">
              <w:t>50%</w:t>
            </w:r>
          </w:p>
        </w:tc>
        <w:tc>
          <w:tcPr>
            <w:tcW w:w="1130" w:type="dxa"/>
          </w:tcPr>
          <w:p w14:paraId="7128D244" w14:textId="37280245" w:rsidR="0008202A" w:rsidRPr="00CB47B9" w:rsidRDefault="0008202A" w:rsidP="0008202A">
            <w:pPr>
              <w:pStyle w:val="Tabletext"/>
              <w:jc w:val="right"/>
            </w:pPr>
            <w:r w:rsidRPr="003141AE">
              <w:t>(10.7)</w:t>
            </w:r>
          </w:p>
        </w:tc>
        <w:tc>
          <w:tcPr>
            <w:tcW w:w="1130" w:type="dxa"/>
          </w:tcPr>
          <w:p w14:paraId="11242ED9" w14:textId="6487BD47" w:rsidR="0008202A" w:rsidRPr="00CB47B9" w:rsidRDefault="0008202A" w:rsidP="0008202A">
            <w:pPr>
              <w:pStyle w:val="Tabletext"/>
              <w:jc w:val="right"/>
            </w:pPr>
            <w:r w:rsidRPr="00C57E9D">
              <w:t>(6.2)</w:t>
            </w:r>
          </w:p>
        </w:tc>
        <w:tc>
          <w:tcPr>
            <w:tcW w:w="1130" w:type="dxa"/>
          </w:tcPr>
          <w:p w14:paraId="3AE8784A" w14:textId="678B4C2C" w:rsidR="0008202A" w:rsidRPr="00CB47B9" w:rsidRDefault="0008202A" w:rsidP="0008202A">
            <w:pPr>
              <w:pStyle w:val="Tabletext"/>
              <w:jc w:val="right"/>
            </w:pPr>
            <w:r w:rsidRPr="00A56A4E">
              <w:t>4.5</w:t>
            </w:r>
          </w:p>
        </w:tc>
        <w:tc>
          <w:tcPr>
            <w:tcW w:w="1130" w:type="dxa"/>
          </w:tcPr>
          <w:p w14:paraId="4BC15974" w14:textId="43EA278D" w:rsidR="0008202A" w:rsidRPr="00CB47B9" w:rsidRDefault="0008202A" w:rsidP="0008202A">
            <w:pPr>
              <w:pStyle w:val="Tabletext"/>
              <w:jc w:val="right"/>
            </w:pPr>
            <w:r w:rsidRPr="003F7222">
              <w:t>42%</w:t>
            </w:r>
          </w:p>
        </w:tc>
      </w:tr>
      <w:tr w:rsidR="0008202A" w14:paraId="7167235A" w14:textId="49277E75" w:rsidTr="00741254">
        <w:trPr>
          <w:trHeight w:val="242"/>
        </w:trPr>
        <w:tc>
          <w:tcPr>
            <w:tcW w:w="2037" w:type="dxa"/>
          </w:tcPr>
          <w:p w14:paraId="0C4BF964" w14:textId="33E492E2" w:rsidR="0008202A" w:rsidRPr="007277C3" w:rsidRDefault="0008202A" w:rsidP="0008202A">
            <w:pPr>
              <w:pStyle w:val="Tabletext"/>
            </w:pPr>
            <w:r w:rsidRPr="00130DDA">
              <w:t xml:space="preserve">Other funding </w:t>
            </w:r>
            <w:proofErr w:type="gramStart"/>
            <w:r w:rsidRPr="00130DDA">
              <w:t>From</w:t>
            </w:r>
            <w:proofErr w:type="gramEnd"/>
            <w:r w:rsidRPr="00130DDA">
              <w:t xml:space="preserve"> other ALBs, Devolved Administrations</w:t>
            </w:r>
          </w:p>
        </w:tc>
        <w:tc>
          <w:tcPr>
            <w:tcW w:w="1130" w:type="dxa"/>
          </w:tcPr>
          <w:p w14:paraId="59AB2C85" w14:textId="022BE1DD" w:rsidR="0008202A" w:rsidRPr="007277C3" w:rsidRDefault="0008202A" w:rsidP="0008202A">
            <w:pPr>
              <w:pStyle w:val="Tabletext"/>
              <w:jc w:val="right"/>
            </w:pPr>
            <w:r w:rsidRPr="00542A6B">
              <w:t>(3.7)</w:t>
            </w:r>
          </w:p>
        </w:tc>
        <w:tc>
          <w:tcPr>
            <w:tcW w:w="1130" w:type="dxa"/>
          </w:tcPr>
          <w:p w14:paraId="16D7D731" w14:textId="251A257C" w:rsidR="0008202A" w:rsidRPr="007277C3" w:rsidRDefault="0008202A" w:rsidP="0008202A">
            <w:pPr>
              <w:pStyle w:val="Tabletext"/>
              <w:jc w:val="right"/>
            </w:pPr>
            <w:r w:rsidRPr="00D36DCB">
              <w:t>(3.8)</w:t>
            </w:r>
          </w:p>
        </w:tc>
        <w:tc>
          <w:tcPr>
            <w:tcW w:w="1130" w:type="dxa"/>
          </w:tcPr>
          <w:p w14:paraId="11DF866F" w14:textId="625EF098" w:rsidR="0008202A" w:rsidRPr="00365840" w:rsidRDefault="0008202A" w:rsidP="0008202A">
            <w:pPr>
              <w:pStyle w:val="Tabletext"/>
              <w:jc w:val="right"/>
            </w:pPr>
            <w:r w:rsidRPr="00940397">
              <w:t>(0.0)</w:t>
            </w:r>
          </w:p>
        </w:tc>
        <w:tc>
          <w:tcPr>
            <w:tcW w:w="1130" w:type="dxa"/>
          </w:tcPr>
          <w:p w14:paraId="37B5D404" w14:textId="0B0F9FFD" w:rsidR="0008202A" w:rsidRPr="00365840" w:rsidRDefault="0008202A" w:rsidP="0008202A">
            <w:pPr>
              <w:pStyle w:val="Tabletext"/>
              <w:jc w:val="right"/>
            </w:pPr>
            <w:r w:rsidRPr="00CB7F42">
              <w:t>(1%)</w:t>
            </w:r>
          </w:p>
        </w:tc>
        <w:tc>
          <w:tcPr>
            <w:tcW w:w="1130" w:type="dxa"/>
          </w:tcPr>
          <w:p w14:paraId="0D5FED34" w14:textId="14EBDE05" w:rsidR="0008202A" w:rsidRPr="00365840" w:rsidRDefault="0008202A" w:rsidP="0008202A">
            <w:pPr>
              <w:pStyle w:val="Tabletext"/>
              <w:jc w:val="right"/>
            </w:pPr>
            <w:r w:rsidRPr="003141AE">
              <w:t>(7.4)</w:t>
            </w:r>
          </w:p>
        </w:tc>
        <w:tc>
          <w:tcPr>
            <w:tcW w:w="1130" w:type="dxa"/>
          </w:tcPr>
          <w:p w14:paraId="31225C9E" w14:textId="46753E76" w:rsidR="0008202A" w:rsidRPr="00365840" w:rsidRDefault="0008202A" w:rsidP="0008202A">
            <w:pPr>
              <w:pStyle w:val="Tabletext"/>
              <w:jc w:val="right"/>
            </w:pPr>
            <w:r w:rsidRPr="00C57E9D">
              <w:t>(7.5)</w:t>
            </w:r>
          </w:p>
        </w:tc>
        <w:tc>
          <w:tcPr>
            <w:tcW w:w="1130" w:type="dxa"/>
          </w:tcPr>
          <w:p w14:paraId="66B3543E" w14:textId="65F63502" w:rsidR="0008202A" w:rsidRPr="00365840" w:rsidRDefault="0008202A" w:rsidP="0008202A">
            <w:pPr>
              <w:pStyle w:val="Tabletext"/>
              <w:jc w:val="right"/>
            </w:pPr>
            <w:r w:rsidRPr="00A56A4E">
              <w:t>(0.0)</w:t>
            </w:r>
          </w:p>
        </w:tc>
        <w:tc>
          <w:tcPr>
            <w:tcW w:w="1130" w:type="dxa"/>
          </w:tcPr>
          <w:p w14:paraId="136813DE" w14:textId="08FC3820" w:rsidR="0008202A" w:rsidRPr="00365840" w:rsidRDefault="0008202A" w:rsidP="0008202A">
            <w:pPr>
              <w:pStyle w:val="Tabletext"/>
              <w:jc w:val="right"/>
            </w:pPr>
            <w:r w:rsidRPr="003F7222">
              <w:t>(1%)</w:t>
            </w:r>
          </w:p>
        </w:tc>
      </w:tr>
      <w:tr w:rsidR="0008202A" w14:paraId="3616BA2A" w14:textId="149A4868" w:rsidTr="00741254">
        <w:trPr>
          <w:trHeight w:val="184"/>
        </w:trPr>
        <w:tc>
          <w:tcPr>
            <w:tcW w:w="2037" w:type="dxa"/>
          </w:tcPr>
          <w:p w14:paraId="1CC42883" w14:textId="62E3C875" w:rsidR="0008202A" w:rsidRPr="007277C3" w:rsidRDefault="0008202A" w:rsidP="0008202A">
            <w:pPr>
              <w:pStyle w:val="Tabletext"/>
            </w:pPr>
            <w:r w:rsidRPr="00130DDA">
              <w:t>Centre for Guidelines</w:t>
            </w:r>
          </w:p>
        </w:tc>
        <w:tc>
          <w:tcPr>
            <w:tcW w:w="1130" w:type="dxa"/>
          </w:tcPr>
          <w:p w14:paraId="2C52E3F6" w14:textId="68848DA3" w:rsidR="0008202A" w:rsidRPr="007277C3" w:rsidRDefault="0008202A" w:rsidP="0008202A">
            <w:pPr>
              <w:pStyle w:val="Tabletext"/>
              <w:jc w:val="right"/>
            </w:pPr>
            <w:r w:rsidRPr="00542A6B">
              <w:t>9.0</w:t>
            </w:r>
          </w:p>
        </w:tc>
        <w:tc>
          <w:tcPr>
            <w:tcW w:w="1130" w:type="dxa"/>
          </w:tcPr>
          <w:p w14:paraId="03001AF4" w14:textId="771CC968" w:rsidR="0008202A" w:rsidRPr="007277C3" w:rsidRDefault="0008202A" w:rsidP="0008202A">
            <w:pPr>
              <w:pStyle w:val="Tabletext"/>
              <w:jc w:val="right"/>
            </w:pPr>
            <w:r w:rsidRPr="00D36DCB">
              <w:t>8.7</w:t>
            </w:r>
          </w:p>
        </w:tc>
        <w:tc>
          <w:tcPr>
            <w:tcW w:w="1130" w:type="dxa"/>
          </w:tcPr>
          <w:p w14:paraId="58F394BA" w14:textId="6F40EEBA" w:rsidR="0008202A" w:rsidRPr="00775CEA" w:rsidRDefault="0008202A" w:rsidP="0008202A">
            <w:pPr>
              <w:pStyle w:val="Tabletext"/>
              <w:jc w:val="right"/>
            </w:pPr>
            <w:r w:rsidRPr="00940397">
              <w:t>(0.3)</w:t>
            </w:r>
          </w:p>
        </w:tc>
        <w:tc>
          <w:tcPr>
            <w:tcW w:w="1130" w:type="dxa"/>
          </w:tcPr>
          <w:p w14:paraId="1420B7C2" w14:textId="7179621B" w:rsidR="0008202A" w:rsidRPr="00775CEA" w:rsidRDefault="0008202A" w:rsidP="0008202A">
            <w:pPr>
              <w:pStyle w:val="Tabletext"/>
              <w:jc w:val="right"/>
            </w:pPr>
            <w:r w:rsidRPr="00CB7F42">
              <w:t>(3%)</w:t>
            </w:r>
          </w:p>
        </w:tc>
        <w:tc>
          <w:tcPr>
            <w:tcW w:w="1130" w:type="dxa"/>
          </w:tcPr>
          <w:p w14:paraId="2439C3EA" w14:textId="37B12E33" w:rsidR="0008202A" w:rsidRPr="00775CEA" w:rsidRDefault="0008202A" w:rsidP="0008202A">
            <w:pPr>
              <w:pStyle w:val="Tabletext"/>
              <w:jc w:val="right"/>
            </w:pPr>
            <w:r w:rsidRPr="003141AE">
              <w:t>18.4</w:t>
            </w:r>
          </w:p>
        </w:tc>
        <w:tc>
          <w:tcPr>
            <w:tcW w:w="1130" w:type="dxa"/>
          </w:tcPr>
          <w:p w14:paraId="79036010" w14:textId="1AE9FD66" w:rsidR="0008202A" w:rsidRPr="00775CEA" w:rsidRDefault="0008202A" w:rsidP="0008202A">
            <w:pPr>
              <w:pStyle w:val="Tabletext"/>
              <w:jc w:val="right"/>
            </w:pPr>
            <w:r w:rsidRPr="00C57E9D">
              <w:t>18.1</w:t>
            </w:r>
          </w:p>
        </w:tc>
        <w:tc>
          <w:tcPr>
            <w:tcW w:w="1130" w:type="dxa"/>
          </w:tcPr>
          <w:p w14:paraId="73599AE6" w14:textId="315C85B0" w:rsidR="0008202A" w:rsidRPr="00775CEA" w:rsidRDefault="0008202A" w:rsidP="0008202A">
            <w:pPr>
              <w:pStyle w:val="Tabletext"/>
              <w:jc w:val="right"/>
            </w:pPr>
            <w:r w:rsidRPr="00A56A4E">
              <w:t>(0.3)</w:t>
            </w:r>
          </w:p>
        </w:tc>
        <w:tc>
          <w:tcPr>
            <w:tcW w:w="1130" w:type="dxa"/>
          </w:tcPr>
          <w:p w14:paraId="0C80C9BE" w14:textId="4F01C651" w:rsidR="0008202A" w:rsidRPr="00775CEA" w:rsidRDefault="0008202A" w:rsidP="0008202A">
            <w:pPr>
              <w:pStyle w:val="Tabletext"/>
              <w:jc w:val="right"/>
            </w:pPr>
            <w:r w:rsidRPr="003F7222">
              <w:t>(1%)</w:t>
            </w:r>
          </w:p>
        </w:tc>
      </w:tr>
      <w:tr w:rsidR="0008202A" w14:paraId="3343798D" w14:textId="75AE496D" w:rsidTr="00741254">
        <w:trPr>
          <w:trHeight w:val="187"/>
        </w:trPr>
        <w:tc>
          <w:tcPr>
            <w:tcW w:w="2037" w:type="dxa"/>
          </w:tcPr>
          <w:p w14:paraId="20F0A797" w14:textId="578E20F8" w:rsidR="0008202A" w:rsidRDefault="0008202A" w:rsidP="0008202A">
            <w:pPr>
              <w:pStyle w:val="Tabletext"/>
            </w:pPr>
            <w:r w:rsidRPr="00130DDA">
              <w:t>Centre for Health Technology Evaluation</w:t>
            </w:r>
          </w:p>
        </w:tc>
        <w:tc>
          <w:tcPr>
            <w:tcW w:w="1130" w:type="dxa"/>
          </w:tcPr>
          <w:p w14:paraId="4B5A1D87" w14:textId="403A8274" w:rsidR="0008202A" w:rsidRPr="007F472E" w:rsidRDefault="0008202A" w:rsidP="0008202A">
            <w:pPr>
              <w:pStyle w:val="Tabletext"/>
              <w:jc w:val="right"/>
            </w:pPr>
            <w:r w:rsidRPr="00542A6B">
              <w:t>6.5</w:t>
            </w:r>
          </w:p>
        </w:tc>
        <w:tc>
          <w:tcPr>
            <w:tcW w:w="1130" w:type="dxa"/>
          </w:tcPr>
          <w:p w14:paraId="5B2B9D6E" w14:textId="26677FF0" w:rsidR="0008202A" w:rsidRPr="00872C0D" w:rsidRDefault="0008202A" w:rsidP="0008202A">
            <w:pPr>
              <w:pStyle w:val="Tabletext"/>
              <w:jc w:val="right"/>
            </w:pPr>
            <w:r w:rsidRPr="00D36DCB">
              <w:t>5.7</w:t>
            </w:r>
          </w:p>
        </w:tc>
        <w:tc>
          <w:tcPr>
            <w:tcW w:w="1130" w:type="dxa"/>
          </w:tcPr>
          <w:p w14:paraId="1FC38A12" w14:textId="29134AE9" w:rsidR="0008202A" w:rsidRPr="001F3843" w:rsidRDefault="0008202A" w:rsidP="0008202A">
            <w:pPr>
              <w:pStyle w:val="Tabletext"/>
              <w:jc w:val="right"/>
            </w:pPr>
            <w:r w:rsidRPr="00940397">
              <w:t>(0.9)</w:t>
            </w:r>
          </w:p>
        </w:tc>
        <w:tc>
          <w:tcPr>
            <w:tcW w:w="1130" w:type="dxa"/>
          </w:tcPr>
          <w:p w14:paraId="2D2CA25F" w14:textId="58B5A4A9" w:rsidR="0008202A" w:rsidRPr="001F3843" w:rsidRDefault="0008202A" w:rsidP="0008202A">
            <w:pPr>
              <w:pStyle w:val="Tabletext"/>
              <w:jc w:val="right"/>
            </w:pPr>
            <w:r w:rsidRPr="00CB7F42">
              <w:t>(13%)</w:t>
            </w:r>
          </w:p>
        </w:tc>
        <w:tc>
          <w:tcPr>
            <w:tcW w:w="1130" w:type="dxa"/>
          </w:tcPr>
          <w:p w14:paraId="27B180E6" w14:textId="23461FD7" w:rsidR="0008202A" w:rsidRPr="001F3843" w:rsidRDefault="0008202A" w:rsidP="0008202A">
            <w:pPr>
              <w:pStyle w:val="Tabletext"/>
              <w:jc w:val="right"/>
            </w:pPr>
            <w:r w:rsidRPr="003141AE">
              <w:t>13.6</w:t>
            </w:r>
          </w:p>
        </w:tc>
        <w:tc>
          <w:tcPr>
            <w:tcW w:w="1130" w:type="dxa"/>
          </w:tcPr>
          <w:p w14:paraId="586FCEB9" w14:textId="1DAB054D" w:rsidR="0008202A" w:rsidRPr="001F3843" w:rsidRDefault="0008202A" w:rsidP="0008202A">
            <w:pPr>
              <w:pStyle w:val="Tabletext"/>
              <w:jc w:val="right"/>
            </w:pPr>
            <w:r w:rsidRPr="00C57E9D">
              <w:t>12.0</w:t>
            </w:r>
          </w:p>
        </w:tc>
        <w:tc>
          <w:tcPr>
            <w:tcW w:w="1130" w:type="dxa"/>
          </w:tcPr>
          <w:p w14:paraId="212FF67D" w14:textId="4581835C" w:rsidR="0008202A" w:rsidRPr="001F3843" w:rsidRDefault="0008202A" w:rsidP="0008202A">
            <w:pPr>
              <w:pStyle w:val="Tabletext"/>
              <w:jc w:val="right"/>
            </w:pPr>
            <w:r w:rsidRPr="00A56A4E">
              <w:t>(1.6)</w:t>
            </w:r>
          </w:p>
        </w:tc>
        <w:tc>
          <w:tcPr>
            <w:tcW w:w="1130" w:type="dxa"/>
          </w:tcPr>
          <w:p w14:paraId="7125B86C" w14:textId="1221EF17" w:rsidR="0008202A" w:rsidRPr="001F3843" w:rsidRDefault="0008202A" w:rsidP="0008202A">
            <w:pPr>
              <w:pStyle w:val="Tabletext"/>
              <w:jc w:val="right"/>
            </w:pPr>
            <w:r w:rsidRPr="003F7222">
              <w:t>(12%)</w:t>
            </w:r>
          </w:p>
        </w:tc>
      </w:tr>
      <w:tr w:rsidR="0008202A" w14:paraId="725BD8D9" w14:textId="77777777" w:rsidTr="00741254">
        <w:trPr>
          <w:trHeight w:val="187"/>
        </w:trPr>
        <w:tc>
          <w:tcPr>
            <w:tcW w:w="2037" w:type="dxa"/>
          </w:tcPr>
          <w:p w14:paraId="2ACD1746" w14:textId="0293BC97" w:rsidR="0008202A" w:rsidRDefault="0008202A" w:rsidP="0008202A">
            <w:pPr>
              <w:pStyle w:val="Tabletext"/>
            </w:pPr>
            <w:r w:rsidRPr="00130DDA">
              <w:t>Health &amp; Social Care</w:t>
            </w:r>
          </w:p>
        </w:tc>
        <w:tc>
          <w:tcPr>
            <w:tcW w:w="1130" w:type="dxa"/>
          </w:tcPr>
          <w:p w14:paraId="1902B139" w14:textId="1FAB7DA0" w:rsidR="0008202A" w:rsidRPr="007F472E" w:rsidRDefault="0008202A" w:rsidP="0008202A">
            <w:pPr>
              <w:pStyle w:val="Tabletext"/>
              <w:jc w:val="right"/>
            </w:pPr>
            <w:r w:rsidRPr="00542A6B">
              <w:t>3.4</w:t>
            </w:r>
          </w:p>
        </w:tc>
        <w:tc>
          <w:tcPr>
            <w:tcW w:w="1130" w:type="dxa"/>
          </w:tcPr>
          <w:p w14:paraId="1755948D" w14:textId="6BA3D60E" w:rsidR="0008202A" w:rsidRPr="00872C0D" w:rsidRDefault="0008202A" w:rsidP="0008202A">
            <w:pPr>
              <w:pStyle w:val="Tabletext"/>
              <w:jc w:val="right"/>
            </w:pPr>
            <w:r w:rsidRPr="00D36DCB">
              <w:t>3.1</w:t>
            </w:r>
          </w:p>
        </w:tc>
        <w:tc>
          <w:tcPr>
            <w:tcW w:w="1130" w:type="dxa"/>
          </w:tcPr>
          <w:p w14:paraId="4930AB95" w14:textId="642D9180" w:rsidR="0008202A" w:rsidRPr="001F3843" w:rsidRDefault="0008202A" w:rsidP="0008202A">
            <w:pPr>
              <w:pStyle w:val="Tabletext"/>
              <w:jc w:val="right"/>
            </w:pPr>
            <w:r w:rsidRPr="00940397">
              <w:t>(0.3)</w:t>
            </w:r>
          </w:p>
        </w:tc>
        <w:tc>
          <w:tcPr>
            <w:tcW w:w="1130" w:type="dxa"/>
          </w:tcPr>
          <w:p w14:paraId="6B333C1B" w14:textId="4B7AD52A" w:rsidR="0008202A" w:rsidRPr="001F3843" w:rsidRDefault="0008202A" w:rsidP="0008202A">
            <w:pPr>
              <w:pStyle w:val="Tabletext"/>
              <w:jc w:val="right"/>
            </w:pPr>
            <w:r w:rsidRPr="00CB7F42">
              <w:t>(9%)</w:t>
            </w:r>
          </w:p>
        </w:tc>
        <w:tc>
          <w:tcPr>
            <w:tcW w:w="1130" w:type="dxa"/>
          </w:tcPr>
          <w:p w14:paraId="2795D4DE" w14:textId="54402F41" w:rsidR="0008202A" w:rsidRPr="001F3843" w:rsidRDefault="0008202A" w:rsidP="0008202A">
            <w:pPr>
              <w:pStyle w:val="Tabletext"/>
              <w:jc w:val="right"/>
            </w:pPr>
            <w:r w:rsidRPr="003141AE">
              <w:t>7.0</w:t>
            </w:r>
          </w:p>
        </w:tc>
        <w:tc>
          <w:tcPr>
            <w:tcW w:w="1130" w:type="dxa"/>
          </w:tcPr>
          <w:p w14:paraId="3A140245" w14:textId="44F72D3E" w:rsidR="0008202A" w:rsidRPr="001F3843" w:rsidRDefault="0008202A" w:rsidP="0008202A">
            <w:pPr>
              <w:pStyle w:val="Tabletext"/>
              <w:jc w:val="right"/>
            </w:pPr>
            <w:r w:rsidRPr="00C57E9D">
              <w:t>6.3</w:t>
            </w:r>
          </w:p>
        </w:tc>
        <w:tc>
          <w:tcPr>
            <w:tcW w:w="1130" w:type="dxa"/>
          </w:tcPr>
          <w:p w14:paraId="2CA7DEB2" w14:textId="149932C5" w:rsidR="0008202A" w:rsidRPr="001F3843" w:rsidRDefault="0008202A" w:rsidP="0008202A">
            <w:pPr>
              <w:pStyle w:val="Tabletext"/>
              <w:jc w:val="right"/>
            </w:pPr>
            <w:r w:rsidRPr="00A56A4E">
              <w:t>(0.7)</w:t>
            </w:r>
          </w:p>
        </w:tc>
        <w:tc>
          <w:tcPr>
            <w:tcW w:w="1130" w:type="dxa"/>
          </w:tcPr>
          <w:p w14:paraId="3D52F19C" w14:textId="3ADDFAC8" w:rsidR="0008202A" w:rsidRPr="001F3843" w:rsidRDefault="0008202A" w:rsidP="0008202A">
            <w:pPr>
              <w:pStyle w:val="Tabletext"/>
              <w:jc w:val="right"/>
            </w:pPr>
            <w:r w:rsidRPr="003F7222">
              <w:t>(10%)</w:t>
            </w:r>
          </w:p>
        </w:tc>
      </w:tr>
      <w:tr w:rsidR="0008202A" w14:paraId="20A43388" w14:textId="77777777" w:rsidTr="00741254">
        <w:trPr>
          <w:trHeight w:val="187"/>
        </w:trPr>
        <w:tc>
          <w:tcPr>
            <w:tcW w:w="2037" w:type="dxa"/>
          </w:tcPr>
          <w:p w14:paraId="5D146F03" w14:textId="78B68EF2" w:rsidR="0008202A" w:rsidRDefault="0008202A" w:rsidP="0008202A">
            <w:pPr>
              <w:pStyle w:val="Tabletext"/>
            </w:pPr>
            <w:r w:rsidRPr="00130DDA">
              <w:t>Digital, Information and Technology</w:t>
            </w:r>
          </w:p>
        </w:tc>
        <w:tc>
          <w:tcPr>
            <w:tcW w:w="1130" w:type="dxa"/>
          </w:tcPr>
          <w:p w14:paraId="73F3A15A" w14:textId="10FF22AB" w:rsidR="0008202A" w:rsidRPr="007F472E" w:rsidRDefault="0008202A" w:rsidP="0008202A">
            <w:pPr>
              <w:pStyle w:val="Tabletext"/>
              <w:jc w:val="right"/>
            </w:pPr>
            <w:r w:rsidRPr="00542A6B">
              <w:t>3.4</w:t>
            </w:r>
          </w:p>
        </w:tc>
        <w:tc>
          <w:tcPr>
            <w:tcW w:w="1130" w:type="dxa"/>
          </w:tcPr>
          <w:p w14:paraId="6481DCAC" w14:textId="0757B5F3" w:rsidR="0008202A" w:rsidRPr="00872C0D" w:rsidRDefault="0008202A" w:rsidP="0008202A">
            <w:pPr>
              <w:pStyle w:val="Tabletext"/>
              <w:jc w:val="right"/>
            </w:pPr>
            <w:r w:rsidRPr="00D36DCB">
              <w:t>3.2</w:t>
            </w:r>
          </w:p>
        </w:tc>
        <w:tc>
          <w:tcPr>
            <w:tcW w:w="1130" w:type="dxa"/>
          </w:tcPr>
          <w:p w14:paraId="64FBB0BD" w14:textId="4333D8EE" w:rsidR="0008202A" w:rsidRPr="001F3843" w:rsidRDefault="0008202A" w:rsidP="0008202A">
            <w:pPr>
              <w:pStyle w:val="Tabletext"/>
              <w:jc w:val="right"/>
            </w:pPr>
            <w:r w:rsidRPr="00940397">
              <w:t>(0.1)</w:t>
            </w:r>
          </w:p>
        </w:tc>
        <w:tc>
          <w:tcPr>
            <w:tcW w:w="1130" w:type="dxa"/>
          </w:tcPr>
          <w:p w14:paraId="26B81EF9" w14:textId="42508A11" w:rsidR="0008202A" w:rsidRPr="001F3843" w:rsidRDefault="0008202A" w:rsidP="0008202A">
            <w:pPr>
              <w:pStyle w:val="Tabletext"/>
              <w:jc w:val="right"/>
            </w:pPr>
            <w:r w:rsidRPr="00CB7F42">
              <w:t>(4%)</w:t>
            </w:r>
          </w:p>
        </w:tc>
        <w:tc>
          <w:tcPr>
            <w:tcW w:w="1130" w:type="dxa"/>
          </w:tcPr>
          <w:p w14:paraId="008907E9" w14:textId="3D61BAA3" w:rsidR="0008202A" w:rsidRPr="001F3843" w:rsidRDefault="0008202A" w:rsidP="0008202A">
            <w:pPr>
              <w:pStyle w:val="Tabletext"/>
              <w:jc w:val="right"/>
            </w:pPr>
            <w:r w:rsidRPr="003141AE">
              <w:t>6.5</w:t>
            </w:r>
          </w:p>
        </w:tc>
        <w:tc>
          <w:tcPr>
            <w:tcW w:w="1130" w:type="dxa"/>
          </w:tcPr>
          <w:p w14:paraId="240113C5" w14:textId="598F8E4C" w:rsidR="0008202A" w:rsidRPr="001F3843" w:rsidRDefault="0008202A" w:rsidP="0008202A">
            <w:pPr>
              <w:pStyle w:val="Tabletext"/>
              <w:jc w:val="right"/>
            </w:pPr>
            <w:r w:rsidRPr="00C57E9D">
              <w:t>6.3</w:t>
            </w:r>
          </w:p>
        </w:tc>
        <w:tc>
          <w:tcPr>
            <w:tcW w:w="1130" w:type="dxa"/>
          </w:tcPr>
          <w:p w14:paraId="586020CB" w14:textId="543D7AF2" w:rsidR="0008202A" w:rsidRPr="001F3843" w:rsidRDefault="0008202A" w:rsidP="0008202A">
            <w:pPr>
              <w:pStyle w:val="Tabletext"/>
              <w:jc w:val="right"/>
            </w:pPr>
            <w:r w:rsidRPr="00A56A4E">
              <w:t>(0.2)</w:t>
            </w:r>
          </w:p>
        </w:tc>
        <w:tc>
          <w:tcPr>
            <w:tcW w:w="1130" w:type="dxa"/>
          </w:tcPr>
          <w:p w14:paraId="08D7DF6E" w14:textId="70EA91B0" w:rsidR="0008202A" w:rsidRPr="001F3843" w:rsidRDefault="0008202A" w:rsidP="0008202A">
            <w:pPr>
              <w:pStyle w:val="Tabletext"/>
              <w:jc w:val="right"/>
            </w:pPr>
            <w:r w:rsidRPr="003F7222">
              <w:t>(3%)</w:t>
            </w:r>
          </w:p>
        </w:tc>
      </w:tr>
      <w:tr w:rsidR="0008202A" w14:paraId="4A1D11D5" w14:textId="77777777" w:rsidTr="00741254">
        <w:trPr>
          <w:trHeight w:val="187"/>
        </w:trPr>
        <w:tc>
          <w:tcPr>
            <w:tcW w:w="2037" w:type="dxa"/>
          </w:tcPr>
          <w:p w14:paraId="77F65FC1" w14:textId="0E96CC8F" w:rsidR="0008202A" w:rsidRDefault="0008202A" w:rsidP="0008202A">
            <w:pPr>
              <w:pStyle w:val="Tabletext"/>
            </w:pPr>
            <w:r w:rsidRPr="00130DDA">
              <w:t>Science, Evidence and Analytics</w:t>
            </w:r>
          </w:p>
        </w:tc>
        <w:tc>
          <w:tcPr>
            <w:tcW w:w="1130" w:type="dxa"/>
          </w:tcPr>
          <w:p w14:paraId="41C46CEB" w14:textId="26E1AECC" w:rsidR="0008202A" w:rsidRPr="007F472E" w:rsidRDefault="0008202A" w:rsidP="0008202A">
            <w:pPr>
              <w:pStyle w:val="Tabletext"/>
              <w:jc w:val="right"/>
            </w:pPr>
            <w:r w:rsidRPr="00542A6B">
              <w:t>3.7</w:t>
            </w:r>
          </w:p>
        </w:tc>
        <w:tc>
          <w:tcPr>
            <w:tcW w:w="1130" w:type="dxa"/>
          </w:tcPr>
          <w:p w14:paraId="27934C50" w14:textId="4AEBDD41" w:rsidR="0008202A" w:rsidRPr="00872C0D" w:rsidRDefault="0008202A" w:rsidP="0008202A">
            <w:pPr>
              <w:pStyle w:val="Tabletext"/>
              <w:jc w:val="right"/>
            </w:pPr>
            <w:r w:rsidRPr="00D36DCB">
              <w:t>3.5</w:t>
            </w:r>
          </w:p>
        </w:tc>
        <w:tc>
          <w:tcPr>
            <w:tcW w:w="1130" w:type="dxa"/>
          </w:tcPr>
          <w:p w14:paraId="58E363D7" w14:textId="3715FED9" w:rsidR="0008202A" w:rsidRPr="001F3843" w:rsidRDefault="0008202A" w:rsidP="0008202A">
            <w:pPr>
              <w:pStyle w:val="Tabletext"/>
              <w:jc w:val="right"/>
            </w:pPr>
            <w:r w:rsidRPr="00940397">
              <w:t>(0.2)</w:t>
            </w:r>
          </w:p>
        </w:tc>
        <w:tc>
          <w:tcPr>
            <w:tcW w:w="1130" w:type="dxa"/>
          </w:tcPr>
          <w:p w14:paraId="267A1396" w14:textId="26CD97E7" w:rsidR="0008202A" w:rsidRPr="001F3843" w:rsidRDefault="0008202A" w:rsidP="0008202A">
            <w:pPr>
              <w:pStyle w:val="Tabletext"/>
              <w:jc w:val="right"/>
            </w:pPr>
            <w:r w:rsidRPr="00CB7F42">
              <w:t>(5%)</w:t>
            </w:r>
          </w:p>
        </w:tc>
        <w:tc>
          <w:tcPr>
            <w:tcW w:w="1130" w:type="dxa"/>
          </w:tcPr>
          <w:p w14:paraId="344E2B39" w14:textId="6941D9E0" w:rsidR="0008202A" w:rsidRPr="001F3843" w:rsidRDefault="0008202A" w:rsidP="0008202A">
            <w:pPr>
              <w:pStyle w:val="Tabletext"/>
              <w:jc w:val="right"/>
            </w:pPr>
            <w:r w:rsidRPr="003141AE">
              <w:t>7.6</w:t>
            </w:r>
          </w:p>
        </w:tc>
        <w:tc>
          <w:tcPr>
            <w:tcW w:w="1130" w:type="dxa"/>
          </w:tcPr>
          <w:p w14:paraId="35DCF95B" w14:textId="7352CD3A" w:rsidR="0008202A" w:rsidRPr="001F3843" w:rsidRDefault="0008202A" w:rsidP="0008202A">
            <w:pPr>
              <w:pStyle w:val="Tabletext"/>
              <w:jc w:val="right"/>
            </w:pPr>
            <w:r w:rsidRPr="00C57E9D">
              <w:t>7.4</w:t>
            </w:r>
          </w:p>
        </w:tc>
        <w:tc>
          <w:tcPr>
            <w:tcW w:w="1130" w:type="dxa"/>
          </w:tcPr>
          <w:p w14:paraId="7956F51E" w14:textId="55A26569" w:rsidR="0008202A" w:rsidRPr="001F3843" w:rsidRDefault="0008202A" w:rsidP="0008202A">
            <w:pPr>
              <w:pStyle w:val="Tabletext"/>
              <w:jc w:val="right"/>
            </w:pPr>
            <w:r w:rsidRPr="00A56A4E">
              <w:t>(0.2)</w:t>
            </w:r>
          </w:p>
        </w:tc>
        <w:tc>
          <w:tcPr>
            <w:tcW w:w="1130" w:type="dxa"/>
          </w:tcPr>
          <w:p w14:paraId="7B90A755" w14:textId="71E3EE44" w:rsidR="0008202A" w:rsidRPr="001F3843" w:rsidRDefault="0008202A" w:rsidP="0008202A">
            <w:pPr>
              <w:pStyle w:val="Tabletext"/>
              <w:jc w:val="right"/>
            </w:pPr>
            <w:r w:rsidRPr="003F7222">
              <w:t>(3%)</w:t>
            </w:r>
          </w:p>
        </w:tc>
      </w:tr>
      <w:tr w:rsidR="0008202A" w14:paraId="3880A376" w14:textId="77777777" w:rsidTr="00741254">
        <w:trPr>
          <w:trHeight w:val="187"/>
        </w:trPr>
        <w:tc>
          <w:tcPr>
            <w:tcW w:w="2037" w:type="dxa"/>
          </w:tcPr>
          <w:p w14:paraId="125673F4" w14:textId="4A32510E" w:rsidR="0008202A" w:rsidRDefault="0008202A" w:rsidP="0008202A">
            <w:pPr>
              <w:pStyle w:val="Tabletext"/>
            </w:pPr>
            <w:r w:rsidRPr="00130DDA">
              <w:t>Finance, Strategy and Transformation</w:t>
            </w:r>
          </w:p>
        </w:tc>
        <w:tc>
          <w:tcPr>
            <w:tcW w:w="1130" w:type="dxa"/>
          </w:tcPr>
          <w:p w14:paraId="19AB0C2B" w14:textId="3AFB962F" w:rsidR="0008202A" w:rsidRPr="007F472E" w:rsidRDefault="0008202A" w:rsidP="0008202A">
            <w:pPr>
              <w:pStyle w:val="Tabletext"/>
              <w:jc w:val="right"/>
            </w:pPr>
            <w:r w:rsidRPr="00542A6B">
              <w:t>4.3</w:t>
            </w:r>
          </w:p>
        </w:tc>
        <w:tc>
          <w:tcPr>
            <w:tcW w:w="1130" w:type="dxa"/>
          </w:tcPr>
          <w:p w14:paraId="51FE8DC2" w14:textId="5593E65F" w:rsidR="0008202A" w:rsidRPr="00872C0D" w:rsidRDefault="0008202A" w:rsidP="0008202A">
            <w:pPr>
              <w:pStyle w:val="Tabletext"/>
              <w:jc w:val="right"/>
            </w:pPr>
            <w:r w:rsidRPr="00D36DCB">
              <w:t>4.0</w:t>
            </w:r>
          </w:p>
        </w:tc>
        <w:tc>
          <w:tcPr>
            <w:tcW w:w="1130" w:type="dxa"/>
          </w:tcPr>
          <w:p w14:paraId="2D9137E6" w14:textId="61DEA33F" w:rsidR="0008202A" w:rsidRPr="001F3843" w:rsidRDefault="0008202A" w:rsidP="0008202A">
            <w:pPr>
              <w:pStyle w:val="Tabletext"/>
              <w:jc w:val="right"/>
            </w:pPr>
            <w:r w:rsidRPr="00940397">
              <w:t>(0.3)</w:t>
            </w:r>
          </w:p>
        </w:tc>
        <w:tc>
          <w:tcPr>
            <w:tcW w:w="1130" w:type="dxa"/>
          </w:tcPr>
          <w:p w14:paraId="371A4607" w14:textId="384937B5" w:rsidR="0008202A" w:rsidRPr="001F3843" w:rsidRDefault="0008202A" w:rsidP="0008202A">
            <w:pPr>
              <w:pStyle w:val="Tabletext"/>
              <w:jc w:val="right"/>
            </w:pPr>
            <w:r w:rsidRPr="00CB7F42">
              <w:t>(7%)</w:t>
            </w:r>
          </w:p>
        </w:tc>
        <w:tc>
          <w:tcPr>
            <w:tcW w:w="1130" w:type="dxa"/>
          </w:tcPr>
          <w:p w14:paraId="05FD3B5C" w14:textId="1E505E56" w:rsidR="0008202A" w:rsidRPr="001F3843" w:rsidRDefault="0008202A" w:rsidP="0008202A">
            <w:pPr>
              <w:pStyle w:val="Tabletext"/>
              <w:jc w:val="right"/>
            </w:pPr>
            <w:r w:rsidRPr="003141AE">
              <w:t>9.1</w:t>
            </w:r>
          </w:p>
        </w:tc>
        <w:tc>
          <w:tcPr>
            <w:tcW w:w="1130" w:type="dxa"/>
          </w:tcPr>
          <w:p w14:paraId="5EDAF077" w14:textId="4A981F2F" w:rsidR="0008202A" w:rsidRPr="001F3843" w:rsidRDefault="0008202A" w:rsidP="0008202A">
            <w:pPr>
              <w:pStyle w:val="Tabletext"/>
              <w:jc w:val="right"/>
            </w:pPr>
            <w:r w:rsidRPr="00C57E9D">
              <w:t>8.7</w:t>
            </w:r>
          </w:p>
        </w:tc>
        <w:tc>
          <w:tcPr>
            <w:tcW w:w="1130" w:type="dxa"/>
          </w:tcPr>
          <w:p w14:paraId="10480057" w14:textId="521962A2" w:rsidR="0008202A" w:rsidRPr="001F3843" w:rsidRDefault="0008202A" w:rsidP="0008202A">
            <w:pPr>
              <w:pStyle w:val="Tabletext"/>
              <w:jc w:val="right"/>
            </w:pPr>
            <w:r w:rsidRPr="00A56A4E">
              <w:t>(0.4)</w:t>
            </w:r>
          </w:p>
        </w:tc>
        <w:tc>
          <w:tcPr>
            <w:tcW w:w="1130" w:type="dxa"/>
          </w:tcPr>
          <w:p w14:paraId="2B398347" w14:textId="5038A51B" w:rsidR="0008202A" w:rsidRPr="001F3843" w:rsidRDefault="0008202A" w:rsidP="0008202A">
            <w:pPr>
              <w:pStyle w:val="Tabletext"/>
              <w:jc w:val="right"/>
            </w:pPr>
            <w:r w:rsidRPr="003F7222">
              <w:t>(5%)</w:t>
            </w:r>
          </w:p>
        </w:tc>
      </w:tr>
      <w:tr w:rsidR="0008202A" w14:paraId="2558A561" w14:textId="77777777" w:rsidTr="00741254">
        <w:trPr>
          <w:trHeight w:val="187"/>
        </w:trPr>
        <w:tc>
          <w:tcPr>
            <w:tcW w:w="2037" w:type="dxa"/>
          </w:tcPr>
          <w:p w14:paraId="60854629" w14:textId="075C6E64" w:rsidR="0008202A" w:rsidRDefault="0008202A" w:rsidP="0008202A">
            <w:pPr>
              <w:pStyle w:val="Tabletext"/>
            </w:pPr>
            <w:r w:rsidRPr="00130DDA">
              <w:t>Communications</w:t>
            </w:r>
          </w:p>
        </w:tc>
        <w:tc>
          <w:tcPr>
            <w:tcW w:w="1130" w:type="dxa"/>
          </w:tcPr>
          <w:p w14:paraId="73E182D6" w14:textId="60BD6D40" w:rsidR="0008202A" w:rsidRPr="007F472E" w:rsidRDefault="0008202A" w:rsidP="0008202A">
            <w:pPr>
              <w:pStyle w:val="Tabletext"/>
              <w:jc w:val="right"/>
            </w:pPr>
            <w:r w:rsidRPr="00542A6B">
              <w:t>2.1</w:t>
            </w:r>
          </w:p>
        </w:tc>
        <w:tc>
          <w:tcPr>
            <w:tcW w:w="1130" w:type="dxa"/>
          </w:tcPr>
          <w:p w14:paraId="2D6533D2" w14:textId="25F9A999" w:rsidR="0008202A" w:rsidRPr="00872C0D" w:rsidRDefault="0008202A" w:rsidP="0008202A">
            <w:pPr>
              <w:pStyle w:val="Tabletext"/>
              <w:jc w:val="right"/>
            </w:pPr>
            <w:r w:rsidRPr="00D36DCB">
              <w:t>2.0</w:t>
            </w:r>
          </w:p>
        </w:tc>
        <w:tc>
          <w:tcPr>
            <w:tcW w:w="1130" w:type="dxa"/>
          </w:tcPr>
          <w:p w14:paraId="1E81BE4E" w14:textId="35298E9D" w:rsidR="0008202A" w:rsidRPr="001F3843" w:rsidRDefault="0008202A" w:rsidP="0008202A">
            <w:pPr>
              <w:pStyle w:val="Tabletext"/>
              <w:jc w:val="right"/>
            </w:pPr>
            <w:r w:rsidRPr="00940397">
              <w:t>(0.1)</w:t>
            </w:r>
          </w:p>
        </w:tc>
        <w:tc>
          <w:tcPr>
            <w:tcW w:w="1130" w:type="dxa"/>
          </w:tcPr>
          <w:p w14:paraId="726E86F5" w14:textId="6BEAFCD5" w:rsidR="0008202A" w:rsidRPr="001F3843" w:rsidRDefault="0008202A" w:rsidP="0008202A">
            <w:pPr>
              <w:pStyle w:val="Tabletext"/>
              <w:jc w:val="right"/>
            </w:pPr>
            <w:r w:rsidRPr="00CB7F42">
              <w:t>(5%)</w:t>
            </w:r>
          </w:p>
        </w:tc>
        <w:tc>
          <w:tcPr>
            <w:tcW w:w="1130" w:type="dxa"/>
          </w:tcPr>
          <w:p w14:paraId="153C4FEE" w14:textId="0C3FDBAB" w:rsidR="0008202A" w:rsidRPr="001F3843" w:rsidRDefault="0008202A" w:rsidP="0008202A">
            <w:pPr>
              <w:pStyle w:val="Tabletext"/>
              <w:jc w:val="right"/>
            </w:pPr>
            <w:r w:rsidRPr="003141AE">
              <w:t>4.5</w:t>
            </w:r>
          </w:p>
        </w:tc>
        <w:tc>
          <w:tcPr>
            <w:tcW w:w="1130" w:type="dxa"/>
          </w:tcPr>
          <w:p w14:paraId="45D318BB" w14:textId="48F12451" w:rsidR="0008202A" w:rsidRPr="001F3843" w:rsidRDefault="0008202A" w:rsidP="0008202A">
            <w:pPr>
              <w:pStyle w:val="Tabletext"/>
              <w:jc w:val="right"/>
            </w:pPr>
            <w:r w:rsidRPr="00C57E9D">
              <w:t>4.2</w:t>
            </w:r>
          </w:p>
        </w:tc>
        <w:tc>
          <w:tcPr>
            <w:tcW w:w="1130" w:type="dxa"/>
          </w:tcPr>
          <w:p w14:paraId="4E688B69" w14:textId="32E9B380" w:rsidR="0008202A" w:rsidRPr="001F3843" w:rsidRDefault="0008202A" w:rsidP="0008202A">
            <w:pPr>
              <w:pStyle w:val="Tabletext"/>
              <w:jc w:val="right"/>
            </w:pPr>
            <w:r w:rsidRPr="00A56A4E">
              <w:t>(0.3)</w:t>
            </w:r>
          </w:p>
        </w:tc>
        <w:tc>
          <w:tcPr>
            <w:tcW w:w="1130" w:type="dxa"/>
          </w:tcPr>
          <w:p w14:paraId="0CFB9780" w14:textId="2822E722" w:rsidR="0008202A" w:rsidRPr="001F3843" w:rsidRDefault="0008202A" w:rsidP="0008202A">
            <w:pPr>
              <w:pStyle w:val="Tabletext"/>
              <w:jc w:val="right"/>
            </w:pPr>
            <w:r w:rsidRPr="003F7222">
              <w:t>(6%)</w:t>
            </w:r>
          </w:p>
        </w:tc>
      </w:tr>
      <w:tr w:rsidR="0008202A" w14:paraId="4A812FBF" w14:textId="77777777" w:rsidTr="00741254">
        <w:trPr>
          <w:trHeight w:val="187"/>
        </w:trPr>
        <w:tc>
          <w:tcPr>
            <w:tcW w:w="2037" w:type="dxa"/>
          </w:tcPr>
          <w:p w14:paraId="0EF5BDA4" w14:textId="00039FD0" w:rsidR="0008202A" w:rsidRDefault="0008202A" w:rsidP="0008202A">
            <w:pPr>
              <w:pStyle w:val="Tabletext"/>
            </w:pPr>
            <w:r w:rsidRPr="00130DDA">
              <w:t>NHS Pension costs (6.3% increase)</w:t>
            </w:r>
          </w:p>
        </w:tc>
        <w:tc>
          <w:tcPr>
            <w:tcW w:w="1130" w:type="dxa"/>
          </w:tcPr>
          <w:p w14:paraId="0478F647" w14:textId="5E152AD5" w:rsidR="0008202A" w:rsidRPr="007F472E" w:rsidRDefault="0008202A" w:rsidP="0008202A">
            <w:pPr>
              <w:pStyle w:val="Tabletext"/>
              <w:jc w:val="right"/>
            </w:pPr>
            <w:r w:rsidRPr="00542A6B">
              <w:t>0.9</w:t>
            </w:r>
          </w:p>
        </w:tc>
        <w:tc>
          <w:tcPr>
            <w:tcW w:w="1130" w:type="dxa"/>
          </w:tcPr>
          <w:p w14:paraId="2F8CB006" w14:textId="75EC1950" w:rsidR="0008202A" w:rsidRPr="00872C0D" w:rsidRDefault="0008202A" w:rsidP="0008202A">
            <w:pPr>
              <w:pStyle w:val="Tabletext"/>
              <w:jc w:val="right"/>
            </w:pPr>
            <w:r w:rsidRPr="00D36DCB">
              <w:t>0.9</w:t>
            </w:r>
          </w:p>
        </w:tc>
        <w:tc>
          <w:tcPr>
            <w:tcW w:w="1130" w:type="dxa"/>
          </w:tcPr>
          <w:p w14:paraId="4349B2CB" w14:textId="1650F800" w:rsidR="0008202A" w:rsidRPr="001F3843" w:rsidRDefault="0008202A" w:rsidP="0008202A">
            <w:pPr>
              <w:pStyle w:val="Tabletext"/>
              <w:jc w:val="right"/>
            </w:pPr>
            <w:r w:rsidRPr="00940397">
              <w:t>0.1</w:t>
            </w:r>
          </w:p>
        </w:tc>
        <w:tc>
          <w:tcPr>
            <w:tcW w:w="1130" w:type="dxa"/>
          </w:tcPr>
          <w:p w14:paraId="7D5CDCB3" w14:textId="30F26EAA" w:rsidR="0008202A" w:rsidRPr="001F3843" w:rsidRDefault="0008202A" w:rsidP="0008202A">
            <w:pPr>
              <w:pStyle w:val="Tabletext"/>
              <w:jc w:val="right"/>
            </w:pPr>
            <w:r w:rsidRPr="00CB7F42">
              <w:t>7%</w:t>
            </w:r>
          </w:p>
        </w:tc>
        <w:tc>
          <w:tcPr>
            <w:tcW w:w="1130" w:type="dxa"/>
          </w:tcPr>
          <w:p w14:paraId="6E8BBFC0" w14:textId="08DADB1C" w:rsidR="0008202A" w:rsidRPr="001F3843" w:rsidRDefault="0008202A" w:rsidP="0008202A">
            <w:pPr>
              <w:pStyle w:val="Tabletext"/>
              <w:jc w:val="right"/>
            </w:pPr>
            <w:r w:rsidRPr="003141AE">
              <w:t>1.8</w:t>
            </w:r>
          </w:p>
        </w:tc>
        <w:tc>
          <w:tcPr>
            <w:tcW w:w="1130" w:type="dxa"/>
          </w:tcPr>
          <w:p w14:paraId="02482B5B" w14:textId="660B13E3" w:rsidR="0008202A" w:rsidRPr="001F3843" w:rsidRDefault="0008202A" w:rsidP="0008202A">
            <w:pPr>
              <w:pStyle w:val="Tabletext"/>
              <w:jc w:val="right"/>
            </w:pPr>
            <w:r w:rsidRPr="00C57E9D">
              <w:t>1.9</w:t>
            </w:r>
          </w:p>
        </w:tc>
        <w:tc>
          <w:tcPr>
            <w:tcW w:w="1130" w:type="dxa"/>
          </w:tcPr>
          <w:p w14:paraId="25B3E640" w14:textId="4A97F663" w:rsidR="0008202A" w:rsidRPr="001F3843" w:rsidRDefault="0008202A" w:rsidP="0008202A">
            <w:pPr>
              <w:pStyle w:val="Tabletext"/>
              <w:jc w:val="right"/>
            </w:pPr>
            <w:r w:rsidRPr="00A56A4E">
              <w:t>0.2</w:t>
            </w:r>
          </w:p>
        </w:tc>
        <w:tc>
          <w:tcPr>
            <w:tcW w:w="1130" w:type="dxa"/>
          </w:tcPr>
          <w:p w14:paraId="4A09564D" w14:textId="5E09D386" w:rsidR="0008202A" w:rsidRPr="001F3843" w:rsidRDefault="0008202A" w:rsidP="0008202A">
            <w:pPr>
              <w:pStyle w:val="Tabletext"/>
              <w:jc w:val="right"/>
            </w:pPr>
            <w:r w:rsidRPr="003F7222">
              <w:t>11%</w:t>
            </w:r>
          </w:p>
        </w:tc>
      </w:tr>
      <w:tr w:rsidR="0008202A" w14:paraId="4B5EB9AB" w14:textId="77777777" w:rsidTr="00741254">
        <w:trPr>
          <w:trHeight w:val="187"/>
        </w:trPr>
        <w:tc>
          <w:tcPr>
            <w:tcW w:w="2037" w:type="dxa"/>
          </w:tcPr>
          <w:p w14:paraId="08B01ADC" w14:textId="2616ABDB" w:rsidR="0008202A" w:rsidRDefault="0008202A" w:rsidP="0008202A">
            <w:pPr>
              <w:pStyle w:val="Tabletext"/>
            </w:pPr>
            <w:r w:rsidRPr="00130DDA">
              <w:t>Depreciation (non-cash)</w:t>
            </w:r>
          </w:p>
        </w:tc>
        <w:tc>
          <w:tcPr>
            <w:tcW w:w="1130" w:type="dxa"/>
          </w:tcPr>
          <w:p w14:paraId="67032138" w14:textId="6D190D82" w:rsidR="0008202A" w:rsidRPr="007F472E" w:rsidRDefault="0008202A" w:rsidP="0008202A">
            <w:pPr>
              <w:pStyle w:val="Tabletext"/>
              <w:jc w:val="right"/>
            </w:pPr>
            <w:r w:rsidRPr="00542A6B">
              <w:t>0.3</w:t>
            </w:r>
          </w:p>
        </w:tc>
        <w:tc>
          <w:tcPr>
            <w:tcW w:w="1130" w:type="dxa"/>
          </w:tcPr>
          <w:p w14:paraId="7E1E3D21" w14:textId="7D93FDE2" w:rsidR="0008202A" w:rsidRPr="00872C0D" w:rsidRDefault="0008202A" w:rsidP="0008202A">
            <w:pPr>
              <w:pStyle w:val="Tabletext"/>
              <w:jc w:val="right"/>
            </w:pPr>
            <w:r w:rsidRPr="00D36DCB">
              <w:t>0.3</w:t>
            </w:r>
          </w:p>
        </w:tc>
        <w:tc>
          <w:tcPr>
            <w:tcW w:w="1130" w:type="dxa"/>
          </w:tcPr>
          <w:p w14:paraId="691C0862" w14:textId="3B46DF1C" w:rsidR="0008202A" w:rsidRPr="001F3843" w:rsidRDefault="0008202A" w:rsidP="0008202A">
            <w:pPr>
              <w:pStyle w:val="Tabletext"/>
              <w:jc w:val="right"/>
            </w:pPr>
            <w:r w:rsidRPr="00940397">
              <w:t>(0.1)</w:t>
            </w:r>
          </w:p>
        </w:tc>
        <w:tc>
          <w:tcPr>
            <w:tcW w:w="1130" w:type="dxa"/>
          </w:tcPr>
          <w:p w14:paraId="737A78EE" w14:textId="5F8C5030" w:rsidR="0008202A" w:rsidRPr="001F3843" w:rsidRDefault="0008202A" w:rsidP="0008202A">
            <w:pPr>
              <w:pStyle w:val="Tabletext"/>
              <w:jc w:val="right"/>
            </w:pPr>
            <w:r w:rsidRPr="00CB7F42">
              <w:t>(20%)</w:t>
            </w:r>
          </w:p>
        </w:tc>
        <w:tc>
          <w:tcPr>
            <w:tcW w:w="1130" w:type="dxa"/>
          </w:tcPr>
          <w:p w14:paraId="3C7E40CA" w14:textId="4F146630" w:rsidR="0008202A" w:rsidRPr="001F3843" w:rsidRDefault="0008202A" w:rsidP="0008202A">
            <w:pPr>
              <w:pStyle w:val="Tabletext"/>
              <w:jc w:val="right"/>
            </w:pPr>
            <w:r w:rsidRPr="003141AE">
              <w:t>0.7</w:t>
            </w:r>
          </w:p>
        </w:tc>
        <w:tc>
          <w:tcPr>
            <w:tcW w:w="1130" w:type="dxa"/>
          </w:tcPr>
          <w:p w14:paraId="528868D0" w14:textId="5206CAD9" w:rsidR="0008202A" w:rsidRPr="001F3843" w:rsidRDefault="0008202A" w:rsidP="0008202A">
            <w:pPr>
              <w:pStyle w:val="Tabletext"/>
              <w:jc w:val="right"/>
            </w:pPr>
            <w:r w:rsidRPr="00C57E9D">
              <w:t>0.6</w:t>
            </w:r>
          </w:p>
        </w:tc>
        <w:tc>
          <w:tcPr>
            <w:tcW w:w="1130" w:type="dxa"/>
          </w:tcPr>
          <w:p w14:paraId="5629CED3" w14:textId="42D41958" w:rsidR="0008202A" w:rsidRPr="001F3843" w:rsidRDefault="0008202A" w:rsidP="0008202A">
            <w:pPr>
              <w:pStyle w:val="Tabletext"/>
              <w:jc w:val="right"/>
            </w:pPr>
            <w:r w:rsidRPr="00A56A4E">
              <w:t>(0.1)</w:t>
            </w:r>
          </w:p>
        </w:tc>
        <w:tc>
          <w:tcPr>
            <w:tcW w:w="1130" w:type="dxa"/>
          </w:tcPr>
          <w:p w14:paraId="4460D9A5" w14:textId="3A04A328" w:rsidR="0008202A" w:rsidRPr="001F3843" w:rsidRDefault="0008202A" w:rsidP="0008202A">
            <w:pPr>
              <w:pStyle w:val="Tabletext"/>
              <w:jc w:val="right"/>
            </w:pPr>
            <w:r w:rsidRPr="003F7222">
              <w:t>(10%)</w:t>
            </w:r>
          </w:p>
        </w:tc>
      </w:tr>
      <w:tr w:rsidR="0008202A" w14:paraId="34C0BD86" w14:textId="77777777" w:rsidTr="00741254">
        <w:trPr>
          <w:trHeight w:val="187"/>
        </w:trPr>
        <w:tc>
          <w:tcPr>
            <w:tcW w:w="2037" w:type="dxa"/>
          </w:tcPr>
          <w:p w14:paraId="1EE64FA2" w14:textId="4ECBBA5D" w:rsidR="0008202A" w:rsidRDefault="0008202A" w:rsidP="0008202A">
            <w:pPr>
              <w:pStyle w:val="Tabletext"/>
            </w:pPr>
            <w:r w:rsidRPr="00130DDA">
              <w:t>Part-year effect Pay budget adjustment</w:t>
            </w:r>
          </w:p>
        </w:tc>
        <w:tc>
          <w:tcPr>
            <w:tcW w:w="1130" w:type="dxa"/>
          </w:tcPr>
          <w:p w14:paraId="0489CD7A" w14:textId="75283626" w:rsidR="0008202A" w:rsidRPr="007F472E" w:rsidRDefault="0008202A" w:rsidP="0008202A">
            <w:pPr>
              <w:pStyle w:val="Tabletext"/>
              <w:jc w:val="right"/>
            </w:pPr>
            <w:r w:rsidRPr="00542A6B">
              <w:t>1.9</w:t>
            </w:r>
          </w:p>
        </w:tc>
        <w:tc>
          <w:tcPr>
            <w:tcW w:w="1130" w:type="dxa"/>
          </w:tcPr>
          <w:p w14:paraId="359C69B5" w14:textId="317FAFA1" w:rsidR="0008202A" w:rsidRPr="00872C0D" w:rsidRDefault="0008202A" w:rsidP="0008202A">
            <w:pPr>
              <w:pStyle w:val="Tabletext"/>
              <w:jc w:val="right"/>
            </w:pPr>
            <w:r w:rsidRPr="00D36DCB">
              <w:t>0.0</w:t>
            </w:r>
          </w:p>
        </w:tc>
        <w:tc>
          <w:tcPr>
            <w:tcW w:w="1130" w:type="dxa"/>
          </w:tcPr>
          <w:p w14:paraId="4C901AEC" w14:textId="28E9F71C" w:rsidR="0008202A" w:rsidRPr="001F3843" w:rsidRDefault="0008202A" w:rsidP="0008202A">
            <w:pPr>
              <w:pStyle w:val="Tabletext"/>
              <w:jc w:val="right"/>
            </w:pPr>
            <w:r w:rsidRPr="00940397">
              <w:t>(1.9)</w:t>
            </w:r>
          </w:p>
        </w:tc>
        <w:tc>
          <w:tcPr>
            <w:tcW w:w="1130" w:type="dxa"/>
          </w:tcPr>
          <w:p w14:paraId="4F65A53A" w14:textId="24ED38E0" w:rsidR="0008202A" w:rsidRPr="001F3843" w:rsidRDefault="0008202A" w:rsidP="0008202A">
            <w:pPr>
              <w:pStyle w:val="Tabletext"/>
              <w:jc w:val="right"/>
            </w:pPr>
            <w:r w:rsidRPr="00CB7F42">
              <w:t>n/a</w:t>
            </w:r>
          </w:p>
        </w:tc>
        <w:tc>
          <w:tcPr>
            <w:tcW w:w="1130" w:type="dxa"/>
          </w:tcPr>
          <w:p w14:paraId="09808594" w14:textId="5CA10EEF" w:rsidR="0008202A" w:rsidRPr="001F3843" w:rsidRDefault="0008202A" w:rsidP="0008202A">
            <w:pPr>
              <w:pStyle w:val="Tabletext"/>
              <w:jc w:val="right"/>
            </w:pPr>
            <w:r w:rsidRPr="003141AE">
              <w:t>2.2</w:t>
            </w:r>
          </w:p>
        </w:tc>
        <w:tc>
          <w:tcPr>
            <w:tcW w:w="1130" w:type="dxa"/>
          </w:tcPr>
          <w:p w14:paraId="22913AA3" w14:textId="69A0C96F" w:rsidR="0008202A" w:rsidRPr="001F3843" w:rsidRDefault="0008202A" w:rsidP="0008202A">
            <w:pPr>
              <w:pStyle w:val="Tabletext"/>
              <w:jc w:val="right"/>
            </w:pPr>
            <w:r w:rsidRPr="00C57E9D">
              <w:t>0.0</w:t>
            </w:r>
          </w:p>
        </w:tc>
        <w:tc>
          <w:tcPr>
            <w:tcW w:w="1130" w:type="dxa"/>
          </w:tcPr>
          <w:p w14:paraId="388337B6" w14:textId="5DDD1597" w:rsidR="0008202A" w:rsidRPr="001F3843" w:rsidRDefault="0008202A" w:rsidP="0008202A">
            <w:pPr>
              <w:pStyle w:val="Tabletext"/>
              <w:jc w:val="right"/>
            </w:pPr>
            <w:r w:rsidRPr="00A56A4E">
              <w:t>(2.2)</w:t>
            </w:r>
          </w:p>
        </w:tc>
        <w:tc>
          <w:tcPr>
            <w:tcW w:w="1130" w:type="dxa"/>
          </w:tcPr>
          <w:p w14:paraId="2269D7C3" w14:textId="5EF40973" w:rsidR="0008202A" w:rsidRPr="001F3843" w:rsidRDefault="0008202A" w:rsidP="0008202A">
            <w:pPr>
              <w:pStyle w:val="Tabletext"/>
              <w:jc w:val="right"/>
            </w:pPr>
            <w:r w:rsidRPr="003F7222">
              <w:t>n/a</w:t>
            </w:r>
          </w:p>
        </w:tc>
      </w:tr>
      <w:tr w:rsidR="0008202A" w14:paraId="4BE585CB" w14:textId="586CF960" w:rsidTr="00741254">
        <w:trPr>
          <w:trHeight w:val="184"/>
        </w:trPr>
        <w:tc>
          <w:tcPr>
            <w:tcW w:w="2037" w:type="dxa"/>
          </w:tcPr>
          <w:p w14:paraId="3E9AE1FA" w14:textId="78B96639" w:rsidR="0008202A" w:rsidRPr="0008202A" w:rsidRDefault="0008202A" w:rsidP="0008202A">
            <w:pPr>
              <w:pStyle w:val="Tabletext"/>
              <w:rPr>
                <w:b/>
                <w:bCs/>
              </w:rPr>
            </w:pPr>
            <w:r w:rsidRPr="0008202A">
              <w:rPr>
                <w:b/>
                <w:bCs/>
              </w:rPr>
              <w:t>Grand total</w:t>
            </w:r>
          </w:p>
        </w:tc>
        <w:tc>
          <w:tcPr>
            <w:tcW w:w="1130" w:type="dxa"/>
          </w:tcPr>
          <w:p w14:paraId="56DBFFCC" w14:textId="22B24ECF" w:rsidR="0008202A" w:rsidRPr="0008202A" w:rsidRDefault="0008202A" w:rsidP="0008202A">
            <w:pPr>
              <w:pStyle w:val="Tabletext"/>
              <w:jc w:val="right"/>
              <w:rPr>
                <w:b/>
                <w:bCs/>
              </w:rPr>
            </w:pPr>
            <w:r w:rsidRPr="0008202A">
              <w:rPr>
                <w:b/>
                <w:bCs/>
              </w:rPr>
              <w:t>26.4</w:t>
            </w:r>
          </w:p>
        </w:tc>
        <w:tc>
          <w:tcPr>
            <w:tcW w:w="1130" w:type="dxa"/>
          </w:tcPr>
          <w:p w14:paraId="50F115FE" w14:textId="0A8175F4" w:rsidR="0008202A" w:rsidRPr="0008202A" w:rsidRDefault="0008202A" w:rsidP="0008202A">
            <w:pPr>
              <w:pStyle w:val="Tabletext"/>
              <w:jc w:val="right"/>
              <w:rPr>
                <w:b/>
                <w:bCs/>
              </w:rPr>
            </w:pPr>
            <w:r w:rsidRPr="0008202A">
              <w:rPr>
                <w:b/>
                <w:bCs/>
              </w:rPr>
              <w:t>25.0</w:t>
            </w:r>
          </w:p>
        </w:tc>
        <w:tc>
          <w:tcPr>
            <w:tcW w:w="1130" w:type="dxa"/>
          </w:tcPr>
          <w:p w14:paraId="00EA1CD0" w14:textId="32B9C105" w:rsidR="0008202A" w:rsidRPr="0008202A" w:rsidRDefault="0008202A" w:rsidP="0008202A">
            <w:pPr>
              <w:pStyle w:val="Tabletext"/>
              <w:jc w:val="right"/>
              <w:rPr>
                <w:b/>
                <w:bCs/>
              </w:rPr>
            </w:pPr>
            <w:r w:rsidRPr="0008202A">
              <w:rPr>
                <w:b/>
                <w:bCs/>
              </w:rPr>
              <w:t>(1.4)</w:t>
            </w:r>
          </w:p>
        </w:tc>
        <w:tc>
          <w:tcPr>
            <w:tcW w:w="1130" w:type="dxa"/>
          </w:tcPr>
          <w:p w14:paraId="3FB88273" w14:textId="3BABB162" w:rsidR="0008202A" w:rsidRPr="0008202A" w:rsidRDefault="0008202A" w:rsidP="0008202A">
            <w:pPr>
              <w:pStyle w:val="Tabletext"/>
              <w:jc w:val="right"/>
              <w:rPr>
                <w:b/>
                <w:bCs/>
              </w:rPr>
            </w:pPr>
            <w:r w:rsidRPr="0008202A">
              <w:rPr>
                <w:b/>
                <w:bCs/>
              </w:rPr>
              <w:t>(5%)</w:t>
            </w:r>
          </w:p>
        </w:tc>
        <w:tc>
          <w:tcPr>
            <w:tcW w:w="1130" w:type="dxa"/>
          </w:tcPr>
          <w:p w14:paraId="356C95AB" w14:textId="29C6DC50" w:rsidR="0008202A" w:rsidRPr="0008202A" w:rsidRDefault="0008202A" w:rsidP="0008202A">
            <w:pPr>
              <w:pStyle w:val="Tabletext"/>
              <w:jc w:val="right"/>
              <w:rPr>
                <w:b/>
                <w:bCs/>
              </w:rPr>
            </w:pPr>
            <w:r w:rsidRPr="0008202A">
              <w:rPr>
                <w:b/>
                <w:bCs/>
              </w:rPr>
              <w:t>53.2</w:t>
            </w:r>
          </w:p>
        </w:tc>
        <w:tc>
          <w:tcPr>
            <w:tcW w:w="1130" w:type="dxa"/>
          </w:tcPr>
          <w:p w14:paraId="2B1267D1" w14:textId="585CA906" w:rsidR="0008202A" w:rsidRPr="0008202A" w:rsidRDefault="0008202A" w:rsidP="0008202A">
            <w:pPr>
              <w:pStyle w:val="Tabletext"/>
              <w:jc w:val="right"/>
              <w:rPr>
                <w:b/>
                <w:bCs/>
              </w:rPr>
            </w:pPr>
            <w:r w:rsidRPr="0008202A">
              <w:rPr>
                <w:b/>
                <w:bCs/>
              </w:rPr>
              <w:t>51.9</w:t>
            </w:r>
          </w:p>
        </w:tc>
        <w:tc>
          <w:tcPr>
            <w:tcW w:w="1130" w:type="dxa"/>
          </w:tcPr>
          <w:p w14:paraId="259D9F50" w14:textId="05922CC8" w:rsidR="0008202A" w:rsidRPr="0008202A" w:rsidRDefault="0008202A" w:rsidP="0008202A">
            <w:pPr>
              <w:pStyle w:val="Tabletext"/>
              <w:jc w:val="right"/>
              <w:rPr>
                <w:b/>
                <w:bCs/>
              </w:rPr>
            </w:pPr>
            <w:r w:rsidRPr="0008202A">
              <w:rPr>
                <w:b/>
                <w:bCs/>
              </w:rPr>
              <w:t>(1.3)</w:t>
            </w:r>
          </w:p>
        </w:tc>
        <w:tc>
          <w:tcPr>
            <w:tcW w:w="1130" w:type="dxa"/>
          </w:tcPr>
          <w:p w14:paraId="47105EFD" w14:textId="531B6B66" w:rsidR="0008202A" w:rsidRPr="0008202A" w:rsidRDefault="0008202A" w:rsidP="0008202A">
            <w:pPr>
              <w:pStyle w:val="Tabletext"/>
              <w:jc w:val="right"/>
              <w:rPr>
                <w:b/>
                <w:bCs/>
              </w:rPr>
            </w:pPr>
            <w:r w:rsidRPr="0008202A">
              <w:rPr>
                <w:b/>
                <w:bCs/>
              </w:rPr>
              <w:t>(2%)</w:t>
            </w:r>
          </w:p>
        </w:tc>
      </w:tr>
    </w:tbl>
    <w:p w14:paraId="60C08BA7" w14:textId="77777777" w:rsidR="004C612D" w:rsidRDefault="004C612D" w:rsidP="006071CB">
      <w:pPr>
        <w:pStyle w:val="NICEnormalnumbered"/>
        <w:numPr>
          <w:ilvl w:val="0"/>
          <w:numId w:val="0"/>
        </w:numPr>
        <w:ind w:firstLine="720"/>
        <w:rPr>
          <w:lang w:eastAsia="en-US"/>
        </w:rPr>
      </w:pPr>
    </w:p>
    <w:p w14:paraId="088AED98" w14:textId="7215F4A7" w:rsidR="008D2418" w:rsidRPr="00070124" w:rsidRDefault="008D2418" w:rsidP="008D2418">
      <w:pPr>
        <w:pStyle w:val="NICEnormal"/>
      </w:pPr>
      <w:r w:rsidRPr="00070124">
        <w:t xml:space="preserve">© NICE </w:t>
      </w:r>
      <w:r>
        <w:t>2020</w:t>
      </w:r>
      <w:r w:rsidRPr="00070124">
        <w:t xml:space="preserve">. All rights reserved. </w:t>
      </w:r>
      <w:hyperlink r:id="rId11" w:anchor="notice-of-rights" w:history="1">
        <w:r w:rsidRPr="00070124">
          <w:rPr>
            <w:rStyle w:val="Hyperlink"/>
          </w:rPr>
          <w:t>Subject to Notice of rights</w:t>
        </w:r>
      </w:hyperlink>
      <w:r w:rsidRPr="00070124">
        <w:t>.</w:t>
      </w:r>
    </w:p>
    <w:p w14:paraId="6EFE9619" w14:textId="0A98BA2E" w:rsidR="00EB1C36" w:rsidRPr="00A36575" w:rsidRDefault="008D2418" w:rsidP="008D2418">
      <w:pPr>
        <w:pStyle w:val="NICEnormal"/>
      </w:pPr>
      <w:r>
        <w:t>November 202</w:t>
      </w:r>
      <w:r w:rsidR="00741254">
        <w:t>0</w:t>
      </w:r>
    </w:p>
    <w:sectPr w:rsidR="00EB1C36" w:rsidRPr="00A36575" w:rsidSect="00617519">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7DFBF" w14:textId="77777777" w:rsidR="00375F98" w:rsidRDefault="00375F98">
      <w:r>
        <w:separator/>
      </w:r>
    </w:p>
  </w:endnote>
  <w:endnote w:type="continuationSeparator" w:id="0">
    <w:p w14:paraId="417B9D3A" w14:textId="77777777" w:rsidR="00375F98" w:rsidRDefault="0037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8AF12" w14:textId="77777777" w:rsidR="00F33119" w:rsidRPr="00BA589F" w:rsidRDefault="00F33119" w:rsidP="00F33119">
    <w:pPr>
      <w:pStyle w:val="Footer"/>
    </w:pPr>
    <w:r w:rsidRPr="00BA589F">
      <w:t>National Institute for Health and Care Excellence</w:t>
    </w:r>
    <w:r w:rsidRPr="00BA589F">
      <w:tab/>
    </w:r>
    <w:r w:rsidRPr="00BA589F">
      <w:tab/>
      <w:t xml:space="preserve">Page </w:t>
    </w:r>
    <w:r w:rsidRPr="00BA589F">
      <w:fldChar w:fldCharType="begin"/>
    </w:r>
    <w:r w:rsidRPr="00BA589F">
      <w:instrText xml:space="preserve"> PAGE  \* Arabic  \* MERGEFORMAT </w:instrText>
    </w:r>
    <w:r w:rsidRPr="00BA589F">
      <w:fldChar w:fldCharType="separate"/>
    </w:r>
    <w:r w:rsidRPr="00BA589F">
      <w:t>1</w:t>
    </w:r>
    <w:r w:rsidRPr="00BA589F">
      <w:fldChar w:fldCharType="end"/>
    </w:r>
    <w:r w:rsidRPr="00BA589F">
      <w:t xml:space="preserve"> of </w:t>
    </w:r>
    <w:fldSimple w:instr=" NUMPAGES  \* Arabic  \* MERGEFORMAT ">
      <w:r w:rsidRPr="00BA589F">
        <w:t>6</w:t>
      </w:r>
    </w:fldSimple>
  </w:p>
  <w:p w14:paraId="2DB0E8AF" w14:textId="0CF09E49" w:rsidR="00F33119" w:rsidRPr="009C7A5B" w:rsidRDefault="001A6F90" w:rsidP="00F33119">
    <w:pPr>
      <w:pStyle w:val="Footer"/>
    </w:pPr>
    <w:r w:rsidRPr="009C7A5B">
      <w:t>Resources Report</w:t>
    </w:r>
    <w:r w:rsidR="00F33119" w:rsidRPr="009C7A5B">
      <w:tab/>
    </w:r>
  </w:p>
  <w:p w14:paraId="76DB3C51" w14:textId="313D97BC" w:rsidR="00F33119" w:rsidRPr="009C7A5B" w:rsidRDefault="009C7A5B" w:rsidP="00F33119">
    <w:pPr>
      <w:pStyle w:val="Footer"/>
    </w:pPr>
    <w:r w:rsidRPr="009C7A5B">
      <w:t xml:space="preserve">Date: 18 November 2020 </w:t>
    </w:r>
  </w:p>
  <w:p w14:paraId="53A5D8D9" w14:textId="6A57910F" w:rsidR="00EB1C36" w:rsidRPr="00F33119" w:rsidRDefault="00F33119" w:rsidP="00F33119">
    <w:pPr>
      <w:pStyle w:val="Footer"/>
    </w:pPr>
    <w:r w:rsidRPr="009C7A5B">
      <w:t>Reference</w:t>
    </w:r>
    <w:r w:rsidR="009C7A5B" w:rsidRPr="009C7A5B">
      <w:t>: 20/103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C06B7" w14:textId="77777777" w:rsidR="00375F98" w:rsidRDefault="00375F98">
      <w:r>
        <w:separator/>
      </w:r>
    </w:p>
  </w:footnote>
  <w:footnote w:type="continuationSeparator" w:id="0">
    <w:p w14:paraId="4872F4CD" w14:textId="77777777" w:rsidR="00375F98" w:rsidRDefault="0037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B4942" w14:textId="48EF5397" w:rsidR="002F15CF" w:rsidRDefault="002F15CF" w:rsidP="002F15CF">
    <w:pPr>
      <w:pStyle w:val="Header"/>
    </w:pPr>
    <w:r w:rsidRPr="00F07534">
      <w:tab/>
      <w:t xml:space="preserve">Item </w:t>
    </w:r>
    <w:r w:rsidR="009C7A5B">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TDYCtd2Ot+ETEzMYjZdZXGwOux0RJARrZRGAs2VOZS7quSGK7UQyGwvCVWX9AGlLWTEng5uG7U7pgeOmKjgBLw==" w:salt="lbE6aAU+hZhVdzwOrdOSRA=="/>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98"/>
    <w:rsid w:val="000119FB"/>
    <w:rsid w:val="000242AA"/>
    <w:rsid w:val="0008202A"/>
    <w:rsid w:val="000A1EC0"/>
    <w:rsid w:val="000B382E"/>
    <w:rsid w:val="000B3FCE"/>
    <w:rsid w:val="000B6695"/>
    <w:rsid w:val="000C4168"/>
    <w:rsid w:val="000D28C5"/>
    <w:rsid w:val="000E6C5F"/>
    <w:rsid w:val="00101F34"/>
    <w:rsid w:val="001172E1"/>
    <w:rsid w:val="001219F1"/>
    <w:rsid w:val="00123D3F"/>
    <w:rsid w:val="00131EB8"/>
    <w:rsid w:val="00161AA0"/>
    <w:rsid w:val="00184700"/>
    <w:rsid w:val="001A6F90"/>
    <w:rsid w:val="001B0506"/>
    <w:rsid w:val="001C032E"/>
    <w:rsid w:val="001C33EE"/>
    <w:rsid w:val="002169E7"/>
    <w:rsid w:val="00235CAB"/>
    <w:rsid w:val="00251D56"/>
    <w:rsid w:val="002526E6"/>
    <w:rsid w:val="002535B1"/>
    <w:rsid w:val="002A3712"/>
    <w:rsid w:val="002C3FAA"/>
    <w:rsid w:val="002F15CF"/>
    <w:rsid w:val="0031664C"/>
    <w:rsid w:val="003330E6"/>
    <w:rsid w:val="00336BE2"/>
    <w:rsid w:val="00350D6E"/>
    <w:rsid w:val="00353D3E"/>
    <w:rsid w:val="00362226"/>
    <w:rsid w:val="00375F98"/>
    <w:rsid w:val="00377E36"/>
    <w:rsid w:val="0038661C"/>
    <w:rsid w:val="003B1379"/>
    <w:rsid w:val="003C36AC"/>
    <w:rsid w:val="003D32D5"/>
    <w:rsid w:val="004519B2"/>
    <w:rsid w:val="00461997"/>
    <w:rsid w:val="004820E9"/>
    <w:rsid w:val="0048361F"/>
    <w:rsid w:val="00484FE9"/>
    <w:rsid w:val="00485B88"/>
    <w:rsid w:val="004914C0"/>
    <w:rsid w:val="004B514C"/>
    <w:rsid w:val="004C612D"/>
    <w:rsid w:val="004D3DAD"/>
    <w:rsid w:val="00526C07"/>
    <w:rsid w:val="0053387C"/>
    <w:rsid w:val="005860F4"/>
    <w:rsid w:val="005866B1"/>
    <w:rsid w:val="005A5E10"/>
    <w:rsid w:val="005C051F"/>
    <w:rsid w:val="005C762E"/>
    <w:rsid w:val="005D098C"/>
    <w:rsid w:val="005F6CE3"/>
    <w:rsid w:val="00600DBE"/>
    <w:rsid w:val="00603E56"/>
    <w:rsid w:val="0060662A"/>
    <w:rsid w:val="006071CB"/>
    <w:rsid w:val="00614BDA"/>
    <w:rsid w:val="00617519"/>
    <w:rsid w:val="006331B4"/>
    <w:rsid w:val="006343F3"/>
    <w:rsid w:val="00642906"/>
    <w:rsid w:val="006571D4"/>
    <w:rsid w:val="00680B94"/>
    <w:rsid w:val="00691AAE"/>
    <w:rsid w:val="006A721F"/>
    <w:rsid w:val="006D73F1"/>
    <w:rsid w:val="00714C42"/>
    <w:rsid w:val="007277C3"/>
    <w:rsid w:val="00732519"/>
    <w:rsid w:val="00737F9C"/>
    <w:rsid w:val="00741254"/>
    <w:rsid w:val="007A174B"/>
    <w:rsid w:val="007A4EEE"/>
    <w:rsid w:val="00847D22"/>
    <w:rsid w:val="008505C3"/>
    <w:rsid w:val="00862C0C"/>
    <w:rsid w:val="008853CB"/>
    <w:rsid w:val="008A3CB5"/>
    <w:rsid w:val="008A6557"/>
    <w:rsid w:val="008C782E"/>
    <w:rsid w:val="008C7D58"/>
    <w:rsid w:val="008D2418"/>
    <w:rsid w:val="008D6069"/>
    <w:rsid w:val="008E7585"/>
    <w:rsid w:val="00903D10"/>
    <w:rsid w:val="00921354"/>
    <w:rsid w:val="0094366C"/>
    <w:rsid w:val="00953ADF"/>
    <w:rsid w:val="009573A0"/>
    <w:rsid w:val="00971131"/>
    <w:rsid w:val="00982788"/>
    <w:rsid w:val="009871F3"/>
    <w:rsid w:val="009A0289"/>
    <w:rsid w:val="009B621A"/>
    <w:rsid w:val="009C45D9"/>
    <w:rsid w:val="009C7A5B"/>
    <w:rsid w:val="00A06657"/>
    <w:rsid w:val="00A24C1C"/>
    <w:rsid w:val="00A36575"/>
    <w:rsid w:val="00A86D3D"/>
    <w:rsid w:val="00A956DE"/>
    <w:rsid w:val="00AB2948"/>
    <w:rsid w:val="00AB39FA"/>
    <w:rsid w:val="00AD5CB7"/>
    <w:rsid w:val="00AD5E0B"/>
    <w:rsid w:val="00AD6933"/>
    <w:rsid w:val="00AD6B7B"/>
    <w:rsid w:val="00AF0644"/>
    <w:rsid w:val="00B15262"/>
    <w:rsid w:val="00B60D70"/>
    <w:rsid w:val="00B7043C"/>
    <w:rsid w:val="00B84BC1"/>
    <w:rsid w:val="00BA0179"/>
    <w:rsid w:val="00BA51EA"/>
    <w:rsid w:val="00BA589F"/>
    <w:rsid w:val="00BB047B"/>
    <w:rsid w:val="00BB6398"/>
    <w:rsid w:val="00BC0E86"/>
    <w:rsid w:val="00BD0372"/>
    <w:rsid w:val="00BD246E"/>
    <w:rsid w:val="00BF4768"/>
    <w:rsid w:val="00C00F7A"/>
    <w:rsid w:val="00C139CA"/>
    <w:rsid w:val="00C433C5"/>
    <w:rsid w:val="00C51429"/>
    <w:rsid w:val="00CA3397"/>
    <w:rsid w:val="00CA33E1"/>
    <w:rsid w:val="00CB6BEB"/>
    <w:rsid w:val="00CE6E49"/>
    <w:rsid w:val="00CE7855"/>
    <w:rsid w:val="00D3612A"/>
    <w:rsid w:val="00D37703"/>
    <w:rsid w:val="00D37F25"/>
    <w:rsid w:val="00D453F6"/>
    <w:rsid w:val="00D60D8D"/>
    <w:rsid w:val="00D73C98"/>
    <w:rsid w:val="00D933B0"/>
    <w:rsid w:val="00DA11DD"/>
    <w:rsid w:val="00DC0120"/>
    <w:rsid w:val="00DE643F"/>
    <w:rsid w:val="00E2509B"/>
    <w:rsid w:val="00E4622C"/>
    <w:rsid w:val="00E46571"/>
    <w:rsid w:val="00E51FFB"/>
    <w:rsid w:val="00E63855"/>
    <w:rsid w:val="00EB03BB"/>
    <w:rsid w:val="00EB1C36"/>
    <w:rsid w:val="00EB5CE6"/>
    <w:rsid w:val="00EE2EB2"/>
    <w:rsid w:val="00EE406C"/>
    <w:rsid w:val="00F07534"/>
    <w:rsid w:val="00F26A9F"/>
    <w:rsid w:val="00F26E68"/>
    <w:rsid w:val="00F33119"/>
    <w:rsid w:val="00F73C47"/>
    <w:rsid w:val="00F81F2C"/>
    <w:rsid w:val="00F90E63"/>
    <w:rsid w:val="00FA05A6"/>
    <w:rsid w:val="00FA66A6"/>
    <w:rsid w:val="00FA6C4F"/>
    <w:rsid w:val="00FA6EE7"/>
    <w:rsid w:val="00FB47DD"/>
    <w:rsid w:val="00FB73D3"/>
    <w:rsid w:val="00FD4756"/>
    <w:rsid w:val="00FE1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233AE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691AAE"/>
    <w:rPr>
      <w:sz w:val="24"/>
      <w:szCs w:val="24"/>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36"/>
      </w:numPr>
      <w:spacing w:after="120" w:line="276" w:lineRule="auto"/>
    </w:pPr>
    <w:rPr>
      <w:rFonts w:ascii="Arial" w:hAnsi="Arial"/>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9573A0"/>
    <w:rPr>
      <w:b/>
      <w:bCs/>
    </w:rPr>
  </w:style>
  <w:style w:type="character" w:customStyle="1" w:styleId="CommentSubjectChar">
    <w:name w:val="Comment Subject Char"/>
    <w:basedOn w:val="CommentTextChar"/>
    <w:link w:val="CommentSubject"/>
    <w:rsid w:val="00957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stress-anxiety-depression/improve-mental-wellbe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2598</Words>
  <Characters>13595</Characters>
  <Application>Microsoft Office Word</Application>
  <DocSecurity>0</DocSecurity>
  <Lines>113</Lines>
  <Paragraphs>32</Paragraphs>
  <ScaleCrop>false</ScaleCrop>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2020-11-08T20:53:00Z</dcterms:created>
  <dcterms:modified xsi:type="dcterms:W3CDTF">2020-11-08T20:59:00Z</dcterms:modified>
</cp:coreProperties>
</file>