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44E7" w14:textId="5E7FD62B" w:rsidR="00127627" w:rsidRDefault="00B26933" w:rsidP="00FC540E">
      <w:pPr>
        <w:pStyle w:val="Title"/>
      </w:pPr>
      <w:r w:rsidRPr="00B26933">
        <w:t>Revision</w:t>
      </w:r>
      <w:r w:rsidR="0075573E" w:rsidRPr="00B26933">
        <w:t>s to S</w:t>
      </w:r>
      <w:r w:rsidRPr="00B26933">
        <w:t xml:space="preserve">tanding </w:t>
      </w:r>
      <w:r w:rsidR="0075573E" w:rsidRPr="00B26933">
        <w:t>O</w:t>
      </w:r>
      <w:r w:rsidRPr="00B26933">
        <w:t xml:space="preserve">rders and </w:t>
      </w:r>
      <w:r w:rsidR="0075573E" w:rsidRPr="00B26933">
        <w:t>S</w:t>
      </w:r>
      <w:r w:rsidRPr="00B26933">
        <w:t>tanding Financial</w:t>
      </w:r>
      <w:r w:rsidR="0075573E" w:rsidRPr="00B26933">
        <w:t xml:space="preserve"> </w:t>
      </w:r>
      <w:r w:rsidRPr="00B26933">
        <w:t>Instructions</w:t>
      </w:r>
    </w:p>
    <w:p w14:paraId="6948270E" w14:textId="5AF4864E" w:rsidR="00D0217E" w:rsidRPr="00D0217E" w:rsidRDefault="00D0217E" w:rsidP="008C2164">
      <w:pPr>
        <w:pStyle w:val="Heading1boardreport"/>
      </w:pPr>
      <w:r>
        <w:t>Standing Orders (SO)</w:t>
      </w:r>
    </w:p>
    <w:tbl>
      <w:tblPr>
        <w:tblStyle w:val="TableGrid"/>
        <w:tblW w:w="9021" w:type="dxa"/>
        <w:tblInd w:w="-5" w:type="dxa"/>
        <w:tblLook w:val="04A0" w:firstRow="1" w:lastRow="0" w:firstColumn="1" w:lastColumn="0" w:noHBand="0" w:noVBand="1"/>
      </w:tblPr>
      <w:tblGrid>
        <w:gridCol w:w="2244"/>
        <w:gridCol w:w="4714"/>
        <w:gridCol w:w="2063"/>
      </w:tblGrid>
      <w:tr w:rsidR="009453E0" w:rsidRPr="009C57FB" w14:paraId="0123D33F" w14:textId="77777777" w:rsidTr="003F5639">
        <w:tc>
          <w:tcPr>
            <w:tcW w:w="2244" w:type="dxa"/>
            <w:tcBorders>
              <w:bottom w:val="single" w:sz="4" w:space="0" w:color="auto"/>
            </w:tcBorders>
            <w:shd w:val="clear" w:color="auto" w:fill="B8CCE4" w:themeFill="accent1" w:themeFillTint="66"/>
          </w:tcPr>
          <w:p w14:paraId="446C41ED" w14:textId="6713DECF" w:rsidR="009453E0" w:rsidRPr="009C57FB" w:rsidRDefault="004664CA" w:rsidP="00FB09C6">
            <w:pPr>
              <w:pStyle w:val="Paragraph"/>
              <w:tabs>
                <w:tab w:val="left" w:pos="1797"/>
              </w:tabs>
              <w:spacing w:before="60" w:after="60" w:line="240" w:lineRule="auto"/>
              <w:ind w:left="37"/>
              <w:rPr>
                <w:b/>
              </w:rPr>
            </w:pPr>
            <w:r>
              <w:rPr>
                <w:b/>
              </w:rPr>
              <w:t>Section</w:t>
            </w:r>
          </w:p>
        </w:tc>
        <w:tc>
          <w:tcPr>
            <w:tcW w:w="4714" w:type="dxa"/>
            <w:shd w:val="clear" w:color="auto" w:fill="B8CCE4" w:themeFill="accent1" w:themeFillTint="66"/>
          </w:tcPr>
          <w:p w14:paraId="0829F0D4" w14:textId="0F9705E0" w:rsidR="009453E0" w:rsidRPr="009C57FB" w:rsidRDefault="009453E0" w:rsidP="00FB09C6">
            <w:pPr>
              <w:pStyle w:val="Paragraph"/>
              <w:tabs>
                <w:tab w:val="left" w:pos="1797"/>
              </w:tabs>
              <w:spacing w:before="60" w:after="60" w:line="240" w:lineRule="auto"/>
              <w:ind w:left="37"/>
              <w:rPr>
                <w:b/>
              </w:rPr>
            </w:pPr>
            <w:r w:rsidRPr="009C57FB">
              <w:rPr>
                <w:b/>
              </w:rPr>
              <w:t>Proposed change</w:t>
            </w:r>
          </w:p>
        </w:tc>
        <w:tc>
          <w:tcPr>
            <w:tcW w:w="2063" w:type="dxa"/>
            <w:shd w:val="clear" w:color="auto" w:fill="B8CCE4" w:themeFill="accent1" w:themeFillTint="66"/>
          </w:tcPr>
          <w:p w14:paraId="4C089AB4" w14:textId="77777777" w:rsidR="009453E0" w:rsidRPr="009C57FB" w:rsidRDefault="009453E0" w:rsidP="00FB09C6">
            <w:pPr>
              <w:pStyle w:val="Paragraph"/>
              <w:tabs>
                <w:tab w:val="left" w:pos="1797"/>
              </w:tabs>
              <w:spacing w:before="60" w:after="60" w:line="240" w:lineRule="auto"/>
              <w:ind w:left="37"/>
              <w:rPr>
                <w:b/>
              </w:rPr>
            </w:pPr>
            <w:r w:rsidRPr="009C57FB">
              <w:rPr>
                <w:b/>
              </w:rPr>
              <w:t>Rationale</w:t>
            </w:r>
          </w:p>
        </w:tc>
      </w:tr>
      <w:tr w:rsidR="00030063" w:rsidRPr="006450C4" w14:paraId="3E104F94" w14:textId="77777777" w:rsidTr="003F5639">
        <w:tc>
          <w:tcPr>
            <w:tcW w:w="2244" w:type="dxa"/>
            <w:tcBorders>
              <w:bottom w:val="single" w:sz="4" w:space="0" w:color="auto"/>
            </w:tcBorders>
            <w:shd w:val="clear" w:color="auto" w:fill="auto"/>
          </w:tcPr>
          <w:p w14:paraId="077F694B" w14:textId="6F00EA39" w:rsidR="00030063" w:rsidRPr="006450C4" w:rsidRDefault="00030063" w:rsidP="00FB09C6">
            <w:pPr>
              <w:pStyle w:val="Paragraph"/>
              <w:tabs>
                <w:tab w:val="left" w:pos="1797"/>
              </w:tabs>
              <w:spacing w:before="60" w:after="60" w:line="240" w:lineRule="auto"/>
              <w:ind w:left="37"/>
              <w:rPr>
                <w:bCs/>
              </w:rPr>
            </w:pPr>
            <w:r w:rsidRPr="006450C4">
              <w:rPr>
                <w:bCs/>
              </w:rPr>
              <w:t>Definitions (SO 17)</w:t>
            </w:r>
          </w:p>
        </w:tc>
        <w:tc>
          <w:tcPr>
            <w:tcW w:w="4714" w:type="dxa"/>
            <w:shd w:val="clear" w:color="auto" w:fill="auto"/>
          </w:tcPr>
          <w:p w14:paraId="3DF70C82" w14:textId="4D59F063" w:rsidR="00030063" w:rsidRPr="006450C4" w:rsidRDefault="00BD5C83" w:rsidP="00FB09C6">
            <w:pPr>
              <w:pStyle w:val="Paragraph"/>
              <w:tabs>
                <w:tab w:val="left" w:pos="1797"/>
              </w:tabs>
              <w:spacing w:before="60" w:after="60" w:line="240" w:lineRule="auto"/>
              <w:ind w:left="37"/>
              <w:rPr>
                <w:bCs/>
              </w:rPr>
            </w:pPr>
            <w:r w:rsidRPr="006450C4">
              <w:rPr>
                <w:bCs/>
              </w:rPr>
              <w:t>Section updated to use more modern language</w:t>
            </w:r>
            <w:r w:rsidR="00030063" w:rsidRPr="006450C4">
              <w:rPr>
                <w:bCs/>
              </w:rPr>
              <w:t>.</w:t>
            </w:r>
          </w:p>
        </w:tc>
        <w:tc>
          <w:tcPr>
            <w:tcW w:w="2063" w:type="dxa"/>
            <w:shd w:val="clear" w:color="auto" w:fill="auto"/>
          </w:tcPr>
          <w:p w14:paraId="49A79BC9" w14:textId="18CE1AF6" w:rsidR="00030063" w:rsidRPr="006450C4" w:rsidRDefault="00030063" w:rsidP="00FB09C6">
            <w:pPr>
              <w:pStyle w:val="Paragraph"/>
              <w:tabs>
                <w:tab w:val="left" w:pos="1797"/>
              </w:tabs>
              <w:spacing w:before="60" w:after="60" w:line="240" w:lineRule="auto"/>
              <w:ind w:left="37"/>
              <w:rPr>
                <w:bCs/>
              </w:rPr>
            </w:pPr>
            <w:r w:rsidRPr="006450C4">
              <w:rPr>
                <w:bCs/>
              </w:rPr>
              <w:t>General updating</w:t>
            </w:r>
          </w:p>
        </w:tc>
      </w:tr>
      <w:tr w:rsidR="00030063" w:rsidRPr="006450C4" w14:paraId="5414B00C" w14:textId="77777777" w:rsidTr="003F5639">
        <w:tc>
          <w:tcPr>
            <w:tcW w:w="2244" w:type="dxa"/>
            <w:tcBorders>
              <w:bottom w:val="single" w:sz="4" w:space="0" w:color="auto"/>
            </w:tcBorders>
            <w:shd w:val="clear" w:color="auto" w:fill="auto"/>
          </w:tcPr>
          <w:p w14:paraId="1E0C2DB3" w14:textId="38A0D041" w:rsidR="00030063" w:rsidRPr="006450C4" w:rsidRDefault="00030063" w:rsidP="00FB09C6">
            <w:pPr>
              <w:pStyle w:val="Paragraph"/>
              <w:tabs>
                <w:tab w:val="left" w:pos="1797"/>
              </w:tabs>
              <w:spacing w:before="60" w:after="60" w:line="240" w:lineRule="auto"/>
              <w:ind w:left="37"/>
              <w:rPr>
                <w:bCs/>
              </w:rPr>
            </w:pPr>
            <w:r w:rsidRPr="006450C4">
              <w:rPr>
                <w:bCs/>
              </w:rPr>
              <w:t>The powers of the board (SO 19)</w:t>
            </w:r>
          </w:p>
        </w:tc>
        <w:tc>
          <w:tcPr>
            <w:tcW w:w="4714" w:type="dxa"/>
            <w:shd w:val="clear" w:color="auto" w:fill="auto"/>
          </w:tcPr>
          <w:p w14:paraId="5441DF94" w14:textId="37146F5E" w:rsidR="00030063" w:rsidRPr="006450C4" w:rsidRDefault="00583F4C" w:rsidP="00FB09C6">
            <w:pPr>
              <w:pStyle w:val="Paragraph"/>
              <w:tabs>
                <w:tab w:val="left" w:pos="1797"/>
              </w:tabs>
              <w:spacing w:before="60" w:after="60" w:line="240" w:lineRule="auto"/>
              <w:ind w:left="37"/>
              <w:rPr>
                <w:bCs/>
              </w:rPr>
            </w:pPr>
            <w:r w:rsidRPr="006450C4">
              <w:rPr>
                <w:bCs/>
              </w:rPr>
              <w:t xml:space="preserve">As above. </w:t>
            </w:r>
            <w:r w:rsidR="00030063" w:rsidRPr="006450C4">
              <w:rPr>
                <w:bCs/>
              </w:rPr>
              <w:t>Revised to state that the powers of the board as set out in ‘</w:t>
            </w:r>
            <w:r w:rsidR="00A9798F" w:rsidRPr="006450C4">
              <w:rPr>
                <w:bCs/>
              </w:rPr>
              <w:t>r</w:t>
            </w:r>
            <w:r w:rsidR="00030063" w:rsidRPr="006450C4">
              <w:rPr>
                <w:bCs/>
              </w:rPr>
              <w:t>eservation of powers to the board’ is now included as an appendix to the Standing Orders rather than a separate document.</w:t>
            </w:r>
          </w:p>
        </w:tc>
        <w:tc>
          <w:tcPr>
            <w:tcW w:w="2063" w:type="dxa"/>
            <w:shd w:val="clear" w:color="auto" w:fill="auto"/>
          </w:tcPr>
          <w:p w14:paraId="7E2B0967" w14:textId="7069BE72" w:rsidR="00030063" w:rsidRPr="006450C4" w:rsidRDefault="00030063" w:rsidP="00FB09C6">
            <w:pPr>
              <w:pStyle w:val="Paragraph"/>
              <w:tabs>
                <w:tab w:val="left" w:pos="1797"/>
              </w:tabs>
              <w:spacing w:before="60" w:after="60" w:line="240" w:lineRule="auto"/>
              <w:ind w:left="37"/>
              <w:rPr>
                <w:bCs/>
              </w:rPr>
            </w:pPr>
            <w:r w:rsidRPr="006450C4">
              <w:rPr>
                <w:bCs/>
              </w:rPr>
              <w:t>General updating</w:t>
            </w:r>
          </w:p>
        </w:tc>
      </w:tr>
      <w:tr w:rsidR="00030063" w:rsidRPr="006450C4" w14:paraId="07FD4E76" w14:textId="77777777" w:rsidTr="003F5639">
        <w:tc>
          <w:tcPr>
            <w:tcW w:w="2244" w:type="dxa"/>
            <w:tcBorders>
              <w:bottom w:val="single" w:sz="4" w:space="0" w:color="auto"/>
            </w:tcBorders>
            <w:shd w:val="clear" w:color="auto" w:fill="auto"/>
          </w:tcPr>
          <w:p w14:paraId="0141E535" w14:textId="611568B9" w:rsidR="00030063" w:rsidRPr="006450C4" w:rsidRDefault="00030063" w:rsidP="00FB09C6">
            <w:pPr>
              <w:pStyle w:val="Paragraph"/>
              <w:tabs>
                <w:tab w:val="left" w:pos="1797"/>
              </w:tabs>
              <w:spacing w:before="60" w:after="60" w:line="240" w:lineRule="auto"/>
              <w:ind w:left="37"/>
              <w:rPr>
                <w:bCs/>
              </w:rPr>
            </w:pPr>
            <w:r w:rsidRPr="006450C4">
              <w:rPr>
                <w:bCs/>
              </w:rPr>
              <w:t>Appointment and removal of directors (SO 22)</w:t>
            </w:r>
          </w:p>
        </w:tc>
        <w:tc>
          <w:tcPr>
            <w:tcW w:w="4714" w:type="dxa"/>
            <w:shd w:val="clear" w:color="auto" w:fill="auto"/>
          </w:tcPr>
          <w:p w14:paraId="5802CF5C" w14:textId="7692D707" w:rsidR="00030063" w:rsidRPr="006450C4" w:rsidRDefault="00620C24" w:rsidP="00FB09C6">
            <w:pPr>
              <w:pStyle w:val="Paragraph"/>
              <w:tabs>
                <w:tab w:val="left" w:pos="1797"/>
              </w:tabs>
              <w:spacing w:before="60" w:after="60" w:line="240" w:lineRule="auto"/>
              <w:ind w:left="37"/>
              <w:rPr>
                <w:bCs/>
              </w:rPr>
            </w:pPr>
            <w:r w:rsidRPr="006450C4">
              <w:rPr>
                <w:bCs/>
              </w:rPr>
              <w:t>Amended t</w:t>
            </w:r>
            <w:r w:rsidR="00030063" w:rsidRPr="006450C4">
              <w:rPr>
                <w:bCs/>
              </w:rPr>
              <w:t xml:space="preserve">o reflect that the </w:t>
            </w:r>
            <w:r w:rsidR="00A9798F" w:rsidRPr="006450C4">
              <w:rPr>
                <w:bCs/>
              </w:rPr>
              <w:t>d</w:t>
            </w:r>
            <w:r w:rsidR="00030063" w:rsidRPr="006450C4">
              <w:rPr>
                <w:bCs/>
              </w:rPr>
              <w:t xml:space="preserve">eputy </w:t>
            </w:r>
            <w:r w:rsidR="00A9798F" w:rsidRPr="006450C4">
              <w:rPr>
                <w:bCs/>
              </w:rPr>
              <w:t>c</w:t>
            </w:r>
            <w:r w:rsidR="00030063" w:rsidRPr="006450C4">
              <w:rPr>
                <w:bCs/>
              </w:rPr>
              <w:t xml:space="preserve">hief </w:t>
            </w:r>
            <w:r w:rsidR="00A9798F" w:rsidRPr="006450C4">
              <w:rPr>
                <w:bCs/>
              </w:rPr>
              <w:t>e</w:t>
            </w:r>
            <w:r w:rsidR="00030063" w:rsidRPr="006450C4">
              <w:rPr>
                <w:bCs/>
              </w:rPr>
              <w:t xml:space="preserve">xecutive may also be the </w:t>
            </w:r>
            <w:r w:rsidR="00A9798F" w:rsidRPr="006450C4">
              <w:rPr>
                <w:bCs/>
              </w:rPr>
              <w:t>f</w:t>
            </w:r>
            <w:r w:rsidR="00030063" w:rsidRPr="006450C4">
              <w:rPr>
                <w:bCs/>
              </w:rPr>
              <w:t xml:space="preserve">inance, </w:t>
            </w:r>
            <w:proofErr w:type="gramStart"/>
            <w:r w:rsidR="00A9798F" w:rsidRPr="006450C4">
              <w:rPr>
                <w:bCs/>
              </w:rPr>
              <w:t>s</w:t>
            </w:r>
            <w:r w:rsidR="00030063" w:rsidRPr="006450C4">
              <w:rPr>
                <w:bCs/>
              </w:rPr>
              <w:t>trategy</w:t>
            </w:r>
            <w:proofErr w:type="gramEnd"/>
            <w:r w:rsidR="00030063" w:rsidRPr="006450C4">
              <w:rPr>
                <w:bCs/>
              </w:rPr>
              <w:t xml:space="preserve"> and </w:t>
            </w:r>
            <w:r w:rsidR="00A9798F" w:rsidRPr="006450C4">
              <w:rPr>
                <w:bCs/>
              </w:rPr>
              <w:t>t</w:t>
            </w:r>
            <w:r w:rsidR="00030063" w:rsidRPr="006450C4">
              <w:rPr>
                <w:bCs/>
              </w:rPr>
              <w:t xml:space="preserve">ransformation </w:t>
            </w:r>
            <w:r w:rsidR="00A9798F" w:rsidRPr="006450C4">
              <w:rPr>
                <w:bCs/>
              </w:rPr>
              <w:t>d</w:t>
            </w:r>
            <w:r w:rsidR="00030063" w:rsidRPr="006450C4">
              <w:rPr>
                <w:bCs/>
              </w:rPr>
              <w:t xml:space="preserve">irector, </w:t>
            </w:r>
            <w:r w:rsidR="00F626A8" w:rsidRPr="006450C4">
              <w:rPr>
                <w:bCs/>
              </w:rPr>
              <w:t xml:space="preserve">in which case </w:t>
            </w:r>
            <w:r w:rsidR="00030063" w:rsidRPr="006450C4">
              <w:rPr>
                <w:bCs/>
              </w:rPr>
              <w:t>3 additional executive directors would need to be appointed</w:t>
            </w:r>
            <w:r w:rsidR="00F626A8" w:rsidRPr="006450C4">
              <w:rPr>
                <w:bCs/>
              </w:rPr>
              <w:t xml:space="preserve"> (alongside the </w:t>
            </w:r>
            <w:r w:rsidR="00595AF2" w:rsidRPr="006450C4">
              <w:rPr>
                <w:bCs/>
              </w:rPr>
              <w:t>chief executive</w:t>
            </w:r>
            <w:r w:rsidR="00F626A8" w:rsidRPr="006450C4">
              <w:rPr>
                <w:bCs/>
              </w:rPr>
              <w:t xml:space="preserve"> and FST </w:t>
            </w:r>
            <w:r w:rsidR="00A9798F" w:rsidRPr="006450C4">
              <w:rPr>
                <w:bCs/>
              </w:rPr>
              <w:t>d</w:t>
            </w:r>
            <w:r w:rsidR="00F626A8" w:rsidRPr="006450C4">
              <w:rPr>
                <w:bCs/>
              </w:rPr>
              <w:t>irector)</w:t>
            </w:r>
            <w:r w:rsidR="00030063" w:rsidRPr="006450C4">
              <w:rPr>
                <w:bCs/>
              </w:rPr>
              <w:t>.</w:t>
            </w:r>
          </w:p>
        </w:tc>
        <w:tc>
          <w:tcPr>
            <w:tcW w:w="2063" w:type="dxa"/>
            <w:shd w:val="clear" w:color="auto" w:fill="auto"/>
          </w:tcPr>
          <w:p w14:paraId="7ED9E399" w14:textId="359DEAA1" w:rsidR="00030063" w:rsidRPr="006450C4" w:rsidRDefault="00030063" w:rsidP="00FB09C6">
            <w:pPr>
              <w:pStyle w:val="Paragraph"/>
              <w:tabs>
                <w:tab w:val="left" w:pos="1797"/>
              </w:tabs>
              <w:spacing w:before="60" w:after="60" w:line="240" w:lineRule="auto"/>
              <w:ind w:left="37"/>
              <w:rPr>
                <w:bCs/>
              </w:rPr>
            </w:pPr>
            <w:r w:rsidRPr="006450C4">
              <w:rPr>
                <w:bCs/>
              </w:rPr>
              <w:t>General updating</w:t>
            </w:r>
          </w:p>
        </w:tc>
      </w:tr>
      <w:tr w:rsidR="00030063" w:rsidRPr="006450C4" w14:paraId="6D6453CC" w14:textId="77777777" w:rsidTr="003F5639">
        <w:tc>
          <w:tcPr>
            <w:tcW w:w="2244" w:type="dxa"/>
            <w:tcBorders>
              <w:bottom w:val="single" w:sz="4" w:space="0" w:color="auto"/>
            </w:tcBorders>
            <w:shd w:val="clear" w:color="auto" w:fill="auto"/>
          </w:tcPr>
          <w:p w14:paraId="1BFA628F" w14:textId="308458C9" w:rsidR="00030063" w:rsidRPr="006450C4" w:rsidRDefault="00030063" w:rsidP="00FB09C6">
            <w:pPr>
              <w:pStyle w:val="Paragraph"/>
              <w:tabs>
                <w:tab w:val="left" w:pos="1797"/>
              </w:tabs>
              <w:spacing w:before="60" w:after="60" w:line="240" w:lineRule="auto"/>
              <w:ind w:left="37"/>
              <w:rPr>
                <w:bCs/>
              </w:rPr>
            </w:pPr>
            <w:r w:rsidRPr="006450C4">
              <w:rPr>
                <w:bCs/>
              </w:rPr>
              <w:t>Appointment of a Senior Independent Director (SO 27)</w:t>
            </w:r>
          </w:p>
        </w:tc>
        <w:tc>
          <w:tcPr>
            <w:tcW w:w="4714" w:type="dxa"/>
            <w:shd w:val="clear" w:color="auto" w:fill="auto"/>
          </w:tcPr>
          <w:p w14:paraId="6FA3C84F" w14:textId="3282467E" w:rsidR="00030063" w:rsidRPr="006450C4" w:rsidRDefault="00F626A8" w:rsidP="00FB09C6">
            <w:pPr>
              <w:pStyle w:val="Paragraph"/>
              <w:tabs>
                <w:tab w:val="left" w:pos="1797"/>
              </w:tabs>
              <w:spacing w:before="60" w:after="60" w:line="240" w:lineRule="auto"/>
              <w:ind w:left="37"/>
              <w:rPr>
                <w:bCs/>
              </w:rPr>
            </w:pPr>
            <w:r w:rsidRPr="006450C4">
              <w:rPr>
                <w:bCs/>
              </w:rPr>
              <w:t>Amended to reflect t</w:t>
            </w:r>
            <w:r w:rsidR="00030063" w:rsidRPr="006450C4">
              <w:rPr>
                <w:bCs/>
              </w:rPr>
              <w:t xml:space="preserve">he </w:t>
            </w:r>
            <w:r w:rsidR="00AC5B0D" w:rsidRPr="006450C4">
              <w:rPr>
                <w:bCs/>
              </w:rPr>
              <w:t>b</w:t>
            </w:r>
            <w:r w:rsidR="00030063" w:rsidRPr="006450C4">
              <w:rPr>
                <w:bCs/>
              </w:rPr>
              <w:t>oard</w:t>
            </w:r>
            <w:r w:rsidRPr="006450C4">
              <w:rPr>
                <w:bCs/>
              </w:rPr>
              <w:t xml:space="preserve">’s decision </w:t>
            </w:r>
            <w:r w:rsidR="00030063" w:rsidRPr="006450C4">
              <w:rPr>
                <w:bCs/>
              </w:rPr>
              <w:t xml:space="preserve">in July </w:t>
            </w:r>
            <w:r w:rsidR="00AC5B0D" w:rsidRPr="006450C4">
              <w:rPr>
                <w:bCs/>
              </w:rPr>
              <w:t xml:space="preserve">2021 </w:t>
            </w:r>
            <w:r w:rsidR="00030063" w:rsidRPr="006450C4">
              <w:rPr>
                <w:bCs/>
              </w:rPr>
              <w:t>that the chair of the audit and risk committee will also be designated the board’s senior independent director.</w:t>
            </w:r>
          </w:p>
        </w:tc>
        <w:tc>
          <w:tcPr>
            <w:tcW w:w="2063" w:type="dxa"/>
            <w:shd w:val="clear" w:color="auto" w:fill="auto"/>
          </w:tcPr>
          <w:p w14:paraId="79488006" w14:textId="29D6430E" w:rsidR="00030063" w:rsidRPr="006450C4" w:rsidRDefault="00030063" w:rsidP="00FB09C6">
            <w:pPr>
              <w:pStyle w:val="Paragraph"/>
              <w:tabs>
                <w:tab w:val="left" w:pos="1797"/>
              </w:tabs>
              <w:spacing w:before="60" w:after="60" w:line="240" w:lineRule="auto"/>
              <w:ind w:left="37"/>
              <w:rPr>
                <w:bCs/>
              </w:rPr>
            </w:pPr>
            <w:r w:rsidRPr="006450C4">
              <w:rPr>
                <w:bCs/>
              </w:rPr>
              <w:t xml:space="preserve">Proposal was approved by the </w:t>
            </w:r>
            <w:r w:rsidR="00AC5B0D" w:rsidRPr="006450C4">
              <w:rPr>
                <w:bCs/>
              </w:rPr>
              <w:t>boa</w:t>
            </w:r>
            <w:r w:rsidRPr="006450C4">
              <w:rPr>
                <w:bCs/>
              </w:rPr>
              <w:t>rd in July</w:t>
            </w:r>
          </w:p>
        </w:tc>
      </w:tr>
      <w:tr w:rsidR="00030063" w:rsidRPr="006450C4" w14:paraId="7F1E4715" w14:textId="77777777" w:rsidTr="003F5639">
        <w:tc>
          <w:tcPr>
            <w:tcW w:w="2244" w:type="dxa"/>
            <w:tcBorders>
              <w:bottom w:val="single" w:sz="4" w:space="0" w:color="auto"/>
            </w:tcBorders>
            <w:shd w:val="clear" w:color="auto" w:fill="auto"/>
          </w:tcPr>
          <w:p w14:paraId="23D9B95D" w14:textId="22B9EC78" w:rsidR="00030063" w:rsidRPr="006450C4" w:rsidRDefault="00030063" w:rsidP="00FB09C6">
            <w:pPr>
              <w:pStyle w:val="Paragraph"/>
              <w:tabs>
                <w:tab w:val="left" w:pos="1797"/>
              </w:tabs>
              <w:spacing w:before="60" w:after="60" w:line="240" w:lineRule="auto"/>
              <w:ind w:left="37"/>
              <w:rPr>
                <w:bCs/>
              </w:rPr>
            </w:pPr>
            <w:r w:rsidRPr="006450C4">
              <w:rPr>
                <w:bCs/>
              </w:rPr>
              <w:t>Appointment of a deputy chief executive (SO 28</w:t>
            </w:r>
            <w:r w:rsidR="00BD5C83" w:rsidRPr="006450C4">
              <w:rPr>
                <w:bCs/>
              </w:rPr>
              <w:t xml:space="preserve"> and 29</w:t>
            </w:r>
            <w:r w:rsidRPr="006450C4">
              <w:rPr>
                <w:bCs/>
              </w:rPr>
              <w:t>)</w:t>
            </w:r>
          </w:p>
        </w:tc>
        <w:tc>
          <w:tcPr>
            <w:tcW w:w="4714" w:type="dxa"/>
            <w:shd w:val="clear" w:color="auto" w:fill="auto"/>
          </w:tcPr>
          <w:p w14:paraId="72A8F1E2" w14:textId="5CAE0FEA" w:rsidR="00030063" w:rsidRPr="006450C4" w:rsidRDefault="00BD5C83" w:rsidP="00FB09C6">
            <w:pPr>
              <w:pStyle w:val="Paragraph"/>
              <w:tabs>
                <w:tab w:val="left" w:pos="1797"/>
              </w:tabs>
              <w:spacing w:before="60" w:after="60" w:line="240" w:lineRule="auto"/>
              <w:ind w:left="37"/>
              <w:rPr>
                <w:bCs/>
              </w:rPr>
            </w:pPr>
            <w:r w:rsidRPr="006450C4">
              <w:rPr>
                <w:bCs/>
              </w:rPr>
              <w:t>Section added to provide clarity over arrangements</w:t>
            </w:r>
            <w:r w:rsidR="00753927" w:rsidRPr="006450C4">
              <w:rPr>
                <w:bCs/>
              </w:rPr>
              <w:t>.</w:t>
            </w:r>
          </w:p>
        </w:tc>
        <w:tc>
          <w:tcPr>
            <w:tcW w:w="2063" w:type="dxa"/>
            <w:shd w:val="clear" w:color="auto" w:fill="auto"/>
          </w:tcPr>
          <w:p w14:paraId="565467C8" w14:textId="192145D6" w:rsidR="00030063" w:rsidRPr="006450C4" w:rsidRDefault="00BD5C83" w:rsidP="00FB09C6">
            <w:pPr>
              <w:pStyle w:val="Paragraph"/>
              <w:tabs>
                <w:tab w:val="left" w:pos="1797"/>
              </w:tabs>
              <w:spacing w:before="60" w:after="60" w:line="240" w:lineRule="auto"/>
              <w:ind w:left="37"/>
              <w:rPr>
                <w:bCs/>
              </w:rPr>
            </w:pPr>
            <w:r w:rsidRPr="006450C4">
              <w:t>General updating</w:t>
            </w:r>
          </w:p>
        </w:tc>
      </w:tr>
      <w:tr w:rsidR="00030063" w:rsidRPr="006450C4" w14:paraId="0C7E196A" w14:textId="77777777" w:rsidTr="003F5639">
        <w:tc>
          <w:tcPr>
            <w:tcW w:w="2244" w:type="dxa"/>
          </w:tcPr>
          <w:p w14:paraId="69142C32" w14:textId="70D6C591" w:rsidR="00030063" w:rsidRPr="006450C4" w:rsidRDefault="00030063" w:rsidP="00FB09C6">
            <w:pPr>
              <w:pStyle w:val="Paragraph"/>
              <w:tabs>
                <w:tab w:val="left" w:pos="1797"/>
              </w:tabs>
              <w:spacing w:before="60" w:after="60" w:line="240" w:lineRule="auto"/>
              <w:ind w:left="37"/>
            </w:pPr>
            <w:r w:rsidRPr="006450C4">
              <w:t>Agenda and supporting papers (SO 55)</w:t>
            </w:r>
            <w:r w:rsidR="00FF4C1B" w:rsidRPr="006450C4">
              <w:t xml:space="preserve"> </w:t>
            </w:r>
          </w:p>
        </w:tc>
        <w:tc>
          <w:tcPr>
            <w:tcW w:w="4714" w:type="dxa"/>
          </w:tcPr>
          <w:p w14:paraId="45F05799" w14:textId="2EA801AB" w:rsidR="00030063" w:rsidRPr="006450C4" w:rsidRDefault="00030063" w:rsidP="00FB09C6">
            <w:pPr>
              <w:pStyle w:val="Paragraph"/>
              <w:tabs>
                <w:tab w:val="left" w:pos="1797"/>
              </w:tabs>
              <w:spacing w:before="60" w:after="60" w:line="240" w:lineRule="auto"/>
              <w:ind w:left="37"/>
            </w:pPr>
            <w:r w:rsidRPr="006450C4">
              <w:t>Amended to state that the chairman is responsible for setting the board’s agenda</w:t>
            </w:r>
            <w:r w:rsidR="00F626A8" w:rsidRPr="006450C4">
              <w:t xml:space="preserve"> in line with corporate governance best practice</w:t>
            </w:r>
            <w:r w:rsidRPr="006450C4">
              <w:t>.</w:t>
            </w:r>
          </w:p>
        </w:tc>
        <w:tc>
          <w:tcPr>
            <w:tcW w:w="2063" w:type="dxa"/>
          </w:tcPr>
          <w:p w14:paraId="305D75D4" w14:textId="0C5F6F1C" w:rsidR="00030063" w:rsidRPr="006450C4" w:rsidRDefault="00030063" w:rsidP="00FB09C6">
            <w:pPr>
              <w:pStyle w:val="Paragraph"/>
              <w:tabs>
                <w:tab w:val="left" w:pos="1797"/>
              </w:tabs>
              <w:spacing w:before="60" w:after="60" w:line="240" w:lineRule="auto"/>
              <w:ind w:left="37"/>
            </w:pPr>
            <w:r w:rsidRPr="006450C4">
              <w:t>General updating</w:t>
            </w:r>
          </w:p>
        </w:tc>
      </w:tr>
      <w:tr w:rsidR="00EA67F3" w:rsidRPr="006450C4" w14:paraId="617C9CFF" w14:textId="77777777" w:rsidTr="003F5639">
        <w:tc>
          <w:tcPr>
            <w:tcW w:w="2244" w:type="dxa"/>
          </w:tcPr>
          <w:p w14:paraId="0430A4B0" w14:textId="078BE4EC" w:rsidR="00EA67F3" w:rsidRPr="006450C4" w:rsidRDefault="00EA67F3" w:rsidP="00FB09C6">
            <w:pPr>
              <w:pStyle w:val="Paragraph"/>
              <w:tabs>
                <w:tab w:val="left" w:pos="1797"/>
              </w:tabs>
              <w:spacing w:before="60" w:after="60" w:line="240" w:lineRule="auto"/>
              <w:ind w:left="37"/>
            </w:pPr>
            <w:r w:rsidRPr="006450C4">
              <w:t>Written resolutions (SO 61)</w:t>
            </w:r>
          </w:p>
        </w:tc>
        <w:tc>
          <w:tcPr>
            <w:tcW w:w="4714" w:type="dxa"/>
          </w:tcPr>
          <w:p w14:paraId="592AB114" w14:textId="5CB3799C" w:rsidR="00EA67F3" w:rsidRPr="006450C4" w:rsidRDefault="00EA67F3" w:rsidP="00FB09C6">
            <w:pPr>
              <w:pStyle w:val="Paragraph"/>
              <w:tabs>
                <w:tab w:val="left" w:pos="1797"/>
              </w:tabs>
              <w:spacing w:before="60" w:after="60" w:line="240" w:lineRule="auto"/>
              <w:ind w:left="37"/>
            </w:pPr>
            <w:r w:rsidRPr="006450C4">
              <w:t>Provisions for written resolutions added</w:t>
            </w:r>
            <w:r w:rsidR="00767C6B" w:rsidRPr="006450C4">
              <w:t>.</w:t>
            </w:r>
          </w:p>
        </w:tc>
        <w:tc>
          <w:tcPr>
            <w:tcW w:w="2063" w:type="dxa"/>
          </w:tcPr>
          <w:p w14:paraId="55D82E7F" w14:textId="4F7D8F88" w:rsidR="00EA67F3" w:rsidRPr="006450C4" w:rsidRDefault="00EA67F3" w:rsidP="00FB09C6">
            <w:pPr>
              <w:pStyle w:val="Paragraph"/>
              <w:tabs>
                <w:tab w:val="left" w:pos="1797"/>
              </w:tabs>
              <w:spacing w:before="60" w:after="60" w:line="240" w:lineRule="auto"/>
              <w:ind w:left="37"/>
            </w:pPr>
            <w:r w:rsidRPr="006450C4">
              <w:t xml:space="preserve">To provide greater flexibility and reduce bureaucracy </w:t>
            </w:r>
          </w:p>
        </w:tc>
      </w:tr>
      <w:tr w:rsidR="00030063" w:rsidRPr="006450C4" w14:paraId="5641EEA0" w14:textId="77777777" w:rsidTr="003F5639">
        <w:tc>
          <w:tcPr>
            <w:tcW w:w="2244" w:type="dxa"/>
          </w:tcPr>
          <w:p w14:paraId="56548714" w14:textId="53DE7CDC" w:rsidR="00030063" w:rsidRPr="006450C4" w:rsidRDefault="00030063" w:rsidP="00FB09C6">
            <w:pPr>
              <w:pStyle w:val="Paragraph"/>
              <w:tabs>
                <w:tab w:val="left" w:pos="1797"/>
              </w:tabs>
              <w:spacing w:before="60" w:after="60" w:line="240" w:lineRule="auto"/>
              <w:ind w:left="37"/>
            </w:pPr>
            <w:r w:rsidRPr="006450C4">
              <w:t>Quorum (SO 7</w:t>
            </w:r>
            <w:r w:rsidR="007F3421" w:rsidRPr="006450C4">
              <w:t>0</w:t>
            </w:r>
            <w:r w:rsidRPr="006450C4">
              <w:t>)</w:t>
            </w:r>
          </w:p>
        </w:tc>
        <w:tc>
          <w:tcPr>
            <w:tcW w:w="4714" w:type="dxa"/>
          </w:tcPr>
          <w:p w14:paraId="03CEF21F" w14:textId="798080A0" w:rsidR="00030063" w:rsidRPr="006450C4" w:rsidRDefault="00EA67F3" w:rsidP="00FB09C6">
            <w:pPr>
              <w:pStyle w:val="Paragraph"/>
              <w:tabs>
                <w:tab w:val="left" w:pos="1797"/>
              </w:tabs>
              <w:spacing w:before="60" w:after="60" w:line="240" w:lineRule="auto"/>
              <w:ind w:left="37"/>
            </w:pPr>
            <w:r w:rsidRPr="006450C4">
              <w:t xml:space="preserve">Confirms that </w:t>
            </w:r>
            <w:r w:rsidR="00030063" w:rsidRPr="006450C4">
              <w:t>members attend</w:t>
            </w:r>
            <w:r w:rsidRPr="006450C4">
              <w:t>ing</w:t>
            </w:r>
            <w:r w:rsidR="00030063" w:rsidRPr="006450C4">
              <w:t xml:space="preserve"> board meetings by video conference </w:t>
            </w:r>
            <w:r w:rsidRPr="006450C4">
              <w:t xml:space="preserve">will </w:t>
            </w:r>
            <w:r w:rsidR="00030063" w:rsidRPr="006450C4">
              <w:t xml:space="preserve">be counted </w:t>
            </w:r>
            <w:r w:rsidRPr="006450C4">
              <w:t>towards the quorum</w:t>
            </w:r>
            <w:r w:rsidR="00030063" w:rsidRPr="006450C4">
              <w:t>.</w:t>
            </w:r>
          </w:p>
        </w:tc>
        <w:tc>
          <w:tcPr>
            <w:tcW w:w="2063" w:type="dxa"/>
          </w:tcPr>
          <w:p w14:paraId="352B394C" w14:textId="40A20B95" w:rsidR="00030063" w:rsidRPr="006450C4" w:rsidRDefault="00030063" w:rsidP="00FB09C6">
            <w:pPr>
              <w:pStyle w:val="Paragraph"/>
              <w:tabs>
                <w:tab w:val="left" w:pos="1797"/>
              </w:tabs>
              <w:spacing w:before="60" w:after="60" w:line="240" w:lineRule="auto"/>
              <w:ind w:left="37"/>
            </w:pPr>
            <w:r w:rsidRPr="006450C4">
              <w:t>General updating</w:t>
            </w:r>
          </w:p>
        </w:tc>
      </w:tr>
      <w:tr w:rsidR="00A275B9" w:rsidRPr="006450C4" w14:paraId="792862F7" w14:textId="77777777" w:rsidTr="00FB09C6">
        <w:trPr>
          <w:cantSplit/>
        </w:trPr>
        <w:tc>
          <w:tcPr>
            <w:tcW w:w="2244" w:type="dxa"/>
          </w:tcPr>
          <w:p w14:paraId="0895DCC8" w14:textId="0EF5388B" w:rsidR="00A275B9" w:rsidRPr="006450C4" w:rsidRDefault="00A275B9" w:rsidP="00FB09C6">
            <w:pPr>
              <w:pStyle w:val="Paragraph"/>
              <w:tabs>
                <w:tab w:val="left" w:pos="1797"/>
              </w:tabs>
              <w:spacing w:before="60" w:after="0" w:line="240" w:lineRule="auto"/>
              <w:ind w:left="37"/>
            </w:pPr>
            <w:r w:rsidRPr="006450C4">
              <w:t xml:space="preserve">Emergency powers and urgent decisions (SO </w:t>
            </w:r>
            <w:r w:rsidR="00EA67F3" w:rsidRPr="006450C4">
              <w:t>120</w:t>
            </w:r>
            <w:r w:rsidRPr="006450C4">
              <w:t>)</w:t>
            </w:r>
          </w:p>
        </w:tc>
        <w:tc>
          <w:tcPr>
            <w:tcW w:w="4714" w:type="dxa"/>
          </w:tcPr>
          <w:p w14:paraId="7843931C" w14:textId="3400FD3F" w:rsidR="00A275B9" w:rsidRPr="006450C4" w:rsidRDefault="00EA67F3" w:rsidP="00FB09C6">
            <w:pPr>
              <w:pStyle w:val="Paragraph"/>
              <w:tabs>
                <w:tab w:val="left" w:pos="1797"/>
              </w:tabs>
              <w:spacing w:before="60" w:after="60" w:line="240" w:lineRule="auto"/>
              <w:ind w:left="37"/>
            </w:pPr>
            <w:r w:rsidRPr="006450C4">
              <w:t xml:space="preserve">Amended to state that the </w:t>
            </w:r>
            <w:r w:rsidR="00A9798F" w:rsidRPr="006450C4">
              <w:t>a</w:t>
            </w:r>
            <w:r w:rsidRPr="006450C4">
              <w:t xml:space="preserve">udit &amp; </w:t>
            </w:r>
            <w:r w:rsidR="00A9798F" w:rsidRPr="006450C4">
              <w:t>r</w:t>
            </w:r>
            <w:r w:rsidRPr="006450C4">
              <w:t xml:space="preserve">isk </w:t>
            </w:r>
            <w:r w:rsidR="00A9798F" w:rsidRPr="006450C4">
              <w:t>c</w:t>
            </w:r>
            <w:r w:rsidRPr="006450C4">
              <w:t xml:space="preserve">ommittee chair will be one of the 2 NEDs consulted if the </w:t>
            </w:r>
            <w:r w:rsidR="00595AF2" w:rsidRPr="006450C4">
              <w:t>chief executive</w:t>
            </w:r>
            <w:r w:rsidRPr="006450C4">
              <w:t xml:space="preserve"> and </w:t>
            </w:r>
            <w:r w:rsidR="00A9798F" w:rsidRPr="006450C4">
              <w:t>c</w:t>
            </w:r>
            <w:r w:rsidRPr="006450C4">
              <w:t>hairman seek to exercise emergency powers</w:t>
            </w:r>
          </w:p>
        </w:tc>
        <w:tc>
          <w:tcPr>
            <w:tcW w:w="2063" w:type="dxa"/>
          </w:tcPr>
          <w:p w14:paraId="536F8AB0" w14:textId="76FE95F6" w:rsidR="00A275B9" w:rsidRPr="006450C4" w:rsidRDefault="00A275B9" w:rsidP="00FB09C6">
            <w:pPr>
              <w:pStyle w:val="Paragraph"/>
              <w:tabs>
                <w:tab w:val="left" w:pos="1797"/>
              </w:tabs>
              <w:spacing w:before="60" w:after="60" w:line="240" w:lineRule="auto"/>
              <w:ind w:left="37"/>
            </w:pPr>
            <w:r w:rsidRPr="006450C4">
              <w:t>General updating</w:t>
            </w:r>
            <w:r w:rsidR="00EA67F3" w:rsidRPr="006450C4">
              <w:t xml:space="preserve"> and to reflect good governance</w:t>
            </w:r>
          </w:p>
        </w:tc>
      </w:tr>
      <w:tr w:rsidR="00857CDB" w:rsidRPr="006450C4" w14:paraId="4167BE1E" w14:textId="77777777" w:rsidTr="003F5639">
        <w:tc>
          <w:tcPr>
            <w:tcW w:w="2244" w:type="dxa"/>
          </w:tcPr>
          <w:p w14:paraId="3B8DBDC2" w14:textId="3AB8258A" w:rsidR="00857CDB" w:rsidRPr="006450C4" w:rsidRDefault="00857CDB" w:rsidP="00FB09C6">
            <w:pPr>
              <w:pStyle w:val="Paragraph"/>
              <w:tabs>
                <w:tab w:val="left" w:pos="1797"/>
              </w:tabs>
              <w:spacing w:before="60" w:after="60" w:line="240" w:lineRule="auto"/>
              <w:ind w:left="37"/>
            </w:pPr>
            <w:r w:rsidRPr="006450C4">
              <w:lastRenderedPageBreak/>
              <w:t>Declarations of interest (SO 13</w:t>
            </w:r>
            <w:r w:rsidR="00EA67F3" w:rsidRPr="006450C4">
              <w:t>4</w:t>
            </w:r>
            <w:r w:rsidRPr="006450C4">
              <w:t>)</w:t>
            </w:r>
          </w:p>
        </w:tc>
        <w:tc>
          <w:tcPr>
            <w:tcW w:w="4714" w:type="dxa"/>
          </w:tcPr>
          <w:p w14:paraId="47B57CE4" w14:textId="385A5E8E" w:rsidR="00857CDB" w:rsidRPr="006450C4" w:rsidRDefault="00A9798F" w:rsidP="00FB09C6">
            <w:pPr>
              <w:pStyle w:val="Paragraph"/>
              <w:tabs>
                <w:tab w:val="left" w:pos="1797"/>
              </w:tabs>
              <w:spacing w:before="60" w:after="60" w:line="240" w:lineRule="auto"/>
              <w:ind w:left="37"/>
            </w:pPr>
            <w:r w:rsidRPr="006450C4">
              <w:t>Text a</w:t>
            </w:r>
            <w:r w:rsidR="00857CDB" w:rsidRPr="006450C4">
              <w:t xml:space="preserve">dded </w:t>
            </w:r>
            <w:r w:rsidRPr="006450C4">
              <w:t>to reflect the</w:t>
            </w:r>
            <w:r w:rsidR="00857CDB" w:rsidRPr="006450C4">
              <w:t xml:space="preserve"> requirem</w:t>
            </w:r>
            <w:r w:rsidRPr="006450C4">
              <w:t xml:space="preserve">ent in </w:t>
            </w:r>
            <w:r w:rsidR="00857CDB" w:rsidRPr="006450C4">
              <w:t>the code of conduct for board members of public bodies</w:t>
            </w:r>
            <w:r w:rsidR="00C8560D" w:rsidRPr="006450C4">
              <w:t>, to advise the chairman of any new roles</w:t>
            </w:r>
            <w:r w:rsidR="00F626A8" w:rsidRPr="006450C4">
              <w:t xml:space="preserve"> outside of NICE</w:t>
            </w:r>
            <w:r w:rsidR="00C8560D" w:rsidRPr="006450C4">
              <w:t>.</w:t>
            </w:r>
          </w:p>
        </w:tc>
        <w:tc>
          <w:tcPr>
            <w:tcW w:w="2063" w:type="dxa"/>
          </w:tcPr>
          <w:p w14:paraId="18850043" w14:textId="4C0DBEF6" w:rsidR="00857CDB" w:rsidRPr="006450C4" w:rsidRDefault="00857CDB" w:rsidP="00FB09C6">
            <w:pPr>
              <w:pStyle w:val="Paragraph"/>
              <w:tabs>
                <w:tab w:val="left" w:pos="1797"/>
              </w:tabs>
              <w:spacing w:before="60" w:after="60" w:line="240" w:lineRule="auto"/>
              <w:ind w:left="37"/>
            </w:pPr>
            <w:r w:rsidRPr="006450C4">
              <w:t>General updating</w:t>
            </w:r>
          </w:p>
        </w:tc>
      </w:tr>
      <w:tr w:rsidR="00BE34C5" w:rsidRPr="006450C4" w14:paraId="09396794" w14:textId="77777777" w:rsidTr="003F5639">
        <w:tc>
          <w:tcPr>
            <w:tcW w:w="2244" w:type="dxa"/>
          </w:tcPr>
          <w:p w14:paraId="70DCFD81" w14:textId="4584ECAF" w:rsidR="00BE34C5" w:rsidRPr="006450C4" w:rsidRDefault="00BE34C5" w:rsidP="00FB09C6">
            <w:pPr>
              <w:pStyle w:val="Paragraph"/>
              <w:tabs>
                <w:tab w:val="left" w:pos="1797"/>
              </w:tabs>
              <w:spacing w:before="60" w:after="60" w:line="240" w:lineRule="auto"/>
              <w:ind w:left="37"/>
            </w:pPr>
            <w:r w:rsidRPr="006450C4">
              <w:t>Sealing of documents (SO 1</w:t>
            </w:r>
            <w:r w:rsidR="00B34ED9" w:rsidRPr="006450C4">
              <w:t>5</w:t>
            </w:r>
            <w:r w:rsidR="00381063" w:rsidRPr="006450C4">
              <w:t>1</w:t>
            </w:r>
            <w:r w:rsidRPr="006450C4">
              <w:t>)</w:t>
            </w:r>
          </w:p>
        </w:tc>
        <w:tc>
          <w:tcPr>
            <w:tcW w:w="4714" w:type="dxa"/>
          </w:tcPr>
          <w:p w14:paraId="68F64063" w14:textId="46CCAD8E" w:rsidR="00BE34C5" w:rsidRPr="006450C4" w:rsidRDefault="00BE34C5" w:rsidP="00FB09C6">
            <w:pPr>
              <w:pStyle w:val="Paragraph"/>
              <w:tabs>
                <w:tab w:val="left" w:pos="1797"/>
              </w:tabs>
              <w:spacing w:before="60" w:after="60" w:line="240" w:lineRule="auto"/>
              <w:ind w:left="37"/>
            </w:pPr>
            <w:bookmarkStart w:id="0" w:name="_Hlk80024071"/>
            <w:r w:rsidRPr="006450C4">
              <w:t xml:space="preserve">Allows for the execution of documents </w:t>
            </w:r>
            <w:r w:rsidR="00B34ED9" w:rsidRPr="006450C4">
              <w:t xml:space="preserve">by </w:t>
            </w:r>
            <w:r w:rsidRPr="006450C4">
              <w:t xml:space="preserve">sealing specifically relating to building, engineering, </w:t>
            </w:r>
            <w:proofErr w:type="gramStart"/>
            <w:r w:rsidRPr="006450C4">
              <w:t>property</w:t>
            </w:r>
            <w:proofErr w:type="gramEnd"/>
            <w:r w:rsidRPr="006450C4">
              <w:t xml:space="preserve"> or capital to be signed by any two directors rather than one executive and one non-executive director </w:t>
            </w:r>
            <w:bookmarkEnd w:id="0"/>
          </w:p>
        </w:tc>
        <w:tc>
          <w:tcPr>
            <w:tcW w:w="2063" w:type="dxa"/>
          </w:tcPr>
          <w:p w14:paraId="4A10FFFD" w14:textId="47E825DE" w:rsidR="00BE34C5" w:rsidRPr="006450C4" w:rsidRDefault="00BE34C5" w:rsidP="00FB09C6">
            <w:pPr>
              <w:pStyle w:val="Paragraph"/>
              <w:tabs>
                <w:tab w:val="left" w:pos="1797"/>
              </w:tabs>
              <w:spacing w:before="60" w:after="60" w:line="240" w:lineRule="auto"/>
              <w:ind w:left="37"/>
            </w:pPr>
            <w:r w:rsidRPr="006450C4">
              <w:t>To provide greater flexibility</w:t>
            </w:r>
          </w:p>
        </w:tc>
      </w:tr>
      <w:tr w:rsidR="00BE34C5" w:rsidRPr="006450C4" w14:paraId="6E6AFD8D" w14:textId="77777777" w:rsidTr="003F5639">
        <w:tc>
          <w:tcPr>
            <w:tcW w:w="2244" w:type="dxa"/>
          </w:tcPr>
          <w:p w14:paraId="436EDF05" w14:textId="1778CF57" w:rsidR="00BE34C5" w:rsidRPr="006450C4" w:rsidRDefault="00BE34C5" w:rsidP="00FB09C6">
            <w:pPr>
              <w:pStyle w:val="Paragraph"/>
              <w:tabs>
                <w:tab w:val="left" w:pos="1797"/>
              </w:tabs>
              <w:spacing w:before="60" w:after="60" w:line="240" w:lineRule="auto"/>
              <w:ind w:left="37"/>
            </w:pPr>
            <w:r w:rsidRPr="006450C4">
              <w:t>Signature of documents (SO 1</w:t>
            </w:r>
            <w:r w:rsidR="004E1BB1" w:rsidRPr="006450C4">
              <w:t>5</w:t>
            </w:r>
            <w:r w:rsidR="00381063" w:rsidRPr="006450C4">
              <w:t>4</w:t>
            </w:r>
            <w:r w:rsidRPr="006450C4">
              <w:t>)</w:t>
            </w:r>
          </w:p>
        </w:tc>
        <w:tc>
          <w:tcPr>
            <w:tcW w:w="4714" w:type="dxa"/>
          </w:tcPr>
          <w:p w14:paraId="0F6E8E6C" w14:textId="0AF6094C" w:rsidR="00BE34C5" w:rsidRPr="006450C4" w:rsidRDefault="00BE34C5" w:rsidP="00FB09C6">
            <w:pPr>
              <w:pStyle w:val="Paragraph"/>
              <w:tabs>
                <w:tab w:val="left" w:pos="1797"/>
              </w:tabs>
              <w:spacing w:before="60" w:after="60" w:line="240" w:lineRule="auto"/>
              <w:ind w:left="37"/>
            </w:pPr>
            <w:r w:rsidRPr="006450C4">
              <w:t>Allows the execution of deeds or any other agreement by signature in the presence of an attesting witness rather than execution by sealing, (where the subject matter has been approved by the board or any committee, sub-</w:t>
            </w:r>
            <w:proofErr w:type="gramStart"/>
            <w:r w:rsidRPr="006450C4">
              <w:t>committee</w:t>
            </w:r>
            <w:proofErr w:type="gramEnd"/>
            <w:r w:rsidRPr="006450C4">
              <w:t xml:space="preserve"> or anyone to whom NICE has delegated its powers)</w:t>
            </w:r>
            <w:r w:rsidR="00D446D1" w:rsidRPr="006450C4">
              <w:t>.</w:t>
            </w:r>
          </w:p>
        </w:tc>
        <w:tc>
          <w:tcPr>
            <w:tcW w:w="2063" w:type="dxa"/>
          </w:tcPr>
          <w:p w14:paraId="1F5A8347" w14:textId="39C90CC5" w:rsidR="00BE34C5" w:rsidRPr="006450C4" w:rsidRDefault="00BE34C5" w:rsidP="00FB09C6">
            <w:pPr>
              <w:pStyle w:val="Paragraph"/>
              <w:tabs>
                <w:tab w:val="left" w:pos="1797"/>
              </w:tabs>
              <w:spacing w:before="60" w:after="60" w:line="240" w:lineRule="auto"/>
              <w:ind w:left="37"/>
            </w:pPr>
            <w:r w:rsidRPr="006450C4">
              <w:t>To provide greater flexibility</w:t>
            </w:r>
          </w:p>
        </w:tc>
      </w:tr>
    </w:tbl>
    <w:p w14:paraId="2A4A52CF" w14:textId="66A71508" w:rsidR="005F358B" w:rsidRPr="001B6D20" w:rsidRDefault="005F358B" w:rsidP="008C2164">
      <w:pPr>
        <w:pStyle w:val="Heading1boardreport"/>
        <w:spacing w:before="120"/>
      </w:pPr>
      <w:r w:rsidRPr="001B6D20">
        <w:t>Standing Orders removed</w:t>
      </w:r>
    </w:p>
    <w:tbl>
      <w:tblPr>
        <w:tblStyle w:val="TableGrid"/>
        <w:tblW w:w="9021" w:type="dxa"/>
        <w:tblInd w:w="-5" w:type="dxa"/>
        <w:tblLook w:val="04A0" w:firstRow="1" w:lastRow="0" w:firstColumn="1" w:lastColumn="0" w:noHBand="0" w:noVBand="1"/>
      </w:tblPr>
      <w:tblGrid>
        <w:gridCol w:w="2244"/>
        <w:gridCol w:w="4714"/>
        <w:gridCol w:w="2063"/>
      </w:tblGrid>
      <w:tr w:rsidR="008C2164" w:rsidRPr="009C57FB" w14:paraId="05ADC5C6" w14:textId="77777777" w:rsidTr="005179D1">
        <w:tc>
          <w:tcPr>
            <w:tcW w:w="2244" w:type="dxa"/>
            <w:tcBorders>
              <w:bottom w:val="single" w:sz="4" w:space="0" w:color="auto"/>
            </w:tcBorders>
            <w:shd w:val="clear" w:color="auto" w:fill="B8CCE4" w:themeFill="accent1" w:themeFillTint="66"/>
          </w:tcPr>
          <w:p w14:paraId="0FB119C0" w14:textId="77777777" w:rsidR="008C2164" w:rsidRPr="009C57FB" w:rsidRDefault="008C2164" w:rsidP="00FB09C6">
            <w:pPr>
              <w:pStyle w:val="Paragraph"/>
              <w:spacing w:before="60" w:after="60" w:line="240" w:lineRule="auto"/>
              <w:ind w:left="37"/>
              <w:rPr>
                <w:b/>
              </w:rPr>
            </w:pPr>
            <w:r>
              <w:rPr>
                <w:b/>
              </w:rPr>
              <w:t>Section</w:t>
            </w:r>
          </w:p>
        </w:tc>
        <w:tc>
          <w:tcPr>
            <w:tcW w:w="4714" w:type="dxa"/>
            <w:shd w:val="clear" w:color="auto" w:fill="B8CCE4" w:themeFill="accent1" w:themeFillTint="66"/>
          </w:tcPr>
          <w:p w14:paraId="18358A8F" w14:textId="02C8669B" w:rsidR="008C2164" w:rsidRPr="009C57FB" w:rsidRDefault="008C2164" w:rsidP="00FB09C6">
            <w:pPr>
              <w:pStyle w:val="Paragraph"/>
              <w:spacing w:before="60" w:after="60" w:line="240" w:lineRule="auto"/>
              <w:ind w:left="37"/>
              <w:rPr>
                <w:b/>
              </w:rPr>
            </w:pPr>
            <w:r>
              <w:rPr>
                <w:b/>
              </w:rPr>
              <w:t>Text removed</w:t>
            </w:r>
          </w:p>
        </w:tc>
        <w:tc>
          <w:tcPr>
            <w:tcW w:w="2063" w:type="dxa"/>
            <w:shd w:val="clear" w:color="auto" w:fill="B8CCE4" w:themeFill="accent1" w:themeFillTint="66"/>
          </w:tcPr>
          <w:p w14:paraId="59113F14" w14:textId="77777777" w:rsidR="008C2164" w:rsidRPr="009C57FB" w:rsidRDefault="008C2164" w:rsidP="00FB09C6">
            <w:pPr>
              <w:pStyle w:val="Paragraph"/>
              <w:spacing w:before="60" w:after="60" w:line="240" w:lineRule="auto"/>
              <w:ind w:left="37"/>
              <w:rPr>
                <w:b/>
              </w:rPr>
            </w:pPr>
            <w:r w:rsidRPr="009C57FB">
              <w:rPr>
                <w:b/>
              </w:rPr>
              <w:t>Rationale</w:t>
            </w:r>
          </w:p>
        </w:tc>
      </w:tr>
      <w:tr w:rsidR="00A7061E" w:rsidRPr="00406A01" w14:paraId="1A4A358B" w14:textId="77777777" w:rsidTr="003F5639">
        <w:tc>
          <w:tcPr>
            <w:tcW w:w="2244" w:type="dxa"/>
          </w:tcPr>
          <w:p w14:paraId="0EFD8DB1" w14:textId="77777777" w:rsidR="00A7061E" w:rsidRPr="006450C4" w:rsidRDefault="00A7061E" w:rsidP="00FB09C6">
            <w:pPr>
              <w:pStyle w:val="Paragraph"/>
              <w:spacing w:before="60" w:after="60" w:line="240" w:lineRule="auto"/>
              <w:ind w:left="37"/>
              <w:rPr>
                <w:b/>
                <w:bCs/>
                <w:i/>
                <w:iCs/>
              </w:rPr>
            </w:pPr>
            <w:r w:rsidRPr="006450C4">
              <w:t>Use of mechanical or electrical equipment for recording or transmission of meetings (formerly SO 31)</w:t>
            </w:r>
          </w:p>
        </w:tc>
        <w:tc>
          <w:tcPr>
            <w:tcW w:w="4714" w:type="dxa"/>
          </w:tcPr>
          <w:p w14:paraId="303171CE" w14:textId="294FB036" w:rsidR="00A7061E" w:rsidRDefault="00A7061E" w:rsidP="00FB09C6">
            <w:pPr>
              <w:pStyle w:val="Paragraph"/>
              <w:spacing w:before="60" w:after="60" w:line="240" w:lineRule="auto"/>
              <w:ind w:left="37"/>
            </w:pPr>
            <w:r w:rsidRPr="00571540">
              <w:t>Removed</w:t>
            </w:r>
            <w:r w:rsidRPr="00FD5A03">
              <w:t xml:space="preserve"> </w:t>
            </w:r>
            <w:r>
              <w:t>this SO as there is no way of knowing if meetings are being recorded by a member of the press or public</w:t>
            </w:r>
            <w:r w:rsidR="00FD5A03">
              <w:t xml:space="preserve"> and recording of some public meetings is permitted. </w:t>
            </w:r>
          </w:p>
        </w:tc>
        <w:tc>
          <w:tcPr>
            <w:tcW w:w="2063" w:type="dxa"/>
          </w:tcPr>
          <w:p w14:paraId="73E7AFA5" w14:textId="77777777" w:rsidR="00A7061E" w:rsidRDefault="00A7061E" w:rsidP="00FB09C6">
            <w:pPr>
              <w:pStyle w:val="Paragraph"/>
              <w:spacing w:before="60" w:after="60" w:line="240" w:lineRule="auto"/>
              <w:ind w:left="37"/>
            </w:pPr>
            <w:r>
              <w:t>NICE has no way of checking if individuals are recording meetings</w:t>
            </w:r>
          </w:p>
        </w:tc>
      </w:tr>
      <w:tr w:rsidR="00A7061E" w:rsidRPr="00406A01" w14:paraId="047DE00B" w14:textId="77777777" w:rsidTr="003F5639">
        <w:tc>
          <w:tcPr>
            <w:tcW w:w="2244" w:type="dxa"/>
          </w:tcPr>
          <w:p w14:paraId="0321189B" w14:textId="77777777" w:rsidR="00A7061E" w:rsidRPr="006450C4" w:rsidRDefault="00A7061E" w:rsidP="00FB09C6">
            <w:pPr>
              <w:pStyle w:val="Paragraph"/>
              <w:spacing w:before="60" w:after="60" w:line="240" w:lineRule="auto"/>
              <w:ind w:left="37"/>
              <w:rPr>
                <w:b/>
                <w:bCs/>
                <w:i/>
                <w:iCs/>
              </w:rPr>
            </w:pPr>
            <w:r w:rsidRPr="006450C4">
              <w:t>Voting (formerly SO 32)</w:t>
            </w:r>
          </w:p>
        </w:tc>
        <w:tc>
          <w:tcPr>
            <w:tcW w:w="4714" w:type="dxa"/>
          </w:tcPr>
          <w:p w14:paraId="27B99A1A" w14:textId="3F578496" w:rsidR="00A7061E" w:rsidRDefault="00A7061E" w:rsidP="00FB09C6">
            <w:pPr>
              <w:pStyle w:val="Paragraph"/>
              <w:spacing w:before="60" w:after="60" w:line="240" w:lineRule="auto"/>
              <w:ind w:left="37"/>
            </w:pPr>
            <w:r w:rsidRPr="00571540">
              <w:t>Removed</w:t>
            </w:r>
            <w:r>
              <w:t xml:space="preserve"> this SO relating </w:t>
            </w:r>
            <w:r w:rsidR="00F90923">
              <w:t xml:space="preserve">to </w:t>
            </w:r>
            <w:r>
              <w:t>permission to attend a board meeting by video link or teleconference by exception, as this is now the norm.</w:t>
            </w:r>
          </w:p>
        </w:tc>
        <w:tc>
          <w:tcPr>
            <w:tcW w:w="2063" w:type="dxa"/>
          </w:tcPr>
          <w:p w14:paraId="16598CDE" w14:textId="77777777" w:rsidR="00A7061E" w:rsidRDefault="00A7061E" w:rsidP="00FB09C6">
            <w:pPr>
              <w:pStyle w:val="Paragraph"/>
              <w:spacing w:before="60" w:after="60" w:line="240" w:lineRule="auto"/>
              <w:ind w:left="37"/>
            </w:pPr>
            <w:r>
              <w:t>General updating</w:t>
            </w:r>
          </w:p>
        </w:tc>
      </w:tr>
      <w:tr w:rsidR="00A7061E" w:rsidRPr="00406A01" w14:paraId="3EC45DD4" w14:textId="77777777" w:rsidTr="003F5639">
        <w:tc>
          <w:tcPr>
            <w:tcW w:w="2244" w:type="dxa"/>
          </w:tcPr>
          <w:p w14:paraId="7EFA17ED" w14:textId="77777777" w:rsidR="00A7061E" w:rsidRPr="006450C4" w:rsidRDefault="00A7061E" w:rsidP="00FB09C6">
            <w:pPr>
              <w:pStyle w:val="Paragraph"/>
              <w:spacing w:before="60" w:after="60" w:line="240" w:lineRule="auto"/>
              <w:ind w:left="37"/>
            </w:pPr>
            <w:r w:rsidRPr="006450C4">
              <w:t>Tendering and contract procedures</w:t>
            </w:r>
          </w:p>
          <w:p w14:paraId="5B74DACE" w14:textId="27880374" w:rsidR="00A7061E" w:rsidRPr="006450C4" w:rsidRDefault="00A7061E" w:rsidP="00FB09C6">
            <w:pPr>
              <w:pStyle w:val="Paragraph"/>
              <w:spacing w:before="60" w:after="60" w:line="240" w:lineRule="auto"/>
              <w:ind w:left="37"/>
            </w:pPr>
            <w:r w:rsidRPr="006450C4">
              <w:t>(</w:t>
            </w:r>
            <w:proofErr w:type="gramStart"/>
            <w:r w:rsidRPr="006450C4">
              <w:t>formerly</w:t>
            </w:r>
            <w:proofErr w:type="gramEnd"/>
            <w:r w:rsidR="00571540" w:rsidRPr="006450C4">
              <w:t xml:space="preserve"> </w:t>
            </w:r>
            <w:r w:rsidRPr="006450C4">
              <w:t xml:space="preserve">SO106 – 127)  </w:t>
            </w:r>
          </w:p>
        </w:tc>
        <w:tc>
          <w:tcPr>
            <w:tcW w:w="4714" w:type="dxa"/>
          </w:tcPr>
          <w:p w14:paraId="2CFAE67B" w14:textId="3421F321" w:rsidR="00A7061E" w:rsidRPr="00406A01" w:rsidRDefault="00A7061E" w:rsidP="00FB09C6">
            <w:pPr>
              <w:pStyle w:val="Paragraph"/>
              <w:spacing w:before="60" w:after="60" w:line="240" w:lineRule="auto"/>
              <w:ind w:left="37"/>
            </w:pPr>
            <w:r w:rsidRPr="00571540">
              <w:t>Removed</w:t>
            </w:r>
            <w:r>
              <w:t xml:space="preserve"> sections from SO and inserted into SFI.</w:t>
            </w:r>
          </w:p>
        </w:tc>
        <w:tc>
          <w:tcPr>
            <w:tcW w:w="2063" w:type="dxa"/>
          </w:tcPr>
          <w:p w14:paraId="3068C7C3" w14:textId="77777777" w:rsidR="00A7061E" w:rsidRPr="00406A01" w:rsidRDefault="00A7061E" w:rsidP="00FB09C6">
            <w:pPr>
              <w:pStyle w:val="Paragraph"/>
              <w:spacing w:before="60" w:after="60" w:line="240" w:lineRule="auto"/>
              <w:ind w:left="37"/>
            </w:pPr>
            <w:r>
              <w:t>Good practice and a better fit</w:t>
            </w:r>
          </w:p>
        </w:tc>
      </w:tr>
      <w:tr w:rsidR="00A7061E" w:rsidRPr="00406A01" w14:paraId="17FEE799" w14:textId="77777777" w:rsidTr="00FB09C6">
        <w:trPr>
          <w:cantSplit/>
        </w:trPr>
        <w:tc>
          <w:tcPr>
            <w:tcW w:w="2244" w:type="dxa"/>
          </w:tcPr>
          <w:p w14:paraId="31EAB073" w14:textId="77777777" w:rsidR="00A7061E" w:rsidRPr="006450C4" w:rsidRDefault="00A7061E" w:rsidP="00FB09C6">
            <w:pPr>
              <w:pStyle w:val="Paragraph"/>
              <w:spacing w:before="60" w:after="60" w:line="240" w:lineRule="auto"/>
              <w:ind w:left="37"/>
            </w:pPr>
            <w:r w:rsidRPr="006450C4">
              <w:t>Delegation to committees, sub committees or joint committees (formerly SO 119 - 124)</w:t>
            </w:r>
          </w:p>
        </w:tc>
        <w:tc>
          <w:tcPr>
            <w:tcW w:w="4714" w:type="dxa"/>
          </w:tcPr>
          <w:p w14:paraId="137FFC41" w14:textId="77777777" w:rsidR="00A7061E" w:rsidRDefault="00A7061E" w:rsidP="00FB09C6">
            <w:pPr>
              <w:pStyle w:val="Paragraph"/>
              <w:spacing w:before="60" w:after="60" w:line="240" w:lineRule="auto"/>
              <w:ind w:left="37"/>
            </w:pPr>
            <w:r>
              <w:t>Sections reviewed and simplified to</w:t>
            </w:r>
            <w:r w:rsidRPr="00FD5A03">
              <w:t xml:space="preserve"> </w:t>
            </w:r>
            <w:r w:rsidRPr="00571540">
              <w:t>remove</w:t>
            </w:r>
            <w:r>
              <w:t xml:space="preserve"> duplication.</w:t>
            </w:r>
          </w:p>
        </w:tc>
        <w:tc>
          <w:tcPr>
            <w:tcW w:w="2063" w:type="dxa"/>
          </w:tcPr>
          <w:p w14:paraId="2FFD003D" w14:textId="77777777" w:rsidR="00A7061E" w:rsidRDefault="00A7061E" w:rsidP="00FB09C6">
            <w:pPr>
              <w:pStyle w:val="Paragraph"/>
              <w:spacing w:before="60" w:after="60" w:line="240" w:lineRule="auto"/>
              <w:ind w:left="37"/>
            </w:pPr>
            <w:r>
              <w:t>To reduce duplication</w:t>
            </w:r>
          </w:p>
        </w:tc>
      </w:tr>
    </w:tbl>
    <w:p w14:paraId="707111A1" w14:textId="6D36A7BD" w:rsidR="003F5639" w:rsidRPr="001B6D20" w:rsidRDefault="003F5639" w:rsidP="008C2164">
      <w:pPr>
        <w:pStyle w:val="Heading1boardreport"/>
        <w:spacing w:before="120"/>
      </w:pPr>
      <w:r w:rsidRPr="001B6D20">
        <w:lastRenderedPageBreak/>
        <w:t>Reservation of Powers to the Board</w:t>
      </w:r>
    </w:p>
    <w:tbl>
      <w:tblPr>
        <w:tblStyle w:val="TableGrid"/>
        <w:tblW w:w="9021" w:type="dxa"/>
        <w:tblInd w:w="-5" w:type="dxa"/>
        <w:tblLook w:val="04A0" w:firstRow="1" w:lastRow="0" w:firstColumn="1" w:lastColumn="0" w:noHBand="0" w:noVBand="1"/>
      </w:tblPr>
      <w:tblGrid>
        <w:gridCol w:w="2244"/>
        <w:gridCol w:w="4714"/>
        <w:gridCol w:w="2063"/>
      </w:tblGrid>
      <w:tr w:rsidR="001501D3" w:rsidRPr="009C57FB" w14:paraId="6FC830B0" w14:textId="77777777" w:rsidTr="003F5639">
        <w:tc>
          <w:tcPr>
            <w:tcW w:w="2244" w:type="dxa"/>
            <w:shd w:val="clear" w:color="auto" w:fill="DBE5F1" w:themeFill="accent1" w:themeFillTint="33"/>
          </w:tcPr>
          <w:p w14:paraId="30BFD48E" w14:textId="67A53B50" w:rsidR="001501D3" w:rsidRPr="001501D3" w:rsidRDefault="001501D3" w:rsidP="00FB09C6">
            <w:pPr>
              <w:pStyle w:val="Paragraph"/>
              <w:spacing w:before="60" w:after="60"/>
              <w:ind w:left="37"/>
              <w:rPr>
                <w:b/>
                <w:bCs/>
              </w:rPr>
            </w:pPr>
            <w:r w:rsidRPr="001501D3">
              <w:rPr>
                <w:b/>
                <w:bCs/>
              </w:rPr>
              <w:t>Section</w:t>
            </w:r>
          </w:p>
        </w:tc>
        <w:tc>
          <w:tcPr>
            <w:tcW w:w="4714" w:type="dxa"/>
            <w:shd w:val="clear" w:color="auto" w:fill="DBE5F1" w:themeFill="accent1" w:themeFillTint="33"/>
          </w:tcPr>
          <w:p w14:paraId="4A4A09DA" w14:textId="2EBEB3DD" w:rsidR="001501D3" w:rsidRDefault="001501D3" w:rsidP="00FB09C6">
            <w:pPr>
              <w:pStyle w:val="Paragraph"/>
              <w:spacing w:before="60" w:after="60"/>
              <w:ind w:left="37"/>
            </w:pPr>
            <w:r w:rsidRPr="00406A4A">
              <w:rPr>
                <w:b/>
              </w:rPr>
              <w:t>Proposed change</w:t>
            </w:r>
          </w:p>
        </w:tc>
        <w:tc>
          <w:tcPr>
            <w:tcW w:w="2063" w:type="dxa"/>
            <w:shd w:val="clear" w:color="auto" w:fill="DBE5F1" w:themeFill="accent1" w:themeFillTint="33"/>
          </w:tcPr>
          <w:p w14:paraId="1568C7DD" w14:textId="2E322C74" w:rsidR="001501D3" w:rsidRDefault="001501D3" w:rsidP="00FB09C6">
            <w:pPr>
              <w:pStyle w:val="Paragraph"/>
              <w:spacing w:before="60" w:after="60"/>
              <w:ind w:left="37"/>
            </w:pPr>
            <w:r w:rsidRPr="009C57FB">
              <w:rPr>
                <w:b/>
              </w:rPr>
              <w:t>Rationale</w:t>
            </w:r>
          </w:p>
        </w:tc>
      </w:tr>
      <w:tr w:rsidR="00910F7B" w:rsidRPr="009C57FB" w14:paraId="232FFE9D" w14:textId="77777777" w:rsidTr="003F5639">
        <w:tc>
          <w:tcPr>
            <w:tcW w:w="2244" w:type="dxa"/>
          </w:tcPr>
          <w:p w14:paraId="14AE51A2" w14:textId="370B1203" w:rsidR="00910F7B" w:rsidRDefault="00910F7B" w:rsidP="00FB09C6">
            <w:pPr>
              <w:pStyle w:val="Paragraph"/>
              <w:spacing w:before="60" w:after="60" w:line="240" w:lineRule="auto"/>
              <w:ind w:left="37"/>
            </w:pPr>
            <w:r>
              <w:t>Appointments (para 15)</w:t>
            </w:r>
          </w:p>
        </w:tc>
        <w:tc>
          <w:tcPr>
            <w:tcW w:w="4714" w:type="dxa"/>
          </w:tcPr>
          <w:p w14:paraId="7E7E6C45" w14:textId="57747FA6" w:rsidR="00910F7B" w:rsidRPr="005F6C85" w:rsidRDefault="00910F7B" w:rsidP="00FB09C6">
            <w:pPr>
              <w:pStyle w:val="Paragraph"/>
              <w:spacing w:before="60" w:after="60" w:line="240" w:lineRule="auto"/>
              <w:ind w:left="37"/>
              <w:rPr>
                <w:b/>
                <w:bCs/>
                <w:i/>
                <w:iCs/>
              </w:rPr>
            </w:pPr>
            <w:r>
              <w:t xml:space="preserve">Clarification that the retained board power to approve the establishment and dissolution </w:t>
            </w:r>
            <w:r w:rsidR="004D5AE8">
              <w:t xml:space="preserve">of </w:t>
            </w:r>
            <w:r>
              <w:t xml:space="preserve">committees relates to committees </w:t>
            </w:r>
            <w:r w:rsidRPr="001C03FB">
              <w:t>directly accountable to the board</w:t>
            </w:r>
          </w:p>
        </w:tc>
        <w:tc>
          <w:tcPr>
            <w:tcW w:w="2063" w:type="dxa"/>
          </w:tcPr>
          <w:p w14:paraId="530C8AA7" w14:textId="55681DA3" w:rsidR="00910F7B" w:rsidRDefault="000D4EB4" w:rsidP="00FB09C6">
            <w:pPr>
              <w:pStyle w:val="Paragraph"/>
              <w:spacing w:before="60" w:after="60" w:line="240" w:lineRule="auto"/>
              <w:ind w:left="37"/>
            </w:pPr>
            <w:r>
              <w:t>To provide clarity</w:t>
            </w:r>
          </w:p>
        </w:tc>
      </w:tr>
      <w:tr w:rsidR="00910F7B" w:rsidRPr="009C57FB" w14:paraId="2508F19A" w14:textId="77777777" w:rsidTr="003F5639">
        <w:tc>
          <w:tcPr>
            <w:tcW w:w="2244" w:type="dxa"/>
          </w:tcPr>
          <w:p w14:paraId="1E9E3516" w14:textId="1F28E487" w:rsidR="00910F7B" w:rsidRDefault="00910F7B" w:rsidP="00FB09C6">
            <w:pPr>
              <w:pStyle w:val="Paragraph"/>
              <w:spacing w:before="60" w:after="60" w:line="240" w:lineRule="auto"/>
              <w:ind w:left="37"/>
            </w:pPr>
            <w:r>
              <w:t>Appointments (para 16)</w:t>
            </w:r>
          </w:p>
        </w:tc>
        <w:tc>
          <w:tcPr>
            <w:tcW w:w="4714" w:type="dxa"/>
          </w:tcPr>
          <w:p w14:paraId="36674C75" w14:textId="39A9B66A" w:rsidR="000D4EB4" w:rsidRPr="00586E8A" w:rsidRDefault="000D4EB4" w:rsidP="00FB09C6">
            <w:pPr>
              <w:pStyle w:val="Paragraph"/>
              <w:spacing w:before="60" w:after="60" w:line="240" w:lineRule="auto"/>
              <w:ind w:left="37"/>
            </w:pPr>
            <w:r>
              <w:t xml:space="preserve">Clarification that the retained board power to appoint NEDs to outside bodies applies to bodies with decision making powers. </w:t>
            </w:r>
          </w:p>
        </w:tc>
        <w:tc>
          <w:tcPr>
            <w:tcW w:w="2063" w:type="dxa"/>
          </w:tcPr>
          <w:p w14:paraId="33ECF893" w14:textId="63F7EF71" w:rsidR="000D4EB4" w:rsidRDefault="000D4EB4" w:rsidP="00FB09C6">
            <w:pPr>
              <w:pStyle w:val="Paragraph"/>
              <w:spacing w:before="60" w:after="60" w:line="240" w:lineRule="auto"/>
              <w:ind w:left="37"/>
            </w:pPr>
            <w:r>
              <w:t>To provide clarity and more proportionate approach</w:t>
            </w:r>
          </w:p>
        </w:tc>
      </w:tr>
      <w:tr w:rsidR="00FC7F79" w:rsidRPr="009C57FB" w14:paraId="09D3180A" w14:textId="77777777" w:rsidTr="003F5639">
        <w:tc>
          <w:tcPr>
            <w:tcW w:w="2244" w:type="dxa"/>
          </w:tcPr>
          <w:p w14:paraId="21B6F793" w14:textId="6F899D7A" w:rsidR="00FC7F79" w:rsidRDefault="00FC7F79" w:rsidP="00FB09C6">
            <w:pPr>
              <w:pStyle w:val="Paragraph"/>
              <w:spacing w:before="60" w:after="60" w:line="240" w:lineRule="auto"/>
              <w:ind w:left="37"/>
            </w:pPr>
            <w:r>
              <w:t>Appointments (para 16)</w:t>
            </w:r>
          </w:p>
        </w:tc>
        <w:tc>
          <w:tcPr>
            <w:tcW w:w="4714" w:type="dxa"/>
          </w:tcPr>
          <w:p w14:paraId="03448F95" w14:textId="1291F3A7" w:rsidR="00FC7F79" w:rsidRPr="00586E8A" w:rsidRDefault="00FC7F79" w:rsidP="00FB09C6">
            <w:pPr>
              <w:pStyle w:val="Paragraph"/>
              <w:spacing w:before="60" w:after="60" w:line="240" w:lineRule="auto"/>
              <w:ind w:left="37"/>
            </w:pPr>
            <w:r>
              <w:t>Paragraph amended to state the board will appoint the vice chair and lead for TA/HST appeals</w:t>
            </w:r>
          </w:p>
        </w:tc>
        <w:tc>
          <w:tcPr>
            <w:tcW w:w="2063" w:type="dxa"/>
          </w:tcPr>
          <w:p w14:paraId="7844FE0C" w14:textId="48C33E80" w:rsidR="00FC7F79" w:rsidRDefault="00FC7F79" w:rsidP="00FB09C6">
            <w:pPr>
              <w:pStyle w:val="Paragraph"/>
              <w:spacing w:before="60" w:after="60" w:line="240" w:lineRule="auto"/>
              <w:ind w:left="37"/>
            </w:pPr>
            <w:r>
              <w:t>To reflect current arrangements</w:t>
            </w:r>
          </w:p>
        </w:tc>
      </w:tr>
      <w:tr w:rsidR="009538E3" w:rsidRPr="009C57FB" w14:paraId="2223F42C" w14:textId="77777777" w:rsidTr="003F5639">
        <w:tc>
          <w:tcPr>
            <w:tcW w:w="2244" w:type="dxa"/>
          </w:tcPr>
          <w:p w14:paraId="1BB2D8C7" w14:textId="58A03F35" w:rsidR="009538E3" w:rsidRDefault="00EA34E5" w:rsidP="00FB09C6">
            <w:pPr>
              <w:pStyle w:val="Paragraph"/>
              <w:spacing w:before="60" w:after="60" w:line="240" w:lineRule="auto"/>
              <w:ind w:left="37"/>
            </w:pPr>
            <w:r>
              <w:t xml:space="preserve">Direct operational decisions (para </w:t>
            </w:r>
            <w:r w:rsidR="00910F7B">
              <w:t xml:space="preserve">28 </w:t>
            </w:r>
            <w:r>
              <w:t xml:space="preserve">and </w:t>
            </w:r>
            <w:r w:rsidR="00910F7B">
              <w:t>29</w:t>
            </w:r>
            <w:r>
              <w:t>)</w:t>
            </w:r>
          </w:p>
        </w:tc>
        <w:tc>
          <w:tcPr>
            <w:tcW w:w="4714" w:type="dxa"/>
          </w:tcPr>
          <w:p w14:paraId="37331346" w14:textId="12271FC7" w:rsidR="009538E3" w:rsidRPr="00586E8A" w:rsidRDefault="00EA34E5" w:rsidP="00FB09C6">
            <w:pPr>
              <w:pStyle w:val="Paragraph"/>
              <w:spacing w:before="60" w:after="60" w:line="240" w:lineRule="auto"/>
              <w:ind w:left="37"/>
            </w:pPr>
            <w:r w:rsidRPr="00586E8A">
              <w:t>The level at which board approval is required for (a) the introduction or discontinuance of any significant activity or operation outside of the business plan; and (b) supplementary capital or revenue expenditure outside of the business plan; has been increased from £250k to £500k.</w:t>
            </w:r>
          </w:p>
        </w:tc>
        <w:tc>
          <w:tcPr>
            <w:tcW w:w="2063" w:type="dxa"/>
          </w:tcPr>
          <w:p w14:paraId="3D773B1F" w14:textId="16A5C878" w:rsidR="009538E3" w:rsidRDefault="00EA34E5" w:rsidP="00FB09C6">
            <w:pPr>
              <w:pStyle w:val="Paragraph"/>
              <w:spacing w:before="60" w:after="60" w:line="240" w:lineRule="auto"/>
              <w:ind w:left="37"/>
            </w:pPr>
            <w:r>
              <w:t xml:space="preserve">To </w:t>
            </w:r>
            <w:r w:rsidR="00F626A8">
              <w:t>streamline decision-making and reflect the board’s strategic rather than operational role</w:t>
            </w:r>
          </w:p>
        </w:tc>
      </w:tr>
    </w:tbl>
    <w:p w14:paraId="7F14F8C4" w14:textId="629860B3" w:rsidR="003F5639" w:rsidRPr="001B6D20" w:rsidRDefault="003F5639" w:rsidP="008C2164">
      <w:pPr>
        <w:pStyle w:val="Heading1boardreport"/>
        <w:spacing w:before="120"/>
      </w:pPr>
      <w:r w:rsidRPr="001B6D20">
        <w:t>Standing Financial Instructions (SFI)</w:t>
      </w:r>
    </w:p>
    <w:tbl>
      <w:tblPr>
        <w:tblStyle w:val="TableGrid"/>
        <w:tblW w:w="9072" w:type="dxa"/>
        <w:tblInd w:w="-5" w:type="dxa"/>
        <w:tblLook w:val="04A0" w:firstRow="1" w:lastRow="0" w:firstColumn="1" w:lastColumn="0" w:noHBand="0" w:noVBand="1"/>
      </w:tblPr>
      <w:tblGrid>
        <w:gridCol w:w="2410"/>
        <w:gridCol w:w="4678"/>
        <w:gridCol w:w="1984"/>
      </w:tblGrid>
      <w:tr w:rsidR="000C509B" w:rsidRPr="00406A4A" w14:paraId="1955FD30" w14:textId="77777777" w:rsidTr="00A7061E">
        <w:tc>
          <w:tcPr>
            <w:tcW w:w="2410" w:type="dxa"/>
            <w:shd w:val="clear" w:color="auto" w:fill="DBE5F1" w:themeFill="accent1" w:themeFillTint="33"/>
          </w:tcPr>
          <w:p w14:paraId="0AD63504" w14:textId="5836E256" w:rsidR="000C509B" w:rsidRPr="00406A4A" w:rsidRDefault="001F6D24" w:rsidP="00FB09C6">
            <w:pPr>
              <w:pStyle w:val="Paragraph"/>
              <w:spacing w:before="60" w:after="60"/>
              <w:ind w:left="37"/>
              <w:rPr>
                <w:b/>
              </w:rPr>
            </w:pPr>
            <w:r>
              <w:rPr>
                <w:b/>
              </w:rPr>
              <w:t>S</w:t>
            </w:r>
            <w:r w:rsidR="000C509B" w:rsidRPr="00406A4A">
              <w:rPr>
                <w:b/>
              </w:rPr>
              <w:t>ecti</w:t>
            </w:r>
            <w:r w:rsidR="00125844">
              <w:rPr>
                <w:b/>
              </w:rPr>
              <w:t>on</w:t>
            </w:r>
          </w:p>
        </w:tc>
        <w:tc>
          <w:tcPr>
            <w:tcW w:w="4678" w:type="dxa"/>
            <w:shd w:val="clear" w:color="auto" w:fill="DBE5F1" w:themeFill="accent1" w:themeFillTint="33"/>
          </w:tcPr>
          <w:p w14:paraId="56BC9738" w14:textId="77777777" w:rsidR="000C509B" w:rsidRPr="00406A4A" w:rsidRDefault="000C509B" w:rsidP="00FB09C6">
            <w:pPr>
              <w:pStyle w:val="Paragraph"/>
              <w:spacing w:before="60" w:after="60"/>
              <w:ind w:left="37"/>
              <w:rPr>
                <w:b/>
              </w:rPr>
            </w:pPr>
            <w:r w:rsidRPr="00406A4A">
              <w:rPr>
                <w:b/>
              </w:rPr>
              <w:t>Proposed change</w:t>
            </w:r>
          </w:p>
        </w:tc>
        <w:tc>
          <w:tcPr>
            <w:tcW w:w="1984" w:type="dxa"/>
            <w:shd w:val="clear" w:color="auto" w:fill="DBE5F1" w:themeFill="accent1" w:themeFillTint="33"/>
          </w:tcPr>
          <w:p w14:paraId="1C022519" w14:textId="77777777" w:rsidR="000C509B" w:rsidRPr="009C57FB" w:rsidRDefault="000C509B" w:rsidP="00FB09C6">
            <w:pPr>
              <w:pStyle w:val="Paragraph"/>
              <w:spacing w:before="60" w:after="60"/>
              <w:ind w:left="37"/>
              <w:rPr>
                <w:b/>
              </w:rPr>
            </w:pPr>
            <w:r w:rsidRPr="009C57FB">
              <w:rPr>
                <w:b/>
              </w:rPr>
              <w:t>Rationale</w:t>
            </w:r>
          </w:p>
        </w:tc>
      </w:tr>
      <w:tr w:rsidR="00520BBA" w:rsidRPr="00D34272" w14:paraId="2E45206D" w14:textId="77777777" w:rsidTr="00A7061E">
        <w:tc>
          <w:tcPr>
            <w:tcW w:w="2410" w:type="dxa"/>
          </w:tcPr>
          <w:p w14:paraId="4B6C8AFC" w14:textId="50EE5D7D" w:rsidR="00520BBA" w:rsidRDefault="00520BBA" w:rsidP="00FB09C6">
            <w:pPr>
              <w:pStyle w:val="Paragraph"/>
              <w:spacing w:before="60" w:after="60" w:line="240" w:lineRule="auto"/>
              <w:ind w:left="37"/>
            </w:pPr>
            <w:r>
              <w:t>Definitions (S</w:t>
            </w:r>
            <w:r w:rsidR="00A6740A">
              <w:t>FI</w:t>
            </w:r>
            <w:r w:rsidR="005F4814">
              <w:t xml:space="preserve"> </w:t>
            </w:r>
            <w:r>
              <w:t>7)</w:t>
            </w:r>
          </w:p>
        </w:tc>
        <w:tc>
          <w:tcPr>
            <w:tcW w:w="4678" w:type="dxa"/>
          </w:tcPr>
          <w:p w14:paraId="1E1CCA7A" w14:textId="7BCE2C94" w:rsidR="00520BBA" w:rsidRDefault="00520BBA" w:rsidP="00FB09C6">
            <w:pPr>
              <w:pStyle w:val="Paragraph"/>
              <w:spacing w:before="60" w:after="60" w:line="240" w:lineRule="auto"/>
              <w:ind w:left="37"/>
            </w:pPr>
            <w:r>
              <w:t xml:space="preserve">Added meaning of </w:t>
            </w:r>
            <w:r w:rsidR="005F6C85">
              <w:t>n</w:t>
            </w:r>
            <w:r>
              <w:t>on-executive director</w:t>
            </w:r>
          </w:p>
        </w:tc>
        <w:tc>
          <w:tcPr>
            <w:tcW w:w="1984" w:type="dxa"/>
          </w:tcPr>
          <w:p w14:paraId="5190777F" w14:textId="0FDA4820" w:rsidR="00520BBA" w:rsidRDefault="00520BBA" w:rsidP="00FB09C6">
            <w:pPr>
              <w:pStyle w:val="Paragraph"/>
              <w:spacing w:before="60" w:after="60" w:line="240" w:lineRule="auto"/>
              <w:ind w:left="37"/>
            </w:pPr>
            <w:r>
              <w:t>General updating</w:t>
            </w:r>
          </w:p>
        </w:tc>
      </w:tr>
      <w:tr w:rsidR="000C509B" w:rsidRPr="00D34272" w14:paraId="5A4157A4" w14:textId="77777777" w:rsidTr="00A7061E">
        <w:tc>
          <w:tcPr>
            <w:tcW w:w="2410" w:type="dxa"/>
          </w:tcPr>
          <w:p w14:paraId="258032A9" w14:textId="77777777" w:rsidR="002B40D8" w:rsidRDefault="002B40D8" w:rsidP="00FB09C6">
            <w:pPr>
              <w:pStyle w:val="Paragraph"/>
              <w:spacing w:before="60" w:after="60" w:line="240" w:lineRule="auto"/>
              <w:ind w:left="37"/>
            </w:pPr>
            <w:r>
              <w:t xml:space="preserve">Resource limits </w:t>
            </w:r>
          </w:p>
          <w:p w14:paraId="12DECA65" w14:textId="3C279446" w:rsidR="000C509B" w:rsidRPr="00D34272" w:rsidRDefault="005F4814" w:rsidP="00FB09C6">
            <w:pPr>
              <w:pStyle w:val="Paragraph"/>
              <w:spacing w:before="60" w:after="60" w:line="240" w:lineRule="auto"/>
              <w:ind w:left="37"/>
            </w:pPr>
            <w:r>
              <w:t>(</w:t>
            </w:r>
            <w:r w:rsidR="002B40D8">
              <w:t xml:space="preserve">SFI </w:t>
            </w:r>
            <w:r w:rsidR="005112A6">
              <w:t>30</w:t>
            </w:r>
            <w:r>
              <w:t>)</w:t>
            </w:r>
          </w:p>
        </w:tc>
        <w:tc>
          <w:tcPr>
            <w:tcW w:w="4678" w:type="dxa"/>
          </w:tcPr>
          <w:p w14:paraId="080741C3" w14:textId="3D0BD1A0" w:rsidR="000C509B" w:rsidRPr="00D34272" w:rsidRDefault="002B40D8" w:rsidP="00FB09C6">
            <w:pPr>
              <w:pStyle w:val="Paragraph"/>
              <w:spacing w:before="60" w:after="60" w:line="240" w:lineRule="auto"/>
              <w:ind w:left="37"/>
            </w:pPr>
            <w:r>
              <w:t>Change of title for this section</w:t>
            </w:r>
          </w:p>
        </w:tc>
        <w:tc>
          <w:tcPr>
            <w:tcW w:w="1984" w:type="dxa"/>
          </w:tcPr>
          <w:p w14:paraId="19728ABE" w14:textId="077915AC" w:rsidR="000C509B" w:rsidRPr="00D34272" w:rsidRDefault="002B40D8" w:rsidP="00FB09C6">
            <w:pPr>
              <w:pStyle w:val="Paragraph"/>
              <w:spacing w:before="60" w:after="60" w:line="240" w:lineRule="auto"/>
              <w:ind w:left="37"/>
            </w:pPr>
            <w:r>
              <w:t>Re-ordering of sections</w:t>
            </w:r>
          </w:p>
        </w:tc>
      </w:tr>
      <w:tr w:rsidR="00594076" w:rsidRPr="00D34272" w14:paraId="58E470C9" w14:textId="77777777" w:rsidTr="00FB09C6">
        <w:trPr>
          <w:cantSplit/>
        </w:trPr>
        <w:tc>
          <w:tcPr>
            <w:tcW w:w="2410" w:type="dxa"/>
          </w:tcPr>
          <w:p w14:paraId="34BFA5EF" w14:textId="04293352" w:rsidR="00594076" w:rsidRDefault="00594076" w:rsidP="00FB09C6">
            <w:pPr>
              <w:pStyle w:val="Paragraph"/>
              <w:spacing w:before="60" w:after="60" w:line="240" w:lineRule="auto"/>
              <w:ind w:left="37"/>
            </w:pPr>
            <w:r>
              <w:t xml:space="preserve">Delegated budgets </w:t>
            </w:r>
            <w:r w:rsidR="00BC0173">
              <w:t xml:space="preserve">– contract authorisation levels </w:t>
            </w:r>
            <w:r>
              <w:t>(SFI 3</w:t>
            </w:r>
            <w:r w:rsidR="005112A6">
              <w:t>8</w:t>
            </w:r>
            <w:r>
              <w:t>)</w:t>
            </w:r>
          </w:p>
        </w:tc>
        <w:tc>
          <w:tcPr>
            <w:tcW w:w="4678" w:type="dxa"/>
          </w:tcPr>
          <w:p w14:paraId="374D7FFA" w14:textId="5D5AB422" w:rsidR="008D5ED6" w:rsidRPr="005F4814" w:rsidRDefault="007305CB" w:rsidP="00FB09C6">
            <w:pPr>
              <w:pStyle w:val="Paragraph"/>
              <w:spacing w:before="60" w:after="60" w:line="240" w:lineRule="auto"/>
              <w:ind w:left="37"/>
            </w:pPr>
            <w:r>
              <w:t>Authority levels have been updated and moved into the scheme of financial delegations in the appendix to the SFI</w:t>
            </w:r>
          </w:p>
        </w:tc>
        <w:tc>
          <w:tcPr>
            <w:tcW w:w="1984" w:type="dxa"/>
          </w:tcPr>
          <w:p w14:paraId="33337A37" w14:textId="173D2576" w:rsidR="00594076" w:rsidRDefault="007305CB" w:rsidP="00FB09C6">
            <w:pPr>
              <w:pStyle w:val="Paragraph"/>
              <w:spacing w:before="60" w:after="60" w:line="240" w:lineRule="auto"/>
              <w:ind w:left="37"/>
            </w:pPr>
            <w:r>
              <w:t>General updating</w:t>
            </w:r>
          </w:p>
        </w:tc>
      </w:tr>
      <w:tr w:rsidR="00594076" w:rsidRPr="00D34272" w14:paraId="4B514072" w14:textId="77777777" w:rsidTr="00FB09C6">
        <w:trPr>
          <w:cantSplit/>
        </w:trPr>
        <w:tc>
          <w:tcPr>
            <w:tcW w:w="2410" w:type="dxa"/>
          </w:tcPr>
          <w:p w14:paraId="699A6457" w14:textId="695152CB" w:rsidR="00594076" w:rsidRDefault="00594076" w:rsidP="00FB09C6">
            <w:pPr>
              <w:pStyle w:val="Paragraph"/>
              <w:spacing w:before="60" w:after="60" w:line="240" w:lineRule="auto"/>
              <w:ind w:left="37"/>
            </w:pPr>
            <w:r>
              <w:t>Debt recovery (SFI 5</w:t>
            </w:r>
            <w:r w:rsidR="00DA3F1F">
              <w:t>5</w:t>
            </w:r>
            <w:r>
              <w:t>)</w:t>
            </w:r>
          </w:p>
        </w:tc>
        <w:tc>
          <w:tcPr>
            <w:tcW w:w="4678" w:type="dxa"/>
          </w:tcPr>
          <w:p w14:paraId="6308563D" w14:textId="0E806D1D" w:rsidR="00594076" w:rsidRDefault="00594076" w:rsidP="00FB09C6">
            <w:pPr>
              <w:pStyle w:val="Paragraph"/>
              <w:spacing w:before="60" w:after="60" w:line="240" w:lineRule="auto"/>
              <w:ind w:left="37"/>
            </w:pPr>
            <w:r>
              <w:t>Added the requirement to report all losses by fraud or error (including overpayments) to be reported to the DHSC via the quarterly Consolidated Data Return (CDR) for counter fraud</w:t>
            </w:r>
          </w:p>
        </w:tc>
        <w:tc>
          <w:tcPr>
            <w:tcW w:w="1984" w:type="dxa"/>
          </w:tcPr>
          <w:p w14:paraId="51E14CEF" w14:textId="240EBF29" w:rsidR="00594076" w:rsidRDefault="00594076" w:rsidP="00FB09C6">
            <w:pPr>
              <w:pStyle w:val="Paragraph"/>
              <w:spacing w:before="60" w:after="60" w:line="240" w:lineRule="auto"/>
              <w:ind w:left="37"/>
            </w:pPr>
            <w:r>
              <w:t>A requirement of the government functional standard: counter fraud</w:t>
            </w:r>
          </w:p>
        </w:tc>
      </w:tr>
      <w:tr w:rsidR="00594076" w:rsidRPr="00D34272" w14:paraId="4EE18837" w14:textId="77777777" w:rsidTr="00A7061E">
        <w:tc>
          <w:tcPr>
            <w:tcW w:w="2410" w:type="dxa"/>
          </w:tcPr>
          <w:p w14:paraId="0CB38A08" w14:textId="77777777" w:rsidR="00594076" w:rsidRDefault="00594076" w:rsidP="00FB09C6">
            <w:pPr>
              <w:pStyle w:val="Paragraph"/>
              <w:spacing w:before="60" w:after="60" w:line="240" w:lineRule="auto"/>
              <w:ind w:left="37"/>
            </w:pPr>
            <w:r>
              <w:t>Tendering and contract procedures</w:t>
            </w:r>
          </w:p>
          <w:p w14:paraId="17CC0666" w14:textId="01FCB695" w:rsidR="00594076" w:rsidRPr="00D34272" w:rsidRDefault="00594076" w:rsidP="00FB09C6">
            <w:pPr>
              <w:pStyle w:val="Paragraph"/>
              <w:spacing w:before="60" w:after="60" w:line="240" w:lineRule="auto"/>
              <w:ind w:left="37"/>
            </w:pPr>
            <w:r>
              <w:t>(SFI 6</w:t>
            </w:r>
            <w:r w:rsidR="00901720">
              <w:t>0</w:t>
            </w:r>
            <w:r>
              <w:t xml:space="preserve"> – 8</w:t>
            </w:r>
            <w:r w:rsidR="00901720">
              <w:t>2</w:t>
            </w:r>
            <w:r>
              <w:t>)</w:t>
            </w:r>
          </w:p>
        </w:tc>
        <w:tc>
          <w:tcPr>
            <w:tcW w:w="4678" w:type="dxa"/>
          </w:tcPr>
          <w:p w14:paraId="091E260A" w14:textId="5F26A48E" w:rsidR="00594076" w:rsidRPr="00D34272" w:rsidRDefault="00594076" w:rsidP="00FB09C6">
            <w:pPr>
              <w:pStyle w:val="Paragraph"/>
              <w:spacing w:before="60" w:after="60" w:line="240" w:lineRule="auto"/>
              <w:ind w:left="37"/>
            </w:pPr>
            <w:r>
              <w:t xml:space="preserve">This section has been </w:t>
            </w:r>
            <w:r w:rsidR="005112A6">
              <w:t>inserted into SFI</w:t>
            </w:r>
            <w:r>
              <w:t xml:space="preserve"> from SO</w:t>
            </w:r>
          </w:p>
        </w:tc>
        <w:tc>
          <w:tcPr>
            <w:tcW w:w="1984" w:type="dxa"/>
          </w:tcPr>
          <w:p w14:paraId="64A5FCD6" w14:textId="6EF26596" w:rsidR="00594076" w:rsidRPr="00D34272" w:rsidRDefault="00594076" w:rsidP="00FB09C6">
            <w:pPr>
              <w:pStyle w:val="Paragraph"/>
              <w:spacing w:before="60" w:after="60" w:line="240" w:lineRule="auto"/>
              <w:ind w:left="37"/>
            </w:pPr>
            <w:r>
              <w:t>Good practice</w:t>
            </w:r>
          </w:p>
        </w:tc>
      </w:tr>
      <w:tr w:rsidR="00EA1411" w:rsidRPr="006F2405" w14:paraId="08488DC7" w14:textId="77777777" w:rsidTr="00A7061E">
        <w:tc>
          <w:tcPr>
            <w:tcW w:w="2410" w:type="dxa"/>
          </w:tcPr>
          <w:p w14:paraId="34947972" w14:textId="15997E05" w:rsidR="00EA1411" w:rsidRPr="006F2405" w:rsidRDefault="00EA1411" w:rsidP="00FB09C6">
            <w:pPr>
              <w:pStyle w:val="Paragraph"/>
              <w:spacing w:before="60" w:after="60" w:line="240" w:lineRule="auto"/>
              <w:ind w:left="37"/>
            </w:pPr>
            <w:r>
              <w:lastRenderedPageBreak/>
              <w:t>Formal competitive tendering (SFI 6</w:t>
            </w:r>
            <w:r w:rsidR="00901720">
              <w:t>3</w:t>
            </w:r>
            <w:r>
              <w:t>)</w:t>
            </w:r>
          </w:p>
        </w:tc>
        <w:tc>
          <w:tcPr>
            <w:tcW w:w="4678" w:type="dxa"/>
          </w:tcPr>
          <w:p w14:paraId="3F03D079" w14:textId="3E67FDC1" w:rsidR="0017115F" w:rsidRPr="006F2405" w:rsidRDefault="00EA1411" w:rsidP="00FB09C6">
            <w:pPr>
              <w:pStyle w:val="Paragraph"/>
              <w:spacing w:before="60" w:after="60" w:line="240" w:lineRule="auto"/>
              <w:ind w:left="37"/>
            </w:pPr>
            <w:r>
              <w:t>Removed reference to EU procurement limits</w:t>
            </w:r>
          </w:p>
        </w:tc>
        <w:tc>
          <w:tcPr>
            <w:tcW w:w="1984" w:type="dxa"/>
          </w:tcPr>
          <w:p w14:paraId="1061856E" w14:textId="3179DCBA" w:rsidR="0017115F" w:rsidRPr="006F2405" w:rsidRDefault="00EA1411" w:rsidP="00FB09C6">
            <w:pPr>
              <w:pStyle w:val="Paragraph"/>
              <w:spacing w:before="60" w:after="120" w:line="240" w:lineRule="auto"/>
              <w:ind w:left="37"/>
            </w:pPr>
            <w:r>
              <w:t>No longer applicable to the U</w:t>
            </w:r>
            <w:r w:rsidR="00901720">
              <w:t>K</w:t>
            </w:r>
          </w:p>
        </w:tc>
      </w:tr>
    </w:tbl>
    <w:p w14:paraId="33DF880A" w14:textId="2172A467" w:rsidR="005F358B" w:rsidRPr="001B6D20" w:rsidRDefault="005F358B" w:rsidP="008C2164">
      <w:pPr>
        <w:pStyle w:val="Heading1boardreport"/>
        <w:spacing w:before="120"/>
      </w:pPr>
      <w:r w:rsidRPr="001B6D20">
        <w:t>Scheme of Financial Delegation</w:t>
      </w:r>
    </w:p>
    <w:tbl>
      <w:tblPr>
        <w:tblStyle w:val="TableGrid"/>
        <w:tblW w:w="9072" w:type="dxa"/>
        <w:tblInd w:w="-5" w:type="dxa"/>
        <w:tblLook w:val="04A0" w:firstRow="1" w:lastRow="0" w:firstColumn="1" w:lastColumn="0" w:noHBand="0" w:noVBand="1"/>
      </w:tblPr>
      <w:tblGrid>
        <w:gridCol w:w="2410"/>
        <w:gridCol w:w="4678"/>
        <w:gridCol w:w="1984"/>
      </w:tblGrid>
      <w:tr w:rsidR="00594076" w:rsidRPr="00406A4A" w14:paraId="461CFA15" w14:textId="77777777" w:rsidTr="00A7061E">
        <w:tc>
          <w:tcPr>
            <w:tcW w:w="2410" w:type="dxa"/>
            <w:shd w:val="clear" w:color="auto" w:fill="DBE5F1" w:themeFill="accent1" w:themeFillTint="33"/>
          </w:tcPr>
          <w:p w14:paraId="535D67DC" w14:textId="3ADDEF95" w:rsidR="00594076" w:rsidRPr="00406A4A" w:rsidRDefault="00594076" w:rsidP="00756DB3">
            <w:pPr>
              <w:pStyle w:val="Paragraph"/>
              <w:spacing w:before="60" w:after="60"/>
              <w:ind w:left="37"/>
              <w:rPr>
                <w:b/>
              </w:rPr>
            </w:pPr>
            <w:r>
              <w:rPr>
                <w:b/>
              </w:rPr>
              <w:t>S</w:t>
            </w:r>
            <w:r w:rsidRPr="00406A4A">
              <w:rPr>
                <w:b/>
              </w:rPr>
              <w:t>ecti</w:t>
            </w:r>
            <w:r>
              <w:rPr>
                <w:b/>
              </w:rPr>
              <w:t>on</w:t>
            </w:r>
          </w:p>
        </w:tc>
        <w:tc>
          <w:tcPr>
            <w:tcW w:w="4678" w:type="dxa"/>
            <w:shd w:val="clear" w:color="auto" w:fill="DBE5F1" w:themeFill="accent1" w:themeFillTint="33"/>
          </w:tcPr>
          <w:p w14:paraId="41664F32" w14:textId="77777777" w:rsidR="00594076" w:rsidRPr="00406A4A" w:rsidRDefault="00594076" w:rsidP="00756DB3">
            <w:pPr>
              <w:pStyle w:val="Paragraph"/>
              <w:spacing w:before="60" w:after="60"/>
              <w:ind w:left="37"/>
              <w:rPr>
                <w:b/>
              </w:rPr>
            </w:pPr>
            <w:r w:rsidRPr="00406A4A">
              <w:rPr>
                <w:b/>
              </w:rPr>
              <w:t>Proposed change</w:t>
            </w:r>
          </w:p>
        </w:tc>
        <w:tc>
          <w:tcPr>
            <w:tcW w:w="1984" w:type="dxa"/>
            <w:shd w:val="clear" w:color="auto" w:fill="DBE5F1" w:themeFill="accent1" w:themeFillTint="33"/>
          </w:tcPr>
          <w:p w14:paraId="0CF8F6B3" w14:textId="77777777" w:rsidR="00594076" w:rsidRPr="009C57FB" w:rsidRDefault="00594076" w:rsidP="00756DB3">
            <w:pPr>
              <w:pStyle w:val="Paragraph"/>
              <w:spacing w:before="60" w:after="60"/>
              <w:ind w:left="37"/>
              <w:rPr>
                <w:b/>
              </w:rPr>
            </w:pPr>
            <w:r w:rsidRPr="009C57FB">
              <w:rPr>
                <w:b/>
              </w:rPr>
              <w:t>Rationale</w:t>
            </w:r>
          </w:p>
        </w:tc>
      </w:tr>
      <w:tr w:rsidR="00594076" w:rsidRPr="0059612C" w14:paraId="2C32CA8C" w14:textId="77777777" w:rsidTr="00A7061E">
        <w:tc>
          <w:tcPr>
            <w:tcW w:w="2410" w:type="dxa"/>
          </w:tcPr>
          <w:p w14:paraId="37F971A5" w14:textId="4CAC9C98" w:rsidR="00594076" w:rsidRPr="0059612C" w:rsidRDefault="00594076" w:rsidP="00756DB3">
            <w:pPr>
              <w:pStyle w:val="Paragraph"/>
              <w:spacing w:before="60" w:after="60" w:line="240" w:lineRule="auto"/>
              <w:ind w:left="37"/>
            </w:pPr>
            <w:r>
              <w:t>The scheme of delegation</w:t>
            </w:r>
            <w:r w:rsidR="001B2C97">
              <w:t xml:space="preserve"> (appendix)</w:t>
            </w:r>
          </w:p>
        </w:tc>
        <w:tc>
          <w:tcPr>
            <w:tcW w:w="4678" w:type="dxa"/>
          </w:tcPr>
          <w:p w14:paraId="77898FFE" w14:textId="30B02072" w:rsidR="00594076" w:rsidRPr="0059612C" w:rsidRDefault="00594076" w:rsidP="00756DB3">
            <w:pPr>
              <w:pStyle w:val="Paragraph"/>
              <w:spacing w:before="60" w:after="60" w:line="240" w:lineRule="auto"/>
              <w:ind w:left="37"/>
            </w:pPr>
            <w:r>
              <w:t>The scheme of delegation has been inserted into the Standing Financial Instructions.</w:t>
            </w:r>
          </w:p>
        </w:tc>
        <w:tc>
          <w:tcPr>
            <w:tcW w:w="1984" w:type="dxa"/>
          </w:tcPr>
          <w:p w14:paraId="7366074B" w14:textId="4C4D5BC4" w:rsidR="00594076" w:rsidRPr="0059612C" w:rsidRDefault="00594076" w:rsidP="00756DB3">
            <w:pPr>
              <w:pStyle w:val="Paragraph"/>
              <w:spacing w:before="60" w:after="60" w:line="240" w:lineRule="auto"/>
              <w:ind w:left="37"/>
            </w:pPr>
            <w:r>
              <w:t>General updating</w:t>
            </w:r>
          </w:p>
        </w:tc>
      </w:tr>
      <w:tr w:rsidR="001B2C97" w:rsidRPr="0059612C" w14:paraId="34B998A5" w14:textId="77777777" w:rsidTr="00A7061E">
        <w:tc>
          <w:tcPr>
            <w:tcW w:w="2410" w:type="dxa"/>
          </w:tcPr>
          <w:p w14:paraId="05327D0C" w14:textId="27D686A6" w:rsidR="001B2C97" w:rsidRDefault="001B2C97" w:rsidP="00F36386">
            <w:pPr>
              <w:pStyle w:val="Paragraph"/>
              <w:numPr>
                <w:ilvl w:val="0"/>
                <w:numId w:val="0"/>
              </w:numPr>
              <w:spacing w:before="60" w:after="60" w:line="240" w:lineRule="auto"/>
              <w:ind w:left="37"/>
            </w:pPr>
            <w:r>
              <w:t>Introduction (para 4)</w:t>
            </w:r>
          </w:p>
        </w:tc>
        <w:tc>
          <w:tcPr>
            <w:tcW w:w="4678" w:type="dxa"/>
          </w:tcPr>
          <w:p w14:paraId="7CF3E90E" w14:textId="4008FEB4" w:rsidR="001B2C97" w:rsidRDefault="001B2C97" w:rsidP="00F36386">
            <w:pPr>
              <w:pStyle w:val="Paragraph"/>
              <w:numPr>
                <w:ilvl w:val="0"/>
                <w:numId w:val="0"/>
              </w:numPr>
              <w:spacing w:before="60" w:after="60" w:line="240" w:lineRule="auto"/>
              <w:ind w:left="37"/>
            </w:pPr>
            <w:r>
              <w:t>New tiers of management approval introduced.</w:t>
            </w:r>
          </w:p>
        </w:tc>
        <w:tc>
          <w:tcPr>
            <w:tcW w:w="1984" w:type="dxa"/>
          </w:tcPr>
          <w:p w14:paraId="3440CB07" w14:textId="1F2F1DB7" w:rsidR="001B2C97" w:rsidRDefault="001B2C97" w:rsidP="00F36386">
            <w:pPr>
              <w:pStyle w:val="Paragraph"/>
              <w:numPr>
                <w:ilvl w:val="0"/>
                <w:numId w:val="0"/>
              </w:numPr>
              <w:spacing w:before="60" w:after="60" w:line="240" w:lineRule="auto"/>
              <w:ind w:left="37"/>
            </w:pPr>
            <w:r>
              <w:t>Greater clarity</w:t>
            </w:r>
          </w:p>
        </w:tc>
      </w:tr>
      <w:tr w:rsidR="00DE45BF" w:rsidRPr="0059612C" w14:paraId="2072C41E" w14:textId="77777777" w:rsidTr="00A7061E">
        <w:tc>
          <w:tcPr>
            <w:tcW w:w="2410" w:type="dxa"/>
          </w:tcPr>
          <w:p w14:paraId="41E25A3B" w14:textId="62EF1D7E" w:rsidR="00DE45BF" w:rsidRDefault="00DE45BF" w:rsidP="00F36386">
            <w:pPr>
              <w:pStyle w:val="Paragraph"/>
              <w:numPr>
                <w:ilvl w:val="0"/>
                <w:numId w:val="0"/>
              </w:numPr>
              <w:spacing w:before="60" w:after="60" w:line="240" w:lineRule="auto"/>
              <w:ind w:left="37"/>
            </w:pPr>
            <w:r>
              <w:t>Expenditure (para 7)</w:t>
            </w:r>
          </w:p>
        </w:tc>
        <w:tc>
          <w:tcPr>
            <w:tcW w:w="4678" w:type="dxa"/>
          </w:tcPr>
          <w:p w14:paraId="23AC6107" w14:textId="418D9B2C" w:rsidR="00DE45BF" w:rsidRDefault="00DE45BF" w:rsidP="00F36386">
            <w:pPr>
              <w:pStyle w:val="Paragraph"/>
              <w:numPr>
                <w:ilvl w:val="0"/>
                <w:numId w:val="0"/>
              </w:numPr>
              <w:spacing w:before="60" w:after="60" w:line="240" w:lineRule="auto"/>
              <w:ind w:left="37"/>
            </w:pPr>
            <w:r>
              <w:t>Expenditure limits included for contracts and purchase orders</w:t>
            </w:r>
            <w:proofErr w:type="gramStart"/>
            <w:r>
              <w:t>.</w:t>
            </w:r>
            <w:r w:rsidR="004F6A05">
              <w:t xml:space="preserve">  </w:t>
            </w:r>
            <w:proofErr w:type="gramEnd"/>
            <w:r w:rsidR="004F6A05">
              <w:t>Distinguishes between expenditure within the approved budget and outside of the board approved annual budget and business plan.</w:t>
            </w:r>
          </w:p>
        </w:tc>
        <w:tc>
          <w:tcPr>
            <w:tcW w:w="1984" w:type="dxa"/>
          </w:tcPr>
          <w:p w14:paraId="271309FC" w14:textId="1B992169" w:rsidR="00DE45BF" w:rsidRDefault="00DE45BF" w:rsidP="00F36386">
            <w:pPr>
              <w:pStyle w:val="Paragraph"/>
              <w:numPr>
                <w:ilvl w:val="0"/>
                <w:numId w:val="0"/>
              </w:numPr>
              <w:spacing w:before="60" w:after="60" w:line="240" w:lineRule="auto"/>
              <w:ind w:left="37"/>
            </w:pPr>
            <w:r>
              <w:t>Greater clarity</w:t>
            </w:r>
            <w:r w:rsidR="007305CB">
              <w:t xml:space="preserve"> and to streamline decision-making</w:t>
            </w:r>
          </w:p>
        </w:tc>
      </w:tr>
      <w:tr w:rsidR="00012E07" w:rsidRPr="0059612C" w14:paraId="32CEF9E3" w14:textId="77777777" w:rsidTr="00A7061E">
        <w:tc>
          <w:tcPr>
            <w:tcW w:w="2410" w:type="dxa"/>
          </w:tcPr>
          <w:p w14:paraId="07CAD12B" w14:textId="2A332548" w:rsidR="00012E07" w:rsidRDefault="00012E07" w:rsidP="00F36386">
            <w:pPr>
              <w:pStyle w:val="Paragraph"/>
              <w:numPr>
                <w:ilvl w:val="0"/>
                <w:numId w:val="0"/>
              </w:numPr>
              <w:spacing w:before="60" w:after="60" w:line="240" w:lineRule="auto"/>
              <w:ind w:left="37"/>
            </w:pPr>
            <w:r>
              <w:t>Tendering and contracts (para 9)</w:t>
            </w:r>
          </w:p>
        </w:tc>
        <w:tc>
          <w:tcPr>
            <w:tcW w:w="4678" w:type="dxa"/>
          </w:tcPr>
          <w:p w14:paraId="0AC70164" w14:textId="421E5DBE" w:rsidR="00012E07" w:rsidRDefault="00012E07" w:rsidP="000B64D6">
            <w:pPr>
              <w:pStyle w:val="Paragraph"/>
              <w:numPr>
                <w:ilvl w:val="0"/>
                <w:numId w:val="0"/>
              </w:numPr>
              <w:spacing w:before="60" w:after="60" w:line="240" w:lineRule="auto"/>
              <w:ind w:left="37"/>
            </w:pPr>
            <w:r>
              <w:t>Sets out the limits and approvers which were previously in the SO</w:t>
            </w:r>
          </w:p>
        </w:tc>
        <w:tc>
          <w:tcPr>
            <w:tcW w:w="1984" w:type="dxa"/>
          </w:tcPr>
          <w:p w14:paraId="0F8D1799" w14:textId="400F06C4" w:rsidR="00012E07" w:rsidRDefault="00012E07" w:rsidP="000B64D6">
            <w:pPr>
              <w:pStyle w:val="Paragraph"/>
              <w:numPr>
                <w:ilvl w:val="0"/>
                <w:numId w:val="0"/>
              </w:numPr>
              <w:spacing w:before="60" w:after="60" w:line="240" w:lineRule="auto"/>
              <w:ind w:left="37"/>
            </w:pPr>
            <w:r>
              <w:t>General updating</w:t>
            </w:r>
          </w:p>
        </w:tc>
      </w:tr>
      <w:tr w:rsidR="00012E07" w:rsidRPr="0059612C" w14:paraId="7B44A5C8" w14:textId="77777777" w:rsidTr="00A7061E">
        <w:tc>
          <w:tcPr>
            <w:tcW w:w="2410" w:type="dxa"/>
          </w:tcPr>
          <w:p w14:paraId="7134181E" w14:textId="035CD2F0" w:rsidR="00012E07" w:rsidRPr="0059612C" w:rsidRDefault="00012E07" w:rsidP="00F36386">
            <w:pPr>
              <w:pStyle w:val="Paragraph"/>
              <w:numPr>
                <w:ilvl w:val="0"/>
                <w:numId w:val="0"/>
              </w:numPr>
              <w:spacing w:before="60" w:after="60" w:line="240" w:lineRule="auto"/>
              <w:ind w:left="37"/>
            </w:pPr>
            <w:r>
              <w:t>Agreements (para 10)</w:t>
            </w:r>
          </w:p>
        </w:tc>
        <w:tc>
          <w:tcPr>
            <w:tcW w:w="4678" w:type="dxa"/>
          </w:tcPr>
          <w:p w14:paraId="768E2437" w14:textId="2B9930D7" w:rsidR="00012E07" w:rsidRPr="0059612C" w:rsidRDefault="00012E07" w:rsidP="000B64D6">
            <w:pPr>
              <w:pStyle w:val="Paragraph"/>
              <w:numPr>
                <w:ilvl w:val="0"/>
                <w:numId w:val="0"/>
              </w:numPr>
              <w:spacing w:before="60" w:after="60" w:line="240" w:lineRule="auto"/>
              <w:ind w:left="37"/>
            </w:pPr>
            <w:r>
              <w:t>New section to provide clarity over who has authority to sign agreements on behalf of NICE.</w:t>
            </w:r>
          </w:p>
        </w:tc>
        <w:tc>
          <w:tcPr>
            <w:tcW w:w="1984" w:type="dxa"/>
          </w:tcPr>
          <w:p w14:paraId="461052C8" w14:textId="7BF61F64" w:rsidR="00012E07" w:rsidRPr="0059612C" w:rsidRDefault="00012E07" w:rsidP="000B64D6">
            <w:pPr>
              <w:pStyle w:val="Paragraph"/>
              <w:numPr>
                <w:ilvl w:val="0"/>
                <w:numId w:val="0"/>
              </w:numPr>
              <w:spacing w:before="60" w:after="60" w:line="240" w:lineRule="auto"/>
              <w:ind w:left="37"/>
            </w:pPr>
            <w:r>
              <w:t>Greater clarity</w:t>
            </w:r>
          </w:p>
        </w:tc>
      </w:tr>
      <w:tr w:rsidR="00012E07" w:rsidRPr="0059612C" w14:paraId="5FF544D7" w14:textId="77777777" w:rsidTr="00A7061E">
        <w:tc>
          <w:tcPr>
            <w:tcW w:w="2410" w:type="dxa"/>
          </w:tcPr>
          <w:p w14:paraId="5B6D0D49" w14:textId="7467A960" w:rsidR="00012E07" w:rsidRPr="0059612C" w:rsidRDefault="00012E07" w:rsidP="00F36386">
            <w:pPr>
              <w:pStyle w:val="Paragraph"/>
              <w:numPr>
                <w:ilvl w:val="0"/>
                <w:numId w:val="0"/>
              </w:numPr>
              <w:spacing w:before="60" w:after="60" w:line="240" w:lineRule="auto"/>
              <w:ind w:left="37"/>
            </w:pPr>
            <w:r w:rsidRPr="00B24BBB">
              <w:t>Income</w:t>
            </w:r>
            <w:r>
              <w:t xml:space="preserve"> (para 11)</w:t>
            </w:r>
          </w:p>
        </w:tc>
        <w:tc>
          <w:tcPr>
            <w:tcW w:w="4678" w:type="dxa"/>
          </w:tcPr>
          <w:p w14:paraId="01A3817D" w14:textId="2EF384CB" w:rsidR="00012E07" w:rsidRPr="0059612C" w:rsidRDefault="00012E07" w:rsidP="000B64D6">
            <w:pPr>
              <w:pStyle w:val="Paragraph"/>
              <w:numPr>
                <w:ilvl w:val="0"/>
                <w:numId w:val="0"/>
              </w:numPr>
              <w:spacing w:before="60" w:after="60" w:line="240" w:lineRule="auto"/>
              <w:ind w:left="37"/>
            </w:pPr>
            <w:r>
              <w:t xml:space="preserve">New section stating who has authority to approve fees and charges in addition to the finance, </w:t>
            </w:r>
            <w:proofErr w:type="gramStart"/>
            <w:r>
              <w:t>strategy</w:t>
            </w:r>
            <w:proofErr w:type="gramEnd"/>
            <w:r>
              <w:t xml:space="preserve"> and transformation director.</w:t>
            </w:r>
          </w:p>
        </w:tc>
        <w:tc>
          <w:tcPr>
            <w:tcW w:w="1984" w:type="dxa"/>
          </w:tcPr>
          <w:p w14:paraId="78AB5553" w14:textId="50AFB072" w:rsidR="00012E07" w:rsidRPr="0059612C" w:rsidRDefault="00012E07" w:rsidP="000B64D6">
            <w:pPr>
              <w:pStyle w:val="Paragraph"/>
              <w:numPr>
                <w:ilvl w:val="0"/>
                <w:numId w:val="0"/>
              </w:numPr>
              <w:spacing w:before="60" w:after="60" w:line="240" w:lineRule="auto"/>
              <w:ind w:left="37"/>
            </w:pPr>
            <w:r>
              <w:t>Greater clarity</w:t>
            </w:r>
          </w:p>
        </w:tc>
      </w:tr>
      <w:tr w:rsidR="00012E07" w:rsidRPr="0059612C" w14:paraId="64212690" w14:textId="77777777" w:rsidTr="00A7061E">
        <w:tc>
          <w:tcPr>
            <w:tcW w:w="2410" w:type="dxa"/>
          </w:tcPr>
          <w:p w14:paraId="48604ADE" w14:textId="150F8E69" w:rsidR="00012E07" w:rsidRPr="00B24BBB" w:rsidRDefault="00012E07" w:rsidP="00F36386">
            <w:pPr>
              <w:pStyle w:val="Paragraph"/>
              <w:numPr>
                <w:ilvl w:val="0"/>
                <w:numId w:val="0"/>
              </w:numPr>
              <w:spacing w:before="60" w:after="60" w:line="240" w:lineRule="auto"/>
              <w:ind w:left="37"/>
            </w:pPr>
            <w:r>
              <w:t>Employment (para 12)</w:t>
            </w:r>
          </w:p>
        </w:tc>
        <w:tc>
          <w:tcPr>
            <w:tcW w:w="4678" w:type="dxa"/>
          </w:tcPr>
          <w:p w14:paraId="3125001D" w14:textId="58E2F8F4" w:rsidR="00012E07" w:rsidRDefault="00012E07" w:rsidP="000B64D6">
            <w:pPr>
              <w:pStyle w:val="Paragraph"/>
              <w:numPr>
                <w:ilvl w:val="0"/>
                <w:numId w:val="0"/>
              </w:numPr>
              <w:spacing w:before="60" w:after="60" w:line="240" w:lineRule="auto"/>
              <w:ind w:left="37"/>
            </w:pPr>
            <w:r>
              <w:t>New section stating who has authority for recruitment decisions.</w:t>
            </w:r>
          </w:p>
        </w:tc>
        <w:tc>
          <w:tcPr>
            <w:tcW w:w="1984" w:type="dxa"/>
          </w:tcPr>
          <w:p w14:paraId="73822DBA" w14:textId="494E7C00" w:rsidR="00012E07" w:rsidRDefault="00012E07" w:rsidP="000B64D6">
            <w:pPr>
              <w:pStyle w:val="Paragraph"/>
              <w:numPr>
                <w:ilvl w:val="0"/>
                <w:numId w:val="0"/>
              </w:numPr>
              <w:spacing w:before="60" w:after="60" w:line="240" w:lineRule="auto"/>
              <w:ind w:left="37"/>
            </w:pPr>
            <w:r>
              <w:t>Greater clarity</w:t>
            </w:r>
          </w:p>
        </w:tc>
      </w:tr>
    </w:tbl>
    <w:p w14:paraId="2FCCC61C" w14:textId="77777777" w:rsidR="00713DD5" w:rsidRDefault="00713DD5" w:rsidP="001B6D20">
      <w:pPr>
        <w:pStyle w:val="Bullets"/>
        <w:numPr>
          <w:ilvl w:val="0"/>
          <w:numId w:val="0"/>
        </w:numPr>
        <w:spacing w:before="120" w:line="240" w:lineRule="auto"/>
        <w:rPr>
          <w:b/>
          <w:bCs/>
          <w:sz w:val="20"/>
          <w:szCs w:val="20"/>
        </w:rPr>
      </w:pPr>
    </w:p>
    <w:sectPr w:rsidR="00713DD5" w:rsidSect="00370EEB">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C196" w14:textId="77777777" w:rsidR="003C1FF2" w:rsidRDefault="003C1FF2" w:rsidP="00446BEE">
      <w:r>
        <w:separator/>
      </w:r>
    </w:p>
  </w:endnote>
  <w:endnote w:type="continuationSeparator" w:id="0">
    <w:p w14:paraId="515DE511" w14:textId="77777777" w:rsidR="003C1FF2" w:rsidRDefault="003C1FF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524289"/>
      <w:docPartObj>
        <w:docPartGallery w:val="Page Numbers (Bottom of Page)"/>
        <w:docPartUnique/>
      </w:docPartObj>
    </w:sdtPr>
    <w:sdtEndPr>
      <w:rPr>
        <w:noProof/>
      </w:rPr>
    </w:sdtEndPr>
    <w:sdtContent>
      <w:p w14:paraId="2CA05533" w14:textId="77777777" w:rsidR="00C63FCE" w:rsidRDefault="00C63FCE" w:rsidP="00C63FCE">
        <w:pPr>
          <w:pStyle w:val="Footer"/>
        </w:pPr>
      </w:p>
      <w:p w14:paraId="1DF150E8" w14:textId="77777777" w:rsidR="00C63FCE" w:rsidRPr="00476D0E" w:rsidRDefault="00C63FCE" w:rsidP="00C63FCE">
        <w:pPr>
          <w:pStyle w:val="Footer"/>
          <w:rPr>
            <w:rFonts w:cs="Arial"/>
            <w:sz w:val="16"/>
            <w:szCs w:val="16"/>
          </w:rPr>
        </w:pPr>
        <w:r w:rsidRPr="00476D0E">
          <w:rPr>
            <w:rFonts w:cs="Arial"/>
            <w:sz w:val="16"/>
            <w:szCs w:val="16"/>
          </w:rPr>
          <w:t xml:space="preserve">National Institute for Health and </w:t>
        </w:r>
        <w:r>
          <w:rPr>
            <w:rFonts w:cs="Arial"/>
            <w:sz w:val="16"/>
            <w:szCs w:val="16"/>
          </w:rPr>
          <w:t>Care</w:t>
        </w:r>
        <w:r w:rsidRPr="00476D0E">
          <w:rPr>
            <w:rFonts w:cs="Arial"/>
            <w:sz w:val="16"/>
            <w:szCs w:val="16"/>
          </w:rPr>
          <w:t xml:space="preserve"> Excellence</w:t>
        </w:r>
        <w:r w:rsidR="004500B4">
          <w:rPr>
            <w:rFonts w:cs="Arial"/>
            <w:sz w:val="16"/>
            <w:szCs w:val="16"/>
          </w:rPr>
          <w:tab/>
        </w:r>
        <w:r>
          <w:rPr>
            <w:rFonts w:cs="Arial"/>
            <w:sz w:val="16"/>
            <w:szCs w:val="16"/>
          </w:rPr>
          <w:tab/>
          <w:t xml:space="preserve">Page </w:t>
        </w:r>
        <w:r w:rsidRPr="006604D1">
          <w:rPr>
            <w:rStyle w:val="PageNumber"/>
            <w:rFonts w:cs="Arial"/>
            <w:sz w:val="16"/>
          </w:rPr>
          <w:fldChar w:fldCharType="begin"/>
        </w:r>
        <w:r w:rsidRPr="006604D1">
          <w:rPr>
            <w:rStyle w:val="PageNumber"/>
            <w:rFonts w:cs="Arial"/>
            <w:sz w:val="16"/>
          </w:rPr>
          <w:instrText xml:space="preserve"> PAGE </w:instrText>
        </w:r>
        <w:r w:rsidRPr="006604D1">
          <w:rPr>
            <w:rStyle w:val="PageNumber"/>
            <w:rFonts w:cs="Arial"/>
            <w:sz w:val="16"/>
          </w:rPr>
          <w:fldChar w:fldCharType="separate"/>
        </w:r>
        <w:r w:rsidR="00993591">
          <w:rPr>
            <w:rStyle w:val="PageNumber"/>
            <w:rFonts w:cs="Arial"/>
            <w:noProof/>
            <w:sz w:val="16"/>
          </w:rPr>
          <w:t>6</w:t>
        </w:r>
        <w:r w:rsidRPr="006604D1">
          <w:rPr>
            <w:rStyle w:val="PageNumber"/>
            <w:rFonts w:cs="Arial"/>
            <w:sz w:val="16"/>
          </w:rPr>
          <w:fldChar w:fldCharType="end"/>
        </w:r>
        <w:r w:rsidRPr="006604D1">
          <w:rPr>
            <w:rStyle w:val="PageNumber"/>
            <w:rFonts w:cs="Arial"/>
            <w:sz w:val="16"/>
          </w:rPr>
          <w:t xml:space="preserve"> of </w:t>
        </w:r>
        <w:r w:rsidRPr="006604D1">
          <w:rPr>
            <w:rStyle w:val="PageNumber"/>
            <w:rFonts w:cs="Arial"/>
            <w:sz w:val="16"/>
          </w:rPr>
          <w:fldChar w:fldCharType="begin"/>
        </w:r>
        <w:r w:rsidRPr="006604D1">
          <w:rPr>
            <w:rStyle w:val="PageNumber"/>
            <w:rFonts w:cs="Arial"/>
            <w:sz w:val="16"/>
          </w:rPr>
          <w:instrText xml:space="preserve"> NUMPAGES </w:instrText>
        </w:r>
        <w:r w:rsidRPr="006604D1">
          <w:rPr>
            <w:rStyle w:val="PageNumber"/>
            <w:rFonts w:cs="Arial"/>
            <w:sz w:val="16"/>
          </w:rPr>
          <w:fldChar w:fldCharType="separate"/>
        </w:r>
        <w:r w:rsidR="00993591">
          <w:rPr>
            <w:rStyle w:val="PageNumber"/>
            <w:rFonts w:cs="Arial"/>
            <w:noProof/>
            <w:sz w:val="16"/>
          </w:rPr>
          <w:t>6</w:t>
        </w:r>
        <w:r w:rsidRPr="006604D1">
          <w:rPr>
            <w:rStyle w:val="PageNumber"/>
            <w:rFonts w:cs="Arial"/>
            <w:sz w:val="16"/>
          </w:rPr>
          <w:fldChar w:fldCharType="end"/>
        </w:r>
        <w:r w:rsidRPr="00476D0E">
          <w:rPr>
            <w:rFonts w:cs="Arial"/>
            <w:sz w:val="16"/>
            <w:szCs w:val="16"/>
          </w:rPr>
          <w:t xml:space="preserve">  </w:t>
        </w:r>
      </w:p>
      <w:p w14:paraId="4DB9A3C8" w14:textId="0DD94683" w:rsidR="00C63FCE" w:rsidRPr="00476D0E" w:rsidRDefault="00D47D37" w:rsidP="00C63FCE">
        <w:pPr>
          <w:pStyle w:val="Footer"/>
          <w:rPr>
            <w:rFonts w:cs="Arial"/>
            <w:sz w:val="16"/>
            <w:szCs w:val="16"/>
          </w:rPr>
        </w:pPr>
        <w:r>
          <w:rPr>
            <w:rFonts w:cs="Arial"/>
            <w:sz w:val="16"/>
            <w:szCs w:val="16"/>
          </w:rPr>
          <w:t>Revisions to S</w:t>
        </w:r>
        <w:r w:rsidR="003C6691">
          <w:rPr>
            <w:rFonts w:cs="Arial"/>
            <w:sz w:val="16"/>
            <w:szCs w:val="16"/>
          </w:rPr>
          <w:t xml:space="preserve">O </w:t>
        </w:r>
        <w:r w:rsidR="002766F3">
          <w:rPr>
            <w:rFonts w:cs="Arial"/>
            <w:sz w:val="16"/>
            <w:szCs w:val="16"/>
          </w:rPr>
          <w:t>and SFI</w:t>
        </w:r>
      </w:p>
      <w:p w14:paraId="65CCFEC7" w14:textId="59523C64" w:rsidR="00446BEE" w:rsidRPr="00C63FCE" w:rsidRDefault="00C63FCE">
        <w:pPr>
          <w:pStyle w:val="Footer"/>
          <w:rPr>
            <w:rFonts w:cs="Arial"/>
            <w:sz w:val="16"/>
            <w:szCs w:val="16"/>
          </w:rPr>
        </w:pPr>
        <w:r>
          <w:rPr>
            <w:rFonts w:cs="Arial"/>
            <w:sz w:val="16"/>
            <w:szCs w:val="16"/>
          </w:rPr>
          <w:t xml:space="preserve">Date: </w:t>
        </w:r>
        <w:r w:rsidR="00C717E2">
          <w:rPr>
            <w:rFonts w:cs="Arial"/>
            <w:sz w:val="16"/>
            <w:szCs w:val="16"/>
          </w:rPr>
          <w:t>17 Nov</w:t>
        </w:r>
        <w:r w:rsidR="00DD0048">
          <w:rPr>
            <w:rFonts w:cs="Arial"/>
            <w:sz w:val="16"/>
            <w:szCs w:val="16"/>
          </w:rPr>
          <w:t>ember</w:t>
        </w:r>
        <w:r w:rsidR="00285F09">
          <w:rPr>
            <w:rFonts w:cs="Arial"/>
            <w:sz w:val="16"/>
            <w:szCs w:val="16"/>
          </w:rPr>
          <w:t xml:space="preserve"> </w:t>
        </w:r>
        <w:r w:rsidR="00254FFE">
          <w:rPr>
            <w:rFonts w:cs="Arial"/>
            <w:sz w:val="16"/>
            <w:szCs w:val="16"/>
          </w:rPr>
          <w:t>20</w:t>
        </w:r>
        <w:r w:rsidR="00C171B1">
          <w:rPr>
            <w:rFonts w:cs="Arial"/>
            <w:sz w:val="16"/>
            <w:szCs w:val="16"/>
          </w:rPr>
          <w:t>2</w:t>
        </w:r>
        <w:r w:rsidR="00090AA4">
          <w:rPr>
            <w:rFonts w:cs="Arial"/>
            <w:sz w:val="16"/>
            <w:szCs w:val="16"/>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899474"/>
      <w:docPartObj>
        <w:docPartGallery w:val="Page Numbers (Bottom of Page)"/>
        <w:docPartUnique/>
      </w:docPartObj>
    </w:sdtPr>
    <w:sdtEndPr>
      <w:rPr>
        <w:noProof/>
      </w:rPr>
    </w:sdtEndPr>
    <w:sdtContent>
      <w:p w14:paraId="4485182C" w14:textId="4DBE385B" w:rsidR="0075573E" w:rsidRDefault="007557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6E8DF9" w14:textId="6FFC7E45" w:rsidR="00FA108A" w:rsidRPr="00C63FCE" w:rsidRDefault="00FA108A" w:rsidP="00FA108A">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EEE2" w14:textId="77777777" w:rsidR="003C1FF2" w:rsidRDefault="003C1FF2" w:rsidP="00446BEE">
      <w:r>
        <w:separator/>
      </w:r>
    </w:p>
  </w:footnote>
  <w:footnote w:type="continuationSeparator" w:id="0">
    <w:p w14:paraId="1957F75B" w14:textId="77777777" w:rsidR="003C1FF2" w:rsidRDefault="003C1FF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71A3" w14:textId="4BFDC4CE" w:rsidR="003C1FF2" w:rsidRDefault="003C1FF2">
    <w:pPr>
      <w:pStyle w:val="Header"/>
      <w:rPr>
        <w:b/>
      </w:rPr>
    </w:pPr>
    <w:r w:rsidRPr="003C1FF2">
      <w:rPr>
        <w:noProof/>
      </w:rPr>
      <w:drawing>
        <wp:inline distT="0" distB="0" distL="0" distR="0" wp14:anchorId="4B11A574" wp14:editId="6FE00C2C">
          <wp:extent cx="2899068" cy="51435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460" cy="532161"/>
                  </a:xfrm>
                  <a:prstGeom prst="rect">
                    <a:avLst/>
                  </a:prstGeom>
                  <a:noFill/>
                  <a:ln>
                    <a:noFill/>
                  </a:ln>
                </pic:spPr>
              </pic:pic>
            </a:graphicData>
          </a:graphic>
        </wp:inline>
      </w:drawing>
    </w:r>
  </w:p>
  <w:p w14:paraId="7E7B42BE" w14:textId="77777777" w:rsidR="00B458C6" w:rsidRDefault="00B45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9E3A" w14:textId="198A7C3C" w:rsidR="00FA108A" w:rsidRDefault="00FA108A">
    <w:pPr>
      <w:pStyle w:val="Header"/>
    </w:pPr>
    <w:r w:rsidRPr="003C1FF2">
      <w:rPr>
        <w:noProof/>
      </w:rPr>
      <w:drawing>
        <wp:inline distT="0" distB="0" distL="0" distR="0" wp14:anchorId="055EE211" wp14:editId="013FDA0A">
          <wp:extent cx="2899068" cy="5143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460" cy="532161"/>
                  </a:xfrm>
                  <a:prstGeom prst="rect">
                    <a:avLst/>
                  </a:prstGeom>
                  <a:noFill/>
                  <a:ln>
                    <a:noFill/>
                  </a:ln>
                </pic:spPr>
              </pic:pic>
            </a:graphicData>
          </a:graphic>
        </wp:inline>
      </w:drawing>
    </w:r>
    <w:r w:rsidRPr="00FA108A">
      <w:rPr>
        <w:b/>
      </w:rPr>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FF5233"/>
    <w:multiLevelType w:val="hybridMultilevel"/>
    <w:tmpl w:val="71229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571922"/>
    <w:multiLevelType w:val="hybridMultilevel"/>
    <w:tmpl w:val="E00EF9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07DE076E"/>
    <w:multiLevelType w:val="hybridMultilevel"/>
    <w:tmpl w:val="B9406D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0F0D26C5"/>
    <w:multiLevelType w:val="hybridMultilevel"/>
    <w:tmpl w:val="982A09BC"/>
    <w:lvl w:ilvl="0" w:tplc="6138FAE0">
      <w:start w:val="28"/>
      <w:numFmt w:val="decimal"/>
      <w:lvlText w:val="%1"/>
      <w:lvlJc w:val="left"/>
      <w:pPr>
        <w:ind w:left="10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A22F3B"/>
    <w:multiLevelType w:val="hybridMultilevel"/>
    <w:tmpl w:val="3870865C"/>
    <w:lvl w:ilvl="0" w:tplc="DA767392">
      <w:start w:val="12"/>
      <w:numFmt w:val="decimal"/>
      <w:lvlText w:val="%1"/>
      <w:lvlJc w:val="left"/>
      <w:pPr>
        <w:ind w:left="786" w:hanging="360"/>
      </w:pPr>
      <w:rPr>
        <w:rFonts w:hint="default"/>
        <w:b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73C5D"/>
    <w:multiLevelType w:val="hybridMultilevel"/>
    <w:tmpl w:val="47B08E96"/>
    <w:lvl w:ilvl="0" w:tplc="B90ECB56">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50C61"/>
    <w:multiLevelType w:val="hybridMultilevel"/>
    <w:tmpl w:val="1AB04F2A"/>
    <w:lvl w:ilvl="0" w:tplc="2A5EDDA6">
      <w:start w:val="1"/>
      <w:numFmt w:val="decimal"/>
      <w:lvlText w:val="%1"/>
      <w:lvlJc w:val="left"/>
      <w:pPr>
        <w:ind w:left="786" w:hanging="360"/>
      </w:pPr>
      <w:rPr>
        <w:rFonts w:hint="default"/>
        <w:b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15FC6"/>
    <w:multiLevelType w:val="multilevel"/>
    <w:tmpl w:val="91DC08B2"/>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607268"/>
    <w:multiLevelType w:val="hybridMultilevel"/>
    <w:tmpl w:val="47B08E96"/>
    <w:lvl w:ilvl="0" w:tplc="B90ECB56">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152B82"/>
    <w:multiLevelType w:val="hybridMultilevel"/>
    <w:tmpl w:val="AC06D58C"/>
    <w:lvl w:ilvl="0" w:tplc="485C4C5A">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27182"/>
    <w:multiLevelType w:val="hybridMultilevel"/>
    <w:tmpl w:val="88A20EB4"/>
    <w:lvl w:ilvl="0" w:tplc="7EAA9D28">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62AC4"/>
    <w:multiLevelType w:val="hybridMultilevel"/>
    <w:tmpl w:val="D0EC7964"/>
    <w:lvl w:ilvl="0" w:tplc="FB045D48">
      <w:start w:val="1"/>
      <w:numFmt w:val="bullet"/>
      <w:lvlText w:val=""/>
      <w:lvlJc w:val="left"/>
      <w:pPr>
        <w:ind w:left="1080" w:hanging="108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39777B"/>
    <w:multiLevelType w:val="hybridMultilevel"/>
    <w:tmpl w:val="EE6EB7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3E3DDB"/>
    <w:multiLevelType w:val="hybridMultilevel"/>
    <w:tmpl w:val="767A8CC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5B72FA"/>
    <w:multiLevelType w:val="hybridMultilevel"/>
    <w:tmpl w:val="4CA24A00"/>
    <w:lvl w:ilvl="0" w:tplc="08090019">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9" w15:restartNumberingAfterBreak="0">
    <w:nsid w:val="64A9038B"/>
    <w:multiLevelType w:val="hybridMultilevel"/>
    <w:tmpl w:val="12800D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7545D3F"/>
    <w:multiLevelType w:val="hybridMultilevel"/>
    <w:tmpl w:val="075CCC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458DE"/>
    <w:multiLevelType w:val="hybridMultilevel"/>
    <w:tmpl w:val="E33AAE6C"/>
    <w:lvl w:ilvl="0" w:tplc="63867B20">
      <w:start w:val="20"/>
      <w:numFmt w:val="decimal"/>
      <w:lvlText w:val="%1"/>
      <w:lvlJc w:val="left"/>
      <w:pPr>
        <w:ind w:left="1086" w:hanging="360"/>
      </w:pPr>
      <w:rPr>
        <w:rFonts w:hint="default"/>
        <w:color w:val="000000"/>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num w:numId="1">
    <w:abstractNumId w:val="27"/>
  </w:num>
  <w:num w:numId="2">
    <w:abstractNumId w:val="31"/>
  </w:num>
  <w:num w:numId="3">
    <w:abstractNumId w:val="31"/>
    <w:lvlOverride w:ilvl="0">
      <w:startOverride w:val="1"/>
    </w:lvlOverride>
  </w:num>
  <w:num w:numId="4">
    <w:abstractNumId w:val="31"/>
    <w:lvlOverride w:ilvl="0">
      <w:startOverride w:val="1"/>
    </w:lvlOverride>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5"/>
  </w:num>
  <w:num w:numId="21">
    <w:abstractNumId w:val="18"/>
  </w:num>
  <w:num w:numId="22">
    <w:abstractNumId w:val="21"/>
  </w:num>
  <w:num w:numId="23">
    <w:abstractNumId w:val="12"/>
  </w:num>
  <w:num w:numId="24">
    <w:abstractNumId w:val="19"/>
  </w:num>
  <w:num w:numId="25">
    <w:abstractNumId w:val="24"/>
  </w:num>
  <w:num w:numId="26">
    <w:abstractNumId w:val="23"/>
  </w:num>
  <w:num w:numId="27">
    <w:abstractNumId w:val="32"/>
  </w:num>
  <w:num w:numId="28">
    <w:abstractNumId w:val="26"/>
  </w:num>
  <w:num w:numId="29">
    <w:abstractNumId w:val="16"/>
  </w:num>
  <w:num w:numId="30">
    <w:abstractNumId w:val="14"/>
  </w:num>
  <w:num w:numId="31">
    <w:abstractNumId w:val="22"/>
  </w:num>
  <w:num w:numId="32">
    <w:abstractNumId w:val="28"/>
  </w:num>
  <w:num w:numId="33">
    <w:abstractNumId w:val="10"/>
  </w:num>
  <w:num w:numId="34">
    <w:abstractNumId w:val="25"/>
  </w:num>
  <w:num w:numId="35">
    <w:abstractNumId w:val="20"/>
  </w:num>
  <w:num w:numId="36">
    <w:abstractNumId w:val="30"/>
  </w:num>
  <w:num w:numId="37">
    <w:abstractNumId w:val="29"/>
  </w:num>
  <w:num w:numId="38">
    <w:abstractNumId w:val="1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F2"/>
    <w:rsid w:val="00003150"/>
    <w:rsid w:val="000032A5"/>
    <w:rsid w:val="000053F8"/>
    <w:rsid w:val="000067ED"/>
    <w:rsid w:val="00012E07"/>
    <w:rsid w:val="00017CD9"/>
    <w:rsid w:val="0002215B"/>
    <w:rsid w:val="00024D0A"/>
    <w:rsid w:val="00027686"/>
    <w:rsid w:val="00030063"/>
    <w:rsid w:val="0003090D"/>
    <w:rsid w:val="00032301"/>
    <w:rsid w:val="00036054"/>
    <w:rsid w:val="00041626"/>
    <w:rsid w:val="00047151"/>
    <w:rsid w:val="000472DC"/>
    <w:rsid w:val="00070065"/>
    <w:rsid w:val="00073DB9"/>
    <w:rsid w:val="00074867"/>
    <w:rsid w:val="00074DA1"/>
    <w:rsid w:val="00085A06"/>
    <w:rsid w:val="00090AA4"/>
    <w:rsid w:val="000913F0"/>
    <w:rsid w:val="00096ACC"/>
    <w:rsid w:val="000A4417"/>
    <w:rsid w:val="000A4FEE"/>
    <w:rsid w:val="000A5F4F"/>
    <w:rsid w:val="000A7813"/>
    <w:rsid w:val="000B5939"/>
    <w:rsid w:val="000B64D6"/>
    <w:rsid w:val="000C32CC"/>
    <w:rsid w:val="000C4C31"/>
    <w:rsid w:val="000C509B"/>
    <w:rsid w:val="000C6E7A"/>
    <w:rsid w:val="000D266E"/>
    <w:rsid w:val="000D31CA"/>
    <w:rsid w:val="000D4EB4"/>
    <w:rsid w:val="000E1EE9"/>
    <w:rsid w:val="000E31B0"/>
    <w:rsid w:val="000E3CFE"/>
    <w:rsid w:val="000E42DF"/>
    <w:rsid w:val="000E50D3"/>
    <w:rsid w:val="000E72F5"/>
    <w:rsid w:val="000F105E"/>
    <w:rsid w:val="000F6BE9"/>
    <w:rsid w:val="00104D1F"/>
    <w:rsid w:val="00106820"/>
    <w:rsid w:val="001068D0"/>
    <w:rsid w:val="00111CCE"/>
    <w:rsid w:val="00112EC0"/>
    <w:rsid w:val="001134E7"/>
    <w:rsid w:val="00117053"/>
    <w:rsid w:val="00121AAB"/>
    <w:rsid w:val="001240BC"/>
    <w:rsid w:val="00124AC4"/>
    <w:rsid w:val="00125844"/>
    <w:rsid w:val="00127627"/>
    <w:rsid w:val="0012780E"/>
    <w:rsid w:val="001303BA"/>
    <w:rsid w:val="00134BAC"/>
    <w:rsid w:val="001363BD"/>
    <w:rsid w:val="001377F4"/>
    <w:rsid w:val="00140F95"/>
    <w:rsid w:val="00142915"/>
    <w:rsid w:val="001501D3"/>
    <w:rsid w:val="0015100D"/>
    <w:rsid w:val="00160449"/>
    <w:rsid w:val="00163E3B"/>
    <w:rsid w:val="001673E9"/>
    <w:rsid w:val="0017115F"/>
    <w:rsid w:val="0017149E"/>
    <w:rsid w:val="0017169E"/>
    <w:rsid w:val="00181A4A"/>
    <w:rsid w:val="00181C85"/>
    <w:rsid w:val="00191975"/>
    <w:rsid w:val="0019602F"/>
    <w:rsid w:val="001A1FEC"/>
    <w:rsid w:val="001A6F98"/>
    <w:rsid w:val="001B0EE9"/>
    <w:rsid w:val="001B14C2"/>
    <w:rsid w:val="001B20C2"/>
    <w:rsid w:val="001B2C97"/>
    <w:rsid w:val="001B3009"/>
    <w:rsid w:val="001B3C18"/>
    <w:rsid w:val="001B65B3"/>
    <w:rsid w:val="001B6D20"/>
    <w:rsid w:val="001B7BAE"/>
    <w:rsid w:val="001B7EE0"/>
    <w:rsid w:val="001C03FB"/>
    <w:rsid w:val="001C4E2D"/>
    <w:rsid w:val="001D301E"/>
    <w:rsid w:val="001D32AD"/>
    <w:rsid w:val="001D4CB1"/>
    <w:rsid w:val="001D5701"/>
    <w:rsid w:val="001E0E15"/>
    <w:rsid w:val="001E7A4B"/>
    <w:rsid w:val="001F1C95"/>
    <w:rsid w:val="001F3BEE"/>
    <w:rsid w:val="001F6D24"/>
    <w:rsid w:val="002029A6"/>
    <w:rsid w:val="0020445C"/>
    <w:rsid w:val="00204960"/>
    <w:rsid w:val="00205D7B"/>
    <w:rsid w:val="002203DB"/>
    <w:rsid w:val="00223330"/>
    <w:rsid w:val="002239BF"/>
    <w:rsid w:val="00236EDF"/>
    <w:rsid w:val="00237F43"/>
    <w:rsid w:val="002408EA"/>
    <w:rsid w:val="002420C7"/>
    <w:rsid w:val="00245E26"/>
    <w:rsid w:val="00246821"/>
    <w:rsid w:val="0025164F"/>
    <w:rsid w:val="00253F58"/>
    <w:rsid w:val="00254FFE"/>
    <w:rsid w:val="00256CB4"/>
    <w:rsid w:val="00256DC7"/>
    <w:rsid w:val="00271817"/>
    <w:rsid w:val="002766F3"/>
    <w:rsid w:val="0028033F"/>
    <w:rsid w:val="002819D7"/>
    <w:rsid w:val="00285F09"/>
    <w:rsid w:val="00286D28"/>
    <w:rsid w:val="002971D1"/>
    <w:rsid w:val="002972A8"/>
    <w:rsid w:val="00297764"/>
    <w:rsid w:val="002A54DB"/>
    <w:rsid w:val="002A57C5"/>
    <w:rsid w:val="002A6703"/>
    <w:rsid w:val="002A6C14"/>
    <w:rsid w:val="002A6FE6"/>
    <w:rsid w:val="002B2264"/>
    <w:rsid w:val="002B40D8"/>
    <w:rsid w:val="002B4A91"/>
    <w:rsid w:val="002B555E"/>
    <w:rsid w:val="002B6731"/>
    <w:rsid w:val="002B7A6A"/>
    <w:rsid w:val="002C1A7E"/>
    <w:rsid w:val="002C4521"/>
    <w:rsid w:val="002D3376"/>
    <w:rsid w:val="002D3D17"/>
    <w:rsid w:val="002D5374"/>
    <w:rsid w:val="002E0DFD"/>
    <w:rsid w:val="002E345D"/>
    <w:rsid w:val="002E474D"/>
    <w:rsid w:val="002E5EA4"/>
    <w:rsid w:val="002F3703"/>
    <w:rsid w:val="002F4AB5"/>
    <w:rsid w:val="0030123D"/>
    <w:rsid w:val="00301CCB"/>
    <w:rsid w:val="00311ED0"/>
    <w:rsid w:val="0032622D"/>
    <w:rsid w:val="00337B5D"/>
    <w:rsid w:val="00353F46"/>
    <w:rsid w:val="00354007"/>
    <w:rsid w:val="00356799"/>
    <w:rsid w:val="00360703"/>
    <w:rsid w:val="003612BA"/>
    <w:rsid w:val="00364685"/>
    <w:rsid w:val="003648C5"/>
    <w:rsid w:val="00365371"/>
    <w:rsid w:val="003666BC"/>
    <w:rsid w:val="00370EEB"/>
    <w:rsid w:val="003722FA"/>
    <w:rsid w:val="00377669"/>
    <w:rsid w:val="00381063"/>
    <w:rsid w:val="00382C10"/>
    <w:rsid w:val="00383A58"/>
    <w:rsid w:val="003875BB"/>
    <w:rsid w:val="0039332B"/>
    <w:rsid w:val="00396365"/>
    <w:rsid w:val="00397598"/>
    <w:rsid w:val="003A1A9A"/>
    <w:rsid w:val="003A379D"/>
    <w:rsid w:val="003B15CA"/>
    <w:rsid w:val="003B6A08"/>
    <w:rsid w:val="003B71C9"/>
    <w:rsid w:val="003C0AD4"/>
    <w:rsid w:val="003C1FF2"/>
    <w:rsid w:val="003C3306"/>
    <w:rsid w:val="003C5189"/>
    <w:rsid w:val="003C6116"/>
    <w:rsid w:val="003C6691"/>
    <w:rsid w:val="003C6D75"/>
    <w:rsid w:val="003C7AAF"/>
    <w:rsid w:val="003D112F"/>
    <w:rsid w:val="003D713C"/>
    <w:rsid w:val="003D73C7"/>
    <w:rsid w:val="003E21F0"/>
    <w:rsid w:val="003E2635"/>
    <w:rsid w:val="003E5405"/>
    <w:rsid w:val="003F5639"/>
    <w:rsid w:val="00401153"/>
    <w:rsid w:val="00406A4A"/>
    <w:rsid w:val="004075B6"/>
    <w:rsid w:val="004107B5"/>
    <w:rsid w:val="0041219C"/>
    <w:rsid w:val="0041531F"/>
    <w:rsid w:val="00417D9E"/>
    <w:rsid w:val="00420952"/>
    <w:rsid w:val="0042201D"/>
    <w:rsid w:val="00423062"/>
    <w:rsid w:val="00425D9F"/>
    <w:rsid w:val="004306E1"/>
    <w:rsid w:val="00430A8A"/>
    <w:rsid w:val="0043158B"/>
    <w:rsid w:val="004327E4"/>
    <w:rsid w:val="00433E9D"/>
    <w:rsid w:val="00433EFF"/>
    <w:rsid w:val="00437599"/>
    <w:rsid w:val="0044041C"/>
    <w:rsid w:val="00442643"/>
    <w:rsid w:val="00443081"/>
    <w:rsid w:val="004436A3"/>
    <w:rsid w:val="00444578"/>
    <w:rsid w:val="004459C6"/>
    <w:rsid w:val="004469D2"/>
    <w:rsid w:val="00446BEE"/>
    <w:rsid w:val="00446D36"/>
    <w:rsid w:val="004500B4"/>
    <w:rsid w:val="004501C6"/>
    <w:rsid w:val="00450D30"/>
    <w:rsid w:val="004567B8"/>
    <w:rsid w:val="004664CA"/>
    <w:rsid w:val="00471888"/>
    <w:rsid w:val="00485B8F"/>
    <w:rsid w:val="00485E06"/>
    <w:rsid w:val="00494E3B"/>
    <w:rsid w:val="0049532B"/>
    <w:rsid w:val="0049595C"/>
    <w:rsid w:val="004965FB"/>
    <w:rsid w:val="004A21EE"/>
    <w:rsid w:val="004B0B59"/>
    <w:rsid w:val="004C539B"/>
    <w:rsid w:val="004D09BA"/>
    <w:rsid w:val="004D14DB"/>
    <w:rsid w:val="004D365E"/>
    <w:rsid w:val="004D4947"/>
    <w:rsid w:val="004D5AE8"/>
    <w:rsid w:val="004D795C"/>
    <w:rsid w:val="004E0819"/>
    <w:rsid w:val="004E1BB1"/>
    <w:rsid w:val="004E2DA2"/>
    <w:rsid w:val="004E40B0"/>
    <w:rsid w:val="004E6BCF"/>
    <w:rsid w:val="004F0BD5"/>
    <w:rsid w:val="004F21BC"/>
    <w:rsid w:val="004F4DBC"/>
    <w:rsid w:val="004F6A05"/>
    <w:rsid w:val="004F798A"/>
    <w:rsid w:val="00500E08"/>
    <w:rsid w:val="005025A1"/>
    <w:rsid w:val="00503C3F"/>
    <w:rsid w:val="00505FD1"/>
    <w:rsid w:val="00506652"/>
    <w:rsid w:val="0051081B"/>
    <w:rsid w:val="005112A6"/>
    <w:rsid w:val="00517B6E"/>
    <w:rsid w:val="00520BBA"/>
    <w:rsid w:val="005332E4"/>
    <w:rsid w:val="005360BD"/>
    <w:rsid w:val="0054011E"/>
    <w:rsid w:val="005403A9"/>
    <w:rsid w:val="00544D8D"/>
    <w:rsid w:val="005462D4"/>
    <w:rsid w:val="0054665D"/>
    <w:rsid w:val="00553D9E"/>
    <w:rsid w:val="00556F17"/>
    <w:rsid w:val="0055716B"/>
    <w:rsid w:val="00571540"/>
    <w:rsid w:val="00582D48"/>
    <w:rsid w:val="005838B0"/>
    <w:rsid w:val="00583B8D"/>
    <w:rsid w:val="00583F4C"/>
    <w:rsid w:val="00586E8A"/>
    <w:rsid w:val="005925B4"/>
    <w:rsid w:val="00594076"/>
    <w:rsid w:val="00595AF2"/>
    <w:rsid w:val="00596122"/>
    <w:rsid w:val="005A5915"/>
    <w:rsid w:val="005A7877"/>
    <w:rsid w:val="005C4A22"/>
    <w:rsid w:val="005D0CB1"/>
    <w:rsid w:val="005D54E6"/>
    <w:rsid w:val="005D7A03"/>
    <w:rsid w:val="005E5CAF"/>
    <w:rsid w:val="005F358B"/>
    <w:rsid w:val="005F4814"/>
    <w:rsid w:val="005F6C85"/>
    <w:rsid w:val="0060292F"/>
    <w:rsid w:val="00604730"/>
    <w:rsid w:val="00604A62"/>
    <w:rsid w:val="00605F12"/>
    <w:rsid w:val="00607302"/>
    <w:rsid w:val="00611F34"/>
    <w:rsid w:val="00613C51"/>
    <w:rsid w:val="00620C24"/>
    <w:rsid w:val="0062690B"/>
    <w:rsid w:val="00626CCB"/>
    <w:rsid w:val="00636057"/>
    <w:rsid w:val="00640D6E"/>
    <w:rsid w:val="006450C4"/>
    <w:rsid w:val="0065154D"/>
    <w:rsid w:val="00660F06"/>
    <w:rsid w:val="006638FA"/>
    <w:rsid w:val="00665256"/>
    <w:rsid w:val="00666320"/>
    <w:rsid w:val="00666F52"/>
    <w:rsid w:val="00674B05"/>
    <w:rsid w:val="00675EE1"/>
    <w:rsid w:val="006768E9"/>
    <w:rsid w:val="00677651"/>
    <w:rsid w:val="006800C7"/>
    <w:rsid w:val="00681A30"/>
    <w:rsid w:val="00684A9B"/>
    <w:rsid w:val="0069103D"/>
    <w:rsid w:val="00691A4E"/>
    <w:rsid w:val="006921E1"/>
    <w:rsid w:val="00695AB3"/>
    <w:rsid w:val="006963AD"/>
    <w:rsid w:val="006A16FF"/>
    <w:rsid w:val="006A1FFB"/>
    <w:rsid w:val="006B46A6"/>
    <w:rsid w:val="006B7039"/>
    <w:rsid w:val="006B7D77"/>
    <w:rsid w:val="006D037F"/>
    <w:rsid w:val="006D6BCB"/>
    <w:rsid w:val="006E0738"/>
    <w:rsid w:val="006F0B84"/>
    <w:rsid w:val="006F1A0B"/>
    <w:rsid w:val="006F2405"/>
    <w:rsid w:val="006F4B25"/>
    <w:rsid w:val="006F6496"/>
    <w:rsid w:val="006F657E"/>
    <w:rsid w:val="0070351C"/>
    <w:rsid w:val="00706EE8"/>
    <w:rsid w:val="007129E0"/>
    <w:rsid w:val="00713DD5"/>
    <w:rsid w:val="00714B4D"/>
    <w:rsid w:val="007177CA"/>
    <w:rsid w:val="00722DDB"/>
    <w:rsid w:val="00724677"/>
    <w:rsid w:val="00727875"/>
    <w:rsid w:val="00730501"/>
    <w:rsid w:val="007305CB"/>
    <w:rsid w:val="00736348"/>
    <w:rsid w:val="0074164F"/>
    <w:rsid w:val="00753927"/>
    <w:rsid w:val="0075573E"/>
    <w:rsid w:val="00756DB3"/>
    <w:rsid w:val="00760908"/>
    <w:rsid w:val="00766E54"/>
    <w:rsid w:val="0076708E"/>
    <w:rsid w:val="00767C6B"/>
    <w:rsid w:val="00773073"/>
    <w:rsid w:val="007824A0"/>
    <w:rsid w:val="00782F98"/>
    <w:rsid w:val="0078502E"/>
    <w:rsid w:val="007862BA"/>
    <w:rsid w:val="007916EF"/>
    <w:rsid w:val="00792033"/>
    <w:rsid w:val="007947CE"/>
    <w:rsid w:val="007968FD"/>
    <w:rsid w:val="007A12E1"/>
    <w:rsid w:val="007A44C5"/>
    <w:rsid w:val="007A4C41"/>
    <w:rsid w:val="007B243F"/>
    <w:rsid w:val="007B6083"/>
    <w:rsid w:val="007C0B9C"/>
    <w:rsid w:val="007C1F3A"/>
    <w:rsid w:val="007D106F"/>
    <w:rsid w:val="007D48B1"/>
    <w:rsid w:val="007D71C1"/>
    <w:rsid w:val="007F1277"/>
    <w:rsid w:val="007F238D"/>
    <w:rsid w:val="007F3421"/>
    <w:rsid w:val="007F5896"/>
    <w:rsid w:val="0080058A"/>
    <w:rsid w:val="00813F1D"/>
    <w:rsid w:val="00816893"/>
    <w:rsid w:val="00817841"/>
    <w:rsid w:val="0082742B"/>
    <w:rsid w:val="00833AA4"/>
    <w:rsid w:val="008349A7"/>
    <w:rsid w:val="00843DF9"/>
    <w:rsid w:val="0084725C"/>
    <w:rsid w:val="00852947"/>
    <w:rsid w:val="00853D1B"/>
    <w:rsid w:val="00854C6C"/>
    <w:rsid w:val="0085721E"/>
    <w:rsid w:val="00857CDB"/>
    <w:rsid w:val="00861B92"/>
    <w:rsid w:val="00863C71"/>
    <w:rsid w:val="0087724C"/>
    <w:rsid w:val="008779E0"/>
    <w:rsid w:val="008814FB"/>
    <w:rsid w:val="0088744D"/>
    <w:rsid w:val="00890F34"/>
    <w:rsid w:val="00896896"/>
    <w:rsid w:val="008A52A3"/>
    <w:rsid w:val="008B1570"/>
    <w:rsid w:val="008C0FDC"/>
    <w:rsid w:val="008C2164"/>
    <w:rsid w:val="008C5428"/>
    <w:rsid w:val="008C57F3"/>
    <w:rsid w:val="008C6A5D"/>
    <w:rsid w:val="008D5ED6"/>
    <w:rsid w:val="008E197A"/>
    <w:rsid w:val="008E3E0C"/>
    <w:rsid w:val="008E417B"/>
    <w:rsid w:val="008E43C3"/>
    <w:rsid w:val="008F1FE8"/>
    <w:rsid w:val="008F3D7F"/>
    <w:rsid w:val="008F448D"/>
    <w:rsid w:val="008F486D"/>
    <w:rsid w:val="008F4DC3"/>
    <w:rsid w:val="008F5E30"/>
    <w:rsid w:val="00901720"/>
    <w:rsid w:val="00907ACE"/>
    <w:rsid w:val="00910F7B"/>
    <w:rsid w:val="00911764"/>
    <w:rsid w:val="00912EDE"/>
    <w:rsid w:val="0091364C"/>
    <w:rsid w:val="00914D7F"/>
    <w:rsid w:val="00920423"/>
    <w:rsid w:val="00920BAD"/>
    <w:rsid w:val="00921CC5"/>
    <w:rsid w:val="00922B72"/>
    <w:rsid w:val="0092492A"/>
    <w:rsid w:val="009253D6"/>
    <w:rsid w:val="00925AE6"/>
    <w:rsid w:val="00925E6B"/>
    <w:rsid w:val="009453E0"/>
    <w:rsid w:val="00950D73"/>
    <w:rsid w:val="009537D8"/>
    <w:rsid w:val="009538E3"/>
    <w:rsid w:val="00953954"/>
    <w:rsid w:val="00961BD3"/>
    <w:rsid w:val="00962756"/>
    <w:rsid w:val="009630C8"/>
    <w:rsid w:val="0096321F"/>
    <w:rsid w:val="00974AD2"/>
    <w:rsid w:val="00975882"/>
    <w:rsid w:val="0098402F"/>
    <w:rsid w:val="00984186"/>
    <w:rsid w:val="0098547B"/>
    <w:rsid w:val="00986E34"/>
    <w:rsid w:val="00992438"/>
    <w:rsid w:val="00993591"/>
    <w:rsid w:val="00997EA5"/>
    <w:rsid w:val="009A1557"/>
    <w:rsid w:val="009A4FDA"/>
    <w:rsid w:val="009A5502"/>
    <w:rsid w:val="009A5B0D"/>
    <w:rsid w:val="009A605B"/>
    <w:rsid w:val="009A7E58"/>
    <w:rsid w:val="009B7B88"/>
    <w:rsid w:val="009C1741"/>
    <w:rsid w:val="009C281E"/>
    <w:rsid w:val="009C4DD1"/>
    <w:rsid w:val="009C5043"/>
    <w:rsid w:val="009C57FB"/>
    <w:rsid w:val="009C67D2"/>
    <w:rsid w:val="009D2B5E"/>
    <w:rsid w:val="009D3893"/>
    <w:rsid w:val="009D4D15"/>
    <w:rsid w:val="009D76DE"/>
    <w:rsid w:val="009E177E"/>
    <w:rsid w:val="009E212E"/>
    <w:rsid w:val="009E3219"/>
    <w:rsid w:val="009E680B"/>
    <w:rsid w:val="00A005BE"/>
    <w:rsid w:val="00A14459"/>
    <w:rsid w:val="00A15A1F"/>
    <w:rsid w:val="00A1627A"/>
    <w:rsid w:val="00A262BD"/>
    <w:rsid w:val="00A26C02"/>
    <w:rsid w:val="00A275B9"/>
    <w:rsid w:val="00A3099B"/>
    <w:rsid w:val="00A31F30"/>
    <w:rsid w:val="00A3325A"/>
    <w:rsid w:val="00A35E47"/>
    <w:rsid w:val="00A36566"/>
    <w:rsid w:val="00A37D31"/>
    <w:rsid w:val="00A43013"/>
    <w:rsid w:val="00A473FB"/>
    <w:rsid w:val="00A56122"/>
    <w:rsid w:val="00A5635C"/>
    <w:rsid w:val="00A62152"/>
    <w:rsid w:val="00A6740A"/>
    <w:rsid w:val="00A7061E"/>
    <w:rsid w:val="00A72036"/>
    <w:rsid w:val="00A8656E"/>
    <w:rsid w:val="00A9798F"/>
    <w:rsid w:val="00A97DB6"/>
    <w:rsid w:val="00AA3BB2"/>
    <w:rsid w:val="00AA5502"/>
    <w:rsid w:val="00AC00BF"/>
    <w:rsid w:val="00AC5B0D"/>
    <w:rsid w:val="00AC76B6"/>
    <w:rsid w:val="00AD6A01"/>
    <w:rsid w:val="00AE0144"/>
    <w:rsid w:val="00AE2FE2"/>
    <w:rsid w:val="00AF108A"/>
    <w:rsid w:val="00AF3BD5"/>
    <w:rsid w:val="00AF572C"/>
    <w:rsid w:val="00B01FA3"/>
    <w:rsid w:val="00B0261D"/>
    <w:rsid w:val="00B02CC4"/>
    <w:rsid w:val="00B02E55"/>
    <w:rsid w:val="00B036C1"/>
    <w:rsid w:val="00B06DE5"/>
    <w:rsid w:val="00B14F92"/>
    <w:rsid w:val="00B150C3"/>
    <w:rsid w:val="00B213F3"/>
    <w:rsid w:val="00B21FF3"/>
    <w:rsid w:val="00B24BBB"/>
    <w:rsid w:val="00B26933"/>
    <w:rsid w:val="00B310B1"/>
    <w:rsid w:val="00B3140D"/>
    <w:rsid w:val="00B34ED9"/>
    <w:rsid w:val="00B367DD"/>
    <w:rsid w:val="00B379D5"/>
    <w:rsid w:val="00B37CAB"/>
    <w:rsid w:val="00B40915"/>
    <w:rsid w:val="00B458C6"/>
    <w:rsid w:val="00B467A6"/>
    <w:rsid w:val="00B4696A"/>
    <w:rsid w:val="00B47E5C"/>
    <w:rsid w:val="00B5004D"/>
    <w:rsid w:val="00B507C9"/>
    <w:rsid w:val="00B5431F"/>
    <w:rsid w:val="00B56251"/>
    <w:rsid w:val="00B5668F"/>
    <w:rsid w:val="00B6409F"/>
    <w:rsid w:val="00B717EF"/>
    <w:rsid w:val="00B7727A"/>
    <w:rsid w:val="00B8128E"/>
    <w:rsid w:val="00B81C24"/>
    <w:rsid w:val="00B913EF"/>
    <w:rsid w:val="00B91EF6"/>
    <w:rsid w:val="00B94F7E"/>
    <w:rsid w:val="00BA15CA"/>
    <w:rsid w:val="00BA3928"/>
    <w:rsid w:val="00BA5701"/>
    <w:rsid w:val="00BA6D51"/>
    <w:rsid w:val="00BB13B5"/>
    <w:rsid w:val="00BB2C91"/>
    <w:rsid w:val="00BB54FD"/>
    <w:rsid w:val="00BB5BE2"/>
    <w:rsid w:val="00BB75B9"/>
    <w:rsid w:val="00BC0173"/>
    <w:rsid w:val="00BC4FA2"/>
    <w:rsid w:val="00BC5326"/>
    <w:rsid w:val="00BD562B"/>
    <w:rsid w:val="00BD5C83"/>
    <w:rsid w:val="00BD6D88"/>
    <w:rsid w:val="00BE34C5"/>
    <w:rsid w:val="00BF03E0"/>
    <w:rsid w:val="00BF1392"/>
    <w:rsid w:val="00BF2A93"/>
    <w:rsid w:val="00BF6B2C"/>
    <w:rsid w:val="00BF6D30"/>
    <w:rsid w:val="00BF7FE0"/>
    <w:rsid w:val="00C00773"/>
    <w:rsid w:val="00C12F14"/>
    <w:rsid w:val="00C15F7F"/>
    <w:rsid w:val="00C171B1"/>
    <w:rsid w:val="00C22DBA"/>
    <w:rsid w:val="00C31271"/>
    <w:rsid w:val="00C32602"/>
    <w:rsid w:val="00C33F82"/>
    <w:rsid w:val="00C36544"/>
    <w:rsid w:val="00C42390"/>
    <w:rsid w:val="00C426A1"/>
    <w:rsid w:val="00C5116A"/>
    <w:rsid w:val="00C636C9"/>
    <w:rsid w:val="00C63A77"/>
    <w:rsid w:val="00C63FCE"/>
    <w:rsid w:val="00C656CF"/>
    <w:rsid w:val="00C66266"/>
    <w:rsid w:val="00C717E2"/>
    <w:rsid w:val="00C74ABD"/>
    <w:rsid w:val="00C76640"/>
    <w:rsid w:val="00C81104"/>
    <w:rsid w:val="00C8560D"/>
    <w:rsid w:val="00C93826"/>
    <w:rsid w:val="00C96411"/>
    <w:rsid w:val="00CA09AC"/>
    <w:rsid w:val="00CA24F2"/>
    <w:rsid w:val="00CA6C9F"/>
    <w:rsid w:val="00CA6D50"/>
    <w:rsid w:val="00CA7FC4"/>
    <w:rsid w:val="00CB114A"/>
    <w:rsid w:val="00CB172B"/>
    <w:rsid w:val="00CB4C8F"/>
    <w:rsid w:val="00CB5671"/>
    <w:rsid w:val="00CB56EE"/>
    <w:rsid w:val="00CC315F"/>
    <w:rsid w:val="00CC4193"/>
    <w:rsid w:val="00CD2C39"/>
    <w:rsid w:val="00CD494B"/>
    <w:rsid w:val="00CD6B0B"/>
    <w:rsid w:val="00CD74E1"/>
    <w:rsid w:val="00CF014E"/>
    <w:rsid w:val="00CF19EE"/>
    <w:rsid w:val="00CF284C"/>
    <w:rsid w:val="00CF58B7"/>
    <w:rsid w:val="00D01118"/>
    <w:rsid w:val="00D0217E"/>
    <w:rsid w:val="00D04471"/>
    <w:rsid w:val="00D07801"/>
    <w:rsid w:val="00D106AB"/>
    <w:rsid w:val="00D160F2"/>
    <w:rsid w:val="00D20613"/>
    <w:rsid w:val="00D21CA1"/>
    <w:rsid w:val="00D23BE3"/>
    <w:rsid w:val="00D315AC"/>
    <w:rsid w:val="00D345C9"/>
    <w:rsid w:val="00D34C62"/>
    <w:rsid w:val="00D351C1"/>
    <w:rsid w:val="00D35223"/>
    <w:rsid w:val="00D35EFB"/>
    <w:rsid w:val="00D374B7"/>
    <w:rsid w:val="00D446D1"/>
    <w:rsid w:val="00D45B5A"/>
    <w:rsid w:val="00D47D37"/>
    <w:rsid w:val="00D504B3"/>
    <w:rsid w:val="00D5641B"/>
    <w:rsid w:val="00D60B69"/>
    <w:rsid w:val="00D6398C"/>
    <w:rsid w:val="00D727EB"/>
    <w:rsid w:val="00D824D4"/>
    <w:rsid w:val="00D83F9A"/>
    <w:rsid w:val="00D86BF0"/>
    <w:rsid w:val="00D91651"/>
    <w:rsid w:val="00DA185E"/>
    <w:rsid w:val="00DA3F1F"/>
    <w:rsid w:val="00DB1F9F"/>
    <w:rsid w:val="00DD0048"/>
    <w:rsid w:val="00DD0941"/>
    <w:rsid w:val="00DE0D8E"/>
    <w:rsid w:val="00DE178B"/>
    <w:rsid w:val="00DE45BF"/>
    <w:rsid w:val="00DE49D4"/>
    <w:rsid w:val="00DE713E"/>
    <w:rsid w:val="00DE74A1"/>
    <w:rsid w:val="00DF2405"/>
    <w:rsid w:val="00DF29AD"/>
    <w:rsid w:val="00E02D6C"/>
    <w:rsid w:val="00E069A9"/>
    <w:rsid w:val="00E10E48"/>
    <w:rsid w:val="00E154EF"/>
    <w:rsid w:val="00E15636"/>
    <w:rsid w:val="00E160E4"/>
    <w:rsid w:val="00E1743F"/>
    <w:rsid w:val="00E17874"/>
    <w:rsid w:val="00E21800"/>
    <w:rsid w:val="00E24290"/>
    <w:rsid w:val="00E24FF7"/>
    <w:rsid w:val="00E30DCA"/>
    <w:rsid w:val="00E319D3"/>
    <w:rsid w:val="00E32EB5"/>
    <w:rsid w:val="00E3345B"/>
    <w:rsid w:val="00E337B1"/>
    <w:rsid w:val="00E34FD2"/>
    <w:rsid w:val="00E3553C"/>
    <w:rsid w:val="00E43992"/>
    <w:rsid w:val="00E50AC5"/>
    <w:rsid w:val="00E51920"/>
    <w:rsid w:val="00E52CFC"/>
    <w:rsid w:val="00E55F32"/>
    <w:rsid w:val="00E56DA9"/>
    <w:rsid w:val="00E574BC"/>
    <w:rsid w:val="00E6252D"/>
    <w:rsid w:val="00E64120"/>
    <w:rsid w:val="00E65753"/>
    <w:rsid w:val="00E660A1"/>
    <w:rsid w:val="00E81875"/>
    <w:rsid w:val="00E84C2B"/>
    <w:rsid w:val="00E958D8"/>
    <w:rsid w:val="00EA1411"/>
    <w:rsid w:val="00EA2C98"/>
    <w:rsid w:val="00EA34E5"/>
    <w:rsid w:val="00EA3CCF"/>
    <w:rsid w:val="00EA67F3"/>
    <w:rsid w:val="00EC2A2B"/>
    <w:rsid w:val="00EC2A3D"/>
    <w:rsid w:val="00EC60BE"/>
    <w:rsid w:val="00EC6BAF"/>
    <w:rsid w:val="00ED07AD"/>
    <w:rsid w:val="00ED3B22"/>
    <w:rsid w:val="00ED698B"/>
    <w:rsid w:val="00ED7BC4"/>
    <w:rsid w:val="00ED7F08"/>
    <w:rsid w:val="00EE1113"/>
    <w:rsid w:val="00EE5F49"/>
    <w:rsid w:val="00EE6394"/>
    <w:rsid w:val="00EF383A"/>
    <w:rsid w:val="00EF61D6"/>
    <w:rsid w:val="00F055F1"/>
    <w:rsid w:val="00F10BD0"/>
    <w:rsid w:val="00F16266"/>
    <w:rsid w:val="00F16E2C"/>
    <w:rsid w:val="00F17C90"/>
    <w:rsid w:val="00F20725"/>
    <w:rsid w:val="00F20B70"/>
    <w:rsid w:val="00F2121E"/>
    <w:rsid w:val="00F25C9A"/>
    <w:rsid w:val="00F26543"/>
    <w:rsid w:val="00F26BE3"/>
    <w:rsid w:val="00F31EF7"/>
    <w:rsid w:val="00F36386"/>
    <w:rsid w:val="00F369BD"/>
    <w:rsid w:val="00F37E19"/>
    <w:rsid w:val="00F4515C"/>
    <w:rsid w:val="00F45D4B"/>
    <w:rsid w:val="00F46AD7"/>
    <w:rsid w:val="00F511EE"/>
    <w:rsid w:val="00F55327"/>
    <w:rsid w:val="00F55ADD"/>
    <w:rsid w:val="00F610AF"/>
    <w:rsid w:val="00F6152E"/>
    <w:rsid w:val="00F61D16"/>
    <w:rsid w:val="00F62654"/>
    <w:rsid w:val="00F626A8"/>
    <w:rsid w:val="00F62B3F"/>
    <w:rsid w:val="00F63C0A"/>
    <w:rsid w:val="00F70248"/>
    <w:rsid w:val="00F70D69"/>
    <w:rsid w:val="00F76B47"/>
    <w:rsid w:val="00F76FF5"/>
    <w:rsid w:val="00F84450"/>
    <w:rsid w:val="00F87163"/>
    <w:rsid w:val="00F90923"/>
    <w:rsid w:val="00F90E77"/>
    <w:rsid w:val="00F92250"/>
    <w:rsid w:val="00F9425A"/>
    <w:rsid w:val="00F95809"/>
    <w:rsid w:val="00F97224"/>
    <w:rsid w:val="00FA108A"/>
    <w:rsid w:val="00FA2C5A"/>
    <w:rsid w:val="00FA4FC2"/>
    <w:rsid w:val="00FB09C6"/>
    <w:rsid w:val="00FB2F56"/>
    <w:rsid w:val="00FB6A51"/>
    <w:rsid w:val="00FC2D11"/>
    <w:rsid w:val="00FC3F2F"/>
    <w:rsid w:val="00FC43FA"/>
    <w:rsid w:val="00FC540E"/>
    <w:rsid w:val="00FC6230"/>
    <w:rsid w:val="00FC6D03"/>
    <w:rsid w:val="00FC7D6F"/>
    <w:rsid w:val="00FC7F79"/>
    <w:rsid w:val="00FD2484"/>
    <w:rsid w:val="00FD2904"/>
    <w:rsid w:val="00FD4E87"/>
    <w:rsid w:val="00FD5A03"/>
    <w:rsid w:val="00FE6C83"/>
    <w:rsid w:val="00FE6E81"/>
    <w:rsid w:val="00FF19B6"/>
    <w:rsid w:val="00FF4C1B"/>
    <w:rsid w:val="00FF61E7"/>
    <w:rsid w:val="00FF6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2CCD0D7E"/>
  <w15:chartTrackingRefBased/>
  <w15:docId w15:val="{87F199C0-C5E6-45D6-B6F3-26F4EA3C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386"/>
    <w:rPr>
      <w:sz w:val="24"/>
      <w:szCs w:val="24"/>
    </w:rPr>
  </w:style>
  <w:style w:type="paragraph" w:styleId="Heading1">
    <w:name w:val="heading 1"/>
    <w:basedOn w:val="Normal"/>
    <w:next w:val="Paragraphnonumbers"/>
    <w:link w:val="Heading1Char"/>
    <w:uiPriority w:val="1"/>
    <w:qFormat/>
    <w:rsid w:val="00F36386"/>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F36386"/>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F36386"/>
    <w:pPr>
      <w:keepNext/>
      <w:spacing w:after="60"/>
      <w:outlineLvl w:val="2"/>
    </w:pPr>
    <w:rPr>
      <w:rFonts w:ascii="Arial" w:hAnsi="Arial"/>
      <w:b/>
      <w:bCs/>
      <w:szCs w:val="26"/>
    </w:rPr>
  </w:style>
  <w:style w:type="character" w:default="1" w:styleId="DefaultParagraphFont">
    <w:name w:val="Default Paragraph Font"/>
    <w:uiPriority w:val="1"/>
    <w:semiHidden/>
    <w:unhideWhenUsed/>
    <w:rsid w:val="00F363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386"/>
  </w:style>
  <w:style w:type="paragraph" w:customStyle="1" w:styleId="Paragraph">
    <w:name w:val="Paragraph"/>
    <w:basedOn w:val="Paragraphnonumbers"/>
    <w:uiPriority w:val="4"/>
    <w:qFormat/>
    <w:rsid w:val="00F36386"/>
    <w:pPr>
      <w:numPr>
        <w:numId w:val="20"/>
      </w:numPr>
      <w:tabs>
        <w:tab w:val="left" w:pos="567"/>
      </w:tabs>
      <w:ind w:left="567" w:hanging="501"/>
    </w:pPr>
  </w:style>
  <w:style w:type="paragraph" w:styleId="Title">
    <w:name w:val="Title"/>
    <w:basedOn w:val="Normal"/>
    <w:next w:val="Heading1"/>
    <w:link w:val="TitleChar"/>
    <w:qFormat/>
    <w:rsid w:val="00F36386"/>
    <w:pPr>
      <w:spacing w:before="120" w:after="120"/>
      <w:jc w:val="center"/>
      <w:outlineLvl w:val="0"/>
    </w:pPr>
    <w:rPr>
      <w:rFonts w:ascii="Arial" w:hAnsi="Arial"/>
      <w:b/>
      <w:bCs/>
      <w:kern w:val="28"/>
      <w:sz w:val="32"/>
      <w:szCs w:val="32"/>
    </w:rPr>
  </w:style>
  <w:style w:type="character" w:customStyle="1" w:styleId="TitleChar">
    <w:name w:val="Title Char"/>
    <w:link w:val="Title"/>
    <w:rsid w:val="00F36386"/>
    <w:rPr>
      <w:rFonts w:ascii="Arial" w:hAnsi="Arial"/>
      <w:b/>
      <w:bCs/>
      <w:kern w:val="28"/>
      <w:sz w:val="32"/>
      <w:szCs w:val="32"/>
    </w:rPr>
  </w:style>
  <w:style w:type="character" w:customStyle="1" w:styleId="Heading1Char">
    <w:name w:val="Heading 1 Char"/>
    <w:link w:val="Heading1"/>
    <w:uiPriority w:val="1"/>
    <w:rsid w:val="00F36386"/>
    <w:rPr>
      <w:rFonts w:ascii="Arial" w:hAnsi="Arial"/>
      <w:b/>
      <w:bCs/>
      <w:kern w:val="32"/>
      <w:sz w:val="28"/>
      <w:szCs w:val="32"/>
    </w:rPr>
  </w:style>
  <w:style w:type="paragraph" w:customStyle="1" w:styleId="Bullets">
    <w:name w:val="Bullets"/>
    <w:basedOn w:val="Normal"/>
    <w:uiPriority w:val="5"/>
    <w:qFormat/>
    <w:rsid w:val="00F36386"/>
    <w:pPr>
      <w:numPr>
        <w:numId w:val="3"/>
      </w:numPr>
      <w:spacing w:after="120" w:line="276" w:lineRule="auto"/>
    </w:pPr>
    <w:rPr>
      <w:rFonts w:ascii="Arial" w:hAnsi="Arial"/>
    </w:rPr>
  </w:style>
  <w:style w:type="paragraph" w:styleId="Header">
    <w:name w:val="header"/>
    <w:basedOn w:val="Normal"/>
    <w:link w:val="HeaderChar"/>
    <w:uiPriority w:val="99"/>
    <w:rsid w:val="00F36386"/>
    <w:pPr>
      <w:tabs>
        <w:tab w:val="center" w:pos="4513"/>
        <w:tab w:val="right" w:pos="9026"/>
      </w:tabs>
    </w:pPr>
    <w:rPr>
      <w:rFonts w:ascii="Arial" w:hAnsi="Arial"/>
    </w:rPr>
  </w:style>
  <w:style w:type="character" w:customStyle="1" w:styleId="HeaderChar">
    <w:name w:val="Header Char"/>
    <w:link w:val="Header"/>
    <w:uiPriority w:val="99"/>
    <w:rsid w:val="00F36386"/>
    <w:rPr>
      <w:rFonts w:ascii="Arial" w:hAnsi="Arial"/>
      <w:sz w:val="24"/>
      <w:szCs w:val="24"/>
    </w:rPr>
  </w:style>
  <w:style w:type="paragraph" w:styleId="Footer">
    <w:name w:val="footer"/>
    <w:basedOn w:val="Normal"/>
    <w:link w:val="FooterChar"/>
    <w:uiPriority w:val="99"/>
    <w:rsid w:val="00F36386"/>
    <w:pPr>
      <w:tabs>
        <w:tab w:val="center" w:pos="4513"/>
        <w:tab w:val="right" w:pos="9026"/>
      </w:tabs>
    </w:pPr>
    <w:rPr>
      <w:rFonts w:ascii="Arial" w:hAnsi="Arial"/>
      <w:sz w:val="20"/>
    </w:rPr>
  </w:style>
  <w:style w:type="character" w:customStyle="1" w:styleId="FooterChar">
    <w:name w:val="Footer Char"/>
    <w:link w:val="Footer"/>
    <w:uiPriority w:val="99"/>
    <w:rsid w:val="00F36386"/>
    <w:rPr>
      <w:rFonts w:ascii="Arial" w:hAnsi="Arial"/>
      <w:szCs w:val="24"/>
    </w:rPr>
  </w:style>
  <w:style w:type="paragraph" w:styleId="BalloonText">
    <w:name w:val="Balloon Text"/>
    <w:basedOn w:val="Normal"/>
    <w:link w:val="BalloonTextChar"/>
    <w:semiHidden/>
    <w:rsid w:val="00F36386"/>
    <w:rPr>
      <w:rFonts w:ascii="Tahoma" w:hAnsi="Tahoma" w:cs="Tahoma"/>
      <w:sz w:val="16"/>
      <w:szCs w:val="16"/>
    </w:rPr>
  </w:style>
  <w:style w:type="character" w:customStyle="1" w:styleId="BalloonTextChar">
    <w:name w:val="Balloon Text Char"/>
    <w:link w:val="BalloonText"/>
    <w:semiHidden/>
    <w:rsid w:val="00F36386"/>
    <w:rPr>
      <w:rFonts w:ascii="Tahoma" w:hAnsi="Tahoma" w:cs="Tahoma"/>
      <w:sz w:val="16"/>
      <w:szCs w:val="16"/>
    </w:rPr>
  </w:style>
  <w:style w:type="character" w:customStyle="1" w:styleId="Heading2Char">
    <w:name w:val="Heading 2 Char"/>
    <w:link w:val="Heading2"/>
    <w:uiPriority w:val="2"/>
    <w:rsid w:val="00F36386"/>
    <w:rPr>
      <w:rFonts w:ascii="Arial" w:hAnsi="Arial"/>
      <w:b/>
      <w:bCs/>
      <w:i/>
      <w:iCs/>
      <w:sz w:val="26"/>
      <w:szCs w:val="26"/>
    </w:rPr>
  </w:style>
  <w:style w:type="character" w:customStyle="1" w:styleId="Heading3Char">
    <w:name w:val="Heading 3 Char"/>
    <w:link w:val="Heading3"/>
    <w:uiPriority w:val="3"/>
    <w:rsid w:val="00F36386"/>
    <w:rPr>
      <w:rFonts w:ascii="Arial" w:hAnsi="Arial"/>
      <w:b/>
      <w:bCs/>
      <w:sz w:val="24"/>
      <w:szCs w:val="26"/>
    </w:rPr>
  </w:style>
  <w:style w:type="paragraph" w:customStyle="1" w:styleId="Subbullets">
    <w:name w:val="Sub bullets"/>
    <w:basedOn w:val="Normal"/>
    <w:uiPriority w:val="6"/>
    <w:qFormat/>
    <w:rsid w:val="00F36386"/>
    <w:pPr>
      <w:numPr>
        <w:numId w:val="19"/>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F36386"/>
    <w:pPr>
      <w:spacing w:after="240" w:line="276" w:lineRule="auto"/>
    </w:pPr>
    <w:rPr>
      <w:rFonts w:ascii="Arial" w:hAnsi="Arial"/>
    </w:rPr>
  </w:style>
  <w:style w:type="paragraph" w:styleId="TOC1">
    <w:name w:val="toc 1"/>
    <w:basedOn w:val="Normal"/>
    <w:next w:val="Normal"/>
    <w:autoRedefine/>
    <w:semiHidden/>
    <w:rsid w:val="00F36386"/>
    <w:rPr>
      <w:rFonts w:ascii="Arial" w:hAnsi="Arial"/>
    </w:rPr>
  </w:style>
  <w:style w:type="paragraph" w:styleId="TOC2">
    <w:name w:val="toc 2"/>
    <w:basedOn w:val="Normal"/>
    <w:next w:val="Normal"/>
    <w:autoRedefine/>
    <w:semiHidden/>
    <w:rsid w:val="00F36386"/>
    <w:pPr>
      <w:ind w:left="240"/>
    </w:pPr>
    <w:rPr>
      <w:rFonts w:ascii="Arial" w:hAnsi="Arial"/>
    </w:rPr>
  </w:style>
  <w:style w:type="paragraph" w:styleId="TOC3">
    <w:name w:val="toc 3"/>
    <w:basedOn w:val="Normal"/>
    <w:next w:val="Normal"/>
    <w:autoRedefine/>
    <w:semiHidden/>
    <w:rsid w:val="00F36386"/>
    <w:pPr>
      <w:ind w:left="480"/>
    </w:pPr>
    <w:rPr>
      <w:rFonts w:ascii="Arial" w:hAnsi="Arial"/>
    </w:rPr>
  </w:style>
  <w:style w:type="paragraph" w:styleId="TOC4">
    <w:name w:val="toc 4"/>
    <w:basedOn w:val="Normal"/>
    <w:next w:val="Normal"/>
    <w:autoRedefine/>
    <w:semiHidden/>
    <w:rsid w:val="00F36386"/>
    <w:pPr>
      <w:ind w:left="720"/>
    </w:pPr>
    <w:rPr>
      <w:rFonts w:ascii="Arial" w:hAnsi="Arial"/>
    </w:rPr>
  </w:style>
  <w:style w:type="paragraph" w:styleId="TOAHeading">
    <w:name w:val="toa heading"/>
    <w:basedOn w:val="Normal"/>
    <w:next w:val="Normal"/>
    <w:semiHidden/>
    <w:rsid w:val="00F36386"/>
    <w:pPr>
      <w:spacing w:before="120"/>
    </w:pPr>
    <w:rPr>
      <w:rFonts w:ascii="Arial" w:hAnsi="Arial"/>
      <w:b/>
      <w:bCs/>
    </w:rPr>
  </w:style>
  <w:style w:type="character" w:styleId="PageNumber">
    <w:name w:val="page number"/>
    <w:rsid w:val="00C63FCE"/>
    <w:rPr>
      <w:rFonts w:ascii="Arial" w:hAnsi="Arial"/>
      <w:sz w:val="24"/>
    </w:rPr>
  </w:style>
  <w:style w:type="paragraph" w:styleId="ListParagraph">
    <w:name w:val="List Paragraph"/>
    <w:basedOn w:val="Normal"/>
    <w:uiPriority w:val="34"/>
    <w:qFormat/>
    <w:rsid w:val="006B7039"/>
    <w:pPr>
      <w:ind w:left="720"/>
      <w:contextualSpacing/>
    </w:pPr>
  </w:style>
  <w:style w:type="paragraph" w:customStyle="1" w:styleId="Heading1boardreport">
    <w:name w:val="Heading 1 board report"/>
    <w:basedOn w:val="Heading1"/>
    <w:next w:val="Paragraph"/>
    <w:link w:val="Heading1boardreportChar"/>
    <w:qFormat/>
    <w:rsid w:val="003D73C7"/>
    <w:rPr>
      <w:color w:val="00506A"/>
    </w:rPr>
  </w:style>
  <w:style w:type="character" w:customStyle="1" w:styleId="Heading1boardreportChar">
    <w:name w:val="Heading 1 board report Char"/>
    <w:basedOn w:val="Heading1Char"/>
    <w:link w:val="Heading1boardreport"/>
    <w:rsid w:val="003D73C7"/>
    <w:rPr>
      <w:rFonts w:ascii="Arial" w:hAnsi="Arial"/>
      <w:b/>
      <w:bCs/>
      <w:color w:val="00506A"/>
      <w:kern w:val="32"/>
      <w:sz w:val="28"/>
      <w:szCs w:val="32"/>
    </w:rPr>
  </w:style>
  <w:style w:type="paragraph" w:customStyle="1" w:styleId="Style1">
    <w:name w:val="Style1"/>
    <w:basedOn w:val="Heading1"/>
    <w:link w:val="Style1Char"/>
    <w:qFormat/>
    <w:rsid w:val="00C15F7F"/>
    <w:pPr>
      <w:jc w:val="center"/>
    </w:pPr>
  </w:style>
  <w:style w:type="character" w:customStyle="1" w:styleId="Style1Char">
    <w:name w:val="Style1 Char"/>
    <w:basedOn w:val="Heading1Char"/>
    <w:link w:val="Style1"/>
    <w:rsid w:val="00C15F7F"/>
    <w:rPr>
      <w:rFonts w:ascii="Arial" w:hAnsi="Arial"/>
      <w:b/>
      <w:bCs/>
      <w:kern w:val="32"/>
      <w:sz w:val="28"/>
      <w:szCs w:val="32"/>
    </w:rPr>
  </w:style>
  <w:style w:type="paragraph" w:styleId="BodyTextIndent3">
    <w:name w:val="Body Text Indent 3"/>
    <w:basedOn w:val="Normal"/>
    <w:link w:val="BodyTextIndent3Char"/>
    <w:rsid w:val="00EE6394"/>
    <w:pPr>
      <w:ind w:left="567"/>
    </w:pPr>
    <w:rPr>
      <w:rFonts w:ascii="Arial" w:hAnsi="Arial"/>
      <w:u w:val="single"/>
    </w:rPr>
  </w:style>
  <w:style w:type="character" w:customStyle="1" w:styleId="BodyTextIndent3Char">
    <w:name w:val="Body Text Indent 3 Char"/>
    <w:basedOn w:val="DefaultParagraphFont"/>
    <w:link w:val="BodyTextIndent3"/>
    <w:rsid w:val="00EE6394"/>
    <w:rPr>
      <w:rFonts w:ascii="Arial" w:hAnsi="Arial"/>
      <w:sz w:val="22"/>
      <w:szCs w:val="22"/>
      <w:u w:val="single"/>
    </w:rPr>
  </w:style>
  <w:style w:type="paragraph" w:customStyle="1" w:styleId="NICEnormal">
    <w:name w:val="NICE normal"/>
    <w:link w:val="NICEnormalChar"/>
    <w:rsid w:val="00EE6394"/>
    <w:pPr>
      <w:spacing w:after="240" w:line="360" w:lineRule="auto"/>
    </w:pPr>
    <w:rPr>
      <w:rFonts w:ascii="Arial" w:hAnsi="Arial"/>
      <w:sz w:val="24"/>
      <w:szCs w:val="24"/>
      <w:lang w:val="en-US"/>
    </w:rPr>
  </w:style>
  <w:style w:type="character" w:customStyle="1" w:styleId="NICEnormalChar">
    <w:name w:val="NICE normal Char"/>
    <w:link w:val="NICEnormal"/>
    <w:rsid w:val="00EE6394"/>
    <w:rPr>
      <w:rFonts w:ascii="Arial" w:hAnsi="Arial"/>
      <w:sz w:val="24"/>
      <w:szCs w:val="24"/>
      <w:lang w:val="en-US"/>
    </w:rPr>
  </w:style>
  <w:style w:type="paragraph" w:customStyle="1" w:styleId="Title16pt">
    <w:name w:val="Title 16 pt"/>
    <w:basedOn w:val="Title"/>
    <w:rsid w:val="00EE6394"/>
    <w:pPr>
      <w:keepNext/>
    </w:pPr>
    <w:rPr>
      <w:rFonts w:cs="Arial"/>
    </w:rPr>
  </w:style>
  <w:style w:type="table" w:styleId="TableGrid">
    <w:name w:val="Table Grid"/>
    <w:basedOn w:val="TableNormal"/>
    <w:rsid w:val="0030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31F30"/>
    <w:rPr>
      <w:sz w:val="16"/>
      <w:szCs w:val="16"/>
    </w:rPr>
  </w:style>
  <w:style w:type="paragraph" w:styleId="CommentText">
    <w:name w:val="annotation text"/>
    <w:basedOn w:val="Normal"/>
    <w:link w:val="CommentTextChar"/>
    <w:unhideWhenUsed/>
    <w:rsid w:val="00A31F30"/>
    <w:rPr>
      <w:sz w:val="20"/>
      <w:szCs w:val="20"/>
    </w:rPr>
  </w:style>
  <w:style w:type="character" w:customStyle="1" w:styleId="CommentTextChar">
    <w:name w:val="Comment Text Char"/>
    <w:basedOn w:val="DefaultParagraphFont"/>
    <w:link w:val="CommentText"/>
    <w:rsid w:val="00A31F30"/>
  </w:style>
  <w:style w:type="paragraph" w:styleId="CommentSubject">
    <w:name w:val="annotation subject"/>
    <w:basedOn w:val="CommentText"/>
    <w:next w:val="CommentText"/>
    <w:link w:val="CommentSubjectChar"/>
    <w:semiHidden/>
    <w:unhideWhenUsed/>
    <w:rsid w:val="00A31F30"/>
    <w:rPr>
      <w:b/>
      <w:bCs/>
    </w:rPr>
  </w:style>
  <w:style w:type="character" w:customStyle="1" w:styleId="CommentSubjectChar">
    <w:name w:val="Comment Subject Char"/>
    <w:basedOn w:val="CommentTextChar"/>
    <w:link w:val="CommentSubject"/>
    <w:semiHidden/>
    <w:rsid w:val="00A31F30"/>
    <w:rPr>
      <w:b/>
      <w:bCs/>
    </w:rPr>
  </w:style>
  <w:style w:type="paragraph" w:styleId="Revision">
    <w:name w:val="Revision"/>
    <w:hidden/>
    <w:uiPriority w:val="99"/>
    <w:semiHidden/>
    <w:rsid w:val="00C326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B1E1-849D-43F6-B021-1E31755C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5472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Elaine Repton</cp:lastModifiedBy>
  <cp:revision>2</cp:revision>
  <cp:lastPrinted>2021-08-16T19:10:00Z</cp:lastPrinted>
  <dcterms:created xsi:type="dcterms:W3CDTF">2021-11-10T13:53:00Z</dcterms:created>
  <dcterms:modified xsi:type="dcterms:W3CDTF">2021-11-10T13:53:00Z</dcterms:modified>
</cp:coreProperties>
</file>