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6F5A6" w14:textId="77777777" w:rsidR="004B4705" w:rsidRDefault="004B4705" w:rsidP="005614AA">
      <w:pPr>
        <w:pStyle w:val="Title20"/>
      </w:pPr>
      <w:r>
        <w:t>National Institute for Health and Care Excellence</w:t>
      </w:r>
    </w:p>
    <w:p w14:paraId="1D616193" w14:textId="6C158239" w:rsidR="00F67EE6" w:rsidRPr="009F5020" w:rsidRDefault="00C82C47" w:rsidP="00F67EE6">
      <w:pPr>
        <w:pStyle w:val="Title1"/>
      </w:pPr>
      <w:r>
        <w:t>Revisions to Standing Orders and Standing Financial Instructions</w:t>
      </w:r>
    </w:p>
    <w:p w14:paraId="5E308C8F" w14:textId="5B118CDD" w:rsidR="004B4705" w:rsidRDefault="004B4705" w:rsidP="002C6249">
      <w:pPr>
        <w:pStyle w:val="NICEnormal"/>
        <w:spacing w:before="2040"/>
      </w:pPr>
      <w:r w:rsidRPr="005F613C">
        <w:t xml:space="preserve">This report </w:t>
      </w:r>
      <w:r w:rsidR="00F67EE6">
        <w:t xml:space="preserve">presents </w:t>
      </w:r>
      <w:r w:rsidR="0010545A">
        <w:t xml:space="preserve">revisions to the </w:t>
      </w:r>
      <w:r w:rsidR="00C44707">
        <w:t>s</w:t>
      </w:r>
      <w:r w:rsidR="0010545A">
        <w:t xml:space="preserve">tanding </w:t>
      </w:r>
      <w:r w:rsidR="00C44707">
        <w:t xml:space="preserve">orders </w:t>
      </w:r>
      <w:r w:rsidR="0010545A">
        <w:t xml:space="preserve">and </w:t>
      </w:r>
      <w:r w:rsidR="00C44707">
        <w:t xml:space="preserve">standing financial </w:t>
      </w:r>
      <w:r w:rsidR="00ED1EA8">
        <w:t>i</w:t>
      </w:r>
      <w:r w:rsidR="0010545A">
        <w:t>nstructions</w:t>
      </w:r>
      <w:r w:rsidR="009C5F75">
        <w:t xml:space="preserve"> following review by the audit and risk committee in September.</w:t>
      </w:r>
    </w:p>
    <w:p w14:paraId="078D3001" w14:textId="070FC48B" w:rsidR="004B4705" w:rsidRDefault="004B4705" w:rsidP="005614AA">
      <w:pPr>
        <w:pStyle w:val="NICEnormal"/>
      </w:pPr>
      <w:r>
        <w:t>The Board is asked to</w:t>
      </w:r>
      <w:r w:rsidR="00F67EE6">
        <w:t xml:space="preserve"> approve </w:t>
      </w:r>
      <w:r w:rsidR="0010545A">
        <w:t>t</w:t>
      </w:r>
      <w:r w:rsidR="00F67EE6">
        <w:t xml:space="preserve">he </w:t>
      </w:r>
      <w:r w:rsidR="0010545A">
        <w:t>revised governance documents</w:t>
      </w:r>
      <w:r w:rsidR="00F67EE6">
        <w:t xml:space="preserve">. </w:t>
      </w:r>
    </w:p>
    <w:p w14:paraId="0F356FCC" w14:textId="1BD85C1A" w:rsidR="00F67EE6" w:rsidRDefault="00F67EE6" w:rsidP="002C6249">
      <w:pPr>
        <w:pStyle w:val="NICEnormal"/>
        <w:spacing w:before="2640"/>
      </w:pPr>
      <w:r>
        <w:t>Jennifer Howells</w:t>
      </w:r>
    </w:p>
    <w:p w14:paraId="5F63ACC8" w14:textId="77777777" w:rsidR="00F67EE6" w:rsidRDefault="00F67EE6" w:rsidP="005614AA">
      <w:pPr>
        <w:pStyle w:val="NICEnormal"/>
      </w:pPr>
      <w:r>
        <w:t>Director, Finance, Strategy and Transformation</w:t>
      </w:r>
    </w:p>
    <w:p w14:paraId="1A9DEDC3" w14:textId="1B43BEE1" w:rsidR="004B4705" w:rsidRDefault="00C82C47" w:rsidP="004511A7">
      <w:pPr>
        <w:pStyle w:val="NICEnormal"/>
      </w:pPr>
      <w:r>
        <w:t>November</w:t>
      </w:r>
      <w:r w:rsidR="00E70BE7">
        <w:t xml:space="preserve"> 2021</w:t>
      </w:r>
      <w:r w:rsidR="004B4705" w:rsidRPr="00B43E83">
        <w:t xml:space="preserve"> </w:t>
      </w:r>
    </w:p>
    <w:p w14:paraId="37B708C3" w14:textId="77777777" w:rsidR="004B4705" w:rsidRPr="005F10EE" w:rsidRDefault="004B4705" w:rsidP="004511A7">
      <w:pPr>
        <w:pStyle w:val="NICEnormal"/>
      </w:pPr>
      <w:r w:rsidRPr="005F10EE">
        <w:br w:type="page"/>
      </w:r>
    </w:p>
    <w:p w14:paraId="646DC5BC" w14:textId="17AEC527" w:rsidR="00F67EE6" w:rsidRDefault="00F67EE6" w:rsidP="004B4705">
      <w:pPr>
        <w:pStyle w:val="Heading1boardreport"/>
      </w:pPr>
      <w:r>
        <w:lastRenderedPageBreak/>
        <w:t>Background</w:t>
      </w:r>
    </w:p>
    <w:p w14:paraId="609C2E27" w14:textId="2AD621D2" w:rsidR="00F67EE6" w:rsidRDefault="0056249A" w:rsidP="00F67EE6">
      <w:pPr>
        <w:pStyle w:val="NICEnormalnumbered"/>
      </w:pPr>
      <w:r>
        <w:t xml:space="preserve">The 2021/22 business plan includes an objective around developing </w:t>
      </w:r>
      <w:r w:rsidRPr="004E6D3F">
        <w:t>revised governance arrangements to empower staff and streamline decision making</w:t>
      </w:r>
      <w:r>
        <w:t xml:space="preserve">. As part of this, NICE's </w:t>
      </w:r>
      <w:r w:rsidR="00C44707">
        <w:t>s</w:t>
      </w:r>
      <w:r w:rsidR="0042720F">
        <w:t xml:space="preserve">tanding </w:t>
      </w:r>
      <w:r w:rsidR="00C44707">
        <w:t>o</w:t>
      </w:r>
      <w:r w:rsidR="0042720F">
        <w:t>rders (</w:t>
      </w:r>
      <w:r>
        <w:t>SO</w:t>
      </w:r>
      <w:r w:rsidR="0042720F">
        <w:t>)</w:t>
      </w:r>
      <w:r>
        <w:t xml:space="preserve">, </w:t>
      </w:r>
      <w:r w:rsidR="00C44707">
        <w:t>s</w:t>
      </w:r>
      <w:r w:rsidR="0042720F">
        <w:t xml:space="preserve">tanding </w:t>
      </w:r>
      <w:r w:rsidR="00C44707">
        <w:t>f</w:t>
      </w:r>
      <w:r w:rsidR="0042720F">
        <w:t xml:space="preserve">inancial </w:t>
      </w:r>
      <w:r w:rsidR="00C44707">
        <w:t>i</w:t>
      </w:r>
      <w:r w:rsidR="0042720F">
        <w:t>nstructions (</w:t>
      </w:r>
      <w:r>
        <w:t>SFI</w:t>
      </w:r>
      <w:r w:rsidR="0042720F">
        <w:t>)</w:t>
      </w:r>
      <w:r>
        <w:t xml:space="preserve"> and scheme of reservation and delegation have been comprehensively reviewed and updated. This has been informed by advice from South Central and West Commissioning Support Unit and a review of other health ALBs.</w:t>
      </w:r>
    </w:p>
    <w:p w14:paraId="2CD8D498" w14:textId="2FB0EE83" w:rsidR="00F67EE6" w:rsidRDefault="0056249A" w:rsidP="00F67EE6">
      <w:pPr>
        <w:pStyle w:val="NICEnormalnumbered"/>
      </w:pPr>
      <w:r>
        <w:t>The resulting work has led to a reduced number of documents, which has enabled removal of duplication. The delegations have also been increased in line with the aim of empowering staff and streamlining decision-making.</w:t>
      </w:r>
    </w:p>
    <w:p w14:paraId="31BAD34F" w14:textId="65EB75A0" w:rsidR="001E73E0" w:rsidRDefault="001E73E0" w:rsidP="00F67EE6">
      <w:pPr>
        <w:pStyle w:val="NICEnormalnumbered"/>
      </w:pPr>
      <w:r>
        <w:t xml:space="preserve">The audit and risk committee reviewed the proposed revisions at its meeting in September and </w:t>
      </w:r>
      <w:r w:rsidR="00027D94">
        <w:t>support</w:t>
      </w:r>
      <w:r>
        <w:t xml:space="preserve">ed the changes subject to </w:t>
      </w:r>
      <w:r w:rsidR="00027D94">
        <w:t xml:space="preserve">consideration of </w:t>
      </w:r>
      <w:r>
        <w:t xml:space="preserve">three </w:t>
      </w:r>
      <w:r w:rsidR="00027D94">
        <w:t xml:space="preserve">queries </w:t>
      </w:r>
      <w:r>
        <w:t>which are covered in paragraph 1</w:t>
      </w:r>
      <w:r w:rsidR="009C5F75">
        <w:t>0</w:t>
      </w:r>
      <w:r>
        <w:t xml:space="preserve"> below.</w:t>
      </w:r>
    </w:p>
    <w:p w14:paraId="71025A83" w14:textId="2CD5C99C" w:rsidR="00027D94" w:rsidRDefault="009C4E5E" w:rsidP="00C44707">
      <w:pPr>
        <w:pStyle w:val="NICEnormalnumbered"/>
      </w:pPr>
      <w:r>
        <w:t xml:space="preserve">With support from the audit and risk committee, </w:t>
      </w:r>
      <w:r w:rsidR="00AA6EC5">
        <w:t xml:space="preserve">the board </w:t>
      </w:r>
      <w:r w:rsidR="00C44707">
        <w:t xml:space="preserve">agreed </w:t>
      </w:r>
      <w:r w:rsidR="00C44707" w:rsidRPr="00C44707">
        <w:t>to implement two changes in the revised documents with immediate effect as this would aid the efficient utilisation of funding while maintaining appropriate safeguards: the revised thresholds for seeking quotes and tenders, and changes to the internal approval mechanism for consultancy expenditure.</w:t>
      </w:r>
    </w:p>
    <w:p w14:paraId="0983F8C6" w14:textId="20A43DB7" w:rsidR="0042720F" w:rsidRDefault="0042720F" w:rsidP="0042720F">
      <w:pPr>
        <w:pStyle w:val="Heading2boardreport"/>
      </w:pPr>
      <w:r>
        <w:t xml:space="preserve">Standing </w:t>
      </w:r>
      <w:r w:rsidR="00AC551E">
        <w:t>orders (SO)</w:t>
      </w:r>
    </w:p>
    <w:p w14:paraId="0D85D69B" w14:textId="57E0595D" w:rsidR="00F67EE6" w:rsidRDefault="0042720F" w:rsidP="00C213C1">
      <w:pPr>
        <w:pStyle w:val="NICEnormalnumbered"/>
      </w:pPr>
      <w:r>
        <w:t xml:space="preserve">The SO have been updated using modern language.  They are now focussed on governance arrangements and the board, and include the powers reserved for the board as an appendix.  The procurement and tendering sections have been moved into the SFI where they </w:t>
      </w:r>
      <w:r w:rsidR="0061633B">
        <w:t>sit more appropriately alongside the other aspects of financial control and management.</w:t>
      </w:r>
      <w:r>
        <w:t xml:space="preserve">  This has enabled the removal of duplicated content.</w:t>
      </w:r>
    </w:p>
    <w:p w14:paraId="61A40736" w14:textId="77777777" w:rsidR="007B4C1B" w:rsidRDefault="007B4C1B" w:rsidP="007B4C1B">
      <w:pPr>
        <w:pStyle w:val="Heading2boardreport"/>
      </w:pPr>
      <w:r>
        <w:t>Reservation of powers for the board</w:t>
      </w:r>
    </w:p>
    <w:p w14:paraId="40571B39" w14:textId="10ED71B5" w:rsidR="007B4C1B" w:rsidRDefault="007B4C1B" w:rsidP="007B4C1B">
      <w:pPr>
        <w:pStyle w:val="NICEnormalnumbered"/>
        <w:ind w:left="641" w:hanging="357"/>
      </w:pPr>
      <w:r>
        <w:t xml:space="preserve">A proposed key change </w:t>
      </w:r>
      <w:r w:rsidR="00605DD6">
        <w:t xml:space="preserve">to highlight </w:t>
      </w:r>
      <w:r>
        <w:t>is to increase the level at which board approval is required for (a) t</w:t>
      </w:r>
      <w:r w:rsidRPr="004E6D3F">
        <w:t>he introduction or discontinuance of any significant activity or operation outside of the business plan</w:t>
      </w:r>
      <w:r>
        <w:t xml:space="preserve"> (para 28); and (b) </w:t>
      </w:r>
      <w:r w:rsidRPr="004E6D3F">
        <w:lastRenderedPageBreak/>
        <w:t xml:space="preserve">supplementary </w:t>
      </w:r>
      <w:r>
        <w:t xml:space="preserve">capital or revenue </w:t>
      </w:r>
      <w:r w:rsidRPr="004E6D3F">
        <w:t>expenditure outside of the business plan</w:t>
      </w:r>
      <w:r>
        <w:t xml:space="preserve"> (para 29); from £250k to £500k.</w:t>
      </w:r>
      <w:r w:rsidR="0061633B">
        <w:t xml:space="preserve"> </w:t>
      </w:r>
    </w:p>
    <w:p w14:paraId="72CC85F8" w14:textId="77777777" w:rsidR="007B4C1B" w:rsidRDefault="007B4C1B" w:rsidP="007B4C1B">
      <w:pPr>
        <w:pStyle w:val="Heading2boardreport"/>
      </w:pPr>
      <w:r>
        <w:t>Scheme of financial delegations</w:t>
      </w:r>
    </w:p>
    <w:p w14:paraId="5EF67DB8" w14:textId="5F876D9D" w:rsidR="007B4C1B" w:rsidRDefault="007B4C1B" w:rsidP="00C213C1">
      <w:pPr>
        <w:pStyle w:val="NICEnormalnumbered"/>
      </w:pPr>
      <w:r>
        <w:t>A new section has been included in SFIs for the scheme of financial delegation which sets out clearly what staff have authority to approve.  The scheme of delegation previously formed part of SO and did not provide this level of clarity and empowerment of staff beneath the Executive Team level.</w:t>
      </w:r>
    </w:p>
    <w:p w14:paraId="69850CD4" w14:textId="30A87E1E" w:rsidR="007D1995" w:rsidRDefault="007D1995" w:rsidP="00C213C1">
      <w:pPr>
        <w:pStyle w:val="NICEnormalnumbered"/>
      </w:pPr>
      <w:r>
        <w:t xml:space="preserve">Contract approval </w:t>
      </w:r>
      <w:r w:rsidRPr="00F642EB">
        <w:t xml:space="preserve">levels </w:t>
      </w:r>
      <w:r>
        <w:t xml:space="preserve">have been increased </w:t>
      </w:r>
      <w:r w:rsidRPr="00F642EB">
        <w:t>(</w:t>
      </w:r>
      <w:r w:rsidR="00A172A6">
        <w:t>para</w:t>
      </w:r>
      <w:r w:rsidR="00761652">
        <w:t xml:space="preserve"> </w:t>
      </w:r>
      <w:r w:rsidRPr="00F642EB">
        <w:t>7)</w:t>
      </w:r>
      <w:r>
        <w:t xml:space="preserve">.  The approval level of the chief executive for expenditure which falls </w:t>
      </w:r>
      <w:r w:rsidRPr="00ED1EA8">
        <w:t>outside</w:t>
      </w:r>
      <w:r>
        <w:t xml:space="preserve"> of the approved annual budget has been increased from £250k</w:t>
      </w:r>
      <w:r w:rsidRPr="00862334">
        <w:t xml:space="preserve"> </w:t>
      </w:r>
      <w:r>
        <w:t>to £500k.  Expenditure above £500k which is outside of the approved business plan requires the approval of the board.  The finance, strategy and transformation director has been increased to the same level as the chief executive. The deputy director – finance, strategy and commercial has been aligned with the approval limit of directors (up to £250k).</w:t>
      </w:r>
    </w:p>
    <w:p w14:paraId="687B4136" w14:textId="195F5E9A" w:rsidR="007D1995" w:rsidRDefault="007D1995" w:rsidP="00C213C1">
      <w:pPr>
        <w:pStyle w:val="NICEnormalnumbered"/>
      </w:pPr>
      <w:r>
        <w:t>Additionally, new sections have been added to clarify who has authority to sign agreements on behalf of NICE (para 10), agree fees and charges (para 11) and approve recruitment proposals (para 12).</w:t>
      </w:r>
    </w:p>
    <w:p w14:paraId="7ABCFF67" w14:textId="55DEDFCC" w:rsidR="001E73E0" w:rsidRDefault="001E73E0" w:rsidP="001E73E0">
      <w:pPr>
        <w:pStyle w:val="Heading2boardreport"/>
      </w:pPr>
      <w:r>
        <w:t>Feedback from the audit and risk committee</w:t>
      </w:r>
    </w:p>
    <w:p w14:paraId="6E7E6BF0" w14:textId="68B53B2A" w:rsidR="001E73E0" w:rsidRDefault="0061633B" w:rsidP="00C213C1">
      <w:pPr>
        <w:pStyle w:val="NICEnormalnumbered"/>
      </w:pPr>
      <w:r>
        <w:t>As noted above, t</w:t>
      </w:r>
      <w:r w:rsidR="00F8114C">
        <w:t xml:space="preserve">he audit and risk committee </w:t>
      </w:r>
      <w:r>
        <w:t>extensively reviewed the documents. In response to the feedback received:</w:t>
      </w:r>
    </w:p>
    <w:p w14:paraId="31E6B321" w14:textId="2F803654" w:rsidR="0061633B" w:rsidRDefault="0061633B" w:rsidP="00A0710E">
      <w:pPr>
        <w:pStyle w:val="NICEnormalnumbered"/>
        <w:numPr>
          <w:ilvl w:val="1"/>
          <w:numId w:val="25"/>
        </w:numPr>
      </w:pPr>
      <w:r>
        <w:t xml:space="preserve">SFI 22 has been amended in relation to the arrangements for escalating matters from the audit and risk committee to the Department of Health and Social Care. </w:t>
      </w:r>
    </w:p>
    <w:p w14:paraId="64B10237" w14:textId="6EA7BDEE" w:rsidR="0061633B" w:rsidRDefault="0061633B" w:rsidP="00ED1EA8">
      <w:pPr>
        <w:pStyle w:val="NICEnormalnumbered"/>
        <w:numPr>
          <w:ilvl w:val="1"/>
          <w:numId w:val="25"/>
        </w:numPr>
      </w:pPr>
      <w:r>
        <w:t>The SFIs have been updated to reference the NHS Shared Business Services’ role in processing invoices on behalf of NICE.</w:t>
      </w:r>
    </w:p>
    <w:p w14:paraId="193AC22B" w14:textId="058BF14D" w:rsidR="00F8114C" w:rsidRDefault="0061633B" w:rsidP="009A5B47">
      <w:pPr>
        <w:pStyle w:val="Paragraph"/>
        <w:spacing w:line="360" w:lineRule="auto"/>
        <w:ind w:left="641" w:hanging="357"/>
      </w:pPr>
      <w:r>
        <w:t xml:space="preserve">There was also a suggestion </w:t>
      </w:r>
      <w:r w:rsidR="00017FB1">
        <w:t xml:space="preserve">to </w:t>
      </w:r>
      <w:r>
        <w:t xml:space="preserve">replace the references to </w:t>
      </w:r>
      <w:r w:rsidR="00F8114C">
        <w:t xml:space="preserve">the Finance, Strategy and Transformation Director </w:t>
      </w:r>
      <w:r>
        <w:t xml:space="preserve">with Chief Financial Officer </w:t>
      </w:r>
      <w:r w:rsidR="00F8114C">
        <w:t xml:space="preserve">to future proof any changes in job title. </w:t>
      </w:r>
      <w:r w:rsidR="00A0710E">
        <w:t xml:space="preserve">It is proposed to </w:t>
      </w:r>
      <w:r w:rsidR="00F8114C">
        <w:t xml:space="preserve">retain the current FST Director </w:t>
      </w:r>
      <w:r w:rsidR="00F8114C">
        <w:lastRenderedPageBreak/>
        <w:t xml:space="preserve">job title throughout the documents </w:t>
      </w:r>
      <w:r w:rsidR="00A0710E">
        <w:t xml:space="preserve">as this reflects the current role and the references can be amended as a factual change without escalation to the board if necessary. </w:t>
      </w:r>
    </w:p>
    <w:p w14:paraId="5608916E" w14:textId="3CA865A9" w:rsidR="007A588A" w:rsidRDefault="007A588A" w:rsidP="00ED1EA8">
      <w:pPr>
        <w:pStyle w:val="NICEnormalnumbered"/>
      </w:pPr>
      <w:r>
        <w:t>The committee que</w:t>
      </w:r>
      <w:r w:rsidR="00AA6EC5">
        <w:t>ried</w:t>
      </w:r>
      <w:r>
        <w:t xml:space="preserve"> the need to increase the level at which board approval is required for expenditure that sits outside of the business plan and budget from £250</w:t>
      </w:r>
      <w:r w:rsidR="002B72B5">
        <w:t>k</w:t>
      </w:r>
      <w:r>
        <w:t xml:space="preserve"> to £500k.  </w:t>
      </w:r>
      <w:r w:rsidR="00AA6EC5">
        <w:t>It</w:t>
      </w:r>
      <w:r>
        <w:t xml:space="preserve"> </w:t>
      </w:r>
      <w:r w:rsidR="00AA6EC5">
        <w:t>was</w:t>
      </w:r>
      <w:r>
        <w:t xml:space="preserve"> reported that this </w:t>
      </w:r>
      <w:r w:rsidR="00AA6EC5">
        <w:t xml:space="preserve">level </w:t>
      </w:r>
      <w:r>
        <w:t>was not out of line with other similar sized ALBs</w:t>
      </w:r>
      <w:r w:rsidR="002B72B5">
        <w:t>,</w:t>
      </w:r>
      <w:r>
        <w:t xml:space="preserve"> and </w:t>
      </w:r>
      <w:r w:rsidR="00AA6EC5">
        <w:t xml:space="preserve">it was </w:t>
      </w:r>
      <w:r>
        <w:t xml:space="preserve">agreed that the limit is kept under review and the committee </w:t>
      </w:r>
      <w:r w:rsidR="00AA6EC5">
        <w:t>be</w:t>
      </w:r>
      <w:r>
        <w:t xml:space="preserve"> advised for an interim period when expenditure within this range, which would have previously come to the board, is approved.  This will be addressed through adding a standing item to the ARC </w:t>
      </w:r>
      <w:r w:rsidR="00AA6EC5">
        <w:t xml:space="preserve">agenda </w:t>
      </w:r>
      <w:r>
        <w:t xml:space="preserve">on any £250k plus expenditure approved by the CEO </w:t>
      </w:r>
      <w:r w:rsidR="00AA6EC5">
        <w:t xml:space="preserve">which is </w:t>
      </w:r>
      <w:r>
        <w:t xml:space="preserve">outside of the </w:t>
      </w:r>
      <w:r w:rsidR="00AA6EC5">
        <w:t xml:space="preserve">approved </w:t>
      </w:r>
      <w:r>
        <w:t>budget.</w:t>
      </w:r>
    </w:p>
    <w:p w14:paraId="137E7C25" w14:textId="77777777" w:rsidR="004B4705" w:rsidRDefault="004B4705" w:rsidP="004B4705">
      <w:pPr>
        <w:pStyle w:val="Heading1boardreport"/>
      </w:pPr>
      <w:r>
        <w:t>Conclusion</w:t>
      </w:r>
    </w:p>
    <w:p w14:paraId="2DE7BBE0" w14:textId="51AD9A7D" w:rsidR="00A0710E" w:rsidRDefault="00775AB5" w:rsidP="00ED1EA8">
      <w:pPr>
        <w:pStyle w:val="NICEnormalnumbered"/>
      </w:pPr>
      <w:r>
        <w:rPr>
          <w:noProof/>
        </w:rPr>
        <w:t>The Board is asked to</w:t>
      </w:r>
      <w:r w:rsidR="00C213C1">
        <w:rPr>
          <w:noProof/>
        </w:rPr>
        <w:t xml:space="preserve"> approve the </w:t>
      </w:r>
      <w:r w:rsidR="009417F2">
        <w:rPr>
          <w:noProof/>
        </w:rPr>
        <w:t xml:space="preserve">revisions to the </w:t>
      </w:r>
      <w:r w:rsidR="00A0710E">
        <w:rPr>
          <w:noProof/>
        </w:rPr>
        <w:t>s</w:t>
      </w:r>
      <w:r w:rsidR="009417F2">
        <w:rPr>
          <w:noProof/>
        </w:rPr>
        <w:t xml:space="preserve">tanding </w:t>
      </w:r>
      <w:r w:rsidR="00A0710E">
        <w:rPr>
          <w:noProof/>
        </w:rPr>
        <w:t>o</w:t>
      </w:r>
      <w:r w:rsidR="009417F2">
        <w:rPr>
          <w:noProof/>
        </w:rPr>
        <w:t xml:space="preserve">rders and </w:t>
      </w:r>
      <w:r w:rsidR="00A0710E">
        <w:rPr>
          <w:noProof/>
        </w:rPr>
        <w:t>s</w:t>
      </w:r>
      <w:r w:rsidR="009417F2">
        <w:rPr>
          <w:noProof/>
        </w:rPr>
        <w:t xml:space="preserve">tanding </w:t>
      </w:r>
      <w:r w:rsidR="00A0710E">
        <w:rPr>
          <w:noProof/>
        </w:rPr>
        <w:t>f</w:t>
      </w:r>
      <w:r w:rsidR="009417F2">
        <w:rPr>
          <w:noProof/>
        </w:rPr>
        <w:t xml:space="preserve">inancial </w:t>
      </w:r>
      <w:r w:rsidR="00A0710E">
        <w:rPr>
          <w:noProof/>
        </w:rPr>
        <w:t>i</w:t>
      </w:r>
      <w:r w:rsidR="009417F2">
        <w:rPr>
          <w:noProof/>
        </w:rPr>
        <w:t>nstructions.</w:t>
      </w:r>
      <w:r w:rsidR="00A0710E">
        <w:rPr>
          <w:noProof/>
        </w:rPr>
        <w:t xml:space="preserve"> </w:t>
      </w:r>
      <w:r w:rsidR="00A0710E">
        <w:t>The table in appendix 1 outlines the main changes in more detail.</w:t>
      </w:r>
    </w:p>
    <w:p w14:paraId="2AA965AA" w14:textId="01776AF7" w:rsidR="009417F2" w:rsidRDefault="009417F2" w:rsidP="008A133F">
      <w:pPr>
        <w:pStyle w:val="Heading1boardreport"/>
        <w:rPr>
          <w:noProof/>
        </w:rPr>
      </w:pPr>
      <w:r>
        <w:rPr>
          <w:noProof/>
        </w:rPr>
        <w:t>Appendices</w:t>
      </w:r>
    </w:p>
    <w:p w14:paraId="4B1F6C02" w14:textId="784D5A76" w:rsidR="009417F2" w:rsidRDefault="009417F2" w:rsidP="000E5789">
      <w:pPr>
        <w:pStyle w:val="NICEnormalnumbered"/>
        <w:numPr>
          <w:ilvl w:val="0"/>
          <w:numId w:val="0"/>
        </w:numPr>
        <w:spacing w:after="120" w:line="240" w:lineRule="auto"/>
        <w:ind w:left="644" w:hanging="360"/>
        <w:rPr>
          <w:noProof/>
        </w:rPr>
      </w:pPr>
      <w:r>
        <w:rPr>
          <w:noProof/>
        </w:rPr>
        <w:t>Appendix 1 – Table of revisions</w:t>
      </w:r>
    </w:p>
    <w:p w14:paraId="283EC5DC" w14:textId="3A5B85DC" w:rsidR="009417F2" w:rsidRDefault="009417F2" w:rsidP="000E5789">
      <w:pPr>
        <w:pStyle w:val="NICEnormalnumbered"/>
        <w:numPr>
          <w:ilvl w:val="0"/>
          <w:numId w:val="0"/>
        </w:numPr>
        <w:spacing w:after="120" w:line="240" w:lineRule="auto"/>
        <w:ind w:left="644" w:hanging="360"/>
        <w:rPr>
          <w:noProof/>
        </w:rPr>
      </w:pPr>
      <w:r>
        <w:rPr>
          <w:noProof/>
        </w:rPr>
        <w:t>Appendix 2 – Standing Orders</w:t>
      </w:r>
    </w:p>
    <w:p w14:paraId="0C525208" w14:textId="295D814F" w:rsidR="009417F2" w:rsidRDefault="009417F2" w:rsidP="000E5789">
      <w:pPr>
        <w:pStyle w:val="NICEnormalnumbered"/>
        <w:numPr>
          <w:ilvl w:val="0"/>
          <w:numId w:val="0"/>
        </w:numPr>
        <w:spacing w:after="120" w:line="240" w:lineRule="auto"/>
        <w:ind w:left="644" w:hanging="360"/>
        <w:rPr>
          <w:noProof/>
        </w:rPr>
      </w:pPr>
      <w:r>
        <w:rPr>
          <w:noProof/>
        </w:rPr>
        <w:t>Appendix 3 – Standing Financial Instructions</w:t>
      </w:r>
    </w:p>
    <w:p w14:paraId="6D2DBD83" w14:textId="77777777" w:rsidR="009417F2" w:rsidRPr="00166FE8" w:rsidRDefault="009417F2" w:rsidP="00BC5122">
      <w:pPr>
        <w:pStyle w:val="NICEnormal"/>
        <w:spacing w:before="2640"/>
        <w:rPr>
          <w:lang w:eastAsia="en-GB"/>
        </w:rPr>
      </w:pPr>
      <w:r w:rsidRPr="00166FE8">
        <w:rPr>
          <w:lang w:eastAsia="en-GB"/>
        </w:rPr>
        <w:t xml:space="preserve">© NICE 2021. All rights reserved. </w:t>
      </w:r>
      <w:hyperlink r:id="rId8" w:anchor="notice-of-rights" w:history="1">
        <w:r w:rsidRPr="00DB6F82">
          <w:rPr>
            <w:rStyle w:val="Hyperlink"/>
          </w:rPr>
          <w:t>Subject to Notice of rights</w:t>
        </w:r>
      </w:hyperlink>
      <w:r w:rsidRPr="00DB6F82">
        <w:t>.</w:t>
      </w:r>
    </w:p>
    <w:p w14:paraId="5AA8B09B" w14:textId="1975505B" w:rsidR="00C213C1" w:rsidRPr="00C213C1" w:rsidRDefault="009417F2" w:rsidP="00C213C1">
      <w:pPr>
        <w:pStyle w:val="NICEnormal"/>
        <w:rPr>
          <w:lang w:eastAsia="en-GB"/>
        </w:rPr>
      </w:pPr>
      <w:r>
        <w:rPr>
          <w:lang w:eastAsia="en-GB"/>
        </w:rPr>
        <w:t>November</w:t>
      </w:r>
      <w:r w:rsidRPr="00166FE8">
        <w:rPr>
          <w:lang w:eastAsia="en-GB"/>
        </w:rPr>
        <w:t xml:space="preserve"> 2021</w:t>
      </w:r>
    </w:p>
    <w:sectPr w:rsidR="00C213C1" w:rsidRPr="00C213C1" w:rsidSect="00B0463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6057D" w14:textId="77777777" w:rsidR="00D11278" w:rsidRDefault="00D11278">
      <w:r>
        <w:separator/>
      </w:r>
    </w:p>
  </w:endnote>
  <w:endnote w:type="continuationSeparator" w:id="0">
    <w:p w14:paraId="0E6BA36A" w14:textId="77777777" w:rsidR="00D11278" w:rsidRDefault="00D1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01B5" w14:textId="77777777" w:rsidR="007824C0" w:rsidRDefault="00782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B63C" w14:textId="77777777" w:rsidR="004B4705" w:rsidRPr="00E70BE7" w:rsidRDefault="004B4705" w:rsidP="004B4705">
    <w:pPr>
      <w:pStyle w:val="Footer"/>
      <w:tabs>
        <w:tab w:val="right" w:pos="8931"/>
        <w:tab w:val="right" w:pos="13892"/>
      </w:tabs>
      <w:rPr>
        <w:szCs w:val="16"/>
      </w:rPr>
    </w:pPr>
    <w:r w:rsidRPr="00E70BE7">
      <w:rPr>
        <w:szCs w:val="16"/>
      </w:rPr>
      <w:t>National Institute for Health and Care Excellence</w:t>
    </w:r>
    <w:r w:rsidRPr="00E70BE7">
      <w:rPr>
        <w:szCs w:val="16"/>
      </w:rPr>
      <w:tab/>
    </w:r>
    <w:r w:rsidR="003B7BCF" w:rsidRPr="00E70BE7">
      <w:rPr>
        <w:szCs w:val="16"/>
      </w:rPr>
      <w:tab/>
    </w:r>
    <w:r w:rsidRPr="00E70BE7">
      <w:rPr>
        <w:szCs w:val="16"/>
      </w:rPr>
      <w:t xml:space="preserve">Page </w:t>
    </w:r>
    <w:r w:rsidRPr="00E70BE7">
      <w:rPr>
        <w:szCs w:val="16"/>
      </w:rPr>
      <w:fldChar w:fldCharType="begin"/>
    </w:r>
    <w:r w:rsidRPr="00E70BE7">
      <w:rPr>
        <w:szCs w:val="16"/>
      </w:rPr>
      <w:instrText xml:space="preserve"> PAGE  \* Arabic  \* MERGEFORMAT </w:instrText>
    </w:r>
    <w:r w:rsidRPr="00E70BE7">
      <w:rPr>
        <w:szCs w:val="16"/>
      </w:rPr>
      <w:fldChar w:fldCharType="separate"/>
    </w:r>
    <w:r w:rsidRPr="00E70BE7">
      <w:rPr>
        <w:noProof/>
        <w:szCs w:val="16"/>
      </w:rPr>
      <w:t>7</w:t>
    </w:r>
    <w:r w:rsidRPr="00E70BE7">
      <w:rPr>
        <w:szCs w:val="16"/>
      </w:rPr>
      <w:fldChar w:fldCharType="end"/>
    </w:r>
    <w:r w:rsidRPr="00E70BE7">
      <w:rPr>
        <w:szCs w:val="16"/>
      </w:rPr>
      <w:t xml:space="preserve"> of </w:t>
    </w:r>
    <w:r w:rsidRPr="00E70BE7">
      <w:rPr>
        <w:szCs w:val="16"/>
      </w:rPr>
      <w:fldChar w:fldCharType="begin"/>
    </w:r>
    <w:r w:rsidRPr="00E70BE7">
      <w:rPr>
        <w:szCs w:val="16"/>
      </w:rPr>
      <w:instrText xml:space="preserve"> NUMPAGES  \* Arabic  \* MERGEFORMAT </w:instrText>
    </w:r>
    <w:r w:rsidRPr="00E70BE7">
      <w:rPr>
        <w:szCs w:val="16"/>
      </w:rPr>
      <w:fldChar w:fldCharType="separate"/>
    </w:r>
    <w:r w:rsidRPr="00E70BE7">
      <w:rPr>
        <w:noProof/>
        <w:szCs w:val="16"/>
      </w:rPr>
      <w:t>8</w:t>
    </w:r>
    <w:r w:rsidRPr="00E70BE7">
      <w:rPr>
        <w:szCs w:val="16"/>
      </w:rPr>
      <w:fldChar w:fldCharType="end"/>
    </w:r>
  </w:p>
  <w:p w14:paraId="7126D1F8" w14:textId="0B798E00" w:rsidR="00E70BE7" w:rsidRPr="00E70BE7" w:rsidRDefault="00C82C47" w:rsidP="00E70BE7">
    <w:pPr>
      <w:pStyle w:val="Footer"/>
      <w:rPr>
        <w:szCs w:val="16"/>
      </w:rPr>
    </w:pPr>
    <w:r>
      <w:rPr>
        <w:szCs w:val="16"/>
      </w:rPr>
      <w:t>Revisions to SOs and SFIs</w:t>
    </w:r>
    <w:r w:rsidR="00E70BE7" w:rsidRPr="00E70BE7">
      <w:rPr>
        <w:szCs w:val="16"/>
      </w:rPr>
      <w:t xml:space="preserve"> </w:t>
    </w:r>
  </w:p>
  <w:p w14:paraId="7951FD72" w14:textId="00B80F13" w:rsidR="004B4705" w:rsidRPr="002A231B" w:rsidRDefault="00E70BE7" w:rsidP="004B4705">
    <w:pPr>
      <w:pStyle w:val="Footer"/>
      <w:rPr>
        <w:szCs w:val="16"/>
      </w:rPr>
    </w:pPr>
    <w:r w:rsidRPr="00E70BE7">
      <w:rPr>
        <w:szCs w:val="16"/>
      </w:rPr>
      <w:t xml:space="preserve">Date: </w:t>
    </w:r>
    <w:r w:rsidR="00C82C47">
      <w:rPr>
        <w:szCs w:val="16"/>
      </w:rPr>
      <w:t xml:space="preserve">17 November </w:t>
    </w:r>
    <w:r w:rsidRPr="00E70BE7">
      <w:rPr>
        <w:szCs w:val="16"/>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E7CC" w14:textId="77777777" w:rsidR="007824C0" w:rsidRDefault="0078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FC9B" w14:textId="77777777" w:rsidR="00D11278" w:rsidRDefault="00D11278">
      <w:r>
        <w:separator/>
      </w:r>
    </w:p>
  </w:footnote>
  <w:footnote w:type="continuationSeparator" w:id="0">
    <w:p w14:paraId="026F1BAA" w14:textId="77777777" w:rsidR="00D11278" w:rsidRDefault="00D11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3D9C" w14:textId="77777777" w:rsidR="007824C0" w:rsidRDefault="00782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C793" w14:textId="4B211A8C" w:rsidR="004B4705" w:rsidRDefault="004B4705" w:rsidP="004B4705">
    <w:pPr>
      <w:pStyle w:val="Header"/>
      <w:jc w:val="right"/>
    </w:pPr>
    <w:r w:rsidRPr="002A231B">
      <w:t xml:space="preserve">Item </w:t>
    </w:r>
    <w:r w:rsidR="009107B8">
      <w:t>1</w:t>
    </w:r>
    <w:r w:rsidR="007824C0">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46E9" w14:textId="77777777" w:rsidR="007824C0" w:rsidRDefault="00782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21B15"/>
    <w:multiLevelType w:val="multilevel"/>
    <w:tmpl w:val="4396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1.%2.%3.%4"/>
      <w:lvlJc w:val="left"/>
      <w:pPr>
        <w:tabs>
          <w:tab w:val="num" w:pos="834"/>
        </w:tabs>
        <w:ind w:left="834" w:hanging="964"/>
      </w:pPr>
      <w:rPr>
        <w:rFonts w:hint="default"/>
      </w:rPr>
    </w:lvl>
    <w:lvl w:ilvl="4">
      <w:start w:val="1"/>
      <w:numFmt w:val="decimal"/>
      <w:lvlText w:val="%1.%2.%3.%4.%5."/>
      <w:lvlJc w:val="left"/>
      <w:pPr>
        <w:tabs>
          <w:tab w:val="num" w:pos="4190"/>
        </w:tabs>
        <w:ind w:left="2102" w:hanging="792"/>
      </w:pPr>
      <w:rPr>
        <w:rFonts w:hint="default"/>
      </w:rPr>
    </w:lvl>
    <w:lvl w:ilvl="5">
      <w:start w:val="1"/>
      <w:numFmt w:val="decimal"/>
      <w:lvlText w:val="%1.%2.%3.%4.%5.%6."/>
      <w:lvlJc w:val="left"/>
      <w:pPr>
        <w:tabs>
          <w:tab w:val="num" w:pos="5270"/>
        </w:tabs>
        <w:ind w:left="2606" w:hanging="936"/>
      </w:pPr>
      <w:rPr>
        <w:rFonts w:hint="default"/>
      </w:rPr>
    </w:lvl>
    <w:lvl w:ilvl="6">
      <w:start w:val="1"/>
      <w:numFmt w:val="decimal"/>
      <w:lvlText w:val="%1.%2.%3.%4.%5.%6.%7."/>
      <w:lvlJc w:val="left"/>
      <w:pPr>
        <w:tabs>
          <w:tab w:val="num" w:pos="6350"/>
        </w:tabs>
        <w:ind w:left="3110" w:hanging="1080"/>
      </w:pPr>
      <w:rPr>
        <w:rFonts w:hint="default"/>
      </w:rPr>
    </w:lvl>
    <w:lvl w:ilvl="7">
      <w:start w:val="1"/>
      <w:numFmt w:val="decimal"/>
      <w:lvlText w:val="%1.%2.%3.%4.%5.%6.%7.%8."/>
      <w:lvlJc w:val="left"/>
      <w:pPr>
        <w:tabs>
          <w:tab w:val="num" w:pos="7070"/>
        </w:tabs>
        <w:ind w:left="3614" w:hanging="1224"/>
      </w:pPr>
      <w:rPr>
        <w:rFonts w:hint="default"/>
      </w:rPr>
    </w:lvl>
    <w:lvl w:ilvl="8">
      <w:start w:val="1"/>
      <w:numFmt w:val="decimal"/>
      <w:lvlText w:val="%1.%2.%3.%4.%5.%6.%7.%8.%9."/>
      <w:lvlJc w:val="left"/>
      <w:pPr>
        <w:tabs>
          <w:tab w:val="num" w:pos="8150"/>
        </w:tabs>
        <w:ind w:left="4190"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933AB"/>
    <w:multiLevelType w:val="hybridMultilevel"/>
    <w:tmpl w:val="D5DE21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5ACC9930"/>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indent2"/>
      <w:lvlText w:val=""/>
      <w:lvlJc w:val="left"/>
      <w:pPr>
        <w:tabs>
          <w:tab w:val="num" w:pos="567"/>
        </w:tabs>
        <w:ind w:left="567" w:hanging="283"/>
      </w:pPr>
      <w:rPr>
        <w:rFonts w:ascii="Symbol" w:hAnsi="Symbol" w:hint="default"/>
      </w:rPr>
    </w:lvl>
    <w:lvl w:ilvl="2">
      <w:start w:val="1"/>
      <w:numFmt w:val="decimal"/>
      <w:lvlText w:val="%3.%1.%2"/>
      <w:lvlJc w:val="left"/>
      <w:pPr>
        <w:tabs>
          <w:tab w:val="num" w:pos="834"/>
        </w:tabs>
        <w:ind w:left="834" w:hanging="964"/>
      </w:pPr>
      <w:rPr>
        <w:rFonts w:hint="default"/>
      </w:rPr>
    </w:lvl>
    <w:lvl w:ilvl="3">
      <w:start w:val="1"/>
      <w:numFmt w:val="decimal"/>
      <w:lvlText w:val="%1.%2.%3.%4"/>
      <w:lvlJc w:val="left"/>
      <w:pPr>
        <w:tabs>
          <w:tab w:val="num" w:pos="834"/>
        </w:tabs>
        <w:ind w:left="834" w:hanging="964"/>
      </w:pPr>
      <w:rPr>
        <w:rFonts w:hint="default"/>
      </w:rPr>
    </w:lvl>
    <w:lvl w:ilvl="4">
      <w:start w:val="1"/>
      <w:numFmt w:val="decimal"/>
      <w:lvlText w:val="%1.%2.%3.%4.%5."/>
      <w:lvlJc w:val="left"/>
      <w:pPr>
        <w:tabs>
          <w:tab w:val="num" w:pos="4190"/>
        </w:tabs>
        <w:ind w:left="2102" w:hanging="792"/>
      </w:pPr>
      <w:rPr>
        <w:rFonts w:hint="default"/>
      </w:rPr>
    </w:lvl>
    <w:lvl w:ilvl="5">
      <w:start w:val="1"/>
      <w:numFmt w:val="decimal"/>
      <w:lvlText w:val="%1.%2.%3.%4.%5.%6."/>
      <w:lvlJc w:val="left"/>
      <w:pPr>
        <w:tabs>
          <w:tab w:val="num" w:pos="5270"/>
        </w:tabs>
        <w:ind w:left="2606" w:hanging="936"/>
      </w:pPr>
      <w:rPr>
        <w:rFonts w:hint="default"/>
      </w:rPr>
    </w:lvl>
    <w:lvl w:ilvl="6">
      <w:start w:val="1"/>
      <w:numFmt w:val="decimal"/>
      <w:lvlText w:val="%1.%2.%3.%4.%5.%6.%7."/>
      <w:lvlJc w:val="left"/>
      <w:pPr>
        <w:tabs>
          <w:tab w:val="num" w:pos="6350"/>
        </w:tabs>
        <w:ind w:left="3110" w:hanging="1080"/>
      </w:pPr>
      <w:rPr>
        <w:rFonts w:hint="default"/>
      </w:rPr>
    </w:lvl>
    <w:lvl w:ilvl="7">
      <w:start w:val="1"/>
      <w:numFmt w:val="decimal"/>
      <w:lvlText w:val="%1.%2.%3.%4.%5.%6.%7.%8."/>
      <w:lvlJc w:val="left"/>
      <w:pPr>
        <w:tabs>
          <w:tab w:val="num" w:pos="7070"/>
        </w:tabs>
        <w:ind w:left="3614" w:hanging="1224"/>
      </w:pPr>
      <w:rPr>
        <w:rFonts w:hint="default"/>
      </w:rPr>
    </w:lvl>
    <w:lvl w:ilvl="8">
      <w:start w:val="1"/>
      <w:numFmt w:val="decimal"/>
      <w:lvlText w:val="%1.%2.%3.%4.%5.%6.%7.%8.%9."/>
      <w:lvlJc w:val="left"/>
      <w:pPr>
        <w:tabs>
          <w:tab w:val="num" w:pos="8150"/>
        </w:tabs>
        <w:ind w:left="4190"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3AD4971"/>
    <w:multiLevelType w:val="hybridMultilevel"/>
    <w:tmpl w:val="694C17B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CC02B7"/>
    <w:multiLevelType w:val="hybridMultilevel"/>
    <w:tmpl w:val="AC1899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93D14"/>
    <w:multiLevelType w:val="hybridMultilevel"/>
    <w:tmpl w:val="CBDC7498"/>
    <w:lvl w:ilvl="0" w:tplc="6C40484A">
      <w:start w:val="1"/>
      <w:numFmt w:val="decimal"/>
      <w:lvlText w:val="%1."/>
      <w:lvlJc w:val="left"/>
      <w:pPr>
        <w:ind w:left="851" w:hanging="851"/>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8315BD"/>
    <w:multiLevelType w:val="hybridMultilevel"/>
    <w:tmpl w:val="D91A74A4"/>
    <w:lvl w:ilvl="0" w:tplc="2DFEEC68">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E72C8F"/>
    <w:multiLevelType w:val="hybridMultilevel"/>
    <w:tmpl w:val="52C0F3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D6524B"/>
    <w:multiLevelType w:val="hybridMultilevel"/>
    <w:tmpl w:val="AFBEA0A2"/>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987F9E"/>
    <w:multiLevelType w:val="multilevel"/>
    <w:tmpl w:val="3640C300"/>
    <w:lvl w:ilvl="0">
      <w:start w:val="1"/>
      <w:numFmt w:val="bullet"/>
      <w:lvlText w:val=""/>
      <w:lvlJc w:val="left"/>
      <w:pPr>
        <w:tabs>
          <w:tab w:val="num" w:pos="-555"/>
        </w:tabs>
        <w:ind w:left="-555" w:hanging="360"/>
      </w:pPr>
      <w:rPr>
        <w:rFonts w:ascii="Symbol" w:hAnsi="Symbol" w:hint="default"/>
        <w:sz w:val="20"/>
      </w:rPr>
    </w:lvl>
    <w:lvl w:ilvl="1" w:tentative="1">
      <w:start w:val="1"/>
      <w:numFmt w:val="bullet"/>
      <w:lvlText w:val="o"/>
      <w:lvlJc w:val="left"/>
      <w:pPr>
        <w:tabs>
          <w:tab w:val="num" w:pos="165"/>
        </w:tabs>
        <w:ind w:left="165" w:hanging="360"/>
      </w:pPr>
      <w:rPr>
        <w:rFonts w:ascii="Courier New" w:hAnsi="Courier New" w:hint="default"/>
        <w:sz w:val="20"/>
      </w:rPr>
    </w:lvl>
    <w:lvl w:ilvl="2" w:tentative="1">
      <w:start w:val="1"/>
      <w:numFmt w:val="bullet"/>
      <w:lvlText w:val=""/>
      <w:lvlJc w:val="left"/>
      <w:pPr>
        <w:tabs>
          <w:tab w:val="num" w:pos="885"/>
        </w:tabs>
        <w:ind w:left="885" w:hanging="360"/>
      </w:pPr>
      <w:rPr>
        <w:rFonts w:ascii="Wingdings" w:hAnsi="Wingdings" w:hint="default"/>
        <w:sz w:val="20"/>
      </w:rPr>
    </w:lvl>
    <w:lvl w:ilvl="3" w:tentative="1">
      <w:start w:val="1"/>
      <w:numFmt w:val="bullet"/>
      <w:lvlText w:val=""/>
      <w:lvlJc w:val="left"/>
      <w:pPr>
        <w:tabs>
          <w:tab w:val="num" w:pos="1605"/>
        </w:tabs>
        <w:ind w:left="1605" w:hanging="360"/>
      </w:pPr>
      <w:rPr>
        <w:rFonts w:ascii="Wingdings" w:hAnsi="Wingdings" w:hint="default"/>
        <w:sz w:val="20"/>
      </w:rPr>
    </w:lvl>
    <w:lvl w:ilvl="4" w:tentative="1">
      <w:start w:val="1"/>
      <w:numFmt w:val="bullet"/>
      <w:lvlText w:val=""/>
      <w:lvlJc w:val="left"/>
      <w:pPr>
        <w:tabs>
          <w:tab w:val="num" w:pos="2325"/>
        </w:tabs>
        <w:ind w:left="2325" w:hanging="360"/>
      </w:pPr>
      <w:rPr>
        <w:rFonts w:ascii="Wingdings" w:hAnsi="Wingdings" w:hint="default"/>
        <w:sz w:val="20"/>
      </w:rPr>
    </w:lvl>
    <w:lvl w:ilvl="5" w:tentative="1">
      <w:start w:val="1"/>
      <w:numFmt w:val="bullet"/>
      <w:lvlText w:val=""/>
      <w:lvlJc w:val="left"/>
      <w:pPr>
        <w:tabs>
          <w:tab w:val="num" w:pos="3045"/>
        </w:tabs>
        <w:ind w:left="3045" w:hanging="360"/>
      </w:pPr>
      <w:rPr>
        <w:rFonts w:ascii="Wingdings" w:hAnsi="Wingdings" w:hint="default"/>
        <w:sz w:val="20"/>
      </w:rPr>
    </w:lvl>
    <w:lvl w:ilvl="6" w:tentative="1">
      <w:start w:val="1"/>
      <w:numFmt w:val="bullet"/>
      <w:lvlText w:val=""/>
      <w:lvlJc w:val="left"/>
      <w:pPr>
        <w:tabs>
          <w:tab w:val="num" w:pos="3765"/>
        </w:tabs>
        <w:ind w:left="3765" w:hanging="360"/>
      </w:pPr>
      <w:rPr>
        <w:rFonts w:ascii="Wingdings" w:hAnsi="Wingdings" w:hint="default"/>
        <w:sz w:val="20"/>
      </w:rPr>
    </w:lvl>
    <w:lvl w:ilvl="7" w:tentative="1">
      <w:start w:val="1"/>
      <w:numFmt w:val="bullet"/>
      <w:lvlText w:val=""/>
      <w:lvlJc w:val="left"/>
      <w:pPr>
        <w:tabs>
          <w:tab w:val="num" w:pos="4485"/>
        </w:tabs>
        <w:ind w:left="4485" w:hanging="360"/>
      </w:pPr>
      <w:rPr>
        <w:rFonts w:ascii="Wingdings" w:hAnsi="Wingdings" w:hint="default"/>
        <w:sz w:val="20"/>
      </w:rPr>
    </w:lvl>
    <w:lvl w:ilvl="8" w:tentative="1">
      <w:start w:val="1"/>
      <w:numFmt w:val="bullet"/>
      <w:lvlText w:val=""/>
      <w:lvlJc w:val="left"/>
      <w:pPr>
        <w:tabs>
          <w:tab w:val="num" w:pos="5205"/>
        </w:tabs>
        <w:ind w:left="5205" w:hanging="360"/>
      </w:pPr>
      <w:rPr>
        <w:rFonts w:ascii="Wingdings" w:hAnsi="Wingdings" w:hint="default"/>
        <w:sz w:val="20"/>
      </w:rPr>
    </w:lvl>
  </w:abstractNum>
  <w:abstractNum w:abstractNumId="35" w15:restartNumberingAfterBreak="0">
    <w:nsid w:val="797B30B4"/>
    <w:multiLevelType w:val="hybridMultilevel"/>
    <w:tmpl w:val="58EA790E"/>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31"/>
  </w:num>
  <w:num w:numId="3">
    <w:abstractNumId w:val="17"/>
  </w:num>
  <w:num w:numId="4">
    <w:abstractNumId w:val="18"/>
  </w:num>
  <w:num w:numId="5">
    <w:abstractNumId w:val="6"/>
  </w:num>
  <w:num w:numId="6">
    <w:abstractNumId w:val="9"/>
  </w:num>
  <w:num w:numId="7">
    <w:abstractNumId w:val="14"/>
  </w:num>
  <w:num w:numId="8">
    <w:abstractNumId w:val="16"/>
  </w:num>
  <w:num w:numId="9">
    <w:abstractNumId w:val="20"/>
  </w:num>
  <w:num w:numId="10">
    <w:abstractNumId w:val="8"/>
  </w:num>
  <w:num w:numId="11">
    <w:abstractNumId w:val="29"/>
  </w:num>
  <w:num w:numId="12">
    <w:abstractNumId w:val="12"/>
  </w:num>
  <w:num w:numId="13">
    <w:abstractNumId w:val="19"/>
  </w:num>
  <w:num w:numId="14">
    <w:abstractNumId w:val="24"/>
  </w:num>
  <w:num w:numId="15">
    <w:abstractNumId w:val="13"/>
  </w:num>
  <w:num w:numId="16">
    <w:abstractNumId w:val="0"/>
  </w:num>
  <w:num w:numId="17">
    <w:abstractNumId w:val="2"/>
  </w:num>
  <w:num w:numId="18">
    <w:abstractNumId w:val="10"/>
  </w:num>
  <w:num w:numId="19">
    <w:abstractNumId w:val="15"/>
  </w:num>
  <w:num w:numId="20">
    <w:abstractNumId w:val="7"/>
  </w:num>
  <w:num w:numId="21">
    <w:abstractNumId w:val="30"/>
  </w:num>
  <w:num w:numId="22">
    <w:abstractNumId w:val="27"/>
  </w:num>
  <w:num w:numId="23">
    <w:abstractNumId w:val="32"/>
  </w:num>
  <w:num w:numId="24">
    <w:abstractNumId w:val="11"/>
  </w:num>
  <w:num w:numId="25">
    <w:abstractNumId w:val="4"/>
  </w:num>
  <w:num w:numId="26">
    <w:abstractNumId w:val="4"/>
    <w:lvlOverride w:ilvl="0">
      <w:startOverride w:val="1"/>
    </w:lvlOverride>
  </w:num>
  <w:num w:numId="27">
    <w:abstractNumId w:val="25"/>
  </w:num>
  <w:num w:numId="28">
    <w:abstractNumId w:val="21"/>
  </w:num>
  <w:num w:numId="29">
    <w:abstractNumId w:val="28"/>
  </w:num>
  <w:num w:numId="30">
    <w:abstractNumId w:val="33"/>
  </w:num>
  <w:num w:numId="31">
    <w:abstractNumId w:val="35"/>
  </w:num>
  <w:num w:numId="32">
    <w:abstractNumId w:val="26"/>
  </w:num>
  <w:num w:numId="33">
    <w:abstractNumId w:val="14"/>
  </w:num>
  <w:num w:numId="34">
    <w:abstractNumId w:val="23"/>
  </w:num>
  <w:num w:numId="35">
    <w:abstractNumId w:val="1"/>
  </w:num>
  <w:num w:numId="36">
    <w:abstractNumId w:val="34"/>
  </w:num>
  <w:num w:numId="37">
    <w:abstractNumId w:val="5"/>
  </w:num>
  <w:num w:numId="38">
    <w:abstractNumId w:val="4"/>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E7"/>
    <w:rsid w:val="000119FB"/>
    <w:rsid w:val="00017FB1"/>
    <w:rsid w:val="000242AA"/>
    <w:rsid w:val="00027D94"/>
    <w:rsid w:val="00030BD6"/>
    <w:rsid w:val="00047A73"/>
    <w:rsid w:val="00055ED8"/>
    <w:rsid w:val="00081A0C"/>
    <w:rsid w:val="000A1EC0"/>
    <w:rsid w:val="000A3F06"/>
    <w:rsid w:val="000C3F75"/>
    <w:rsid w:val="000C4168"/>
    <w:rsid w:val="000E5789"/>
    <w:rsid w:val="000E6C5F"/>
    <w:rsid w:val="00101F34"/>
    <w:rsid w:val="0010545A"/>
    <w:rsid w:val="00113471"/>
    <w:rsid w:val="001172E1"/>
    <w:rsid w:val="001219F1"/>
    <w:rsid w:val="00123D3F"/>
    <w:rsid w:val="00131EB8"/>
    <w:rsid w:val="001427A9"/>
    <w:rsid w:val="00161905"/>
    <w:rsid w:val="00161AA0"/>
    <w:rsid w:val="001930CA"/>
    <w:rsid w:val="001A6FA2"/>
    <w:rsid w:val="001B0506"/>
    <w:rsid w:val="001C032E"/>
    <w:rsid w:val="001D03E3"/>
    <w:rsid w:val="001E73E0"/>
    <w:rsid w:val="0020146B"/>
    <w:rsid w:val="002169E7"/>
    <w:rsid w:val="00235CAB"/>
    <w:rsid w:val="00251D56"/>
    <w:rsid w:val="002526E6"/>
    <w:rsid w:val="002535B1"/>
    <w:rsid w:val="00256441"/>
    <w:rsid w:val="00285322"/>
    <w:rsid w:val="002A3712"/>
    <w:rsid w:val="002B72B5"/>
    <w:rsid w:val="002C3FAA"/>
    <w:rsid w:val="002C6249"/>
    <w:rsid w:val="002F15CF"/>
    <w:rsid w:val="003016E3"/>
    <w:rsid w:val="00315CC5"/>
    <w:rsid w:val="0031664C"/>
    <w:rsid w:val="003330E6"/>
    <w:rsid w:val="00341DCE"/>
    <w:rsid w:val="00342BE3"/>
    <w:rsid w:val="00353D3E"/>
    <w:rsid w:val="00362226"/>
    <w:rsid w:val="00377E36"/>
    <w:rsid w:val="003B1379"/>
    <w:rsid w:val="003B7BCF"/>
    <w:rsid w:val="003C36AC"/>
    <w:rsid w:val="003D3951"/>
    <w:rsid w:val="0042720F"/>
    <w:rsid w:val="004323F7"/>
    <w:rsid w:val="004511A7"/>
    <w:rsid w:val="004519B2"/>
    <w:rsid w:val="00461997"/>
    <w:rsid w:val="004820E9"/>
    <w:rsid w:val="0048224C"/>
    <w:rsid w:val="0048361F"/>
    <w:rsid w:val="00484FE9"/>
    <w:rsid w:val="00485B88"/>
    <w:rsid w:val="004914C0"/>
    <w:rsid w:val="004B4705"/>
    <w:rsid w:val="004B514C"/>
    <w:rsid w:val="00526C07"/>
    <w:rsid w:val="0053387C"/>
    <w:rsid w:val="005614AA"/>
    <w:rsid w:val="0056249A"/>
    <w:rsid w:val="005860F4"/>
    <w:rsid w:val="005866B1"/>
    <w:rsid w:val="005A5E10"/>
    <w:rsid w:val="005A67EC"/>
    <w:rsid w:val="005C051F"/>
    <w:rsid w:val="005C762E"/>
    <w:rsid w:val="005D098C"/>
    <w:rsid w:val="00603E56"/>
    <w:rsid w:val="00605DD6"/>
    <w:rsid w:val="0060662A"/>
    <w:rsid w:val="00614BDA"/>
    <w:rsid w:val="0061633B"/>
    <w:rsid w:val="00617519"/>
    <w:rsid w:val="006331B4"/>
    <w:rsid w:val="006343F3"/>
    <w:rsid w:val="00642906"/>
    <w:rsid w:val="006571D4"/>
    <w:rsid w:val="006711AD"/>
    <w:rsid w:val="00680B94"/>
    <w:rsid w:val="006A721F"/>
    <w:rsid w:val="006C0FB1"/>
    <w:rsid w:val="006D73F1"/>
    <w:rsid w:val="007277C3"/>
    <w:rsid w:val="00732519"/>
    <w:rsid w:val="00737F9C"/>
    <w:rsid w:val="007425E6"/>
    <w:rsid w:val="00761652"/>
    <w:rsid w:val="00775AB5"/>
    <w:rsid w:val="007824C0"/>
    <w:rsid w:val="007A174B"/>
    <w:rsid w:val="007A4EEE"/>
    <w:rsid w:val="007A588A"/>
    <w:rsid w:val="007B4C1B"/>
    <w:rsid w:val="007D1995"/>
    <w:rsid w:val="007D4E2C"/>
    <w:rsid w:val="008505C3"/>
    <w:rsid w:val="00862C0C"/>
    <w:rsid w:val="008853CB"/>
    <w:rsid w:val="008A133F"/>
    <w:rsid w:val="008A3CB5"/>
    <w:rsid w:val="008A6557"/>
    <w:rsid w:val="008C0926"/>
    <w:rsid w:val="008C4B29"/>
    <w:rsid w:val="008C782E"/>
    <w:rsid w:val="008D42A1"/>
    <w:rsid w:val="008D6069"/>
    <w:rsid w:val="008E7585"/>
    <w:rsid w:val="00906740"/>
    <w:rsid w:val="009107B8"/>
    <w:rsid w:val="00921354"/>
    <w:rsid w:val="00933322"/>
    <w:rsid w:val="009417F2"/>
    <w:rsid w:val="0094366C"/>
    <w:rsid w:val="00953ADF"/>
    <w:rsid w:val="00971131"/>
    <w:rsid w:val="009871F3"/>
    <w:rsid w:val="009A0289"/>
    <w:rsid w:val="009A5B47"/>
    <w:rsid w:val="009A5FC9"/>
    <w:rsid w:val="009B621A"/>
    <w:rsid w:val="009C032E"/>
    <w:rsid w:val="009C45D9"/>
    <w:rsid w:val="009C4E5E"/>
    <w:rsid w:val="009C5F75"/>
    <w:rsid w:val="00A06657"/>
    <w:rsid w:val="00A0710E"/>
    <w:rsid w:val="00A172A6"/>
    <w:rsid w:val="00A24C1C"/>
    <w:rsid w:val="00A36575"/>
    <w:rsid w:val="00A43D6C"/>
    <w:rsid w:val="00A86D3D"/>
    <w:rsid w:val="00A956DE"/>
    <w:rsid w:val="00AA225F"/>
    <w:rsid w:val="00AA6EC5"/>
    <w:rsid w:val="00AB2948"/>
    <w:rsid w:val="00AB39FA"/>
    <w:rsid w:val="00AC551E"/>
    <w:rsid w:val="00AD34A5"/>
    <w:rsid w:val="00AD5CB7"/>
    <w:rsid w:val="00AD5E0B"/>
    <w:rsid w:val="00AD6933"/>
    <w:rsid w:val="00AD6B7B"/>
    <w:rsid w:val="00B0463B"/>
    <w:rsid w:val="00B15262"/>
    <w:rsid w:val="00B36685"/>
    <w:rsid w:val="00B4583E"/>
    <w:rsid w:val="00B60D70"/>
    <w:rsid w:val="00B7280F"/>
    <w:rsid w:val="00B80EE7"/>
    <w:rsid w:val="00B84BC1"/>
    <w:rsid w:val="00B9522B"/>
    <w:rsid w:val="00BA0179"/>
    <w:rsid w:val="00BA51EA"/>
    <w:rsid w:val="00BA589F"/>
    <w:rsid w:val="00BB047B"/>
    <w:rsid w:val="00BB6398"/>
    <w:rsid w:val="00BC0E86"/>
    <w:rsid w:val="00BC5122"/>
    <w:rsid w:val="00BD0372"/>
    <w:rsid w:val="00BD246E"/>
    <w:rsid w:val="00BF4768"/>
    <w:rsid w:val="00C02C5E"/>
    <w:rsid w:val="00C04883"/>
    <w:rsid w:val="00C139CA"/>
    <w:rsid w:val="00C213C1"/>
    <w:rsid w:val="00C433C5"/>
    <w:rsid w:val="00C44707"/>
    <w:rsid w:val="00C51429"/>
    <w:rsid w:val="00C82C47"/>
    <w:rsid w:val="00CA3397"/>
    <w:rsid w:val="00CA33E1"/>
    <w:rsid w:val="00CB3639"/>
    <w:rsid w:val="00CB6BEB"/>
    <w:rsid w:val="00CE7855"/>
    <w:rsid w:val="00D11278"/>
    <w:rsid w:val="00D24CF9"/>
    <w:rsid w:val="00D3612A"/>
    <w:rsid w:val="00D37703"/>
    <w:rsid w:val="00D37F25"/>
    <w:rsid w:val="00D453F6"/>
    <w:rsid w:val="00D60D8D"/>
    <w:rsid w:val="00D60E7D"/>
    <w:rsid w:val="00D73C98"/>
    <w:rsid w:val="00DA11DD"/>
    <w:rsid w:val="00DC0120"/>
    <w:rsid w:val="00DC0208"/>
    <w:rsid w:val="00DE643F"/>
    <w:rsid w:val="00E2509B"/>
    <w:rsid w:val="00E41817"/>
    <w:rsid w:val="00E4622C"/>
    <w:rsid w:val="00E46571"/>
    <w:rsid w:val="00E51FFB"/>
    <w:rsid w:val="00E53498"/>
    <w:rsid w:val="00E63855"/>
    <w:rsid w:val="00E70BE7"/>
    <w:rsid w:val="00E93BB3"/>
    <w:rsid w:val="00E95993"/>
    <w:rsid w:val="00EB03BB"/>
    <w:rsid w:val="00EB1C36"/>
    <w:rsid w:val="00EC2D63"/>
    <w:rsid w:val="00ED1EA8"/>
    <w:rsid w:val="00EE2EB2"/>
    <w:rsid w:val="00EE406C"/>
    <w:rsid w:val="00F07534"/>
    <w:rsid w:val="00F26A9F"/>
    <w:rsid w:val="00F26E68"/>
    <w:rsid w:val="00F33119"/>
    <w:rsid w:val="00F42073"/>
    <w:rsid w:val="00F67EE6"/>
    <w:rsid w:val="00F73C47"/>
    <w:rsid w:val="00F8114C"/>
    <w:rsid w:val="00F81F2C"/>
    <w:rsid w:val="00F8697C"/>
    <w:rsid w:val="00F90E63"/>
    <w:rsid w:val="00F9257C"/>
    <w:rsid w:val="00FA66A6"/>
    <w:rsid w:val="00FA6EE7"/>
    <w:rsid w:val="00FB47DD"/>
    <w:rsid w:val="00FB73D3"/>
    <w:rsid w:val="00FD4756"/>
    <w:rsid w:val="00FF3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0936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8C4B29"/>
    <w:rPr>
      <w:b/>
      <w:bCs/>
      <w:lang w:eastAsia="en-US"/>
    </w:rPr>
  </w:style>
  <w:style w:type="character" w:customStyle="1" w:styleId="CommentSubjectChar">
    <w:name w:val="Comment Subject Char"/>
    <w:basedOn w:val="CommentTextChar"/>
    <w:link w:val="CommentSubject"/>
    <w:rsid w:val="008C4B2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E5E7-3F41-45B8-87C1-4327ECB6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2021-11-10T13:44:00Z</dcterms:created>
  <dcterms:modified xsi:type="dcterms:W3CDTF">2021-11-10T14:13:00Z</dcterms:modified>
</cp:coreProperties>
</file>