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966D4" w14:textId="14D056C0" w:rsidR="00482C01" w:rsidRDefault="00482C01" w:rsidP="00482C01">
      <w:pPr>
        <w:jc w:val="center"/>
        <w:rPr>
          <w:rFonts w:ascii="Arial" w:hAnsi="Arial" w:cs="Arial"/>
          <w:b/>
          <w:sz w:val="32"/>
          <w:szCs w:val="32"/>
        </w:rPr>
      </w:pPr>
      <w:bookmarkStart w:id="0" w:name="_Toc383595130"/>
      <w:r w:rsidRPr="00861C2E">
        <w:rPr>
          <w:rFonts w:ascii="Arial" w:hAnsi="Arial" w:cs="Arial"/>
          <w:b/>
          <w:sz w:val="32"/>
          <w:szCs w:val="32"/>
        </w:rPr>
        <w:t>NATIONAL INSTITUTE FOR HEALTH AND CARE EXCELLENCE</w:t>
      </w:r>
      <w:bookmarkEnd w:id="0"/>
    </w:p>
    <w:p w14:paraId="513A8F55" w14:textId="77777777" w:rsidR="008C183F" w:rsidRPr="00861C2E" w:rsidRDefault="008C183F" w:rsidP="00482C01">
      <w:pPr>
        <w:jc w:val="center"/>
        <w:rPr>
          <w:rFonts w:ascii="Arial" w:hAnsi="Arial" w:cs="Arial"/>
          <w:b/>
          <w:sz w:val="32"/>
          <w:szCs w:val="32"/>
        </w:rPr>
      </w:pPr>
    </w:p>
    <w:p w14:paraId="4E99922F" w14:textId="08D1644F" w:rsidR="00482C01" w:rsidRPr="00861C2E" w:rsidRDefault="00482C01" w:rsidP="00482C01">
      <w:pPr>
        <w:jc w:val="center"/>
        <w:rPr>
          <w:rFonts w:ascii="Arial" w:hAnsi="Arial" w:cs="Arial"/>
          <w:b/>
          <w:sz w:val="32"/>
          <w:szCs w:val="32"/>
        </w:rPr>
      </w:pPr>
      <w:bookmarkStart w:id="1" w:name="_Toc383595131"/>
      <w:r w:rsidRPr="00861C2E">
        <w:rPr>
          <w:rFonts w:ascii="Arial" w:hAnsi="Arial" w:cs="Arial"/>
          <w:b/>
          <w:sz w:val="32"/>
          <w:szCs w:val="32"/>
        </w:rPr>
        <w:t>INDICATOR DEVELOPMENT PROGRAMME</w:t>
      </w:r>
      <w:bookmarkEnd w:id="1"/>
    </w:p>
    <w:p w14:paraId="7489FAE6" w14:textId="77777777" w:rsidR="00482C01" w:rsidRDefault="00482C01" w:rsidP="00482C01">
      <w:pPr>
        <w:tabs>
          <w:tab w:val="left" w:pos="6471"/>
        </w:tabs>
        <w:rPr>
          <w:rFonts w:ascii="Arial" w:hAnsi="Arial" w:cs="Arial"/>
          <w:b/>
          <w:sz w:val="32"/>
          <w:szCs w:val="32"/>
        </w:rPr>
      </w:pPr>
      <w:bookmarkStart w:id="2" w:name="_Toc383595132"/>
      <w:r>
        <w:rPr>
          <w:rFonts w:ascii="Arial" w:hAnsi="Arial" w:cs="Arial"/>
          <w:b/>
          <w:sz w:val="32"/>
          <w:szCs w:val="32"/>
        </w:rPr>
        <w:tab/>
      </w:r>
    </w:p>
    <w:p w14:paraId="6C6B43FC" w14:textId="1F50B72D" w:rsidR="00482C01" w:rsidRDefault="00482C01" w:rsidP="00482C01">
      <w:pPr>
        <w:jc w:val="center"/>
        <w:rPr>
          <w:rFonts w:ascii="Arial" w:hAnsi="Arial" w:cs="Arial"/>
          <w:b/>
          <w:sz w:val="32"/>
          <w:szCs w:val="32"/>
        </w:rPr>
      </w:pPr>
      <w:r w:rsidRPr="00861C2E">
        <w:rPr>
          <w:rFonts w:ascii="Arial" w:hAnsi="Arial" w:cs="Arial"/>
          <w:b/>
          <w:sz w:val="32"/>
          <w:szCs w:val="32"/>
        </w:rPr>
        <w:t>C</w:t>
      </w:r>
      <w:r w:rsidR="00DB5AE0">
        <w:rPr>
          <w:rFonts w:ascii="Arial" w:hAnsi="Arial" w:cs="Arial"/>
          <w:b/>
          <w:sz w:val="32"/>
          <w:szCs w:val="32"/>
        </w:rPr>
        <w:t xml:space="preserve">onsultation report </w:t>
      </w:r>
      <w:bookmarkEnd w:id="2"/>
    </w:p>
    <w:p w14:paraId="6A1C1341" w14:textId="77777777" w:rsidR="00482C01" w:rsidRDefault="00482C01" w:rsidP="00482C01">
      <w:pPr>
        <w:jc w:val="center"/>
        <w:rPr>
          <w:rFonts w:ascii="Arial" w:hAnsi="Arial" w:cs="Arial"/>
          <w:b/>
          <w:sz w:val="32"/>
          <w:szCs w:val="32"/>
        </w:rPr>
      </w:pPr>
    </w:p>
    <w:p w14:paraId="521B966E" w14:textId="67D2CE05" w:rsidR="003953C7" w:rsidRPr="006375EE" w:rsidRDefault="00575207" w:rsidP="003953C7">
      <w:pPr>
        <w:pStyle w:val="Introtext"/>
        <w:pBdr>
          <w:top w:val="single" w:sz="4" w:space="0" w:color="auto"/>
        </w:pBdr>
        <w:rPr>
          <w:lang w:val="en-GB"/>
        </w:rPr>
      </w:pPr>
      <w:r w:rsidRPr="006375EE">
        <w:rPr>
          <w:b/>
          <w:lang w:val="en-GB"/>
        </w:rPr>
        <w:t>I</w:t>
      </w:r>
      <w:r w:rsidR="003953C7" w:rsidRPr="006375EE">
        <w:rPr>
          <w:b/>
          <w:lang w:val="en-GB"/>
        </w:rPr>
        <w:t>ndicator area:</w:t>
      </w:r>
      <w:r w:rsidR="003953C7" w:rsidRPr="006375EE">
        <w:rPr>
          <w:lang w:val="en-GB"/>
        </w:rPr>
        <w:t xml:space="preserve"> </w:t>
      </w:r>
      <w:r w:rsidR="00986AA9" w:rsidRPr="006375EE">
        <w:t xml:space="preserve"> </w:t>
      </w:r>
      <w:r w:rsidR="006375EE" w:rsidRPr="006375EE">
        <w:t xml:space="preserve">Multimorbidity and frailty </w:t>
      </w:r>
    </w:p>
    <w:p w14:paraId="0766D06F" w14:textId="04033D53" w:rsidR="006814B9" w:rsidRPr="006375EE" w:rsidRDefault="006814B9" w:rsidP="003953C7">
      <w:pPr>
        <w:pStyle w:val="Introtext"/>
        <w:pBdr>
          <w:top w:val="single" w:sz="4" w:space="0" w:color="auto"/>
        </w:pBdr>
      </w:pPr>
      <w:r w:rsidRPr="006375EE">
        <w:rPr>
          <w:b/>
          <w:lang w:val="en-GB"/>
        </w:rPr>
        <w:t>Consultation period:</w:t>
      </w:r>
      <w:r w:rsidRPr="006375EE">
        <w:rPr>
          <w:lang w:val="en-GB"/>
        </w:rPr>
        <w:t xml:space="preserve"> </w:t>
      </w:r>
      <w:r w:rsidR="006375EE" w:rsidRPr="006375EE">
        <w:rPr>
          <w:lang w:val="en-GB"/>
        </w:rPr>
        <w:t>17 April</w:t>
      </w:r>
      <w:r w:rsidR="00C14404" w:rsidRPr="006375EE">
        <w:rPr>
          <w:lang w:val="en-GB"/>
        </w:rPr>
        <w:t xml:space="preserve"> – </w:t>
      </w:r>
      <w:r w:rsidR="006375EE" w:rsidRPr="006375EE">
        <w:rPr>
          <w:lang w:val="en-GB"/>
        </w:rPr>
        <w:t>16 May 2019</w:t>
      </w:r>
    </w:p>
    <w:p w14:paraId="6C394406" w14:textId="1C586A5B" w:rsidR="008C1C95" w:rsidRPr="006375EE" w:rsidRDefault="008C1C95" w:rsidP="008C1C95">
      <w:pPr>
        <w:pStyle w:val="Introtext"/>
        <w:pBdr>
          <w:top w:val="single" w:sz="4" w:space="0" w:color="auto"/>
        </w:pBdr>
        <w:spacing w:before="100" w:beforeAutospacing="1" w:after="100" w:afterAutospacing="1" w:line="360" w:lineRule="auto"/>
        <w:contextualSpacing/>
        <w:rPr>
          <w:lang w:val="en-GB"/>
        </w:rPr>
      </w:pPr>
      <w:r w:rsidRPr="006375EE">
        <w:rPr>
          <w:b/>
          <w:lang w:val="en-GB"/>
        </w:rPr>
        <w:t>Date of Indicator Advisory Committee meeting:</w:t>
      </w:r>
      <w:r w:rsidRPr="006375EE">
        <w:rPr>
          <w:lang w:val="en-GB"/>
        </w:rPr>
        <w:t xml:space="preserve"> </w:t>
      </w:r>
      <w:r w:rsidR="006375EE" w:rsidRPr="006375EE">
        <w:rPr>
          <w:lang w:val="en-GB"/>
        </w:rPr>
        <w:t>4 June 2019</w:t>
      </w:r>
    </w:p>
    <w:p w14:paraId="2DDDE21F" w14:textId="4C42902A" w:rsidR="00987B83" w:rsidRPr="006375EE" w:rsidRDefault="00987B83" w:rsidP="008C1C95">
      <w:pPr>
        <w:pStyle w:val="Introtext"/>
        <w:pBdr>
          <w:top w:val="single" w:sz="4" w:space="0" w:color="auto"/>
        </w:pBdr>
        <w:spacing w:before="100" w:beforeAutospacing="1" w:after="100" w:afterAutospacing="1" w:line="360" w:lineRule="auto"/>
        <w:contextualSpacing/>
        <w:rPr>
          <w:b/>
          <w:lang w:val="en-GB"/>
        </w:rPr>
      </w:pPr>
      <w:r w:rsidRPr="006375EE">
        <w:rPr>
          <w:b/>
          <w:lang w:val="en-GB"/>
        </w:rPr>
        <w:t xml:space="preserve">Output: </w:t>
      </w:r>
      <w:r w:rsidR="006375EE" w:rsidRPr="006375EE">
        <w:rPr>
          <w:lang w:val="en-GB"/>
        </w:rPr>
        <w:t>New indicators for general</w:t>
      </w:r>
      <w:r w:rsidR="006375EE">
        <w:rPr>
          <w:lang w:val="en-GB"/>
        </w:rPr>
        <w:t xml:space="preserve"> practice </w:t>
      </w:r>
    </w:p>
    <w:p w14:paraId="348194C1" w14:textId="4DE0B9BD" w:rsidR="00482C01" w:rsidRPr="006375EE" w:rsidRDefault="00482C01" w:rsidP="006B4989">
      <w:pPr>
        <w:pStyle w:val="TOC1"/>
        <w:rPr>
          <w:highlight w:val="yellow"/>
        </w:rPr>
      </w:pPr>
    </w:p>
    <w:p w14:paraId="6A346D7A" w14:textId="77777777" w:rsidR="007F14A6" w:rsidRPr="004E68DA" w:rsidRDefault="007F14A6" w:rsidP="007F14A6"/>
    <w:p w14:paraId="7858D874" w14:textId="77777777" w:rsidR="00482C01" w:rsidRPr="004E68DA" w:rsidRDefault="00482C01" w:rsidP="006B4989">
      <w:pPr>
        <w:pStyle w:val="TOC1"/>
      </w:pPr>
      <w:r w:rsidRPr="004E68DA">
        <w:t>Contents</w:t>
      </w:r>
    </w:p>
    <w:p w14:paraId="037BB23F" w14:textId="199B8BC8" w:rsidR="0024650F" w:rsidRDefault="00472CEC">
      <w:pPr>
        <w:pStyle w:val="TOC1"/>
        <w:rPr>
          <w:rFonts w:asciiTheme="minorHAnsi" w:eastAsiaTheme="minorEastAsia" w:hAnsiTheme="minorHAnsi" w:cstheme="minorBidi"/>
          <w:noProof/>
          <w:sz w:val="22"/>
          <w:szCs w:val="22"/>
          <w:lang w:eastAsia="en-GB"/>
        </w:rPr>
      </w:pPr>
      <w:r w:rsidRPr="004E68DA">
        <w:rPr>
          <w:rStyle w:val="Hyperlink"/>
          <w:noProof/>
        </w:rPr>
        <w:fldChar w:fldCharType="begin"/>
      </w:r>
      <w:r w:rsidR="00482C01" w:rsidRPr="004E68DA">
        <w:rPr>
          <w:rStyle w:val="Hyperlink"/>
          <w:noProof/>
        </w:rPr>
        <w:instrText xml:space="preserve"> TOC \o "1-3" \h \z \u </w:instrText>
      </w:r>
      <w:r w:rsidRPr="004E68DA">
        <w:rPr>
          <w:rStyle w:val="Hyperlink"/>
          <w:noProof/>
        </w:rPr>
        <w:fldChar w:fldCharType="separate"/>
      </w:r>
      <w:hyperlink w:anchor="_Toc17817648" w:history="1">
        <w:r w:rsidR="0024650F" w:rsidRPr="00AD7115">
          <w:rPr>
            <w:rStyle w:val="Hyperlink"/>
            <w:noProof/>
          </w:rPr>
          <w:t>Introduction</w:t>
        </w:r>
        <w:r w:rsidR="0024650F">
          <w:rPr>
            <w:noProof/>
            <w:webHidden/>
          </w:rPr>
          <w:tab/>
        </w:r>
        <w:r w:rsidR="0024650F">
          <w:rPr>
            <w:noProof/>
            <w:webHidden/>
          </w:rPr>
          <w:fldChar w:fldCharType="begin"/>
        </w:r>
        <w:r w:rsidR="0024650F">
          <w:rPr>
            <w:noProof/>
            <w:webHidden/>
          </w:rPr>
          <w:instrText xml:space="preserve"> PAGEREF _Toc17817648 \h </w:instrText>
        </w:r>
        <w:r w:rsidR="0024650F">
          <w:rPr>
            <w:noProof/>
            <w:webHidden/>
          </w:rPr>
        </w:r>
        <w:r w:rsidR="0024650F">
          <w:rPr>
            <w:noProof/>
            <w:webHidden/>
          </w:rPr>
          <w:fldChar w:fldCharType="separate"/>
        </w:r>
        <w:r w:rsidR="0024650F">
          <w:rPr>
            <w:noProof/>
            <w:webHidden/>
          </w:rPr>
          <w:t>2</w:t>
        </w:r>
        <w:r w:rsidR="0024650F">
          <w:rPr>
            <w:noProof/>
            <w:webHidden/>
          </w:rPr>
          <w:fldChar w:fldCharType="end"/>
        </w:r>
      </w:hyperlink>
    </w:p>
    <w:p w14:paraId="3B71CF30" w14:textId="6AB92972" w:rsidR="0024650F" w:rsidRDefault="0024650F">
      <w:pPr>
        <w:pStyle w:val="TOC1"/>
        <w:rPr>
          <w:rFonts w:asciiTheme="minorHAnsi" w:eastAsiaTheme="minorEastAsia" w:hAnsiTheme="minorHAnsi" w:cstheme="minorBidi"/>
          <w:noProof/>
          <w:sz w:val="22"/>
          <w:szCs w:val="22"/>
          <w:lang w:eastAsia="en-GB"/>
        </w:rPr>
      </w:pPr>
      <w:hyperlink w:anchor="_Toc17817649" w:history="1">
        <w:r w:rsidRPr="00AD7115">
          <w:rPr>
            <w:rStyle w:val="Hyperlink"/>
            <w:noProof/>
          </w:rPr>
          <w:t>Summary of indicators included in the consultation</w:t>
        </w:r>
        <w:r>
          <w:rPr>
            <w:noProof/>
            <w:webHidden/>
          </w:rPr>
          <w:tab/>
        </w:r>
        <w:r>
          <w:rPr>
            <w:noProof/>
            <w:webHidden/>
          </w:rPr>
          <w:fldChar w:fldCharType="begin"/>
        </w:r>
        <w:r>
          <w:rPr>
            <w:noProof/>
            <w:webHidden/>
          </w:rPr>
          <w:instrText xml:space="preserve"> PAGEREF _Toc17817649 \h </w:instrText>
        </w:r>
        <w:r>
          <w:rPr>
            <w:noProof/>
            <w:webHidden/>
          </w:rPr>
        </w:r>
        <w:r>
          <w:rPr>
            <w:noProof/>
            <w:webHidden/>
          </w:rPr>
          <w:fldChar w:fldCharType="separate"/>
        </w:r>
        <w:r>
          <w:rPr>
            <w:noProof/>
            <w:webHidden/>
          </w:rPr>
          <w:t>3</w:t>
        </w:r>
        <w:r>
          <w:rPr>
            <w:noProof/>
            <w:webHidden/>
          </w:rPr>
          <w:fldChar w:fldCharType="end"/>
        </w:r>
      </w:hyperlink>
    </w:p>
    <w:p w14:paraId="1826360A" w14:textId="309692EA" w:rsidR="0024650F" w:rsidRDefault="0024650F">
      <w:pPr>
        <w:pStyle w:val="TOC1"/>
        <w:rPr>
          <w:rFonts w:asciiTheme="minorHAnsi" w:eastAsiaTheme="minorEastAsia" w:hAnsiTheme="minorHAnsi" w:cstheme="minorBidi"/>
          <w:noProof/>
          <w:sz w:val="22"/>
          <w:szCs w:val="22"/>
          <w:lang w:eastAsia="en-GB"/>
        </w:rPr>
      </w:pPr>
      <w:hyperlink w:anchor="_Toc17817650" w:history="1">
        <w:r w:rsidRPr="00AD7115">
          <w:rPr>
            <w:rStyle w:val="Hyperlink"/>
            <w:noProof/>
          </w:rPr>
          <w:t>Multimorbidity register – people with conditions in 4 or more categories</w:t>
        </w:r>
        <w:r>
          <w:rPr>
            <w:noProof/>
            <w:webHidden/>
          </w:rPr>
          <w:tab/>
        </w:r>
        <w:r>
          <w:rPr>
            <w:noProof/>
            <w:webHidden/>
          </w:rPr>
          <w:fldChar w:fldCharType="begin"/>
        </w:r>
        <w:r>
          <w:rPr>
            <w:noProof/>
            <w:webHidden/>
          </w:rPr>
          <w:instrText xml:space="preserve"> PAGEREF _Toc17817650 \h </w:instrText>
        </w:r>
        <w:r>
          <w:rPr>
            <w:noProof/>
            <w:webHidden/>
          </w:rPr>
        </w:r>
        <w:r>
          <w:rPr>
            <w:noProof/>
            <w:webHidden/>
          </w:rPr>
          <w:fldChar w:fldCharType="separate"/>
        </w:r>
        <w:r>
          <w:rPr>
            <w:noProof/>
            <w:webHidden/>
          </w:rPr>
          <w:t>4</w:t>
        </w:r>
        <w:r>
          <w:rPr>
            <w:noProof/>
            <w:webHidden/>
          </w:rPr>
          <w:fldChar w:fldCharType="end"/>
        </w:r>
      </w:hyperlink>
    </w:p>
    <w:p w14:paraId="0CF3C9B2" w14:textId="0D4F299F" w:rsidR="0024650F" w:rsidRDefault="0024650F">
      <w:pPr>
        <w:pStyle w:val="TOC3"/>
        <w:rPr>
          <w:rFonts w:asciiTheme="minorHAnsi" w:eastAsiaTheme="minorEastAsia" w:hAnsiTheme="minorHAnsi" w:cstheme="minorBidi"/>
          <w:noProof/>
          <w:sz w:val="22"/>
          <w:szCs w:val="22"/>
          <w:lang w:eastAsia="en-GB"/>
        </w:rPr>
      </w:pPr>
      <w:hyperlink w:anchor="_Toc17817651" w:history="1">
        <w:r w:rsidRPr="00AD7115">
          <w:rPr>
            <w:rStyle w:val="Hyperlink"/>
            <w:noProof/>
          </w:rPr>
          <w:t>IND1: Multimorbidity register</w:t>
        </w:r>
        <w:r>
          <w:rPr>
            <w:noProof/>
            <w:webHidden/>
          </w:rPr>
          <w:tab/>
        </w:r>
        <w:r>
          <w:rPr>
            <w:noProof/>
            <w:webHidden/>
          </w:rPr>
          <w:fldChar w:fldCharType="begin"/>
        </w:r>
        <w:r>
          <w:rPr>
            <w:noProof/>
            <w:webHidden/>
          </w:rPr>
          <w:instrText xml:space="preserve"> PAGEREF _Toc17817651 \h </w:instrText>
        </w:r>
        <w:r>
          <w:rPr>
            <w:noProof/>
            <w:webHidden/>
          </w:rPr>
        </w:r>
        <w:r>
          <w:rPr>
            <w:noProof/>
            <w:webHidden/>
          </w:rPr>
          <w:fldChar w:fldCharType="separate"/>
        </w:r>
        <w:r>
          <w:rPr>
            <w:noProof/>
            <w:webHidden/>
          </w:rPr>
          <w:t>5</w:t>
        </w:r>
        <w:r>
          <w:rPr>
            <w:noProof/>
            <w:webHidden/>
          </w:rPr>
          <w:fldChar w:fldCharType="end"/>
        </w:r>
      </w:hyperlink>
    </w:p>
    <w:p w14:paraId="7F8D5DA5" w14:textId="17B7ADA7" w:rsidR="0024650F" w:rsidRDefault="0024650F">
      <w:pPr>
        <w:pStyle w:val="TOC3"/>
        <w:rPr>
          <w:rFonts w:asciiTheme="minorHAnsi" w:eastAsiaTheme="minorEastAsia" w:hAnsiTheme="minorHAnsi" w:cstheme="minorBidi"/>
          <w:noProof/>
          <w:sz w:val="22"/>
          <w:szCs w:val="22"/>
          <w:lang w:eastAsia="en-GB"/>
        </w:rPr>
      </w:pPr>
      <w:hyperlink w:anchor="_Toc17817652" w:history="1">
        <w:r w:rsidRPr="00AD7115">
          <w:rPr>
            <w:rStyle w:val="Hyperlink"/>
            <w:noProof/>
          </w:rPr>
          <w:t>IND2: Frailty register – people with moderate or severe frailty</w:t>
        </w:r>
        <w:r>
          <w:rPr>
            <w:noProof/>
            <w:webHidden/>
          </w:rPr>
          <w:tab/>
        </w:r>
        <w:r>
          <w:rPr>
            <w:noProof/>
            <w:webHidden/>
          </w:rPr>
          <w:fldChar w:fldCharType="begin"/>
        </w:r>
        <w:r>
          <w:rPr>
            <w:noProof/>
            <w:webHidden/>
          </w:rPr>
          <w:instrText xml:space="preserve"> PAGEREF _Toc17817652 \h </w:instrText>
        </w:r>
        <w:r>
          <w:rPr>
            <w:noProof/>
            <w:webHidden/>
          </w:rPr>
        </w:r>
        <w:r>
          <w:rPr>
            <w:noProof/>
            <w:webHidden/>
          </w:rPr>
          <w:fldChar w:fldCharType="separate"/>
        </w:r>
        <w:r>
          <w:rPr>
            <w:noProof/>
            <w:webHidden/>
          </w:rPr>
          <w:t>7</w:t>
        </w:r>
        <w:r>
          <w:rPr>
            <w:noProof/>
            <w:webHidden/>
          </w:rPr>
          <w:fldChar w:fldCharType="end"/>
        </w:r>
      </w:hyperlink>
    </w:p>
    <w:p w14:paraId="6D4E74AE" w14:textId="73D68004" w:rsidR="0024650F" w:rsidRDefault="0024650F">
      <w:pPr>
        <w:pStyle w:val="TOC3"/>
        <w:rPr>
          <w:rFonts w:asciiTheme="minorHAnsi" w:eastAsiaTheme="minorEastAsia" w:hAnsiTheme="minorHAnsi" w:cstheme="minorBidi"/>
          <w:noProof/>
          <w:sz w:val="22"/>
          <w:szCs w:val="22"/>
          <w:lang w:eastAsia="en-GB"/>
        </w:rPr>
      </w:pPr>
      <w:hyperlink w:anchor="_Toc17817653" w:history="1">
        <w:r w:rsidRPr="00AD7115">
          <w:rPr>
            <w:rStyle w:val="Hyperlink"/>
            <w:noProof/>
          </w:rPr>
          <w:t>IND14: People with moderate or severe frailty and / or multimorbidity - medication review</w:t>
        </w:r>
        <w:r>
          <w:rPr>
            <w:noProof/>
            <w:webHidden/>
          </w:rPr>
          <w:tab/>
        </w:r>
        <w:r>
          <w:rPr>
            <w:noProof/>
            <w:webHidden/>
          </w:rPr>
          <w:fldChar w:fldCharType="begin"/>
        </w:r>
        <w:r>
          <w:rPr>
            <w:noProof/>
            <w:webHidden/>
          </w:rPr>
          <w:instrText xml:space="preserve"> PAGEREF _Toc17817653 \h </w:instrText>
        </w:r>
        <w:r>
          <w:rPr>
            <w:noProof/>
            <w:webHidden/>
          </w:rPr>
        </w:r>
        <w:r>
          <w:rPr>
            <w:noProof/>
            <w:webHidden/>
          </w:rPr>
          <w:fldChar w:fldCharType="separate"/>
        </w:r>
        <w:r>
          <w:rPr>
            <w:noProof/>
            <w:webHidden/>
          </w:rPr>
          <w:t>9</w:t>
        </w:r>
        <w:r>
          <w:rPr>
            <w:noProof/>
            <w:webHidden/>
          </w:rPr>
          <w:fldChar w:fldCharType="end"/>
        </w:r>
      </w:hyperlink>
    </w:p>
    <w:p w14:paraId="75DF2D38" w14:textId="52F6D023" w:rsidR="0024650F" w:rsidRDefault="0024650F">
      <w:pPr>
        <w:pStyle w:val="TOC3"/>
        <w:rPr>
          <w:rFonts w:asciiTheme="minorHAnsi" w:eastAsiaTheme="minorEastAsia" w:hAnsiTheme="minorHAnsi" w:cstheme="minorBidi"/>
          <w:noProof/>
          <w:sz w:val="22"/>
          <w:szCs w:val="22"/>
          <w:lang w:eastAsia="en-GB"/>
        </w:rPr>
      </w:pPr>
      <w:hyperlink w:anchor="_Toc17817654" w:history="1">
        <w:r w:rsidRPr="00AD7115">
          <w:rPr>
            <w:rStyle w:val="Hyperlink"/>
            <w:noProof/>
          </w:rPr>
          <w:t xml:space="preserve">IND15.1: Recording of falls in people aged </w:t>
        </w:r>
        <w:r w:rsidRPr="00AD7115">
          <w:rPr>
            <w:rStyle w:val="Hyperlink"/>
            <w:rFonts w:cs="Arial"/>
            <w:noProof/>
          </w:rPr>
          <w:t>≥</w:t>
        </w:r>
        <w:r w:rsidRPr="00AD7115">
          <w:rPr>
            <w:rStyle w:val="Hyperlink"/>
            <w:noProof/>
          </w:rPr>
          <w:t>65 years with moderate or severe frailty - Falls prevention</w:t>
        </w:r>
        <w:r>
          <w:rPr>
            <w:noProof/>
            <w:webHidden/>
          </w:rPr>
          <w:tab/>
        </w:r>
        <w:r>
          <w:rPr>
            <w:noProof/>
            <w:webHidden/>
          </w:rPr>
          <w:fldChar w:fldCharType="begin"/>
        </w:r>
        <w:r>
          <w:rPr>
            <w:noProof/>
            <w:webHidden/>
          </w:rPr>
          <w:instrText xml:space="preserve"> PAGEREF _Toc17817654 \h </w:instrText>
        </w:r>
        <w:r>
          <w:rPr>
            <w:noProof/>
            <w:webHidden/>
          </w:rPr>
        </w:r>
        <w:r>
          <w:rPr>
            <w:noProof/>
            <w:webHidden/>
          </w:rPr>
          <w:fldChar w:fldCharType="separate"/>
        </w:r>
        <w:r>
          <w:rPr>
            <w:noProof/>
            <w:webHidden/>
          </w:rPr>
          <w:t>11</w:t>
        </w:r>
        <w:r>
          <w:rPr>
            <w:noProof/>
            <w:webHidden/>
          </w:rPr>
          <w:fldChar w:fldCharType="end"/>
        </w:r>
      </w:hyperlink>
    </w:p>
    <w:p w14:paraId="0DD6C0D9" w14:textId="2F0AFFEC" w:rsidR="0024650F" w:rsidRDefault="0024650F">
      <w:pPr>
        <w:pStyle w:val="TOC3"/>
        <w:rPr>
          <w:rFonts w:asciiTheme="minorHAnsi" w:eastAsiaTheme="minorEastAsia" w:hAnsiTheme="minorHAnsi" w:cstheme="minorBidi"/>
          <w:noProof/>
          <w:sz w:val="22"/>
          <w:szCs w:val="22"/>
          <w:lang w:eastAsia="en-GB"/>
        </w:rPr>
      </w:pPr>
      <w:hyperlink w:anchor="_Toc17817655" w:history="1">
        <w:r w:rsidRPr="00AD7115">
          <w:rPr>
            <w:rStyle w:val="Hyperlink"/>
            <w:noProof/>
          </w:rPr>
          <w:t xml:space="preserve">IND15.2: Falls prevention advice for people aged </w:t>
        </w:r>
        <w:r w:rsidRPr="00AD7115">
          <w:rPr>
            <w:rStyle w:val="Hyperlink"/>
            <w:rFonts w:cs="Arial"/>
            <w:noProof/>
          </w:rPr>
          <w:t>≥</w:t>
        </w:r>
        <w:r w:rsidRPr="00AD7115">
          <w:rPr>
            <w:rStyle w:val="Hyperlink"/>
            <w:noProof/>
          </w:rPr>
          <w:t>65 years with moderate or severe frailty identified as being at risk</w:t>
        </w:r>
        <w:r>
          <w:rPr>
            <w:noProof/>
            <w:webHidden/>
          </w:rPr>
          <w:tab/>
        </w:r>
        <w:r>
          <w:rPr>
            <w:noProof/>
            <w:webHidden/>
          </w:rPr>
          <w:fldChar w:fldCharType="begin"/>
        </w:r>
        <w:r>
          <w:rPr>
            <w:noProof/>
            <w:webHidden/>
          </w:rPr>
          <w:instrText xml:space="preserve"> PAGEREF _Toc17817655 \h </w:instrText>
        </w:r>
        <w:r>
          <w:rPr>
            <w:noProof/>
            <w:webHidden/>
          </w:rPr>
        </w:r>
        <w:r>
          <w:rPr>
            <w:noProof/>
            <w:webHidden/>
          </w:rPr>
          <w:fldChar w:fldCharType="separate"/>
        </w:r>
        <w:r>
          <w:rPr>
            <w:noProof/>
            <w:webHidden/>
          </w:rPr>
          <w:t>13</w:t>
        </w:r>
        <w:r>
          <w:rPr>
            <w:noProof/>
            <w:webHidden/>
          </w:rPr>
          <w:fldChar w:fldCharType="end"/>
        </w:r>
      </w:hyperlink>
    </w:p>
    <w:p w14:paraId="02B0EFEB" w14:textId="0C788343" w:rsidR="0024650F" w:rsidRDefault="0024650F">
      <w:pPr>
        <w:pStyle w:val="TOC1"/>
        <w:rPr>
          <w:rFonts w:asciiTheme="minorHAnsi" w:eastAsiaTheme="minorEastAsia" w:hAnsiTheme="minorHAnsi" w:cstheme="minorBidi"/>
          <w:noProof/>
          <w:sz w:val="22"/>
          <w:szCs w:val="22"/>
          <w:lang w:eastAsia="en-GB"/>
        </w:rPr>
      </w:pPr>
      <w:hyperlink w:anchor="_Toc17817656" w:history="1">
        <w:r w:rsidRPr="00AD7115">
          <w:rPr>
            <w:rStyle w:val="Hyperlink"/>
            <w:noProof/>
          </w:rPr>
          <w:t>General comments</w:t>
        </w:r>
        <w:r>
          <w:rPr>
            <w:noProof/>
            <w:webHidden/>
          </w:rPr>
          <w:tab/>
        </w:r>
        <w:r>
          <w:rPr>
            <w:noProof/>
            <w:webHidden/>
          </w:rPr>
          <w:fldChar w:fldCharType="begin"/>
        </w:r>
        <w:r>
          <w:rPr>
            <w:noProof/>
            <w:webHidden/>
          </w:rPr>
          <w:instrText xml:space="preserve"> PAGEREF _Toc17817656 \h </w:instrText>
        </w:r>
        <w:r>
          <w:rPr>
            <w:noProof/>
            <w:webHidden/>
          </w:rPr>
        </w:r>
        <w:r>
          <w:rPr>
            <w:noProof/>
            <w:webHidden/>
          </w:rPr>
          <w:fldChar w:fldCharType="separate"/>
        </w:r>
        <w:r>
          <w:rPr>
            <w:noProof/>
            <w:webHidden/>
          </w:rPr>
          <w:t>14</w:t>
        </w:r>
        <w:r>
          <w:rPr>
            <w:noProof/>
            <w:webHidden/>
          </w:rPr>
          <w:fldChar w:fldCharType="end"/>
        </w:r>
      </w:hyperlink>
    </w:p>
    <w:p w14:paraId="58F0CEDB" w14:textId="534D09C8" w:rsidR="0024650F" w:rsidRDefault="0024650F">
      <w:pPr>
        <w:pStyle w:val="TOC1"/>
        <w:rPr>
          <w:rFonts w:asciiTheme="minorHAnsi" w:eastAsiaTheme="minorEastAsia" w:hAnsiTheme="minorHAnsi" w:cstheme="minorBidi"/>
          <w:noProof/>
          <w:sz w:val="22"/>
          <w:szCs w:val="22"/>
          <w:lang w:eastAsia="en-GB"/>
        </w:rPr>
      </w:pPr>
      <w:hyperlink w:anchor="_Toc17817657" w:history="1">
        <w:r w:rsidRPr="00AD7115">
          <w:rPr>
            <w:rStyle w:val="Hyperlink"/>
            <w:noProof/>
          </w:rPr>
          <w:t>Suggestions for additional indicators</w:t>
        </w:r>
        <w:r>
          <w:rPr>
            <w:noProof/>
            <w:webHidden/>
          </w:rPr>
          <w:tab/>
        </w:r>
        <w:r>
          <w:rPr>
            <w:noProof/>
            <w:webHidden/>
          </w:rPr>
          <w:fldChar w:fldCharType="begin"/>
        </w:r>
        <w:r>
          <w:rPr>
            <w:noProof/>
            <w:webHidden/>
          </w:rPr>
          <w:instrText xml:space="preserve"> PAGEREF _Toc17817657 \h </w:instrText>
        </w:r>
        <w:r>
          <w:rPr>
            <w:noProof/>
            <w:webHidden/>
          </w:rPr>
        </w:r>
        <w:r>
          <w:rPr>
            <w:noProof/>
            <w:webHidden/>
          </w:rPr>
          <w:fldChar w:fldCharType="separate"/>
        </w:r>
        <w:r>
          <w:rPr>
            <w:noProof/>
            <w:webHidden/>
          </w:rPr>
          <w:t>14</w:t>
        </w:r>
        <w:r>
          <w:rPr>
            <w:noProof/>
            <w:webHidden/>
          </w:rPr>
          <w:fldChar w:fldCharType="end"/>
        </w:r>
      </w:hyperlink>
    </w:p>
    <w:p w14:paraId="293C8227" w14:textId="03DE85F0" w:rsidR="0024650F" w:rsidRDefault="0024650F">
      <w:pPr>
        <w:pStyle w:val="TOC1"/>
        <w:rPr>
          <w:rFonts w:asciiTheme="minorHAnsi" w:eastAsiaTheme="minorEastAsia" w:hAnsiTheme="minorHAnsi" w:cstheme="minorBidi"/>
          <w:noProof/>
          <w:sz w:val="22"/>
          <w:szCs w:val="22"/>
          <w:lang w:eastAsia="en-GB"/>
        </w:rPr>
      </w:pPr>
      <w:hyperlink w:anchor="_Toc17817658" w:history="1">
        <w:r w:rsidRPr="00AD7115">
          <w:rPr>
            <w:rStyle w:val="Hyperlink"/>
            <w:noProof/>
          </w:rPr>
          <w:t>Appendix A: Consultation comments</w:t>
        </w:r>
        <w:r>
          <w:rPr>
            <w:noProof/>
            <w:webHidden/>
          </w:rPr>
          <w:tab/>
        </w:r>
        <w:r>
          <w:rPr>
            <w:noProof/>
            <w:webHidden/>
          </w:rPr>
          <w:fldChar w:fldCharType="begin"/>
        </w:r>
        <w:r>
          <w:rPr>
            <w:noProof/>
            <w:webHidden/>
          </w:rPr>
          <w:instrText xml:space="preserve"> PAGEREF _Toc17817658 \h </w:instrText>
        </w:r>
        <w:r>
          <w:rPr>
            <w:noProof/>
            <w:webHidden/>
          </w:rPr>
        </w:r>
        <w:r>
          <w:rPr>
            <w:noProof/>
            <w:webHidden/>
          </w:rPr>
          <w:fldChar w:fldCharType="separate"/>
        </w:r>
        <w:r>
          <w:rPr>
            <w:noProof/>
            <w:webHidden/>
          </w:rPr>
          <w:t>15</w:t>
        </w:r>
        <w:r>
          <w:rPr>
            <w:noProof/>
            <w:webHidden/>
          </w:rPr>
          <w:fldChar w:fldCharType="end"/>
        </w:r>
      </w:hyperlink>
    </w:p>
    <w:p w14:paraId="43A0535F" w14:textId="3615F599" w:rsidR="009C3C0C" w:rsidRPr="006375EE" w:rsidRDefault="00472CEC" w:rsidP="00482C01">
      <w:pPr>
        <w:pStyle w:val="Heading1"/>
        <w:rPr>
          <w:rStyle w:val="Hyperlink"/>
          <w:noProof/>
          <w:highlight w:val="yellow"/>
        </w:rPr>
      </w:pPr>
      <w:r w:rsidRPr="004E68DA">
        <w:rPr>
          <w:rStyle w:val="Hyperlink"/>
          <w:noProof/>
        </w:rPr>
        <w:fldChar w:fldCharType="end"/>
      </w:r>
    </w:p>
    <w:p w14:paraId="78AB4105" w14:textId="4A306496" w:rsidR="009C3C0C" w:rsidRPr="006375EE" w:rsidRDefault="009C3C0C">
      <w:pPr>
        <w:rPr>
          <w:rStyle w:val="Hyperlink"/>
          <w:rFonts w:ascii="Arial" w:hAnsi="Arial"/>
          <w:b/>
          <w:bCs/>
          <w:noProof/>
          <w:kern w:val="32"/>
          <w:sz w:val="28"/>
          <w:szCs w:val="32"/>
          <w:highlight w:val="yellow"/>
        </w:rPr>
      </w:pPr>
      <w:r w:rsidRPr="006375EE">
        <w:rPr>
          <w:rStyle w:val="Hyperlink"/>
          <w:noProof/>
          <w:highlight w:val="yellow"/>
        </w:rPr>
        <w:br w:type="page"/>
      </w:r>
    </w:p>
    <w:p w14:paraId="31ADDC30" w14:textId="77777777" w:rsidR="00D771B5" w:rsidRPr="001E7D58" w:rsidRDefault="00D771B5" w:rsidP="00D771B5">
      <w:pPr>
        <w:pStyle w:val="Heading1"/>
      </w:pPr>
      <w:bookmarkStart w:id="3" w:name="_Toc17817648"/>
      <w:r w:rsidRPr="001E7D58">
        <w:lastRenderedPageBreak/>
        <w:t>Introduction</w:t>
      </w:r>
      <w:bookmarkEnd w:id="3"/>
      <w:r w:rsidRPr="001E7D58">
        <w:t xml:space="preserve"> </w:t>
      </w:r>
    </w:p>
    <w:p w14:paraId="75E4FD1E" w14:textId="77777777" w:rsidR="00D771B5" w:rsidRDefault="00D771B5" w:rsidP="00D771B5">
      <w:pPr>
        <w:pStyle w:val="Paragraph"/>
        <w:spacing w:line="360" w:lineRule="auto"/>
      </w:pPr>
      <w:r>
        <w:t>Multimorbidity is associated with reduced quality of life, higher mortality, polypharmacy and higher treatment burden, higher rates of adverse drug events and greater health service including unplanned admissions and emergency care.</w:t>
      </w:r>
    </w:p>
    <w:p w14:paraId="6CCF6660" w14:textId="77777777" w:rsidR="00D771B5" w:rsidRDefault="00D771B5" w:rsidP="00D771B5">
      <w:pPr>
        <w:pStyle w:val="Paragraph"/>
        <w:spacing w:line="360" w:lineRule="auto"/>
      </w:pPr>
      <w:r w:rsidRPr="000955F4">
        <w:t xml:space="preserve">Falls in older people are a costly and often preventable health issue. Reducing falls and associated injuries is important for maintaining health and wellbeing amongst older people. Falling has an impact on quality of life, health and healthcare costs. People 65 years and over have the highest risk of falling. </w:t>
      </w:r>
    </w:p>
    <w:p w14:paraId="6B976217" w14:textId="77777777" w:rsidR="00D771B5" w:rsidRPr="00A81F47" w:rsidRDefault="00D771B5" w:rsidP="00D771B5">
      <w:pPr>
        <w:pStyle w:val="Paragraph"/>
        <w:spacing w:line="360" w:lineRule="auto"/>
        <w:rPr>
          <w:rFonts w:cs="Arial"/>
        </w:rPr>
      </w:pPr>
      <w:r w:rsidRPr="00A81F47">
        <w:rPr>
          <w:rFonts w:cs="Arial"/>
        </w:rPr>
        <w:t>The NICE multimorbidity guideline (NG56) defines multimorbidity as two or more long-term health conditions that coexist independently in the same individual. NICE has developed a pragmatic definition of multimorbidity for the register using the presence of 4 or more condition categories which reflects an appraisal of international evidence, analysis of primary care data, and discussions with national academic, GP and clinical leads alongside the NICE Indicator Advisory Committee.</w:t>
      </w:r>
    </w:p>
    <w:p w14:paraId="299AF7E1" w14:textId="77777777" w:rsidR="00D771B5" w:rsidRDefault="00D771B5" w:rsidP="00D771B5">
      <w:pPr>
        <w:pStyle w:val="Paragraph"/>
        <w:spacing w:line="360" w:lineRule="auto"/>
        <w:rPr>
          <w:rFonts w:cs="Arial"/>
        </w:rPr>
      </w:pPr>
      <w:r w:rsidRPr="00A81F47">
        <w:rPr>
          <w:rFonts w:cs="Arial"/>
        </w:rPr>
        <w:t>The conditions are based upon a cross-sectional study on the distribution of multimorbidity (</w:t>
      </w:r>
      <w:hyperlink r:id="rId8" w:history="1">
        <w:r w:rsidRPr="00D41DE2">
          <w:rPr>
            <w:rStyle w:val="Hyperlink"/>
            <w:rFonts w:cs="Arial"/>
          </w:rPr>
          <w:t>Barnett et al. 2012</w:t>
        </w:r>
      </w:hyperlink>
      <w:r w:rsidRPr="00A81F47">
        <w:rPr>
          <w:rFonts w:cs="Arial"/>
        </w:rPr>
        <w:t>)</w:t>
      </w:r>
    </w:p>
    <w:p w14:paraId="41FA12BE" w14:textId="77777777" w:rsidR="00D771B5" w:rsidRDefault="00D771B5">
      <w:pPr>
        <w:rPr>
          <w:rFonts w:ascii="Arial" w:hAnsi="Arial"/>
          <w:b/>
          <w:bCs/>
          <w:kern w:val="32"/>
          <w:sz w:val="28"/>
          <w:szCs w:val="32"/>
        </w:rPr>
      </w:pPr>
      <w:r>
        <w:br w:type="page"/>
      </w:r>
    </w:p>
    <w:p w14:paraId="5CEA5107" w14:textId="2F8FFD6D" w:rsidR="006814B9" w:rsidRPr="00221491" w:rsidRDefault="00D47082" w:rsidP="006814B9">
      <w:pPr>
        <w:pStyle w:val="Heading1"/>
      </w:pPr>
      <w:bookmarkStart w:id="4" w:name="_Toc17817649"/>
      <w:r w:rsidRPr="00221491">
        <w:lastRenderedPageBreak/>
        <w:t>Summary of i</w:t>
      </w:r>
      <w:r w:rsidR="006814B9" w:rsidRPr="00221491">
        <w:t xml:space="preserve">ndicators </w:t>
      </w:r>
      <w:r w:rsidR="00657C65" w:rsidRPr="00221491">
        <w:t xml:space="preserve">included in the </w:t>
      </w:r>
      <w:r w:rsidR="006814B9" w:rsidRPr="00221491">
        <w:t>consultation</w:t>
      </w:r>
      <w:bookmarkEnd w:id="4"/>
    </w:p>
    <w:tbl>
      <w:tblPr>
        <w:tblStyle w:val="TableGrid"/>
        <w:tblW w:w="9498" w:type="dxa"/>
        <w:tblInd w:w="-5" w:type="dxa"/>
        <w:tblLayout w:type="fixed"/>
        <w:tblLook w:val="01E0" w:firstRow="1" w:lastRow="1" w:firstColumn="1" w:lastColumn="1" w:noHBand="0" w:noVBand="0"/>
      </w:tblPr>
      <w:tblGrid>
        <w:gridCol w:w="1106"/>
        <w:gridCol w:w="2863"/>
        <w:gridCol w:w="5529"/>
      </w:tblGrid>
      <w:tr w:rsidR="00482C01" w:rsidRPr="00221491" w14:paraId="40FCF7F2" w14:textId="77777777" w:rsidTr="00A4094A">
        <w:trPr>
          <w:trHeight w:val="263"/>
        </w:trPr>
        <w:tc>
          <w:tcPr>
            <w:tcW w:w="1106" w:type="dxa"/>
          </w:tcPr>
          <w:p w14:paraId="24336F42" w14:textId="77777777" w:rsidR="00482C01" w:rsidRPr="00221491" w:rsidRDefault="00482C01" w:rsidP="00F82391">
            <w:pPr>
              <w:pStyle w:val="Tabletext"/>
              <w:rPr>
                <w:b/>
                <w:szCs w:val="22"/>
                <w:lang w:val="en-GB"/>
              </w:rPr>
            </w:pPr>
            <w:r w:rsidRPr="00221491">
              <w:rPr>
                <w:b/>
                <w:szCs w:val="22"/>
                <w:lang w:val="en-GB"/>
              </w:rPr>
              <w:t>ID</w:t>
            </w:r>
          </w:p>
        </w:tc>
        <w:tc>
          <w:tcPr>
            <w:tcW w:w="2863" w:type="dxa"/>
          </w:tcPr>
          <w:p w14:paraId="643FF82A" w14:textId="70DB4D49" w:rsidR="00482C01" w:rsidRPr="00221491" w:rsidRDefault="00482C01" w:rsidP="00F82391">
            <w:pPr>
              <w:pStyle w:val="Tabletext"/>
              <w:rPr>
                <w:b/>
                <w:szCs w:val="22"/>
                <w:lang w:val="en-GB"/>
              </w:rPr>
            </w:pPr>
            <w:r w:rsidRPr="00221491">
              <w:rPr>
                <w:b/>
                <w:szCs w:val="22"/>
                <w:lang w:val="en-GB"/>
              </w:rPr>
              <w:t>Indicator</w:t>
            </w:r>
            <w:r w:rsidR="00A4094A" w:rsidRPr="00221491">
              <w:rPr>
                <w:b/>
                <w:szCs w:val="22"/>
                <w:lang w:val="en-GB"/>
              </w:rPr>
              <w:t xml:space="preserve"> wording</w:t>
            </w:r>
          </w:p>
        </w:tc>
        <w:tc>
          <w:tcPr>
            <w:tcW w:w="5529" w:type="dxa"/>
          </w:tcPr>
          <w:p w14:paraId="05203E26" w14:textId="77777777" w:rsidR="00482C01" w:rsidRPr="00221491" w:rsidRDefault="00482C01" w:rsidP="00F82391">
            <w:pPr>
              <w:pStyle w:val="Tabletext"/>
              <w:rPr>
                <w:b/>
                <w:szCs w:val="22"/>
                <w:lang w:val="en-GB"/>
              </w:rPr>
            </w:pPr>
            <w:r w:rsidRPr="00221491">
              <w:rPr>
                <w:b/>
                <w:szCs w:val="22"/>
                <w:lang w:val="en-GB"/>
              </w:rPr>
              <w:t>Evidence source</w:t>
            </w:r>
          </w:p>
        </w:tc>
      </w:tr>
      <w:tr w:rsidR="00482C01" w:rsidRPr="00221491" w14:paraId="5B81F32D" w14:textId="77777777" w:rsidTr="00A4094A">
        <w:trPr>
          <w:trHeight w:val="263"/>
        </w:trPr>
        <w:tc>
          <w:tcPr>
            <w:tcW w:w="1106" w:type="dxa"/>
          </w:tcPr>
          <w:p w14:paraId="43C0C4F9" w14:textId="62DE2D63" w:rsidR="00732C44" w:rsidRPr="00221491" w:rsidRDefault="00136466" w:rsidP="00FC0D46">
            <w:pPr>
              <w:pStyle w:val="Tabletext"/>
              <w:rPr>
                <w:szCs w:val="22"/>
                <w:lang w:val="en-GB"/>
              </w:rPr>
            </w:pPr>
            <w:r w:rsidRPr="00221491">
              <w:t>IND</w:t>
            </w:r>
            <w:r w:rsidR="006375EE" w:rsidRPr="00221491">
              <w:t>1</w:t>
            </w:r>
          </w:p>
          <w:p w14:paraId="555157ED" w14:textId="43AC1A22" w:rsidR="00482C01" w:rsidRPr="00221491" w:rsidRDefault="00482C01" w:rsidP="00FC0D46">
            <w:pPr>
              <w:pStyle w:val="Tabletext"/>
              <w:rPr>
                <w:szCs w:val="22"/>
                <w:lang w:val="en-GB"/>
              </w:rPr>
            </w:pPr>
          </w:p>
        </w:tc>
        <w:tc>
          <w:tcPr>
            <w:tcW w:w="2863" w:type="dxa"/>
          </w:tcPr>
          <w:p w14:paraId="6A7A674D" w14:textId="294415E9" w:rsidR="00482C01" w:rsidRPr="00221491" w:rsidRDefault="006375EE" w:rsidP="000453F8">
            <w:pPr>
              <w:pStyle w:val="Tabletext"/>
              <w:rPr>
                <w:szCs w:val="22"/>
                <w:lang w:val="en-GB"/>
              </w:rPr>
            </w:pPr>
            <w:r w:rsidRPr="00221491">
              <w:t>The practice can produce a register of people with multimorbidity who would benefit from a tailored approach to care.</w:t>
            </w:r>
          </w:p>
        </w:tc>
        <w:tc>
          <w:tcPr>
            <w:tcW w:w="5529" w:type="dxa"/>
          </w:tcPr>
          <w:p w14:paraId="671E9CB4" w14:textId="4C91197F" w:rsidR="006375EE" w:rsidRPr="00221491" w:rsidRDefault="006375EE" w:rsidP="00087149">
            <w:pPr>
              <w:pStyle w:val="Default"/>
              <w:spacing w:after="60"/>
              <w:rPr>
                <w:rFonts w:ascii="Arial" w:hAnsi="Arial" w:cs="Arial"/>
                <w:sz w:val="22"/>
                <w:szCs w:val="22"/>
              </w:rPr>
            </w:pPr>
            <w:r w:rsidRPr="00221491">
              <w:rPr>
                <w:rFonts w:ascii="Arial" w:hAnsi="Arial" w:cs="Arial"/>
                <w:sz w:val="22"/>
                <w:szCs w:val="22"/>
              </w:rPr>
              <w:t xml:space="preserve">NICE guideline NG56 (2016) </w:t>
            </w:r>
            <w:hyperlink r:id="rId9" w:history="1">
              <w:r w:rsidRPr="00221491">
                <w:rPr>
                  <w:rStyle w:val="Hyperlink"/>
                  <w:rFonts w:ascii="Arial" w:hAnsi="Arial" w:cs="Arial"/>
                  <w:sz w:val="22"/>
                  <w:szCs w:val="22"/>
                </w:rPr>
                <w:t>Multimorbidity: clinical assessment and management</w:t>
              </w:r>
            </w:hyperlink>
            <w:r w:rsidRPr="00221491">
              <w:rPr>
                <w:rFonts w:ascii="Arial" w:hAnsi="Arial" w:cs="Arial"/>
                <w:sz w:val="22"/>
                <w:szCs w:val="22"/>
              </w:rPr>
              <w:t xml:space="preserve">. Recommendations 1.1.1, 1.3.1. </w:t>
            </w:r>
          </w:p>
          <w:p w14:paraId="758C0655" w14:textId="77777777" w:rsidR="006375EE" w:rsidRPr="00221491" w:rsidRDefault="006375EE" w:rsidP="00087149">
            <w:pPr>
              <w:pStyle w:val="Default"/>
              <w:spacing w:after="60"/>
              <w:rPr>
                <w:rFonts w:ascii="Arial" w:hAnsi="Arial" w:cs="Arial"/>
                <w:sz w:val="22"/>
                <w:szCs w:val="22"/>
              </w:rPr>
            </w:pPr>
          </w:p>
          <w:p w14:paraId="4CFB308A" w14:textId="1A9E78E8" w:rsidR="00B341DA" w:rsidRPr="00221491" w:rsidRDefault="006375EE" w:rsidP="00087149">
            <w:pPr>
              <w:pStyle w:val="Tabletext"/>
            </w:pPr>
            <w:r w:rsidRPr="00221491">
              <w:rPr>
                <w:rFonts w:cs="Arial"/>
                <w:szCs w:val="22"/>
              </w:rPr>
              <w:t xml:space="preserve">NICE quality standard QS153 (2017) </w:t>
            </w:r>
            <w:hyperlink r:id="rId10" w:history="1">
              <w:r w:rsidRPr="00221491">
                <w:rPr>
                  <w:rStyle w:val="Hyperlink"/>
                  <w:rFonts w:cs="Arial"/>
                  <w:szCs w:val="22"/>
                </w:rPr>
                <w:t>Multimorbidity</w:t>
              </w:r>
            </w:hyperlink>
            <w:r w:rsidRPr="00221491">
              <w:rPr>
                <w:rFonts w:cs="Arial"/>
                <w:szCs w:val="22"/>
              </w:rPr>
              <w:t>. Statement 1.</w:t>
            </w:r>
            <w:r w:rsidRPr="00221491">
              <w:rPr>
                <w:szCs w:val="22"/>
              </w:rPr>
              <w:t xml:space="preserve"> </w:t>
            </w:r>
          </w:p>
        </w:tc>
      </w:tr>
      <w:tr w:rsidR="00B341DA" w:rsidRPr="00221491" w14:paraId="4B9F185E" w14:textId="77777777" w:rsidTr="00A4094A">
        <w:trPr>
          <w:trHeight w:val="263"/>
        </w:trPr>
        <w:tc>
          <w:tcPr>
            <w:tcW w:w="1106" w:type="dxa"/>
          </w:tcPr>
          <w:p w14:paraId="235AE568" w14:textId="59D6D19F" w:rsidR="00B341DA" w:rsidRPr="00221491" w:rsidRDefault="00287467" w:rsidP="00B341DA">
            <w:pPr>
              <w:rPr>
                <w:rFonts w:ascii="Arial" w:hAnsi="Arial" w:cs="Arial"/>
                <w:sz w:val="22"/>
                <w:szCs w:val="22"/>
              </w:rPr>
            </w:pPr>
            <w:r w:rsidRPr="00221491">
              <w:rPr>
                <w:rFonts w:ascii="Arial" w:hAnsi="Arial" w:cs="Arial"/>
                <w:sz w:val="22"/>
                <w:szCs w:val="22"/>
              </w:rPr>
              <w:t>IND</w:t>
            </w:r>
            <w:r w:rsidR="00087149" w:rsidRPr="00221491">
              <w:rPr>
                <w:rFonts w:ascii="Arial" w:hAnsi="Arial" w:cs="Arial"/>
                <w:sz w:val="22"/>
                <w:szCs w:val="22"/>
              </w:rPr>
              <w:t>2</w:t>
            </w:r>
          </w:p>
        </w:tc>
        <w:tc>
          <w:tcPr>
            <w:tcW w:w="2863" w:type="dxa"/>
          </w:tcPr>
          <w:p w14:paraId="711F9B5F" w14:textId="52BB6AC6" w:rsidR="00B341DA" w:rsidRPr="00221491" w:rsidRDefault="00087149" w:rsidP="00136466">
            <w:pPr>
              <w:pStyle w:val="Tabletext"/>
              <w:rPr>
                <w:szCs w:val="22"/>
                <w:lang w:val="en-GB"/>
              </w:rPr>
            </w:pPr>
            <w:r w:rsidRPr="00221491">
              <w:t>The practice can produce a register of people with moderate to severe frailty.</w:t>
            </w:r>
          </w:p>
        </w:tc>
        <w:tc>
          <w:tcPr>
            <w:tcW w:w="5529" w:type="dxa"/>
          </w:tcPr>
          <w:p w14:paraId="0B59169A" w14:textId="3EAD8A5F" w:rsidR="00087149" w:rsidRPr="00221491" w:rsidRDefault="00087149" w:rsidP="00087149">
            <w:pPr>
              <w:pStyle w:val="Default"/>
              <w:spacing w:after="60"/>
              <w:rPr>
                <w:rFonts w:ascii="Arial" w:hAnsi="Arial" w:cs="Arial"/>
                <w:sz w:val="22"/>
                <w:szCs w:val="22"/>
              </w:rPr>
            </w:pPr>
            <w:r w:rsidRPr="00221491">
              <w:rPr>
                <w:rFonts w:ascii="Arial" w:hAnsi="Arial" w:cs="Arial"/>
                <w:sz w:val="22"/>
                <w:szCs w:val="22"/>
              </w:rPr>
              <w:t xml:space="preserve">NICE guideline NG56 (2016) </w:t>
            </w:r>
            <w:hyperlink r:id="rId11" w:history="1">
              <w:r w:rsidRPr="00221491">
                <w:rPr>
                  <w:rStyle w:val="Hyperlink"/>
                  <w:rFonts w:ascii="Arial" w:hAnsi="Arial" w:cs="Arial"/>
                  <w:sz w:val="22"/>
                  <w:szCs w:val="22"/>
                </w:rPr>
                <w:t>Multimorbidity: clinical assessment and management</w:t>
              </w:r>
            </w:hyperlink>
            <w:r w:rsidRPr="00221491">
              <w:rPr>
                <w:rFonts w:ascii="Arial" w:hAnsi="Arial" w:cs="Arial"/>
                <w:sz w:val="22"/>
                <w:szCs w:val="22"/>
              </w:rPr>
              <w:t xml:space="preserve">. Recommendation 1.4. </w:t>
            </w:r>
          </w:p>
          <w:p w14:paraId="73C4C27F" w14:textId="77777777" w:rsidR="00087149" w:rsidRPr="00221491" w:rsidRDefault="00087149" w:rsidP="00087149">
            <w:pPr>
              <w:pStyle w:val="Default"/>
              <w:spacing w:after="60"/>
              <w:rPr>
                <w:rFonts w:ascii="Arial" w:hAnsi="Arial" w:cs="Arial"/>
                <w:sz w:val="22"/>
                <w:szCs w:val="22"/>
              </w:rPr>
            </w:pPr>
          </w:p>
          <w:p w14:paraId="64988E7C" w14:textId="5E6676F3" w:rsidR="00B341DA" w:rsidRPr="00221491" w:rsidRDefault="00087149" w:rsidP="00087149">
            <w:pPr>
              <w:spacing w:after="60"/>
              <w:rPr>
                <w:rFonts w:ascii="Arial" w:hAnsi="Arial" w:cs="Arial"/>
                <w:sz w:val="22"/>
                <w:szCs w:val="22"/>
              </w:rPr>
            </w:pPr>
            <w:r w:rsidRPr="00221491">
              <w:rPr>
                <w:rFonts w:ascii="Arial" w:hAnsi="Arial" w:cs="Arial"/>
                <w:sz w:val="22"/>
                <w:szCs w:val="22"/>
              </w:rPr>
              <w:t xml:space="preserve">NICE quality standard QS153 (2017) </w:t>
            </w:r>
            <w:hyperlink r:id="rId12" w:history="1">
              <w:r w:rsidRPr="00221491">
                <w:rPr>
                  <w:rStyle w:val="Hyperlink"/>
                  <w:rFonts w:ascii="Arial" w:hAnsi="Arial" w:cs="Arial"/>
                  <w:sz w:val="22"/>
                  <w:szCs w:val="22"/>
                </w:rPr>
                <w:t>Multimorbidity</w:t>
              </w:r>
            </w:hyperlink>
            <w:r w:rsidRPr="00221491">
              <w:rPr>
                <w:rFonts w:ascii="Arial" w:hAnsi="Arial" w:cs="Arial"/>
                <w:sz w:val="22"/>
                <w:szCs w:val="22"/>
              </w:rPr>
              <w:t>. Statement 1.</w:t>
            </w:r>
          </w:p>
        </w:tc>
      </w:tr>
      <w:tr w:rsidR="00B341DA" w:rsidRPr="00221491" w14:paraId="69595CF5" w14:textId="77777777" w:rsidTr="00A4094A">
        <w:trPr>
          <w:trHeight w:val="263"/>
        </w:trPr>
        <w:tc>
          <w:tcPr>
            <w:tcW w:w="1106" w:type="dxa"/>
          </w:tcPr>
          <w:p w14:paraId="3176A883" w14:textId="7B7E4F62" w:rsidR="00B341DA" w:rsidRPr="00221491" w:rsidRDefault="00287467" w:rsidP="00B341DA">
            <w:pPr>
              <w:rPr>
                <w:rFonts w:ascii="Arial" w:hAnsi="Arial" w:cs="Arial"/>
                <w:sz w:val="22"/>
                <w:szCs w:val="22"/>
              </w:rPr>
            </w:pPr>
            <w:r w:rsidRPr="00221491">
              <w:rPr>
                <w:rFonts w:ascii="Arial" w:hAnsi="Arial" w:cs="Arial"/>
                <w:sz w:val="22"/>
                <w:szCs w:val="22"/>
              </w:rPr>
              <w:t>IND</w:t>
            </w:r>
            <w:r w:rsidR="00087149" w:rsidRPr="00221491">
              <w:rPr>
                <w:rFonts w:ascii="Arial" w:hAnsi="Arial" w:cs="Arial"/>
                <w:sz w:val="22"/>
                <w:szCs w:val="22"/>
              </w:rPr>
              <w:t>14</w:t>
            </w:r>
          </w:p>
        </w:tc>
        <w:tc>
          <w:tcPr>
            <w:tcW w:w="2863" w:type="dxa"/>
          </w:tcPr>
          <w:p w14:paraId="302B85AE" w14:textId="3BCA70F2" w:rsidR="00B341DA" w:rsidRPr="00221491" w:rsidRDefault="00087149" w:rsidP="00287467">
            <w:pPr>
              <w:pStyle w:val="Tabletext"/>
            </w:pPr>
            <w:r w:rsidRPr="00221491">
              <w:t xml:space="preserve">The percentage of patients with moderate or severe frailty and/or multimorbidity who have received a medication review in the last 12 months which is structured, has considered the use of a </w:t>
            </w:r>
            <w:proofErr w:type="spellStart"/>
            <w:r w:rsidRPr="00221491">
              <w:t>recognised</w:t>
            </w:r>
            <w:proofErr w:type="spellEnd"/>
            <w:r w:rsidRPr="00221491">
              <w:t xml:space="preserve"> tool and taken place as a shared discussion.</w:t>
            </w:r>
          </w:p>
        </w:tc>
        <w:tc>
          <w:tcPr>
            <w:tcW w:w="5529" w:type="dxa"/>
          </w:tcPr>
          <w:p w14:paraId="6F4A3C0D" w14:textId="42E89911" w:rsidR="00087149" w:rsidRPr="00221491" w:rsidRDefault="00087149" w:rsidP="00087149">
            <w:pPr>
              <w:pStyle w:val="Default"/>
              <w:spacing w:after="60"/>
              <w:rPr>
                <w:rFonts w:ascii="Arial" w:hAnsi="Arial" w:cs="Arial"/>
                <w:sz w:val="22"/>
                <w:szCs w:val="22"/>
              </w:rPr>
            </w:pPr>
            <w:r w:rsidRPr="00221491">
              <w:rPr>
                <w:rFonts w:ascii="Arial" w:hAnsi="Arial" w:cs="Arial"/>
                <w:sz w:val="22"/>
                <w:szCs w:val="22"/>
              </w:rPr>
              <w:t xml:space="preserve">NICE guideline NG5 (2015) </w:t>
            </w:r>
            <w:hyperlink r:id="rId13" w:history="1">
              <w:r w:rsidRPr="00221491">
                <w:rPr>
                  <w:rStyle w:val="Hyperlink"/>
                  <w:rFonts w:ascii="Arial" w:hAnsi="Arial" w:cs="Arial"/>
                  <w:sz w:val="22"/>
                  <w:szCs w:val="22"/>
                </w:rPr>
                <w:t>Medicines optimisation: the safe and effective use of medicines to enable to best possible outcomes</w:t>
              </w:r>
            </w:hyperlink>
            <w:r w:rsidRPr="00221491">
              <w:rPr>
                <w:rFonts w:ascii="Arial" w:hAnsi="Arial" w:cs="Arial"/>
                <w:sz w:val="22"/>
                <w:szCs w:val="22"/>
              </w:rPr>
              <w:t>. Sections 1.4 and 1.6.</w:t>
            </w:r>
          </w:p>
          <w:p w14:paraId="7045020E" w14:textId="77777777" w:rsidR="00087149" w:rsidRPr="00221491" w:rsidRDefault="00087149" w:rsidP="00087149">
            <w:pPr>
              <w:pStyle w:val="Default"/>
              <w:spacing w:after="60"/>
              <w:rPr>
                <w:rFonts w:ascii="Arial" w:hAnsi="Arial" w:cs="Arial"/>
                <w:sz w:val="22"/>
                <w:szCs w:val="22"/>
              </w:rPr>
            </w:pPr>
          </w:p>
          <w:p w14:paraId="1F711C25" w14:textId="071148BD" w:rsidR="00087149" w:rsidRPr="00221491" w:rsidRDefault="00087149" w:rsidP="00087149">
            <w:pPr>
              <w:pStyle w:val="Default"/>
              <w:spacing w:after="60"/>
              <w:rPr>
                <w:rFonts w:ascii="Arial" w:hAnsi="Arial" w:cs="Arial"/>
                <w:sz w:val="22"/>
                <w:szCs w:val="22"/>
              </w:rPr>
            </w:pPr>
            <w:r w:rsidRPr="00221491">
              <w:rPr>
                <w:rFonts w:ascii="Arial" w:hAnsi="Arial" w:cs="Arial"/>
                <w:sz w:val="22"/>
                <w:szCs w:val="22"/>
              </w:rPr>
              <w:t xml:space="preserve">NICE guideline NG56 (2016) </w:t>
            </w:r>
            <w:hyperlink r:id="rId14" w:history="1">
              <w:r w:rsidRPr="00221491">
                <w:rPr>
                  <w:rStyle w:val="Hyperlink"/>
                  <w:rFonts w:ascii="Arial" w:hAnsi="Arial" w:cs="Arial"/>
                  <w:sz w:val="22"/>
                  <w:szCs w:val="22"/>
                </w:rPr>
                <w:t>Multimorbidity: clinical assessment and management</w:t>
              </w:r>
            </w:hyperlink>
            <w:r w:rsidRPr="00221491">
              <w:rPr>
                <w:rFonts w:ascii="Arial" w:hAnsi="Arial" w:cs="Arial"/>
                <w:sz w:val="22"/>
                <w:szCs w:val="22"/>
              </w:rPr>
              <w:t xml:space="preserve">. Recommendations 1.5.2 and 1.6.11. </w:t>
            </w:r>
          </w:p>
          <w:p w14:paraId="432678BD" w14:textId="77777777" w:rsidR="00087149" w:rsidRPr="00221491" w:rsidRDefault="00087149" w:rsidP="00087149">
            <w:pPr>
              <w:pStyle w:val="Default"/>
              <w:spacing w:after="60"/>
              <w:rPr>
                <w:rFonts w:ascii="Arial" w:hAnsi="Arial" w:cs="Arial"/>
                <w:sz w:val="22"/>
                <w:szCs w:val="22"/>
              </w:rPr>
            </w:pPr>
          </w:p>
          <w:p w14:paraId="3CD59BA7" w14:textId="226CCDF8" w:rsidR="00087149" w:rsidRPr="00221491" w:rsidRDefault="00087149" w:rsidP="00087149">
            <w:pPr>
              <w:pStyle w:val="Default"/>
              <w:spacing w:after="60"/>
              <w:rPr>
                <w:rFonts w:ascii="Arial" w:hAnsi="Arial" w:cs="Arial"/>
                <w:sz w:val="22"/>
                <w:szCs w:val="22"/>
              </w:rPr>
            </w:pPr>
            <w:r w:rsidRPr="00221491">
              <w:rPr>
                <w:rFonts w:ascii="Arial" w:hAnsi="Arial" w:cs="Arial"/>
                <w:sz w:val="22"/>
                <w:szCs w:val="22"/>
              </w:rPr>
              <w:t>NICE quality statement QS120 (2016</w:t>
            </w:r>
            <w:hyperlink r:id="rId15" w:history="1">
              <w:r w:rsidRPr="00221491">
                <w:rPr>
                  <w:rStyle w:val="Hyperlink"/>
                  <w:rFonts w:ascii="Arial" w:hAnsi="Arial" w:cs="Arial"/>
                  <w:sz w:val="22"/>
                  <w:szCs w:val="22"/>
                </w:rPr>
                <w:t>) Medicines optimisation</w:t>
              </w:r>
            </w:hyperlink>
            <w:r w:rsidRPr="00221491">
              <w:rPr>
                <w:rFonts w:ascii="Arial" w:hAnsi="Arial" w:cs="Arial"/>
                <w:sz w:val="22"/>
                <w:szCs w:val="22"/>
              </w:rPr>
              <w:t xml:space="preserve">. Statements 1 and 6. </w:t>
            </w:r>
          </w:p>
          <w:p w14:paraId="3B32EDA6" w14:textId="77777777" w:rsidR="00087149" w:rsidRPr="00221491" w:rsidRDefault="00087149" w:rsidP="00087149">
            <w:pPr>
              <w:pStyle w:val="Tabletext"/>
              <w:rPr>
                <w:rFonts w:cs="Arial"/>
                <w:szCs w:val="22"/>
              </w:rPr>
            </w:pPr>
          </w:p>
          <w:p w14:paraId="10B420C2" w14:textId="35F2B5BD" w:rsidR="00B341DA" w:rsidRPr="00221491" w:rsidRDefault="00087149" w:rsidP="00087149">
            <w:pPr>
              <w:pStyle w:val="Tabletext"/>
              <w:rPr>
                <w:rFonts w:cs="Arial"/>
                <w:szCs w:val="22"/>
              </w:rPr>
            </w:pPr>
            <w:r w:rsidRPr="00221491">
              <w:rPr>
                <w:rFonts w:cs="Arial"/>
                <w:szCs w:val="22"/>
              </w:rPr>
              <w:t xml:space="preserve">NICE quality standard QS153 (2017) </w:t>
            </w:r>
            <w:hyperlink r:id="rId16" w:history="1">
              <w:r w:rsidRPr="00221491">
                <w:rPr>
                  <w:rStyle w:val="Hyperlink"/>
                  <w:rFonts w:cs="Arial"/>
                  <w:szCs w:val="22"/>
                </w:rPr>
                <w:t>Multimorbidity</w:t>
              </w:r>
            </w:hyperlink>
            <w:r w:rsidRPr="00221491">
              <w:rPr>
                <w:rFonts w:cs="Arial"/>
                <w:szCs w:val="22"/>
              </w:rPr>
              <w:t>. Statement 4.</w:t>
            </w:r>
          </w:p>
        </w:tc>
      </w:tr>
      <w:tr w:rsidR="00B341DA" w:rsidRPr="00221491" w14:paraId="1770C2A0" w14:textId="77777777" w:rsidTr="00A4094A">
        <w:trPr>
          <w:trHeight w:val="263"/>
        </w:trPr>
        <w:tc>
          <w:tcPr>
            <w:tcW w:w="1106" w:type="dxa"/>
          </w:tcPr>
          <w:p w14:paraId="245022D5" w14:textId="0FDD9E5A" w:rsidR="00B341DA" w:rsidRPr="00221491" w:rsidRDefault="00087149" w:rsidP="00B341DA">
            <w:pPr>
              <w:rPr>
                <w:rFonts w:ascii="Arial" w:hAnsi="Arial" w:cs="Arial"/>
                <w:sz w:val="22"/>
                <w:szCs w:val="22"/>
              </w:rPr>
            </w:pPr>
            <w:r w:rsidRPr="00221491">
              <w:rPr>
                <w:rFonts w:ascii="Arial" w:hAnsi="Arial" w:cs="Arial"/>
                <w:sz w:val="22"/>
                <w:szCs w:val="22"/>
              </w:rPr>
              <w:t>IND15.1</w:t>
            </w:r>
          </w:p>
        </w:tc>
        <w:tc>
          <w:tcPr>
            <w:tcW w:w="2863" w:type="dxa"/>
          </w:tcPr>
          <w:p w14:paraId="31551A93" w14:textId="2DA20949" w:rsidR="00B341DA" w:rsidRPr="00221491" w:rsidRDefault="00087149" w:rsidP="00B341DA">
            <w:pPr>
              <w:pStyle w:val="Tabletext"/>
            </w:pPr>
            <w:bookmarkStart w:id="5" w:name="_Hlk8207511"/>
            <w:r w:rsidRPr="00221491">
              <w:t>The percentage of patients (aged 65 years and over) with moderate or severe frailty who have been asked whether they have had a fall, about the total number of falls and about the type of falls, in the last 12 months</w:t>
            </w:r>
            <w:bookmarkEnd w:id="5"/>
          </w:p>
        </w:tc>
        <w:tc>
          <w:tcPr>
            <w:tcW w:w="5529" w:type="dxa"/>
          </w:tcPr>
          <w:p w14:paraId="54BACDDC" w14:textId="17121E32" w:rsidR="00087149" w:rsidRPr="00221491" w:rsidRDefault="00087149" w:rsidP="00087149">
            <w:pPr>
              <w:pStyle w:val="Tabletext"/>
            </w:pPr>
            <w:r w:rsidRPr="00221491">
              <w:t xml:space="preserve">NICE guidance CG161 (2013) </w:t>
            </w:r>
            <w:hyperlink r:id="rId17" w:history="1">
              <w:r w:rsidRPr="00221491">
                <w:rPr>
                  <w:rStyle w:val="Hyperlink"/>
                </w:rPr>
                <w:t>Falls in older people: assessing risk and prevention</w:t>
              </w:r>
            </w:hyperlink>
            <w:r w:rsidRPr="00221491">
              <w:t>. Recommendations 1.1.1.1, 1.1.2.2.</w:t>
            </w:r>
          </w:p>
          <w:p w14:paraId="7E5D60DA" w14:textId="77777777" w:rsidR="00087149" w:rsidRPr="00221491" w:rsidRDefault="00087149" w:rsidP="00087149">
            <w:pPr>
              <w:pStyle w:val="Tabletext"/>
            </w:pPr>
          </w:p>
          <w:p w14:paraId="28E94109" w14:textId="56BF5693" w:rsidR="00B341DA" w:rsidRPr="00221491" w:rsidRDefault="00087149" w:rsidP="00087149">
            <w:pPr>
              <w:pStyle w:val="Tabletext"/>
              <w:rPr>
                <w:rFonts w:cs="Arial"/>
                <w:szCs w:val="22"/>
              </w:rPr>
            </w:pPr>
            <w:r w:rsidRPr="00221491">
              <w:t xml:space="preserve">NICE quality standard QS86 (2017) </w:t>
            </w:r>
            <w:hyperlink r:id="rId18" w:history="1">
              <w:r w:rsidRPr="00221491">
                <w:rPr>
                  <w:rStyle w:val="Hyperlink"/>
                </w:rPr>
                <w:t>Falls in older people</w:t>
              </w:r>
            </w:hyperlink>
            <w:r w:rsidRPr="00221491">
              <w:t>. Statement 1.</w:t>
            </w:r>
          </w:p>
        </w:tc>
      </w:tr>
      <w:tr w:rsidR="00B341DA" w:rsidRPr="00221491" w14:paraId="2F920B24" w14:textId="77777777" w:rsidTr="00A4094A">
        <w:trPr>
          <w:trHeight w:val="263"/>
        </w:trPr>
        <w:tc>
          <w:tcPr>
            <w:tcW w:w="1106" w:type="dxa"/>
          </w:tcPr>
          <w:p w14:paraId="5BE72B1F" w14:textId="27F84687" w:rsidR="00B341DA" w:rsidRPr="00221491" w:rsidRDefault="0089270D" w:rsidP="00B341DA">
            <w:pPr>
              <w:rPr>
                <w:rFonts w:ascii="Arial" w:hAnsi="Arial" w:cs="Arial"/>
                <w:sz w:val="22"/>
                <w:szCs w:val="22"/>
              </w:rPr>
            </w:pPr>
            <w:r w:rsidRPr="00221491">
              <w:rPr>
                <w:rFonts w:ascii="Arial" w:hAnsi="Arial" w:cs="Arial"/>
                <w:sz w:val="22"/>
                <w:szCs w:val="22"/>
              </w:rPr>
              <w:t>IND</w:t>
            </w:r>
            <w:r w:rsidR="00087149" w:rsidRPr="00221491">
              <w:rPr>
                <w:rFonts w:ascii="Arial" w:hAnsi="Arial" w:cs="Arial"/>
                <w:sz w:val="22"/>
                <w:szCs w:val="22"/>
              </w:rPr>
              <w:t>15.2</w:t>
            </w:r>
          </w:p>
        </w:tc>
        <w:tc>
          <w:tcPr>
            <w:tcW w:w="2863" w:type="dxa"/>
          </w:tcPr>
          <w:p w14:paraId="4E6E2A8A" w14:textId="374FA2E9" w:rsidR="00B341DA" w:rsidRPr="00221491" w:rsidRDefault="00087149" w:rsidP="0089270D">
            <w:pPr>
              <w:pStyle w:val="Tabletext"/>
            </w:pPr>
            <w:r w:rsidRPr="00221491">
              <w:t>The percentage of patients (aged 65 years and over) with moderate or severe frailty who have been asked whether they have had a fall, about the total number of falls and about the type of falls, in the last 12 months, were found to be at risk and have been provided with advice and guidance with regard to falls prevention (in the last 12 months).</w:t>
            </w:r>
          </w:p>
        </w:tc>
        <w:tc>
          <w:tcPr>
            <w:tcW w:w="5529" w:type="dxa"/>
          </w:tcPr>
          <w:p w14:paraId="1CFBF6E8" w14:textId="3D36C400" w:rsidR="00087149" w:rsidRPr="00221491" w:rsidRDefault="00087149" w:rsidP="00087149">
            <w:pPr>
              <w:pStyle w:val="Tabletext"/>
              <w:rPr>
                <w:rFonts w:cs="Arial"/>
                <w:szCs w:val="22"/>
              </w:rPr>
            </w:pPr>
            <w:r w:rsidRPr="00221491">
              <w:rPr>
                <w:rFonts w:cs="Arial"/>
                <w:szCs w:val="22"/>
              </w:rPr>
              <w:t xml:space="preserve">NICE guidance CG161 (2013) </w:t>
            </w:r>
            <w:hyperlink r:id="rId19" w:history="1">
              <w:r w:rsidRPr="00221491">
                <w:rPr>
                  <w:rStyle w:val="Hyperlink"/>
                  <w:rFonts w:cs="Arial"/>
                  <w:szCs w:val="22"/>
                </w:rPr>
                <w:t>Falls in older people: assessing risk and prevention</w:t>
              </w:r>
            </w:hyperlink>
            <w:r w:rsidRPr="00221491">
              <w:rPr>
                <w:rFonts w:cs="Arial"/>
                <w:szCs w:val="22"/>
              </w:rPr>
              <w:t>. Recommendations 1.1.1.2, 1.1.3.1, 1.1.9.1 and 1.1.10.2.</w:t>
            </w:r>
          </w:p>
          <w:p w14:paraId="093BE3FF" w14:textId="77777777" w:rsidR="00087149" w:rsidRPr="00221491" w:rsidRDefault="00087149" w:rsidP="00087149">
            <w:pPr>
              <w:pStyle w:val="Tabletext"/>
              <w:rPr>
                <w:rFonts w:cs="Arial"/>
                <w:szCs w:val="22"/>
              </w:rPr>
            </w:pPr>
          </w:p>
          <w:p w14:paraId="7362C7A5" w14:textId="104C1398" w:rsidR="00B341DA" w:rsidRPr="00221491" w:rsidRDefault="00087149" w:rsidP="00087149">
            <w:pPr>
              <w:rPr>
                <w:rFonts w:ascii="Arial" w:hAnsi="Arial" w:cs="Arial"/>
                <w:sz w:val="22"/>
                <w:szCs w:val="22"/>
              </w:rPr>
            </w:pPr>
            <w:r w:rsidRPr="00221491">
              <w:rPr>
                <w:rFonts w:ascii="Arial" w:hAnsi="Arial" w:cs="Arial"/>
                <w:sz w:val="22"/>
                <w:szCs w:val="22"/>
              </w:rPr>
              <w:t xml:space="preserve">NICE quality standard QS86 (2017) </w:t>
            </w:r>
            <w:hyperlink r:id="rId20" w:history="1">
              <w:r w:rsidRPr="00221491">
                <w:rPr>
                  <w:rStyle w:val="Hyperlink"/>
                  <w:rFonts w:ascii="Arial" w:hAnsi="Arial" w:cs="Arial"/>
                  <w:sz w:val="22"/>
                  <w:szCs w:val="22"/>
                </w:rPr>
                <w:t>Falls in older people</w:t>
              </w:r>
            </w:hyperlink>
            <w:r w:rsidRPr="00221491">
              <w:rPr>
                <w:rFonts w:ascii="Arial" w:hAnsi="Arial" w:cs="Arial"/>
                <w:sz w:val="22"/>
                <w:szCs w:val="22"/>
              </w:rPr>
              <w:t>. Statement 3.</w:t>
            </w:r>
          </w:p>
        </w:tc>
      </w:tr>
    </w:tbl>
    <w:p w14:paraId="48223B5F" w14:textId="6F98AA9F" w:rsidR="00221491" w:rsidRDefault="00221491">
      <w:pPr>
        <w:rPr>
          <w:rFonts w:cs="Arial"/>
          <w:szCs w:val="28"/>
        </w:rPr>
      </w:pPr>
    </w:p>
    <w:p w14:paraId="4ED67C6A" w14:textId="77777777" w:rsidR="0024650F" w:rsidRPr="00221491" w:rsidRDefault="0024650F">
      <w:pPr>
        <w:rPr>
          <w:rFonts w:cs="Arial"/>
          <w:szCs w:val="28"/>
        </w:rPr>
      </w:pPr>
    </w:p>
    <w:p w14:paraId="5CCB5506" w14:textId="74901000" w:rsidR="00C54B46" w:rsidRPr="0024650F" w:rsidRDefault="0024650F" w:rsidP="0024650F">
      <w:pPr>
        <w:pStyle w:val="Heading1"/>
        <w:rPr>
          <w:rFonts w:cs="Arial"/>
          <w:sz w:val="36"/>
          <w:szCs w:val="40"/>
        </w:rPr>
      </w:pPr>
      <w:bookmarkStart w:id="6" w:name="_Toc418246137"/>
      <w:bookmarkStart w:id="7" w:name="_Toc17817650"/>
      <w:r w:rsidRPr="0024650F">
        <w:rPr>
          <w:szCs w:val="28"/>
        </w:rPr>
        <w:lastRenderedPageBreak/>
        <w:t>Multimorbidity register – people with conditions in 4 or more categories</w:t>
      </w:r>
      <w:bookmarkEnd w:id="7"/>
    </w:p>
    <w:tbl>
      <w:tblPr>
        <w:tblStyle w:val="TableGrid"/>
        <w:tblW w:w="0" w:type="auto"/>
        <w:tblLook w:val="04A0" w:firstRow="1" w:lastRow="0" w:firstColumn="1" w:lastColumn="0" w:noHBand="0" w:noVBand="1"/>
      </w:tblPr>
      <w:tblGrid>
        <w:gridCol w:w="2405"/>
        <w:gridCol w:w="6612"/>
      </w:tblGrid>
      <w:tr w:rsidR="00531EAC" w14:paraId="6E15DC30" w14:textId="77777777" w:rsidTr="00C54B46">
        <w:tc>
          <w:tcPr>
            <w:tcW w:w="2405" w:type="dxa"/>
          </w:tcPr>
          <w:p w14:paraId="38EF70F7" w14:textId="77777777" w:rsidR="00531EAC" w:rsidRPr="00633677" w:rsidRDefault="00531EAC" w:rsidP="00531EAC">
            <w:pPr>
              <w:pStyle w:val="Paragraph"/>
              <w:spacing w:before="120" w:after="120" w:line="240" w:lineRule="auto"/>
              <w:rPr>
                <w:rFonts w:cs="Arial"/>
              </w:rPr>
            </w:pPr>
            <w:bookmarkStart w:id="8" w:name="_Hlk17817691"/>
            <w:r w:rsidRPr="00633677">
              <w:rPr>
                <w:b/>
                <w:bCs/>
              </w:rPr>
              <w:t xml:space="preserve">Category </w:t>
            </w:r>
          </w:p>
        </w:tc>
        <w:tc>
          <w:tcPr>
            <w:tcW w:w="6612" w:type="dxa"/>
          </w:tcPr>
          <w:p w14:paraId="54CD968F" w14:textId="77777777" w:rsidR="00531EAC" w:rsidRPr="00633677" w:rsidRDefault="00531EAC" w:rsidP="00531EAC">
            <w:pPr>
              <w:pStyle w:val="Paragraph"/>
              <w:spacing w:before="120" w:after="120" w:line="240" w:lineRule="auto"/>
              <w:rPr>
                <w:rFonts w:cs="Arial"/>
              </w:rPr>
            </w:pPr>
            <w:r w:rsidRPr="00633677">
              <w:rPr>
                <w:b/>
                <w:bCs/>
              </w:rPr>
              <w:t xml:space="preserve">Condition </w:t>
            </w:r>
          </w:p>
        </w:tc>
      </w:tr>
      <w:tr w:rsidR="00531EAC" w14:paraId="56C2750B" w14:textId="77777777" w:rsidTr="00C54B46">
        <w:tc>
          <w:tcPr>
            <w:tcW w:w="2405" w:type="dxa"/>
          </w:tcPr>
          <w:p w14:paraId="57AD2163" w14:textId="77777777" w:rsidR="00531EAC" w:rsidRPr="00C54B46" w:rsidRDefault="00531EAC" w:rsidP="00C54B46">
            <w:pPr>
              <w:pStyle w:val="Paragraph"/>
              <w:spacing w:before="120" w:after="120" w:line="204" w:lineRule="auto"/>
              <w:rPr>
                <w:rFonts w:cs="Arial"/>
                <w:sz w:val="17"/>
                <w:szCs w:val="17"/>
              </w:rPr>
            </w:pPr>
            <w:r w:rsidRPr="00C54B46">
              <w:rPr>
                <w:rFonts w:cs="Arial"/>
                <w:sz w:val="17"/>
                <w:szCs w:val="17"/>
              </w:rPr>
              <w:t xml:space="preserve">Cancer </w:t>
            </w:r>
          </w:p>
        </w:tc>
        <w:tc>
          <w:tcPr>
            <w:tcW w:w="6612" w:type="dxa"/>
          </w:tcPr>
          <w:p w14:paraId="27E6A7DC" w14:textId="77777777" w:rsidR="00531EAC" w:rsidRPr="00C54B46" w:rsidRDefault="00531EAC" w:rsidP="00C54B46">
            <w:pPr>
              <w:pStyle w:val="Paragraph"/>
              <w:spacing w:before="120" w:after="120" w:line="204" w:lineRule="auto"/>
              <w:rPr>
                <w:rFonts w:cs="Arial"/>
                <w:sz w:val="17"/>
                <w:szCs w:val="17"/>
              </w:rPr>
            </w:pPr>
            <w:r w:rsidRPr="00C54B46">
              <w:rPr>
                <w:rFonts w:cs="Arial"/>
                <w:sz w:val="17"/>
                <w:szCs w:val="17"/>
              </w:rPr>
              <w:t xml:space="preserve">Cancer </w:t>
            </w:r>
          </w:p>
        </w:tc>
      </w:tr>
      <w:tr w:rsidR="00531EAC" w14:paraId="1E76BEAD" w14:textId="77777777" w:rsidTr="00C54B46">
        <w:tc>
          <w:tcPr>
            <w:tcW w:w="2405" w:type="dxa"/>
          </w:tcPr>
          <w:p w14:paraId="7D1103D4" w14:textId="77777777" w:rsidR="00531EAC" w:rsidRPr="00C54B46" w:rsidRDefault="00531EAC" w:rsidP="00C54B46">
            <w:pPr>
              <w:pStyle w:val="Paragraph"/>
              <w:spacing w:before="120" w:after="120" w:line="204" w:lineRule="auto"/>
              <w:rPr>
                <w:rFonts w:cs="Arial"/>
                <w:sz w:val="17"/>
                <w:szCs w:val="17"/>
              </w:rPr>
            </w:pPr>
            <w:r w:rsidRPr="00C54B46">
              <w:rPr>
                <w:rFonts w:cs="Arial"/>
                <w:sz w:val="17"/>
                <w:szCs w:val="17"/>
              </w:rPr>
              <w:t xml:space="preserve">Chronic pain </w:t>
            </w:r>
          </w:p>
        </w:tc>
        <w:tc>
          <w:tcPr>
            <w:tcW w:w="6612" w:type="dxa"/>
          </w:tcPr>
          <w:p w14:paraId="10CCDE3F" w14:textId="77777777" w:rsidR="00531EAC" w:rsidRPr="00C54B46" w:rsidRDefault="00531EAC" w:rsidP="00C54B46">
            <w:pPr>
              <w:pStyle w:val="Paragraph"/>
              <w:spacing w:before="120" w:after="120" w:line="204" w:lineRule="auto"/>
              <w:rPr>
                <w:rFonts w:cs="Arial"/>
                <w:sz w:val="17"/>
                <w:szCs w:val="17"/>
              </w:rPr>
            </w:pPr>
            <w:r w:rsidRPr="00C54B46">
              <w:rPr>
                <w:rFonts w:cs="Arial"/>
                <w:sz w:val="17"/>
                <w:szCs w:val="17"/>
              </w:rPr>
              <w:t>Painful condition</w:t>
            </w:r>
            <w:r w:rsidRPr="00C54B46">
              <w:rPr>
                <w:rStyle w:val="FootnoteReference"/>
                <w:rFonts w:cs="Arial"/>
                <w:sz w:val="17"/>
                <w:szCs w:val="17"/>
              </w:rPr>
              <w:footnoteReference w:id="1"/>
            </w:r>
            <w:r w:rsidRPr="00C54B46">
              <w:rPr>
                <w:rFonts w:cs="Arial"/>
                <w:sz w:val="17"/>
                <w:szCs w:val="17"/>
              </w:rPr>
              <w:t xml:space="preserve"> </w:t>
            </w:r>
          </w:p>
        </w:tc>
      </w:tr>
      <w:tr w:rsidR="00531EAC" w14:paraId="72C44C3B" w14:textId="77777777" w:rsidTr="00C54B46">
        <w:tc>
          <w:tcPr>
            <w:tcW w:w="2405" w:type="dxa"/>
          </w:tcPr>
          <w:p w14:paraId="4C7DB7A2" w14:textId="77777777" w:rsidR="00531EAC" w:rsidRPr="00C54B46" w:rsidRDefault="00531EAC" w:rsidP="00C54B46">
            <w:pPr>
              <w:pStyle w:val="Paragraph"/>
              <w:spacing w:before="120" w:after="120" w:line="240" w:lineRule="auto"/>
              <w:rPr>
                <w:rFonts w:cs="Arial"/>
                <w:sz w:val="17"/>
                <w:szCs w:val="17"/>
              </w:rPr>
            </w:pPr>
            <w:r w:rsidRPr="00C54B46">
              <w:rPr>
                <w:rFonts w:cs="Arial"/>
                <w:sz w:val="17"/>
                <w:szCs w:val="17"/>
              </w:rPr>
              <w:t xml:space="preserve">Circulatory conditions </w:t>
            </w:r>
          </w:p>
        </w:tc>
        <w:tc>
          <w:tcPr>
            <w:tcW w:w="6612" w:type="dxa"/>
          </w:tcPr>
          <w:p w14:paraId="0DFA91F4" w14:textId="77777777" w:rsidR="00531EAC" w:rsidRPr="00C54B46" w:rsidRDefault="00531EAC" w:rsidP="00C54B46">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Coronary heart disease </w:t>
            </w:r>
          </w:p>
          <w:p w14:paraId="60BDF7C9" w14:textId="77777777" w:rsidR="00531EAC" w:rsidRPr="00C54B46" w:rsidRDefault="00531EAC" w:rsidP="00C54B46">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Atrial fibrillation or atrial flutter </w:t>
            </w:r>
          </w:p>
          <w:p w14:paraId="72D7B20F" w14:textId="77777777" w:rsidR="00531EAC" w:rsidRPr="00C54B46" w:rsidRDefault="00531EAC" w:rsidP="00C54B46">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Heart failure </w:t>
            </w:r>
          </w:p>
          <w:p w14:paraId="57D6D3B2" w14:textId="77777777" w:rsidR="00531EAC" w:rsidRPr="00C54B46" w:rsidRDefault="00531EAC" w:rsidP="00C54B46">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Hypertension </w:t>
            </w:r>
          </w:p>
          <w:p w14:paraId="67844361" w14:textId="77777777" w:rsidR="00531EAC" w:rsidRPr="00C54B46" w:rsidRDefault="00531EAC" w:rsidP="00C54B46">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Stroke or TIA </w:t>
            </w:r>
          </w:p>
          <w:p w14:paraId="5819D9C5" w14:textId="77777777" w:rsidR="00531EAC" w:rsidRPr="00C54B46" w:rsidRDefault="00531EAC" w:rsidP="00C54B46">
            <w:pPr>
              <w:pStyle w:val="Paragraph"/>
              <w:spacing w:before="120" w:after="120" w:line="240" w:lineRule="auto"/>
              <w:rPr>
                <w:rFonts w:cs="Arial"/>
                <w:sz w:val="17"/>
                <w:szCs w:val="17"/>
              </w:rPr>
            </w:pPr>
            <w:r w:rsidRPr="00C54B46">
              <w:rPr>
                <w:rFonts w:cs="Arial"/>
                <w:sz w:val="17"/>
                <w:szCs w:val="17"/>
              </w:rPr>
              <w:t xml:space="preserve">Peripheral vascular disease </w:t>
            </w:r>
          </w:p>
        </w:tc>
      </w:tr>
      <w:tr w:rsidR="00531EAC" w14:paraId="07772231" w14:textId="77777777" w:rsidTr="00C54B46">
        <w:trPr>
          <w:trHeight w:val="284"/>
        </w:trPr>
        <w:tc>
          <w:tcPr>
            <w:tcW w:w="2405" w:type="dxa"/>
          </w:tcPr>
          <w:p w14:paraId="6FAD6253" w14:textId="77777777" w:rsidR="00531EAC" w:rsidRPr="00C54B46" w:rsidRDefault="00531EAC" w:rsidP="00C54B46">
            <w:pPr>
              <w:pStyle w:val="Paragraph"/>
              <w:spacing w:before="120" w:after="120" w:line="204" w:lineRule="auto"/>
              <w:rPr>
                <w:rFonts w:cs="Arial"/>
                <w:sz w:val="17"/>
                <w:szCs w:val="17"/>
              </w:rPr>
            </w:pPr>
            <w:r w:rsidRPr="00C54B46">
              <w:rPr>
                <w:rFonts w:cs="Arial"/>
                <w:sz w:val="17"/>
                <w:szCs w:val="17"/>
              </w:rPr>
              <w:t xml:space="preserve">Diabetes </w:t>
            </w:r>
          </w:p>
        </w:tc>
        <w:tc>
          <w:tcPr>
            <w:tcW w:w="6612" w:type="dxa"/>
          </w:tcPr>
          <w:p w14:paraId="69A203C2" w14:textId="77777777" w:rsidR="00531EAC" w:rsidRPr="00C54B46" w:rsidRDefault="00531EAC" w:rsidP="00C54B46">
            <w:pPr>
              <w:pStyle w:val="Paragraph"/>
              <w:spacing w:before="120" w:after="120" w:line="204" w:lineRule="auto"/>
              <w:rPr>
                <w:rFonts w:cs="Arial"/>
                <w:sz w:val="17"/>
                <w:szCs w:val="17"/>
              </w:rPr>
            </w:pPr>
            <w:r w:rsidRPr="00C54B46">
              <w:rPr>
                <w:rFonts w:cs="Arial"/>
                <w:sz w:val="17"/>
                <w:szCs w:val="17"/>
              </w:rPr>
              <w:t xml:space="preserve">Diabetes </w:t>
            </w:r>
          </w:p>
        </w:tc>
      </w:tr>
      <w:tr w:rsidR="00531EAC" w14:paraId="0CDCF35F" w14:textId="77777777" w:rsidTr="00C54B46">
        <w:tc>
          <w:tcPr>
            <w:tcW w:w="2405" w:type="dxa"/>
          </w:tcPr>
          <w:p w14:paraId="006756D2" w14:textId="77777777" w:rsidR="00531EAC" w:rsidRPr="00C54B46" w:rsidRDefault="00531EAC" w:rsidP="00C54B46">
            <w:pPr>
              <w:pStyle w:val="Paragraph"/>
              <w:spacing w:before="120" w:after="120" w:line="240" w:lineRule="auto"/>
              <w:rPr>
                <w:rFonts w:cs="Arial"/>
                <w:sz w:val="17"/>
                <w:szCs w:val="17"/>
              </w:rPr>
            </w:pPr>
            <w:r w:rsidRPr="00C54B46">
              <w:rPr>
                <w:rFonts w:cs="Arial"/>
                <w:sz w:val="17"/>
                <w:szCs w:val="17"/>
              </w:rPr>
              <w:t xml:space="preserve">Digestive system conditions </w:t>
            </w:r>
          </w:p>
        </w:tc>
        <w:tc>
          <w:tcPr>
            <w:tcW w:w="6612" w:type="dxa"/>
          </w:tcPr>
          <w:p w14:paraId="177A5F6D" w14:textId="77777777" w:rsidR="00531EAC" w:rsidRPr="00C54B46" w:rsidRDefault="00531EAC" w:rsidP="00C54B46">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Currently treated constipation</w:t>
            </w:r>
            <w:r w:rsidRPr="00C54B46">
              <w:rPr>
                <w:rStyle w:val="FootnoteReference"/>
                <w:rFonts w:ascii="Arial" w:hAnsi="Arial" w:cs="Arial"/>
                <w:sz w:val="17"/>
                <w:szCs w:val="17"/>
                <w:lang w:eastAsia="en-US"/>
              </w:rPr>
              <w:footnoteReference w:id="2"/>
            </w:r>
          </w:p>
          <w:p w14:paraId="4CABA7B9" w14:textId="77777777" w:rsidR="00531EAC" w:rsidRPr="00C54B46" w:rsidRDefault="00531EAC" w:rsidP="00C54B46">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Diverticular disease of intestine </w:t>
            </w:r>
          </w:p>
          <w:p w14:paraId="704E4538" w14:textId="77777777" w:rsidR="00531EAC" w:rsidRPr="00C54B46" w:rsidRDefault="00531EAC" w:rsidP="00C54B46">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Inflammatory bowel disease </w:t>
            </w:r>
          </w:p>
          <w:p w14:paraId="05C25FAC" w14:textId="77777777" w:rsidR="00531EAC" w:rsidRPr="00C54B46" w:rsidRDefault="00531EAC" w:rsidP="00C54B46">
            <w:pPr>
              <w:pStyle w:val="Paragraph"/>
              <w:spacing w:before="120" w:after="120" w:line="240" w:lineRule="auto"/>
              <w:rPr>
                <w:rFonts w:cs="Arial"/>
                <w:sz w:val="17"/>
                <w:szCs w:val="17"/>
              </w:rPr>
            </w:pPr>
            <w:r w:rsidRPr="00C54B46">
              <w:rPr>
                <w:rFonts w:cs="Arial"/>
                <w:sz w:val="17"/>
                <w:szCs w:val="17"/>
              </w:rPr>
              <w:t xml:space="preserve">Chronic liver disease </w:t>
            </w:r>
          </w:p>
        </w:tc>
      </w:tr>
      <w:tr w:rsidR="00531EAC" w14:paraId="1CB84274" w14:textId="77777777" w:rsidTr="00C54B46">
        <w:tc>
          <w:tcPr>
            <w:tcW w:w="2405" w:type="dxa"/>
          </w:tcPr>
          <w:p w14:paraId="13714B99" w14:textId="77777777" w:rsidR="00531EAC" w:rsidRPr="00C54B46" w:rsidRDefault="00531EAC" w:rsidP="00C54B46">
            <w:pPr>
              <w:pStyle w:val="Paragraph"/>
              <w:spacing w:before="120" w:after="120" w:line="204" w:lineRule="auto"/>
              <w:rPr>
                <w:rFonts w:cs="Arial"/>
                <w:sz w:val="17"/>
                <w:szCs w:val="17"/>
              </w:rPr>
            </w:pPr>
            <w:r w:rsidRPr="00C54B46">
              <w:rPr>
                <w:rFonts w:cs="Arial"/>
                <w:sz w:val="17"/>
                <w:szCs w:val="17"/>
              </w:rPr>
              <w:t xml:space="preserve">Learning disability </w:t>
            </w:r>
          </w:p>
        </w:tc>
        <w:tc>
          <w:tcPr>
            <w:tcW w:w="6612" w:type="dxa"/>
          </w:tcPr>
          <w:p w14:paraId="7C6DD604" w14:textId="77777777" w:rsidR="00531EAC" w:rsidRPr="00C54B46" w:rsidRDefault="00531EAC" w:rsidP="00C54B46">
            <w:pPr>
              <w:pStyle w:val="Paragraph"/>
              <w:spacing w:before="120" w:after="120" w:line="204" w:lineRule="auto"/>
              <w:rPr>
                <w:rFonts w:cs="Arial"/>
                <w:sz w:val="17"/>
                <w:szCs w:val="17"/>
              </w:rPr>
            </w:pPr>
            <w:r w:rsidRPr="00C54B46">
              <w:rPr>
                <w:rFonts w:cs="Arial"/>
                <w:sz w:val="17"/>
                <w:szCs w:val="17"/>
              </w:rPr>
              <w:t xml:space="preserve">Learning disability </w:t>
            </w:r>
          </w:p>
        </w:tc>
      </w:tr>
      <w:tr w:rsidR="00531EAC" w14:paraId="7411295F" w14:textId="77777777" w:rsidTr="00C54B46">
        <w:tc>
          <w:tcPr>
            <w:tcW w:w="2405" w:type="dxa"/>
          </w:tcPr>
          <w:p w14:paraId="63DA1E4D" w14:textId="77777777" w:rsidR="00531EAC" w:rsidRPr="00C54B46" w:rsidRDefault="00531EAC" w:rsidP="00C54B46">
            <w:pPr>
              <w:pStyle w:val="Paragraph"/>
              <w:spacing w:before="120" w:after="120" w:line="240" w:lineRule="auto"/>
              <w:rPr>
                <w:rFonts w:cs="Arial"/>
                <w:sz w:val="17"/>
                <w:szCs w:val="17"/>
              </w:rPr>
            </w:pPr>
            <w:r w:rsidRPr="00C54B46">
              <w:rPr>
                <w:rFonts w:cs="Arial"/>
                <w:sz w:val="17"/>
                <w:szCs w:val="17"/>
              </w:rPr>
              <w:t xml:space="preserve">Mental health </w:t>
            </w:r>
          </w:p>
        </w:tc>
        <w:tc>
          <w:tcPr>
            <w:tcW w:w="6612" w:type="dxa"/>
          </w:tcPr>
          <w:p w14:paraId="41C958B9" w14:textId="77777777" w:rsidR="00531EAC" w:rsidRPr="00C54B46" w:rsidRDefault="00531EAC" w:rsidP="00C54B46">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Anorexia or Bulimia </w:t>
            </w:r>
          </w:p>
          <w:p w14:paraId="645D887F" w14:textId="77777777" w:rsidR="00531EAC" w:rsidRPr="00C54B46" w:rsidRDefault="00531EAC" w:rsidP="00C54B46">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Anxiety &amp; other neurotic, stress related and somatoform disorders </w:t>
            </w:r>
          </w:p>
          <w:p w14:paraId="734A616D" w14:textId="77777777" w:rsidR="00531EAC" w:rsidRPr="00C54B46" w:rsidRDefault="00531EAC" w:rsidP="00C54B46">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Dementia (including Alzheimer’s) </w:t>
            </w:r>
          </w:p>
          <w:p w14:paraId="07888504" w14:textId="77777777" w:rsidR="00531EAC" w:rsidRPr="00C54B46" w:rsidRDefault="00531EAC" w:rsidP="00C54B46">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Depression </w:t>
            </w:r>
          </w:p>
          <w:p w14:paraId="1B63AC05" w14:textId="77777777" w:rsidR="00531EAC" w:rsidRPr="00C54B46" w:rsidRDefault="00531EAC" w:rsidP="00C54B46">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Schizophrenia and related non-organic psychosis </w:t>
            </w:r>
          </w:p>
          <w:p w14:paraId="59CAECD1" w14:textId="77777777" w:rsidR="00531EAC" w:rsidRPr="00C54B46" w:rsidRDefault="00531EAC" w:rsidP="00C54B46">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Bipolar disorder </w:t>
            </w:r>
          </w:p>
          <w:p w14:paraId="58EC062F" w14:textId="77777777" w:rsidR="00531EAC" w:rsidRPr="00C54B46" w:rsidRDefault="00531EAC" w:rsidP="00C54B46">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Alcohol problems </w:t>
            </w:r>
          </w:p>
          <w:p w14:paraId="71B6275E" w14:textId="77777777" w:rsidR="00531EAC" w:rsidRPr="00C54B46" w:rsidRDefault="00531EAC" w:rsidP="00C54B46">
            <w:pPr>
              <w:pStyle w:val="Paragraph"/>
              <w:spacing w:before="120" w:after="120" w:line="240" w:lineRule="auto"/>
              <w:rPr>
                <w:rFonts w:cs="Arial"/>
                <w:sz w:val="17"/>
                <w:szCs w:val="17"/>
              </w:rPr>
            </w:pPr>
            <w:r w:rsidRPr="00C54B46">
              <w:rPr>
                <w:rFonts w:cs="Arial"/>
                <w:sz w:val="17"/>
                <w:szCs w:val="17"/>
              </w:rPr>
              <w:t xml:space="preserve">Psychoactive substance misuse </w:t>
            </w:r>
          </w:p>
        </w:tc>
      </w:tr>
      <w:tr w:rsidR="00531EAC" w14:paraId="4C9912E9" w14:textId="77777777" w:rsidTr="00C54B46">
        <w:tc>
          <w:tcPr>
            <w:tcW w:w="2405" w:type="dxa"/>
          </w:tcPr>
          <w:p w14:paraId="516D14D3" w14:textId="77777777" w:rsidR="00531EAC" w:rsidRPr="00C54B46" w:rsidRDefault="00531EAC" w:rsidP="00531EAC">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Musculoskeletal conditions </w:t>
            </w:r>
          </w:p>
        </w:tc>
        <w:tc>
          <w:tcPr>
            <w:tcW w:w="6612" w:type="dxa"/>
          </w:tcPr>
          <w:p w14:paraId="60C4D178" w14:textId="77777777" w:rsidR="00531EAC" w:rsidRPr="00C54B46" w:rsidRDefault="00531EAC" w:rsidP="00531EAC">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Rheumatoid arthritis </w:t>
            </w:r>
          </w:p>
          <w:p w14:paraId="79A4DB3B" w14:textId="77777777" w:rsidR="00531EAC" w:rsidRPr="00C54B46" w:rsidRDefault="00531EAC" w:rsidP="00531EAC">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Other inflammatory </w:t>
            </w:r>
            <w:proofErr w:type="spellStart"/>
            <w:r w:rsidRPr="00C54B46">
              <w:rPr>
                <w:rFonts w:ascii="Arial" w:hAnsi="Arial" w:cs="Arial"/>
                <w:color w:val="auto"/>
                <w:sz w:val="17"/>
                <w:szCs w:val="17"/>
                <w:lang w:eastAsia="en-US"/>
              </w:rPr>
              <w:t>polyarthropathies</w:t>
            </w:r>
            <w:proofErr w:type="spellEnd"/>
            <w:r w:rsidRPr="00C54B46">
              <w:rPr>
                <w:rFonts w:ascii="Arial" w:hAnsi="Arial" w:cs="Arial"/>
                <w:color w:val="auto"/>
                <w:sz w:val="17"/>
                <w:szCs w:val="17"/>
                <w:lang w:eastAsia="en-US"/>
              </w:rPr>
              <w:t xml:space="preserve"> </w:t>
            </w:r>
          </w:p>
          <w:p w14:paraId="447B6330" w14:textId="77777777" w:rsidR="00531EAC" w:rsidRPr="00C54B46" w:rsidRDefault="00531EAC" w:rsidP="00531EAC">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Systemic connective tissue disorders </w:t>
            </w:r>
          </w:p>
        </w:tc>
      </w:tr>
      <w:tr w:rsidR="00531EAC" w14:paraId="009F3A0B" w14:textId="77777777" w:rsidTr="00C54B46">
        <w:tc>
          <w:tcPr>
            <w:tcW w:w="2405" w:type="dxa"/>
          </w:tcPr>
          <w:p w14:paraId="277752C2" w14:textId="77777777" w:rsidR="00531EAC" w:rsidRPr="00C54B46" w:rsidRDefault="00531EAC" w:rsidP="00531EAC">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Neurological conditions </w:t>
            </w:r>
          </w:p>
        </w:tc>
        <w:tc>
          <w:tcPr>
            <w:tcW w:w="6612" w:type="dxa"/>
          </w:tcPr>
          <w:p w14:paraId="27AE9559" w14:textId="77777777" w:rsidR="00531EAC" w:rsidRPr="00C54B46" w:rsidRDefault="00531EAC" w:rsidP="00531EAC">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Currently treated epilepsy </w:t>
            </w:r>
          </w:p>
          <w:p w14:paraId="6FA44C00" w14:textId="77777777" w:rsidR="00531EAC" w:rsidRPr="00C54B46" w:rsidRDefault="00531EAC" w:rsidP="00531EAC">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Multiple sclerosis </w:t>
            </w:r>
          </w:p>
          <w:p w14:paraId="0D047F95" w14:textId="77777777" w:rsidR="00531EAC" w:rsidRPr="00C54B46" w:rsidRDefault="00531EAC" w:rsidP="00531EAC">
            <w:pPr>
              <w:pStyle w:val="Default"/>
              <w:spacing w:before="120" w:after="120"/>
              <w:rPr>
                <w:rFonts w:ascii="Arial" w:hAnsi="Arial" w:cs="Arial"/>
                <w:color w:val="auto"/>
                <w:sz w:val="17"/>
                <w:szCs w:val="17"/>
                <w:lang w:eastAsia="en-US"/>
              </w:rPr>
            </w:pPr>
            <w:r w:rsidRPr="00C54B46">
              <w:rPr>
                <w:rFonts w:ascii="Arial" w:hAnsi="Arial" w:cs="Arial"/>
                <w:color w:val="auto"/>
                <w:sz w:val="17"/>
                <w:szCs w:val="17"/>
                <w:lang w:eastAsia="en-US"/>
              </w:rPr>
              <w:t xml:space="preserve">Parkinson’s (of any cause) </w:t>
            </w:r>
          </w:p>
        </w:tc>
      </w:tr>
      <w:tr w:rsidR="00531EAC" w14:paraId="3BBBBE03" w14:textId="77777777" w:rsidTr="00C54B46">
        <w:tc>
          <w:tcPr>
            <w:tcW w:w="2405" w:type="dxa"/>
          </w:tcPr>
          <w:p w14:paraId="77827356" w14:textId="77777777" w:rsidR="00531EAC" w:rsidRPr="00C54B46" w:rsidRDefault="00531EAC" w:rsidP="00C54B46">
            <w:pPr>
              <w:pStyle w:val="Default"/>
              <w:spacing w:before="120" w:after="120" w:line="204" w:lineRule="auto"/>
              <w:rPr>
                <w:rFonts w:ascii="Arial" w:hAnsi="Arial" w:cs="Times New Roman"/>
                <w:color w:val="auto"/>
                <w:sz w:val="17"/>
                <w:szCs w:val="17"/>
                <w:lang w:eastAsia="en-US"/>
              </w:rPr>
            </w:pPr>
            <w:r w:rsidRPr="00C54B46">
              <w:rPr>
                <w:rFonts w:ascii="Arial" w:hAnsi="Arial" w:cs="Times New Roman"/>
                <w:color w:val="auto"/>
                <w:sz w:val="17"/>
                <w:szCs w:val="17"/>
                <w:lang w:eastAsia="en-US"/>
              </w:rPr>
              <w:t xml:space="preserve">Renal conditions </w:t>
            </w:r>
          </w:p>
        </w:tc>
        <w:tc>
          <w:tcPr>
            <w:tcW w:w="6612" w:type="dxa"/>
          </w:tcPr>
          <w:p w14:paraId="628FA50D" w14:textId="77777777" w:rsidR="00531EAC" w:rsidRPr="00C54B46" w:rsidRDefault="00531EAC" w:rsidP="00C54B46">
            <w:pPr>
              <w:pStyle w:val="Default"/>
              <w:spacing w:before="120" w:after="120" w:line="204" w:lineRule="auto"/>
              <w:rPr>
                <w:rFonts w:ascii="Arial" w:hAnsi="Arial" w:cs="Times New Roman"/>
                <w:color w:val="auto"/>
                <w:sz w:val="17"/>
                <w:szCs w:val="17"/>
                <w:lang w:eastAsia="en-US"/>
              </w:rPr>
            </w:pPr>
            <w:r w:rsidRPr="00C54B46">
              <w:rPr>
                <w:rFonts w:ascii="Arial" w:hAnsi="Arial" w:cs="Times New Roman"/>
                <w:color w:val="auto"/>
                <w:sz w:val="17"/>
                <w:szCs w:val="17"/>
                <w:lang w:eastAsia="en-US"/>
              </w:rPr>
              <w:t xml:space="preserve">Chronic kidney disease </w:t>
            </w:r>
          </w:p>
        </w:tc>
      </w:tr>
      <w:tr w:rsidR="00531EAC" w14:paraId="23A5C4C2" w14:textId="77777777" w:rsidTr="00C54B46">
        <w:tc>
          <w:tcPr>
            <w:tcW w:w="2405" w:type="dxa"/>
          </w:tcPr>
          <w:p w14:paraId="2C754E36" w14:textId="77777777" w:rsidR="00531EAC" w:rsidRPr="00C54B46" w:rsidRDefault="00531EAC" w:rsidP="00531EAC">
            <w:pPr>
              <w:pStyle w:val="Default"/>
              <w:spacing w:before="120" w:after="120"/>
              <w:rPr>
                <w:rFonts w:ascii="Arial" w:hAnsi="Arial" w:cs="Times New Roman"/>
                <w:color w:val="auto"/>
                <w:sz w:val="17"/>
                <w:szCs w:val="17"/>
                <w:lang w:eastAsia="en-US"/>
              </w:rPr>
            </w:pPr>
            <w:r w:rsidRPr="00C54B46">
              <w:rPr>
                <w:rFonts w:ascii="Arial" w:hAnsi="Arial" w:cs="Times New Roman"/>
                <w:color w:val="auto"/>
                <w:sz w:val="17"/>
                <w:szCs w:val="17"/>
                <w:lang w:eastAsia="en-US"/>
              </w:rPr>
              <w:t xml:space="preserve">Respiratory conditions </w:t>
            </w:r>
          </w:p>
        </w:tc>
        <w:tc>
          <w:tcPr>
            <w:tcW w:w="6612" w:type="dxa"/>
          </w:tcPr>
          <w:p w14:paraId="2B462E48" w14:textId="77777777" w:rsidR="00531EAC" w:rsidRPr="00C54B46" w:rsidRDefault="00531EAC" w:rsidP="00531EAC">
            <w:pPr>
              <w:pStyle w:val="Default"/>
              <w:spacing w:before="120" w:after="120"/>
              <w:rPr>
                <w:rFonts w:ascii="Arial" w:hAnsi="Arial" w:cs="Times New Roman"/>
                <w:color w:val="auto"/>
                <w:sz w:val="17"/>
                <w:szCs w:val="17"/>
                <w:lang w:eastAsia="en-US"/>
              </w:rPr>
            </w:pPr>
            <w:r w:rsidRPr="00C54B46">
              <w:rPr>
                <w:rFonts w:ascii="Arial" w:hAnsi="Arial" w:cs="Times New Roman"/>
                <w:color w:val="auto"/>
                <w:sz w:val="17"/>
                <w:szCs w:val="17"/>
                <w:lang w:eastAsia="en-US"/>
              </w:rPr>
              <w:t xml:space="preserve">Currently treated asthma </w:t>
            </w:r>
          </w:p>
          <w:p w14:paraId="3E6A50A1" w14:textId="77777777" w:rsidR="00531EAC" w:rsidRPr="00C54B46" w:rsidRDefault="00531EAC" w:rsidP="00531EAC">
            <w:pPr>
              <w:pStyle w:val="Default"/>
              <w:spacing w:before="120" w:after="120"/>
              <w:rPr>
                <w:rFonts w:ascii="Arial" w:hAnsi="Arial" w:cs="Times New Roman"/>
                <w:color w:val="auto"/>
                <w:sz w:val="17"/>
                <w:szCs w:val="17"/>
                <w:lang w:eastAsia="en-US"/>
              </w:rPr>
            </w:pPr>
            <w:r w:rsidRPr="00C54B46">
              <w:rPr>
                <w:rFonts w:ascii="Arial" w:hAnsi="Arial" w:cs="Times New Roman"/>
                <w:color w:val="auto"/>
                <w:sz w:val="17"/>
                <w:szCs w:val="17"/>
                <w:lang w:eastAsia="en-US"/>
              </w:rPr>
              <w:t xml:space="preserve">COPD </w:t>
            </w:r>
          </w:p>
          <w:p w14:paraId="0FA40D7A" w14:textId="77777777" w:rsidR="00531EAC" w:rsidRPr="00C54B46" w:rsidRDefault="00531EAC" w:rsidP="00531EAC">
            <w:pPr>
              <w:pStyle w:val="Default"/>
              <w:spacing w:before="120" w:after="120"/>
              <w:rPr>
                <w:rFonts w:ascii="Arial" w:hAnsi="Arial" w:cs="Times New Roman"/>
                <w:color w:val="auto"/>
                <w:sz w:val="17"/>
                <w:szCs w:val="17"/>
                <w:lang w:eastAsia="en-US"/>
              </w:rPr>
            </w:pPr>
            <w:r w:rsidRPr="00C54B46">
              <w:rPr>
                <w:rFonts w:ascii="Arial" w:hAnsi="Arial" w:cs="Times New Roman"/>
                <w:color w:val="auto"/>
                <w:sz w:val="17"/>
                <w:szCs w:val="17"/>
                <w:lang w:eastAsia="en-US"/>
              </w:rPr>
              <w:t xml:space="preserve">Bronchiectasis </w:t>
            </w:r>
          </w:p>
        </w:tc>
      </w:tr>
    </w:tbl>
    <w:p w14:paraId="2DAF8D44" w14:textId="17281C0A" w:rsidR="00F87E9D" w:rsidRPr="006375EE" w:rsidRDefault="007136A7" w:rsidP="005C3893">
      <w:pPr>
        <w:pStyle w:val="Heading3"/>
        <w:spacing w:line="360" w:lineRule="auto"/>
        <w:rPr>
          <w:sz w:val="28"/>
          <w:szCs w:val="28"/>
          <w:highlight w:val="yellow"/>
        </w:rPr>
      </w:pPr>
      <w:bookmarkStart w:id="9" w:name="_Toc418246138"/>
      <w:bookmarkStart w:id="10" w:name="_Toc17817651"/>
      <w:bookmarkEnd w:id="6"/>
      <w:bookmarkEnd w:id="8"/>
      <w:r w:rsidRPr="00451463">
        <w:rPr>
          <w:sz w:val="28"/>
          <w:szCs w:val="28"/>
        </w:rPr>
        <w:lastRenderedPageBreak/>
        <w:t>IND</w:t>
      </w:r>
      <w:r w:rsidR="006C602A" w:rsidRPr="00451463">
        <w:rPr>
          <w:sz w:val="28"/>
          <w:szCs w:val="28"/>
        </w:rPr>
        <w:t>1</w:t>
      </w:r>
      <w:r w:rsidRPr="00451463">
        <w:rPr>
          <w:sz w:val="28"/>
          <w:szCs w:val="28"/>
        </w:rPr>
        <w:t>:</w:t>
      </w:r>
      <w:bookmarkStart w:id="11" w:name="_Toc479342923"/>
      <w:r w:rsidR="005143BA" w:rsidRPr="00451463">
        <w:rPr>
          <w:sz w:val="28"/>
          <w:szCs w:val="28"/>
        </w:rPr>
        <w:t xml:space="preserve"> </w:t>
      </w:r>
      <w:bookmarkEnd w:id="9"/>
      <w:bookmarkEnd w:id="11"/>
      <w:r w:rsidR="00451463" w:rsidRPr="00451463">
        <w:rPr>
          <w:sz w:val="28"/>
          <w:szCs w:val="28"/>
        </w:rPr>
        <w:t>Multimorbidity register</w:t>
      </w:r>
      <w:bookmarkStart w:id="12" w:name="_GoBack"/>
      <w:bookmarkEnd w:id="10"/>
      <w:bookmarkEnd w:id="12"/>
    </w:p>
    <w:p w14:paraId="715A9491" w14:textId="73672616" w:rsidR="001B06E1" w:rsidRPr="006375EE" w:rsidRDefault="00451463" w:rsidP="005C3893">
      <w:pPr>
        <w:pStyle w:val="Paragraph"/>
        <w:spacing w:line="360" w:lineRule="auto"/>
        <w:rPr>
          <w:i/>
          <w:highlight w:val="yellow"/>
        </w:rPr>
      </w:pPr>
      <w:bookmarkStart w:id="13" w:name="_Toc521679139"/>
      <w:bookmarkStart w:id="14" w:name="_Toc521852549"/>
      <w:r w:rsidRPr="00451463">
        <w:rPr>
          <w:i/>
        </w:rPr>
        <w:t>The practice can produce a register of people with multimorbidity who would benefit from a tailored approach to care.</w:t>
      </w:r>
      <w:bookmarkEnd w:id="13"/>
      <w:bookmarkEnd w:id="14"/>
    </w:p>
    <w:p w14:paraId="08F9B38C" w14:textId="6362A428" w:rsidR="004E0E78" w:rsidRPr="00A81F47" w:rsidRDefault="002C292E" w:rsidP="00A81F47">
      <w:pPr>
        <w:pStyle w:val="Paragraph"/>
        <w:spacing w:line="360" w:lineRule="auto"/>
        <w:rPr>
          <w:b/>
          <w:bCs/>
          <w:kern w:val="32"/>
          <w:u w:val="single"/>
        </w:rPr>
      </w:pPr>
      <w:r w:rsidRPr="00A81F47">
        <w:rPr>
          <w:b/>
          <w:bCs/>
          <w:kern w:val="32"/>
          <w:u w:val="single"/>
        </w:rPr>
        <w:t>Rationale</w:t>
      </w:r>
    </w:p>
    <w:p w14:paraId="3285E39E" w14:textId="15AFBCA7" w:rsidR="00A81F47" w:rsidRDefault="00A81F47" w:rsidP="00A81F47">
      <w:pPr>
        <w:pStyle w:val="Paragraph"/>
        <w:spacing w:line="360" w:lineRule="auto"/>
        <w:rPr>
          <w:rFonts w:cs="Arial"/>
        </w:rPr>
      </w:pPr>
      <w:r w:rsidRPr="00A81F47">
        <w:rPr>
          <w:rFonts w:cs="Arial"/>
        </w:rPr>
        <w:t xml:space="preserve">The indicator makes use of existing data to allow a register of people with multiple conditions to be constructed. For pragmatic reasons the register focuses on people with conditions in four or more of the categories. </w:t>
      </w:r>
    </w:p>
    <w:p w14:paraId="11E50CE4" w14:textId="28BC0462" w:rsidR="00AF7793" w:rsidRPr="00A81F47" w:rsidRDefault="00AF7793" w:rsidP="00A81F47">
      <w:pPr>
        <w:pStyle w:val="Paragraph"/>
        <w:spacing w:line="360" w:lineRule="auto"/>
        <w:rPr>
          <w:rFonts w:cs="Arial"/>
        </w:rPr>
      </w:pPr>
      <w:r>
        <w:t>The conditions included in the register are consistent with relevant studies (</w:t>
      </w:r>
      <w:hyperlink r:id="rId21" w:history="1">
        <w:r w:rsidRPr="00D41DE2">
          <w:rPr>
            <w:rStyle w:val="Hyperlink"/>
          </w:rPr>
          <w:t xml:space="preserve">Barnett al </w:t>
        </w:r>
        <w:proofErr w:type="spellStart"/>
        <w:r w:rsidRPr="00D41DE2">
          <w:rPr>
            <w:rStyle w:val="Hyperlink"/>
          </w:rPr>
          <w:t>al</w:t>
        </w:r>
        <w:proofErr w:type="spellEnd"/>
        <w:r w:rsidRPr="00D41DE2">
          <w:rPr>
            <w:rStyle w:val="Hyperlink"/>
          </w:rPr>
          <w:t>. 2012</w:t>
        </w:r>
      </w:hyperlink>
      <w:r>
        <w:t xml:space="preserve">, </w:t>
      </w:r>
      <w:hyperlink r:id="rId22" w:history="1">
        <w:r w:rsidRPr="00D41DE2">
          <w:rPr>
            <w:rStyle w:val="Hyperlink"/>
          </w:rPr>
          <w:t>Health Foundation, 2018</w:t>
        </w:r>
      </w:hyperlink>
      <w:r>
        <w:t>) and are broadly aligned with a similar register that</w:t>
      </w:r>
      <w:r w:rsidR="00A0066A">
        <w:t xml:space="preserve"> is used</w:t>
      </w:r>
      <w:r>
        <w:t xml:space="preserve"> in </w:t>
      </w:r>
      <w:r w:rsidRPr="00525B72">
        <w:t>Scotland</w:t>
      </w:r>
      <w:r>
        <w:t>.</w:t>
      </w:r>
    </w:p>
    <w:p w14:paraId="7F83E053" w14:textId="75271A5F" w:rsidR="001B06E1" w:rsidRDefault="00A81F47" w:rsidP="00A81F47">
      <w:pPr>
        <w:pStyle w:val="Paragraph"/>
        <w:spacing w:line="360" w:lineRule="auto"/>
        <w:rPr>
          <w:rFonts w:cs="Arial"/>
        </w:rPr>
      </w:pPr>
      <w:r w:rsidRPr="00A81F47">
        <w:rPr>
          <w:rFonts w:cs="Arial"/>
        </w:rPr>
        <w:t>The register will support interventions that lead to improvement in health-related quality of life, care related decisions and patient safety and reduce adverse outcomes such as unplanned admissions.</w:t>
      </w:r>
    </w:p>
    <w:p w14:paraId="75051FFD" w14:textId="08805DDB" w:rsidR="004E0E78" w:rsidRPr="00254A35" w:rsidRDefault="002C292E" w:rsidP="005C3893">
      <w:pPr>
        <w:pStyle w:val="Paragraph"/>
        <w:spacing w:line="360" w:lineRule="auto"/>
        <w:rPr>
          <w:b/>
          <w:bCs/>
          <w:kern w:val="32"/>
          <w:u w:val="single"/>
        </w:rPr>
      </w:pPr>
      <w:r w:rsidRPr="00254A35">
        <w:rPr>
          <w:b/>
          <w:bCs/>
          <w:kern w:val="32"/>
          <w:u w:val="single"/>
        </w:rPr>
        <w:t>Summary of consultation c</w:t>
      </w:r>
      <w:r w:rsidR="004E0E78" w:rsidRPr="00254A35">
        <w:rPr>
          <w:b/>
          <w:bCs/>
          <w:kern w:val="32"/>
          <w:u w:val="single"/>
        </w:rPr>
        <w:t>omments</w:t>
      </w:r>
    </w:p>
    <w:p w14:paraId="5AA55B15" w14:textId="48E6D5F9" w:rsidR="00BB544C" w:rsidRPr="00415026" w:rsidRDefault="00BB544C" w:rsidP="005C3893">
      <w:pPr>
        <w:pStyle w:val="Paragraph"/>
        <w:spacing w:line="360" w:lineRule="auto"/>
      </w:pPr>
      <w:r w:rsidRPr="00415026">
        <w:t xml:space="preserve">Stakeholders made the following </w:t>
      </w:r>
      <w:r w:rsidR="001E0E8C" w:rsidRPr="00415026">
        <w:t xml:space="preserve">positive </w:t>
      </w:r>
      <w:r w:rsidRPr="00415026">
        <w:t>comments in relation to this indicator:</w:t>
      </w:r>
    </w:p>
    <w:p w14:paraId="068720FA" w14:textId="639DA06A" w:rsidR="000D37E5" w:rsidRDefault="00981465" w:rsidP="000D37E5">
      <w:pPr>
        <w:pStyle w:val="Bulletleft1"/>
      </w:pPr>
      <w:r>
        <w:t>S</w:t>
      </w:r>
      <w:r w:rsidR="000F72F4" w:rsidRPr="00415026">
        <w:t>upport</w:t>
      </w:r>
      <w:r w:rsidR="003C3565">
        <w:t>s</w:t>
      </w:r>
      <w:r w:rsidR="000F72F4" w:rsidRPr="00415026">
        <w:t xml:space="preserve"> a holistic approach </w:t>
      </w:r>
      <w:r w:rsidR="003C3565">
        <w:t xml:space="preserve">to </w:t>
      </w:r>
      <w:r w:rsidR="000F72F4" w:rsidRPr="00415026">
        <w:t xml:space="preserve">identifying patients </w:t>
      </w:r>
      <w:r w:rsidR="003C3565">
        <w:t>to suppo</w:t>
      </w:r>
      <w:r w:rsidR="000F72F4" w:rsidRPr="00415026">
        <w:t>rt multimorbidity</w:t>
      </w:r>
      <w:r>
        <w:t>.</w:t>
      </w:r>
      <w:r w:rsidR="000F72F4" w:rsidRPr="00415026">
        <w:t xml:space="preserve"> </w:t>
      </w:r>
    </w:p>
    <w:p w14:paraId="6108831C" w14:textId="311FE1D1" w:rsidR="00DE3502" w:rsidRDefault="00981465" w:rsidP="00DE3502">
      <w:pPr>
        <w:pStyle w:val="Bulletleft1"/>
      </w:pPr>
      <w:r>
        <w:t>I</w:t>
      </w:r>
      <w:r w:rsidR="00DE3502" w:rsidRPr="00415026">
        <w:t xml:space="preserve">ncreased multimorbidity </w:t>
      </w:r>
      <w:r w:rsidR="00DE3502">
        <w:t>is</w:t>
      </w:r>
      <w:r w:rsidR="00DE3502" w:rsidRPr="00415026">
        <w:t xml:space="preserve"> expected with increasing age. </w:t>
      </w:r>
      <w:r w:rsidR="00DE3502">
        <w:t>Use</w:t>
      </w:r>
      <w:r w:rsidR="00DE3502" w:rsidRPr="00415026">
        <w:t xml:space="preserve"> of the multimorbidity index will have a positive impact for earlier detection and management</w:t>
      </w:r>
      <w:r>
        <w:t>.</w:t>
      </w:r>
    </w:p>
    <w:p w14:paraId="00E2471C" w14:textId="5D4D2358" w:rsidR="00BB544C" w:rsidRDefault="00964D16" w:rsidP="00C03611">
      <w:pPr>
        <w:pStyle w:val="Bulletleft1"/>
      </w:pPr>
      <w:r>
        <w:t xml:space="preserve">Support for </w:t>
      </w:r>
      <w:r w:rsidR="003C5D27">
        <w:t xml:space="preserve">a </w:t>
      </w:r>
      <w:r>
        <w:t>template that can be shared and adapted at individual practice, primary care network (PCN) and CCG level to mitigate against duplication of cost and resource</w:t>
      </w:r>
    </w:p>
    <w:p w14:paraId="36F763EB" w14:textId="6457E04E" w:rsidR="00585245" w:rsidRPr="00415026" w:rsidRDefault="00585245" w:rsidP="00C03611">
      <w:pPr>
        <w:pStyle w:val="Bulletleft1"/>
      </w:pPr>
      <w:r>
        <w:t xml:space="preserve">Suggestions that the report and its outputs should allow GPs more discretion to adapt the reports to become </w:t>
      </w:r>
      <w:proofErr w:type="gramStart"/>
      <w:r>
        <w:t>more or less restrictive</w:t>
      </w:r>
      <w:proofErr w:type="gramEnd"/>
      <w:r>
        <w:t xml:space="preserve">. </w:t>
      </w:r>
    </w:p>
    <w:p w14:paraId="2ECD27A2" w14:textId="6351C7AD" w:rsidR="00D11C27" w:rsidRPr="00415026" w:rsidRDefault="001E0E8C" w:rsidP="00D36146">
      <w:pPr>
        <w:pStyle w:val="Paragraph"/>
        <w:spacing w:line="360" w:lineRule="auto"/>
      </w:pPr>
      <w:r w:rsidRPr="00415026">
        <w:t xml:space="preserve">Stakeholders outlined the following </w:t>
      </w:r>
      <w:r w:rsidR="00D11C27" w:rsidRPr="00415026">
        <w:t>concerns about the indicator:</w:t>
      </w:r>
    </w:p>
    <w:p w14:paraId="7094B9D6" w14:textId="645E127E" w:rsidR="00C03611" w:rsidRPr="00415026" w:rsidRDefault="00981465" w:rsidP="00C03611">
      <w:pPr>
        <w:pStyle w:val="Bulletleft1"/>
      </w:pPr>
      <w:r>
        <w:t>F</w:t>
      </w:r>
      <w:r w:rsidR="00C03611" w:rsidRPr="00415026">
        <w:t>railty is missing from these indicators</w:t>
      </w:r>
      <w:r w:rsidR="00F95F6C">
        <w:t>.</w:t>
      </w:r>
      <w:r w:rsidR="00C03611" w:rsidRPr="00415026">
        <w:t xml:space="preserve"> </w:t>
      </w:r>
    </w:p>
    <w:p w14:paraId="50DFB939" w14:textId="6A0FF023" w:rsidR="003C3565" w:rsidRDefault="00981465" w:rsidP="003C3565">
      <w:pPr>
        <w:pStyle w:val="Bulletleft1"/>
      </w:pPr>
      <w:r>
        <w:t>T</w:t>
      </w:r>
      <w:r w:rsidR="003C3565" w:rsidRPr="00415026">
        <w:t xml:space="preserve">he correct </w:t>
      </w:r>
      <w:r w:rsidR="007D3370">
        <w:t xml:space="preserve">IT </w:t>
      </w:r>
      <w:r w:rsidR="003C3565" w:rsidRPr="00415026">
        <w:t xml:space="preserve">tools </w:t>
      </w:r>
      <w:r w:rsidR="004730AF">
        <w:t xml:space="preserve">are needed </w:t>
      </w:r>
      <w:r w:rsidR="003C3565" w:rsidRPr="00415026">
        <w:t xml:space="preserve">to capture this information including linking to </w:t>
      </w:r>
      <w:r w:rsidR="00643388">
        <w:t xml:space="preserve">the </w:t>
      </w:r>
      <w:r w:rsidR="003C3565" w:rsidRPr="00415026">
        <w:t>patient’s registration on the frailty register</w:t>
      </w:r>
      <w:r>
        <w:t>.</w:t>
      </w:r>
    </w:p>
    <w:p w14:paraId="37354742" w14:textId="007C6C4D" w:rsidR="000F72F4" w:rsidRDefault="00981465" w:rsidP="000F72F4">
      <w:pPr>
        <w:pStyle w:val="Bulletleft1"/>
      </w:pPr>
      <w:r>
        <w:t>T</w:t>
      </w:r>
      <w:r w:rsidR="000F72F4" w:rsidRPr="00415026">
        <w:t>he proposed ‘scoring system’ would identify extremely large numbers of patients</w:t>
      </w:r>
      <w:r>
        <w:t>.</w:t>
      </w:r>
    </w:p>
    <w:p w14:paraId="27AE950E" w14:textId="747A7117" w:rsidR="005771C0" w:rsidRDefault="00E10833" w:rsidP="00643388">
      <w:pPr>
        <w:pStyle w:val="Bulletleft1"/>
      </w:pPr>
      <w:r>
        <w:lastRenderedPageBreak/>
        <w:t xml:space="preserve">GPs </w:t>
      </w:r>
      <w:r w:rsidR="003C5D37">
        <w:t xml:space="preserve">already </w:t>
      </w:r>
      <w:r>
        <w:t xml:space="preserve">use the electronic frailty index </w:t>
      </w:r>
      <w:r w:rsidR="00585682">
        <w:t xml:space="preserve">(EFI) </w:t>
      </w:r>
      <w:r>
        <w:t>which identifies multiple conditions</w:t>
      </w:r>
      <w:r w:rsidR="00643388">
        <w:t xml:space="preserve"> so is</w:t>
      </w:r>
      <w:r w:rsidR="003C5D37">
        <w:t xml:space="preserve"> there a benefit </w:t>
      </w:r>
      <w:r>
        <w:t>to a patient in being identified with both severe frailty and multimorbidity</w:t>
      </w:r>
      <w:r w:rsidR="00981465">
        <w:t>.</w:t>
      </w:r>
    </w:p>
    <w:p w14:paraId="1078FAC3" w14:textId="21132944" w:rsidR="005771C0" w:rsidRDefault="00981465" w:rsidP="00643388">
      <w:pPr>
        <w:pStyle w:val="Bulletleft1"/>
      </w:pPr>
      <w:r>
        <w:t>A</w:t>
      </w:r>
      <w:r w:rsidR="003C3565">
        <w:t xml:space="preserve">lign with the </w:t>
      </w:r>
      <w:r w:rsidR="003C5D37">
        <w:t xml:space="preserve">NHS England </w:t>
      </w:r>
      <w:r w:rsidR="00E10833">
        <w:t xml:space="preserve">risk stratification </w:t>
      </w:r>
      <w:r w:rsidR="003C5D37">
        <w:t xml:space="preserve">work </w:t>
      </w:r>
      <w:r w:rsidR="003C3565">
        <w:t>to</w:t>
      </w:r>
      <w:r w:rsidR="00E10833">
        <w:t xml:space="preserve"> support the development of </w:t>
      </w:r>
      <w:r w:rsidR="00643388">
        <w:t>i</w:t>
      </w:r>
      <w:r w:rsidR="00E10833">
        <w:t xml:space="preserve">ntegrated </w:t>
      </w:r>
      <w:r w:rsidR="00643388">
        <w:t>c</w:t>
      </w:r>
      <w:r w:rsidR="00E10833">
        <w:t xml:space="preserve">are </w:t>
      </w:r>
      <w:r w:rsidR="00643388">
        <w:t>s</w:t>
      </w:r>
      <w:r w:rsidR="00E10833">
        <w:t>ystems</w:t>
      </w:r>
      <w:r>
        <w:t>.</w:t>
      </w:r>
      <w:r w:rsidR="00E10833">
        <w:t xml:space="preserve"> </w:t>
      </w:r>
    </w:p>
    <w:p w14:paraId="043A6099" w14:textId="07F854E7" w:rsidR="005771C0" w:rsidRDefault="00981465" w:rsidP="00643388">
      <w:pPr>
        <w:pStyle w:val="Bulletleft1"/>
      </w:pPr>
      <w:r>
        <w:t>I</w:t>
      </w:r>
      <w:r w:rsidR="00DE3502">
        <w:t>t</w:t>
      </w:r>
      <w:r w:rsidR="003C3565">
        <w:t xml:space="preserve"> should </w:t>
      </w:r>
      <w:r w:rsidR="00DE3502">
        <w:t>state</w:t>
      </w:r>
      <w:r w:rsidR="003C3565">
        <w:t xml:space="preserve"> that </w:t>
      </w:r>
      <w:r w:rsidR="00E10833">
        <w:t xml:space="preserve">patients with multimorbidity have an </w:t>
      </w:r>
      <w:proofErr w:type="spellStart"/>
      <w:r w:rsidR="00E10833">
        <w:t>individualised</w:t>
      </w:r>
      <w:proofErr w:type="spellEnd"/>
      <w:r w:rsidR="00E10833">
        <w:t xml:space="preserve"> management plan</w:t>
      </w:r>
      <w:r>
        <w:t>.</w:t>
      </w:r>
      <w:r w:rsidR="00E10833">
        <w:t xml:space="preserve"> </w:t>
      </w:r>
    </w:p>
    <w:p w14:paraId="3C8815A3" w14:textId="5CDDCF53" w:rsidR="003C3565" w:rsidRDefault="00981465" w:rsidP="00643388">
      <w:pPr>
        <w:pStyle w:val="Bulletleft1"/>
      </w:pPr>
      <w:r>
        <w:t>I</w:t>
      </w:r>
      <w:r w:rsidR="00E10833">
        <w:t>nterrogat</w:t>
      </w:r>
      <w:r w:rsidR="00DE3502">
        <w:t>ion of</w:t>
      </w:r>
      <w:r w:rsidR="00E10833">
        <w:t xml:space="preserve"> th</w:t>
      </w:r>
      <w:r w:rsidR="00D36146">
        <w:t>e</w:t>
      </w:r>
      <w:r w:rsidR="00E10833">
        <w:t xml:space="preserve"> data by age and condition </w:t>
      </w:r>
      <w:r w:rsidR="00DE3502">
        <w:t>is</w:t>
      </w:r>
      <w:r w:rsidR="00E10833">
        <w:t xml:space="preserve"> important to support and monitor interventions to address multi-morbidity</w:t>
      </w:r>
      <w:r>
        <w:t>.</w:t>
      </w:r>
    </w:p>
    <w:p w14:paraId="4BB2E2F5" w14:textId="44677FD7" w:rsidR="003C3565" w:rsidRPr="00405A0D" w:rsidRDefault="00981465" w:rsidP="003C3565">
      <w:pPr>
        <w:pStyle w:val="Bulletleft1"/>
      </w:pPr>
      <w:r>
        <w:t>I</w:t>
      </w:r>
      <w:r w:rsidR="003C3565" w:rsidRPr="00405A0D">
        <w:t>t is unclear what a ‘tailored approach to care’ would mean in practice</w:t>
      </w:r>
      <w:r>
        <w:t>.</w:t>
      </w:r>
      <w:r w:rsidR="00D36146">
        <w:t xml:space="preserve"> </w:t>
      </w:r>
    </w:p>
    <w:p w14:paraId="15A8361F" w14:textId="6AA116E8" w:rsidR="00E10833" w:rsidRDefault="00981465" w:rsidP="003C3565">
      <w:pPr>
        <w:pStyle w:val="Bulletleft1"/>
      </w:pPr>
      <w:r>
        <w:t>D</w:t>
      </w:r>
      <w:r w:rsidR="003C3565" w:rsidRPr="00405A0D">
        <w:t>ata on the prevalence of condition</w:t>
      </w:r>
      <w:r w:rsidR="00DE3502">
        <w:t>s</w:t>
      </w:r>
      <w:r w:rsidR="003C3565" w:rsidRPr="00405A0D">
        <w:t xml:space="preserve"> </w:t>
      </w:r>
      <w:r w:rsidR="00D36146">
        <w:t xml:space="preserve">should be </w:t>
      </w:r>
      <w:r w:rsidR="003C3565" w:rsidRPr="00405A0D">
        <w:t xml:space="preserve">published at GP practice and </w:t>
      </w:r>
      <w:r w:rsidR="00D36146">
        <w:t>CCG</w:t>
      </w:r>
      <w:r w:rsidR="003C3565" w:rsidRPr="00405A0D">
        <w:t xml:space="preserve"> level</w:t>
      </w:r>
      <w:r>
        <w:t>.</w:t>
      </w:r>
    </w:p>
    <w:p w14:paraId="40F8AA35" w14:textId="09DE54F7" w:rsidR="00945C5C" w:rsidRDefault="00945C5C" w:rsidP="003C3565">
      <w:pPr>
        <w:pStyle w:val="Bulletleft1"/>
      </w:pPr>
      <w:proofErr w:type="gramStart"/>
      <w:r>
        <w:t>A large number of</w:t>
      </w:r>
      <w:proofErr w:type="gramEnd"/>
      <w:r>
        <w:t xml:space="preserve"> comments were received on the </w:t>
      </w:r>
      <w:r w:rsidR="00964D16">
        <w:t xml:space="preserve">conditions </w:t>
      </w:r>
      <w:r w:rsidR="00255615">
        <w:t xml:space="preserve">included </w:t>
      </w:r>
      <w:r w:rsidR="00964D16">
        <w:t>a</w:t>
      </w:r>
      <w:r w:rsidR="00255615">
        <w:t xml:space="preserve">nd omitted from the </w:t>
      </w:r>
      <w:r w:rsidR="00964D16">
        <w:t>register</w:t>
      </w:r>
      <w:r w:rsidR="00255615">
        <w:t>.</w:t>
      </w:r>
    </w:p>
    <w:p w14:paraId="60C2404E" w14:textId="77777777" w:rsidR="00415026" w:rsidRPr="00FB0CC9" w:rsidRDefault="00415026" w:rsidP="00415026">
      <w:pPr>
        <w:pStyle w:val="Paragraph"/>
        <w:spacing w:line="360" w:lineRule="auto"/>
        <w:rPr>
          <w:u w:val="single"/>
        </w:rPr>
      </w:pPr>
      <w:r w:rsidRPr="00FB0CC9">
        <w:rPr>
          <w:b/>
          <w:u w:val="single"/>
        </w:rPr>
        <w:t>Considerations for the advisory committee</w:t>
      </w:r>
    </w:p>
    <w:p w14:paraId="1729EC58" w14:textId="77777777" w:rsidR="00415026" w:rsidRPr="00FB0CC9" w:rsidRDefault="00415026" w:rsidP="00415026">
      <w:pPr>
        <w:pStyle w:val="Paragraphnonumbers"/>
        <w:spacing w:line="360" w:lineRule="auto"/>
      </w:pPr>
      <w:r w:rsidRPr="00FB0CC9">
        <w:t>The committee is asked to consider:</w:t>
      </w:r>
    </w:p>
    <w:p w14:paraId="3E1DC39F" w14:textId="7B97B22E" w:rsidR="00D41DE2" w:rsidRDefault="00AF7793" w:rsidP="00AB1791">
      <w:pPr>
        <w:pStyle w:val="Bulletleft1"/>
      </w:pPr>
      <w:r>
        <w:t xml:space="preserve">The merit of revising the </w:t>
      </w:r>
      <w:r w:rsidR="00D41DE2">
        <w:t>list of conditions</w:t>
      </w:r>
      <w:r>
        <w:t xml:space="preserve"> included in the register</w:t>
      </w:r>
      <w:r w:rsidR="00704021">
        <w:t>.</w:t>
      </w:r>
      <w:r w:rsidR="00D41DE2">
        <w:t xml:space="preserve"> </w:t>
      </w:r>
    </w:p>
    <w:p w14:paraId="606BFCCB" w14:textId="2DCD056A" w:rsidR="00D41DE2" w:rsidRDefault="00D7492B" w:rsidP="00415026">
      <w:pPr>
        <w:pStyle w:val="Bulletleft1"/>
      </w:pPr>
      <w:r>
        <w:t>The overlap between this register and the current data collection for frailty in people aged 65 years and above</w:t>
      </w:r>
      <w:r w:rsidR="00A0066A">
        <w:t xml:space="preserve"> included in the GMS contract</w:t>
      </w:r>
      <w:r w:rsidR="00704021">
        <w:t>.</w:t>
      </w:r>
    </w:p>
    <w:p w14:paraId="6DD124AC" w14:textId="4C00AE45" w:rsidR="00FB0CC9" w:rsidRPr="00FB0CC9" w:rsidRDefault="00AF7793" w:rsidP="00415026">
      <w:pPr>
        <w:pStyle w:val="Bulletleft1"/>
      </w:pPr>
      <w:r>
        <w:t xml:space="preserve">Concerns </w:t>
      </w:r>
      <w:r w:rsidR="00C73AC2">
        <w:t>over the size of the population</w:t>
      </w:r>
      <w:r>
        <w:t xml:space="preserve"> </w:t>
      </w:r>
      <w:r w:rsidR="00C73AC2">
        <w:t xml:space="preserve">identified by </w:t>
      </w:r>
      <w:r w:rsidR="00A0066A">
        <w:t>the proposed register</w:t>
      </w:r>
      <w:r w:rsidR="00704021">
        <w:t>.</w:t>
      </w:r>
    </w:p>
    <w:p w14:paraId="1ABFD860" w14:textId="5069DB7E" w:rsidR="00955BBC" w:rsidRDefault="003C5D27" w:rsidP="00415026">
      <w:pPr>
        <w:pStyle w:val="Bulletleft1"/>
      </w:pPr>
      <w:r>
        <w:t>S</w:t>
      </w:r>
      <w:r w:rsidR="00A0066A">
        <w:t>uggestions that a template could be shared and adapted at a local level</w:t>
      </w:r>
      <w:r w:rsidR="00704021">
        <w:t>.</w:t>
      </w:r>
    </w:p>
    <w:p w14:paraId="3DBF1073" w14:textId="081650E9" w:rsidR="00A0066A" w:rsidRPr="00FB0CC9" w:rsidRDefault="003C5D27" w:rsidP="00415026">
      <w:pPr>
        <w:pStyle w:val="Bulletleft1"/>
      </w:pPr>
      <w:r>
        <w:t>U</w:t>
      </w:r>
      <w:r w:rsidR="00A0066A">
        <w:t>ncertainty of what a ‘tailored approach to care’ would mean in practice.</w:t>
      </w:r>
    </w:p>
    <w:p w14:paraId="51345DE6" w14:textId="7F69EC25" w:rsidR="005243EC" w:rsidRPr="00F95F6C" w:rsidRDefault="00A81F47">
      <w:pPr>
        <w:pStyle w:val="Heading3"/>
        <w:spacing w:line="360" w:lineRule="auto"/>
        <w:rPr>
          <w:sz w:val="28"/>
          <w:szCs w:val="28"/>
        </w:rPr>
      </w:pPr>
      <w:r>
        <w:br w:type="page"/>
      </w:r>
      <w:bookmarkStart w:id="15" w:name="_Toc17817652"/>
      <w:r w:rsidR="00140B46" w:rsidRPr="00F95F6C">
        <w:rPr>
          <w:sz w:val="28"/>
          <w:szCs w:val="28"/>
        </w:rPr>
        <w:lastRenderedPageBreak/>
        <w:t>IND</w:t>
      </w:r>
      <w:r w:rsidR="00451463" w:rsidRPr="00F95F6C">
        <w:rPr>
          <w:sz w:val="28"/>
          <w:szCs w:val="28"/>
        </w:rPr>
        <w:t>2: Frailty register – people with moderate or severe frailty</w:t>
      </w:r>
      <w:bookmarkEnd w:id="15"/>
      <w:r w:rsidR="005243EC" w:rsidRPr="00F95F6C">
        <w:rPr>
          <w:sz w:val="28"/>
          <w:szCs w:val="28"/>
        </w:rPr>
        <w:t xml:space="preserve"> </w:t>
      </w:r>
    </w:p>
    <w:p w14:paraId="6103100D" w14:textId="6320A2D6" w:rsidR="005243EC" w:rsidRPr="006375EE" w:rsidRDefault="00451463" w:rsidP="005C3893">
      <w:pPr>
        <w:pStyle w:val="Paragraph"/>
        <w:spacing w:line="360" w:lineRule="auto"/>
        <w:rPr>
          <w:i/>
          <w:highlight w:val="yellow"/>
        </w:rPr>
      </w:pPr>
      <w:bookmarkStart w:id="16" w:name="_Toc521679141"/>
      <w:bookmarkStart w:id="17" w:name="_Toc521852551"/>
      <w:r w:rsidRPr="00451463">
        <w:rPr>
          <w:i/>
        </w:rPr>
        <w:t>The practice can produce a register of people with moderate to severe frailty.</w:t>
      </w:r>
      <w:bookmarkEnd w:id="16"/>
      <w:bookmarkEnd w:id="17"/>
      <w:r w:rsidR="00140B46" w:rsidRPr="006375EE">
        <w:rPr>
          <w:i/>
          <w:highlight w:val="yellow"/>
        </w:rPr>
        <w:t xml:space="preserve"> </w:t>
      </w:r>
    </w:p>
    <w:p w14:paraId="28C90240" w14:textId="77777777" w:rsidR="00C50FF0" w:rsidRPr="000955F4" w:rsidRDefault="00C50FF0" w:rsidP="005C3893">
      <w:pPr>
        <w:pStyle w:val="Paragraph"/>
        <w:spacing w:line="360" w:lineRule="auto"/>
        <w:rPr>
          <w:b/>
          <w:bCs/>
          <w:kern w:val="32"/>
          <w:u w:val="single"/>
        </w:rPr>
      </w:pPr>
      <w:r w:rsidRPr="000955F4">
        <w:rPr>
          <w:b/>
          <w:bCs/>
          <w:kern w:val="32"/>
          <w:u w:val="single"/>
        </w:rPr>
        <w:t>Rationale</w:t>
      </w:r>
    </w:p>
    <w:p w14:paraId="5E0778D3" w14:textId="77777777" w:rsidR="00A81F47" w:rsidRPr="00A81F47" w:rsidRDefault="00A81F47" w:rsidP="00A81F47">
      <w:pPr>
        <w:pStyle w:val="Paragraph"/>
        <w:spacing w:line="360" w:lineRule="auto"/>
        <w:rPr>
          <w:rFonts w:cs="Arial"/>
        </w:rPr>
      </w:pPr>
      <w:r w:rsidRPr="00A81F47">
        <w:rPr>
          <w:rFonts w:cs="Arial"/>
        </w:rPr>
        <w:t>The appropriate use of an evidenced based tool and clinical judgement to identify people aged 65 and over who may be living with moderate or severe frailty was a requirement in the 2017/18 GP contract.</w:t>
      </w:r>
    </w:p>
    <w:p w14:paraId="426817FC" w14:textId="206B75F7" w:rsidR="00C50FF0" w:rsidRDefault="00A81F47" w:rsidP="00A81F47">
      <w:pPr>
        <w:pStyle w:val="Paragraph"/>
        <w:spacing w:line="360" w:lineRule="auto"/>
        <w:rPr>
          <w:rFonts w:cs="Arial"/>
        </w:rPr>
      </w:pPr>
      <w:r w:rsidRPr="00A81F47">
        <w:rPr>
          <w:rFonts w:cs="Arial"/>
        </w:rPr>
        <w:t>Annual medication reviews, recording of falls and explicit consent to activate their enriched SCR are currently limited to people with severe frailty. This register underpins subsequent indicators, it is assumed that the required data are already routinely collected.</w:t>
      </w:r>
    </w:p>
    <w:p w14:paraId="559935CF" w14:textId="22339091" w:rsidR="00680A3D" w:rsidRDefault="00680A3D" w:rsidP="00A81F47">
      <w:pPr>
        <w:pStyle w:val="Paragraph"/>
        <w:spacing w:line="360" w:lineRule="auto"/>
        <w:rPr>
          <w:rFonts w:cs="Arial"/>
          <w:b/>
          <w:u w:val="single"/>
        </w:rPr>
      </w:pPr>
      <w:r w:rsidRPr="00AB1791">
        <w:rPr>
          <w:rFonts w:cs="Arial"/>
          <w:b/>
          <w:u w:val="single"/>
        </w:rPr>
        <w:t>Background</w:t>
      </w:r>
    </w:p>
    <w:p w14:paraId="2F3DBE4D" w14:textId="606BF65E" w:rsidR="00680A3D" w:rsidRDefault="00680A3D" w:rsidP="00A81F47">
      <w:pPr>
        <w:pStyle w:val="Paragraph"/>
        <w:spacing w:line="360" w:lineRule="auto"/>
        <w:rPr>
          <w:rFonts w:cs="Arial"/>
        </w:rPr>
      </w:pPr>
      <w:r w:rsidRPr="00AB1791">
        <w:rPr>
          <w:rFonts w:cs="Arial"/>
        </w:rPr>
        <w:t xml:space="preserve">As part of the 2017/18 </w:t>
      </w:r>
      <w:r>
        <w:rPr>
          <w:rFonts w:cs="Arial"/>
        </w:rPr>
        <w:t xml:space="preserve">GP </w:t>
      </w:r>
      <w:r w:rsidRPr="00AB1791">
        <w:rPr>
          <w:rFonts w:cs="Arial"/>
        </w:rPr>
        <w:t>contract agreement the Avoiding Unplanned Admissions DES was ended. The</w:t>
      </w:r>
      <w:r>
        <w:rPr>
          <w:rFonts w:cs="Arial"/>
        </w:rPr>
        <w:t xml:space="preserve"> DES was replaced with </w:t>
      </w:r>
      <w:r w:rsidRPr="00AB1791">
        <w:rPr>
          <w:rFonts w:cs="Arial"/>
        </w:rPr>
        <w:t>a contractual requirement to focus on the identification and management of p</w:t>
      </w:r>
      <w:r>
        <w:rPr>
          <w:rFonts w:cs="Arial"/>
        </w:rPr>
        <w:t>eople</w:t>
      </w:r>
      <w:r w:rsidRPr="00AB1791">
        <w:rPr>
          <w:rFonts w:cs="Arial"/>
        </w:rPr>
        <w:t xml:space="preserve"> living with frailty</w:t>
      </w:r>
      <w:r>
        <w:rPr>
          <w:rFonts w:cs="Arial"/>
        </w:rPr>
        <w:t>.</w:t>
      </w:r>
    </w:p>
    <w:p w14:paraId="28D76E0F" w14:textId="65231353" w:rsidR="00680A3D" w:rsidRDefault="00680A3D" w:rsidP="00A81F47">
      <w:pPr>
        <w:pStyle w:val="Paragraph"/>
        <w:spacing w:line="360" w:lineRule="auto"/>
        <w:rPr>
          <w:rFonts w:cs="Arial"/>
        </w:rPr>
      </w:pPr>
      <w:r>
        <w:rPr>
          <w:rFonts w:cs="Arial"/>
        </w:rPr>
        <w:t>Through a contractual requirement date are collected on, the:</w:t>
      </w:r>
    </w:p>
    <w:p w14:paraId="06E3DA76" w14:textId="6762B31E" w:rsidR="00680A3D" w:rsidRPr="00AB1791" w:rsidRDefault="00680A3D" w:rsidP="00AB1791">
      <w:pPr>
        <w:pStyle w:val="Bulletleft1"/>
        <w:rPr>
          <w:bCs/>
          <w:kern w:val="32"/>
        </w:rPr>
      </w:pPr>
      <w:r w:rsidRPr="00AB1791">
        <w:rPr>
          <w:bCs/>
          <w:kern w:val="32"/>
        </w:rPr>
        <w:t>number of patients recorded with a diagnosis of moderate frailty</w:t>
      </w:r>
    </w:p>
    <w:p w14:paraId="6E4084AE" w14:textId="268B44D2" w:rsidR="00680A3D" w:rsidRPr="00AB1791" w:rsidRDefault="00680A3D" w:rsidP="00AB1791">
      <w:pPr>
        <w:pStyle w:val="Bulletleft1"/>
        <w:rPr>
          <w:bCs/>
          <w:kern w:val="32"/>
        </w:rPr>
      </w:pPr>
      <w:r w:rsidRPr="00AB1791">
        <w:rPr>
          <w:bCs/>
          <w:kern w:val="32"/>
        </w:rPr>
        <w:t>number of patients with severe frailty</w:t>
      </w:r>
    </w:p>
    <w:p w14:paraId="3C2F00AC" w14:textId="6D45469C" w:rsidR="00680A3D" w:rsidRPr="00AB1791" w:rsidRDefault="00680A3D" w:rsidP="00AB1791">
      <w:pPr>
        <w:pStyle w:val="Bulletleft1"/>
        <w:rPr>
          <w:bCs/>
          <w:kern w:val="32"/>
        </w:rPr>
      </w:pPr>
      <w:r w:rsidRPr="00AB1791">
        <w:rPr>
          <w:bCs/>
          <w:kern w:val="32"/>
        </w:rPr>
        <w:t>number of patients with severe frailty with an annual medication review</w:t>
      </w:r>
    </w:p>
    <w:p w14:paraId="72398AE4" w14:textId="7D16BC93" w:rsidR="00680A3D" w:rsidRPr="00AB1791" w:rsidRDefault="00680A3D" w:rsidP="00AB1791">
      <w:pPr>
        <w:pStyle w:val="Bulletleft1"/>
        <w:rPr>
          <w:bCs/>
          <w:kern w:val="32"/>
        </w:rPr>
      </w:pPr>
      <w:r w:rsidRPr="00AB1791">
        <w:rPr>
          <w:bCs/>
          <w:kern w:val="32"/>
        </w:rPr>
        <w:t>number of patients with severe frailty who are recorded as having had a fall in the preceding 12 months</w:t>
      </w:r>
    </w:p>
    <w:p w14:paraId="249246D0" w14:textId="75ECB571" w:rsidR="00680A3D" w:rsidRPr="00AB1791" w:rsidRDefault="00680A3D" w:rsidP="00AB1791">
      <w:pPr>
        <w:pStyle w:val="Bulletleft1"/>
        <w:rPr>
          <w:bCs/>
          <w:kern w:val="32"/>
        </w:rPr>
      </w:pPr>
      <w:r>
        <w:rPr>
          <w:bCs/>
          <w:kern w:val="32"/>
        </w:rPr>
        <w:t>n</w:t>
      </w:r>
      <w:r w:rsidRPr="00AB1791">
        <w:rPr>
          <w:bCs/>
          <w:kern w:val="32"/>
        </w:rPr>
        <w:t>umber of severely frail patients who provided explicit consent to activate their enriched SCR</w:t>
      </w:r>
      <w:r w:rsidR="003C5D27">
        <w:rPr>
          <w:bCs/>
          <w:kern w:val="32"/>
        </w:rPr>
        <w:t>.</w:t>
      </w:r>
    </w:p>
    <w:p w14:paraId="33BF87BC" w14:textId="0DA93BDA" w:rsidR="00680A3D" w:rsidRDefault="00680A3D">
      <w:pPr>
        <w:rPr>
          <w:rFonts w:ascii="Arial" w:hAnsi="Arial"/>
          <w:bCs/>
          <w:kern w:val="32"/>
          <w:lang w:val="en-US"/>
        </w:rPr>
      </w:pPr>
      <w:r>
        <w:rPr>
          <w:bCs/>
          <w:kern w:val="32"/>
        </w:rPr>
        <w:br w:type="page"/>
      </w:r>
    </w:p>
    <w:p w14:paraId="2E6CE402" w14:textId="77777777" w:rsidR="00C50FF0" w:rsidRPr="004F4B16" w:rsidRDefault="00C50FF0" w:rsidP="005C3893">
      <w:pPr>
        <w:pStyle w:val="Paragraph"/>
        <w:spacing w:line="360" w:lineRule="auto"/>
        <w:rPr>
          <w:b/>
          <w:bCs/>
          <w:kern w:val="32"/>
          <w:u w:val="single"/>
        </w:rPr>
      </w:pPr>
      <w:r w:rsidRPr="004F4B16">
        <w:rPr>
          <w:b/>
          <w:bCs/>
          <w:kern w:val="32"/>
          <w:u w:val="single"/>
        </w:rPr>
        <w:lastRenderedPageBreak/>
        <w:t>Summary of consultation comments</w:t>
      </w:r>
    </w:p>
    <w:p w14:paraId="741AD6E1" w14:textId="107EBF0F" w:rsidR="00AC63A6" w:rsidRPr="00415026" w:rsidRDefault="00AC63A6" w:rsidP="005C3893">
      <w:pPr>
        <w:pStyle w:val="Paragraph"/>
        <w:spacing w:line="360" w:lineRule="auto"/>
      </w:pPr>
      <w:r w:rsidRPr="00415026">
        <w:t xml:space="preserve">Stakeholders made the following </w:t>
      </w:r>
      <w:r w:rsidR="001E0E8C" w:rsidRPr="00415026">
        <w:t xml:space="preserve">positive </w:t>
      </w:r>
      <w:r w:rsidRPr="00415026">
        <w:t>comments in relation to this indicator:</w:t>
      </w:r>
    </w:p>
    <w:p w14:paraId="065F97CA" w14:textId="5B2AAFD8" w:rsidR="00D65D52" w:rsidRDefault="004260AF" w:rsidP="005C3893">
      <w:pPr>
        <w:pStyle w:val="Bulletleft1"/>
      </w:pPr>
      <w:r>
        <w:t>F</w:t>
      </w:r>
      <w:r w:rsidR="00D65D52" w:rsidRPr="00415026">
        <w:t>railty is a good indicator for likelihood of hospital admission and risk of deterioration of overall health and outcomes</w:t>
      </w:r>
      <w:r w:rsidR="003C5D27">
        <w:t>.</w:t>
      </w:r>
    </w:p>
    <w:p w14:paraId="12C4783A" w14:textId="3BAF009E" w:rsidR="00E63CAA" w:rsidRPr="00415026" w:rsidRDefault="004260AF" w:rsidP="005C3893">
      <w:pPr>
        <w:pStyle w:val="Bulletleft1"/>
      </w:pPr>
      <w:r>
        <w:t>T</w:t>
      </w:r>
      <w:r w:rsidR="00E63CAA">
        <w:t>h</w:t>
      </w:r>
      <w:r w:rsidR="00680A3D">
        <w:t xml:space="preserve">e register </w:t>
      </w:r>
      <w:r w:rsidR="00E63CAA" w:rsidRPr="00E63CAA">
        <w:t>is a welcome addition</w:t>
      </w:r>
      <w:r w:rsidR="00704021">
        <w:t>.</w:t>
      </w:r>
    </w:p>
    <w:p w14:paraId="7F5F49E5" w14:textId="7F26EDC4" w:rsidR="00D65D52" w:rsidRPr="00415026" w:rsidRDefault="00680A3D" w:rsidP="00415026">
      <w:pPr>
        <w:pStyle w:val="Bulletleft1"/>
      </w:pPr>
      <w:r>
        <w:t>Generally, w</w:t>
      </w:r>
      <w:r w:rsidR="00955BBC">
        <w:t>ide</w:t>
      </w:r>
      <w:r>
        <w:t>ly</w:t>
      </w:r>
      <w:r w:rsidR="00955BBC">
        <w:t xml:space="preserve"> </w:t>
      </w:r>
      <w:r w:rsidR="00D65D52" w:rsidRPr="00415026">
        <w:t>support</w:t>
      </w:r>
      <w:r>
        <w:t>ed.</w:t>
      </w:r>
    </w:p>
    <w:p w14:paraId="41373E8C" w14:textId="536623F8" w:rsidR="00D11C27" w:rsidRPr="00415026" w:rsidRDefault="001E0E8C" w:rsidP="005C3893">
      <w:pPr>
        <w:pStyle w:val="Paragraph"/>
        <w:spacing w:line="360" w:lineRule="auto"/>
      </w:pPr>
      <w:r w:rsidRPr="00415026">
        <w:t xml:space="preserve">Stakeholders outlined the following </w:t>
      </w:r>
      <w:r w:rsidR="00D11C27" w:rsidRPr="00415026">
        <w:t>concerns about the indicator:</w:t>
      </w:r>
    </w:p>
    <w:p w14:paraId="0502CDDD" w14:textId="68F900C2" w:rsidR="00D65D52" w:rsidRPr="005E1A84" w:rsidRDefault="004260AF" w:rsidP="001E7D58">
      <w:pPr>
        <w:pStyle w:val="Bulletleft1"/>
      </w:pPr>
      <w:r>
        <w:rPr>
          <w:bCs/>
          <w:kern w:val="32"/>
        </w:rPr>
        <w:t>C</w:t>
      </w:r>
      <w:r w:rsidR="00D65D52" w:rsidRPr="005E1A84">
        <w:rPr>
          <w:bCs/>
          <w:kern w:val="32"/>
        </w:rPr>
        <w:t xml:space="preserve">oncern about how frailty </w:t>
      </w:r>
      <w:r w:rsidR="00E63CAA">
        <w:rPr>
          <w:bCs/>
          <w:kern w:val="32"/>
        </w:rPr>
        <w:t xml:space="preserve">will </w:t>
      </w:r>
      <w:r w:rsidR="00D65D52" w:rsidRPr="005E1A84">
        <w:rPr>
          <w:bCs/>
          <w:kern w:val="32"/>
        </w:rPr>
        <w:t xml:space="preserve">be measured and quantified. </w:t>
      </w:r>
    </w:p>
    <w:p w14:paraId="1807A298" w14:textId="0CBB7820" w:rsidR="00D65D52" w:rsidRPr="005E1A84" w:rsidRDefault="004260AF" w:rsidP="001E7D58">
      <w:pPr>
        <w:pStyle w:val="Bulletleft1"/>
      </w:pPr>
      <w:r>
        <w:t>T</w:t>
      </w:r>
      <w:r w:rsidR="00D65D52" w:rsidRPr="005E1A84">
        <w:t>he correct tools must be used to implement this change</w:t>
      </w:r>
      <w:r>
        <w:t>.</w:t>
      </w:r>
    </w:p>
    <w:p w14:paraId="528B7C27" w14:textId="0EFC2557" w:rsidR="00D65D52" w:rsidRPr="005E1A84" w:rsidRDefault="004260AF" w:rsidP="001E7D58">
      <w:pPr>
        <w:pStyle w:val="Bulletleft1"/>
      </w:pPr>
      <w:r>
        <w:t>I</w:t>
      </w:r>
      <w:r w:rsidR="004730AF">
        <w:t xml:space="preserve">ncorporate </w:t>
      </w:r>
      <w:r w:rsidR="000E77DE">
        <w:t>n</w:t>
      </w:r>
      <w:r w:rsidR="00D65D52" w:rsidRPr="005E1A84">
        <w:t>utritional screening, assessment and management into frailty pathways</w:t>
      </w:r>
      <w:r>
        <w:t>.</w:t>
      </w:r>
    </w:p>
    <w:p w14:paraId="6059490B" w14:textId="483785B5" w:rsidR="00E10833" w:rsidRPr="005E1A84" w:rsidRDefault="00E63CAA" w:rsidP="005E1A84">
      <w:pPr>
        <w:pStyle w:val="Bulletleft1"/>
      </w:pPr>
      <w:r>
        <w:t>Include</w:t>
      </w:r>
      <w:r w:rsidR="00E10833" w:rsidRPr="00E10833">
        <w:t xml:space="preserve"> mild frailty in the register in future, to support practices</w:t>
      </w:r>
      <w:r w:rsidR="000E77DE">
        <w:t xml:space="preserve"> to</w:t>
      </w:r>
      <w:r w:rsidR="00E10833" w:rsidRPr="00E10833">
        <w:t xml:space="preserve"> reduce progression of frailty in patients</w:t>
      </w:r>
      <w:r>
        <w:t>.</w:t>
      </w:r>
    </w:p>
    <w:p w14:paraId="4FBFF877" w14:textId="2EF9316C" w:rsidR="00A0066A" w:rsidRDefault="00A0066A">
      <w:pPr>
        <w:rPr>
          <w:rFonts w:ascii="Arial" w:hAnsi="Arial"/>
          <w:b/>
          <w:u w:val="single"/>
        </w:rPr>
      </w:pPr>
    </w:p>
    <w:p w14:paraId="67AA8FE6" w14:textId="5000F4E6" w:rsidR="00C50FF0" w:rsidRPr="00FB0CC9" w:rsidRDefault="00C50FF0" w:rsidP="005C3893">
      <w:pPr>
        <w:pStyle w:val="Paragraph"/>
        <w:spacing w:line="360" w:lineRule="auto"/>
        <w:rPr>
          <w:u w:val="single"/>
        </w:rPr>
      </w:pPr>
      <w:r w:rsidRPr="00FB0CC9">
        <w:rPr>
          <w:b/>
          <w:u w:val="single"/>
        </w:rPr>
        <w:t xml:space="preserve">Considerations for the </w:t>
      </w:r>
      <w:r w:rsidR="003C3023" w:rsidRPr="00FB0CC9">
        <w:rPr>
          <w:b/>
          <w:u w:val="single"/>
        </w:rPr>
        <w:t>a</w:t>
      </w:r>
      <w:r w:rsidRPr="00FB0CC9">
        <w:rPr>
          <w:b/>
          <w:u w:val="single"/>
        </w:rPr>
        <w:t xml:space="preserve">dvisory </w:t>
      </w:r>
      <w:r w:rsidR="003C3023" w:rsidRPr="00FB0CC9">
        <w:rPr>
          <w:b/>
          <w:u w:val="single"/>
        </w:rPr>
        <w:t>c</w:t>
      </w:r>
      <w:r w:rsidRPr="00FB0CC9">
        <w:rPr>
          <w:b/>
          <w:u w:val="single"/>
        </w:rPr>
        <w:t>ommittee</w:t>
      </w:r>
    </w:p>
    <w:p w14:paraId="5E366FF0" w14:textId="4FEED14D" w:rsidR="00680A3D" w:rsidRPr="00FB0CC9" w:rsidRDefault="00C50FF0" w:rsidP="00C73AC2">
      <w:pPr>
        <w:pStyle w:val="Paragraphnonumbers"/>
        <w:spacing w:line="360" w:lineRule="auto"/>
      </w:pPr>
      <w:r w:rsidRPr="00FB0CC9">
        <w:t xml:space="preserve">The committee is asked to </w:t>
      </w:r>
      <w:r w:rsidR="00680A3D">
        <w:t>note</w:t>
      </w:r>
      <w:r w:rsidR="00C73AC2">
        <w:t xml:space="preserve"> that the</w:t>
      </w:r>
      <w:r w:rsidR="00680A3D">
        <w:t xml:space="preserve"> data required to underpin this indicator are already being collected.</w:t>
      </w:r>
    </w:p>
    <w:p w14:paraId="09FE55B8" w14:textId="0E994CC0" w:rsidR="007136A7" w:rsidRPr="006375EE" w:rsidRDefault="007136A7" w:rsidP="005C3893">
      <w:pPr>
        <w:pStyle w:val="Heading3"/>
        <w:spacing w:line="360" w:lineRule="auto"/>
        <w:rPr>
          <w:sz w:val="28"/>
          <w:szCs w:val="28"/>
          <w:highlight w:val="yellow"/>
        </w:rPr>
      </w:pPr>
      <w:r w:rsidRPr="006375EE">
        <w:rPr>
          <w:highlight w:val="yellow"/>
        </w:rPr>
        <w:br w:type="page"/>
      </w:r>
      <w:bookmarkStart w:id="18" w:name="_Toc17817653"/>
      <w:r w:rsidR="00140B46" w:rsidRPr="009769A5">
        <w:rPr>
          <w:sz w:val="28"/>
          <w:szCs w:val="28"/>
        </w:rPr>
        <w:lastRenderedPageBreak/>
        <w:t>IND</w:t>
      </w:r>
      <w:r w:rsidR="00451463" w:rsidRPr="009769A5">
        <w:rPr>
          <w:sz w:val="28"/>
          <w:szCs w:val="28"/>
        </w:rPr>
        <w:t>14</w:t>
      </w:r>
      <w:r w:rsidR="00140B46" w:rsidRPr="009769A5">
        <w:rPr>
          <w:sz w:val="28"/>
          <w:szCs w:val="28"/>
        </w:rPr>
        <w:t xml:space="preserve">: </w:t>
      </w:r>
      <w:r w:rsidR="00451463" w:rsidRPr="009769A5">
        <w:rPr>
          <w:sz w:val="28"/>
          <w:szCs w:val="28"/>
        </w:rPr>
        <w:t>People with moderate</w:t>
      </w:r>
      <w:r w:rsidR="00451463" w:rsidRPr="00451463">
        <w:rPr>
          <w:sz w:val="28"/>
          <w:szCs w:val="28"/>
        </w:rPr>
        <w:t xml:space="preserve"> or severe frailty </w:t>
      </w:r>
      <w:r w:rsidR="00AB1791">
        <w:rPr>
          <w:sz w:val="28"/>
          <w:szCs w:val="28"/>
        </w:rPr>
        <w:t xml:space="preserve">and / or multimorbidity </w:t>
      </w:r>
      <w:r w:rsidR="00451463" w:rsidRPr="00451463">
        <w:rPr>
          <w:sz w:val="28"/>
          <w:szCs w:val="28"/>
        </w:rPr>
        <w:t>-</w:t>
      </w:r>
      <w:r w:rsidR="00451463">
        <w:rPr>
          <w:sz w:val="28"/>
          <w:szCs w:val="28"/>
        </w:rPr>
        <w:t xml:space="preserve"> </w:t>
      </w:r>
      <w:r w:rsidR="00451463" w:rsidRPr="00451463">
        <w:rPr>
          <w:sz w:val="28"/>
          <w:szCs w:val="28"/>
        </w:rPr>
        <w:t>medication review</w:t>
      </w:r>
      <w:bookmarkEnd w:id="18"/>
    </w:p>
    <w:p w14:paraId="7D2B2B36" w14:textId="2013E514" w:rsidR="007136A7" w:rsidRPr="000955F4" w:rsidRDefault="00451463" w:rsidP="005C3893">
      <w:pPr>
        <w:pStyle w:val="Paragraph"/>
        <w:spacing w:line="360" w:lineRule="auto"/>
        <w:rPr>
          <w:i/>
        </w:rPr>
      </w:pPr>
      <w:bookmarkStart w:id="19" w:name="_Toc521679143"/>
      <w:r w:rsidRPr="00451463">
        <w:rPr>
          <w:i/>
        </w:rPr>
        <w:t xml:space="preserve">The percentage of patients with moderate or severe frailty and/or multimorbidity who have received a medication review in the last 12 months which is structured, has </w:t>
      </w:r>
      <w:r w:rsidRPr="000955F4">
        <w:rPr>
          <w:i/>
        </w:rPr>
        <w:t>considered the use of a recognised tool and taken place as a shared discussion.</w:t>
      </w:r>
      <w:bookmarkEnd w:id="19"/>
      <w:r w:rsidR="00140B46" w:rsidRPr="000955F4">
        <w:rPr>
          <w:i/>
        </w:rPr>
        <w:t xml:space="preserve"> </w:t>
      </w:r>
    </w:p>
    <w:p w14:paraId="7C25BFBC" w14:textId="77777777" w:rsidR="007136A7" w:rsidRPr="000955F4" w:rsidRDefault="007136A7" w:rsidP="005C3893">
      <w:pPr>
        <w:pStyle w:val="Paragraph"/>
        <w:spacing w:line="360" w:lineRule="auto"/>
        <w:rPr>
          <w:b/>
          <w:bCs/>
          <w:kern w:val="32"/>
          <w:u w:val="single"/>
        </w:rPr>
      </w:pPr>
      <w:r w:rsidRPr="000955F4">
        <w:rPr>
          <w:b/>
          <w:bCs/>
          <w:kern w:val="32"/>
          <w:u w:val="single"/>
        </w:rPr>
        <w:t>Rationale</w:t>
      </w:r>
    </w:p>
    <w:p w14:paraId="03F94421" w14:textId="77777777" w:rsidR="000955F4" w:rsidRDefault="000955F4" w:rsidP="000955F4">
      <w:pPr>
        <w:pStyle w:val="Paragraph"/>
        <w:spacing w:line="360" w:lineRule="auto"/>
      </w:pPr>
      <w:r>
        <w:t>Polypharmacy is often driven by the introduction of multiple medicines intended to prevent further morbidity and mortality but other conditions that reduce life expectancy such as frailty may not be considered. The difference made by each new medicine may be reduced when other medicines are used.</w:t>
      </w:r>
    </w:p>
    <w:p w14:paraId="7A50FD11" w14:textId="6365E6C6" w:rsidR="00AE5576" w:rsidRDefault="000955F4" w:rsidP="000955F4">
      <w:pPr>
        <w:pStyle w:val="Paragraph"/>
        <w:spacing w:line="360" w:lineRule="auto"/>
      </w:pPr>
      <w:r>
        <w:t xml:space="preserve">A structured medicine review provides an opportunity for medicines optimisation and can lead to a reduction in adverse events by identifying and minimising risks related to prescribing. Clinical outcomes and patient satisfaction are likely to be better when decisions are made jointly between the person taking the medicine and the prescriber. </w:t>
      </w:r>
    </w:p>
    <w:p w14:paraId="48B368DD" w14:textId="77777777" w:rsidR="009C1354" w:rsidRPr="00415026" w:rsidRDefault="009C1354" w:rsidP="005C3893">
      <w:pPr>
        <w:pStyle w:val="Paragraph"/>
        <w:spacing w:line="360" w:lineRule="auto"/>
        <w:rPr>
          <w:b/>
          <w:bCs/>
          <w:kern w:val="32"/>
          <w:u w:val="single"/>
        </w:rPr>
      </w:pPr>
      <w:r w:rsidRPr="004F4B16">
        <w:rPr>
          <w:b/>
          <w:bCs/>
          <w:kern w:val="32"/>
          <w:u w:val="single"/>
        </w:rPr>
        <w:t>Summary of consultation comments</w:t>
      </w:r>
    </w:p>
    <w:p w14:paraId="25CAB569" w14:textId="77777777" w:rsidR="009C1354" w:rsidRPr="00415026" w:rsidRDefault="009C1354" w:rsidP="005C3893">
      <w:pPr>
        <w:pStyle w:val="Paragraph"/>
        <w:spacing w:line="360" w:lineRule="auto"/>
      </w:pPr>
      <w:r w:rsidRPr="00415026">
        <w:t>Stakeholders made the following positive comments in relation to this indicator:</w:t>
      </w:r>
    </w:p>
    <w:p w14:paraId="44DA1356" w14:textId="3876D515" w:rsidR="00415026" w:rsidRDefault="004260AF" w:rsidP="00D2488C">
      <w:pPr>
        <w:pStyle w:val="Bulletleft1"/>
      </w:pPr>
      <w:r>
        <w:t>R</w:t>
      </w:r>
      <w:r w:rsidR="00E13431" w:rsidRPr="00415026">
        <w:t xml:space="preserve">egular medication reviews </w:t>
      </w:r>
      <w:r w:rsidR="00D2488C">
        <w:t>mean</w:t>
      </w:r>
      <w:r w:rsidR="00E13431" w:rsidRPr="00415026">
        <w:t xml:space="preserve"> greater consideration of </w:t>
      </w:r>
      <w:r w:rsidR="00D2488C">
        <w:t xml:space="preserve">different </w:t>
      </w:r>
      <w:r w:rsidR="00E13431" w:rsidRPr="00415026">
        <w:t xml:space="preserve">conditions and the impact treatment </w:t>
      </w:r>
      <w:r w:rsidR="00D2488C">
        <w:t>has</w:t>
      </w:r>
      <w:r w:rsidR="00E13431" w:rsidRPr="00415026">
        <w:t xml:space="preserve"> on care and wellbeing</w:t>
      </w:r>
      <w:r w:rsidR="00D2488C" w:rsidRPr="00D2488C">
        <w:t xml:space="preserve"> </w:t>
      </w:r>
      <w:r w:rsidR="00D2488C">
        <w:t xml:space="preserve">and </w:t>
      </w:r>
      <w:r w:rsidR="00D2488C" w:rsidRPr="00415026">
        <w:t>should reduce polypharmacy</w:t>
      </w:r>
      <w:r>
        <w:t>.</w:t>
      </w:r>
      <w:r w:rsidR="00D2488C" w:rsidRPr="00415026">
        <w:t xml:space="preserve"> </w:t>
      </w:r>
    </w:p>
    <w:p w14:paraId="1B272D20" w14:textId="41D951C8" w:rsidR="00D2488C" w:rsidRDefault="004260AF" w:rsidP="00643388">
      <w:pPr>
        <w:pStyle w:val="Bulletleft1"/>
      </w:pPr>
      <w:r>
        <w:t>S</w:t>
      </w:r>
      <w:r w:rsidR="00D2488C" w:rsidRPr="00415026">
        <w:t xml:space="preserve">hared discussion </w:t>
      </w:r>
      <w:r w:rsidR="00D2488C">
        <w:t>is</w:t>
      </w:r>
      <w:r w:rsidR="00D2488C" w:rsidRPr="00415026">
        <w:t xml:space="preserve"> an opportunity for healthcare professionals to have a wider conversation about an individual’s needs, circumstances and health</w:t>
      </w:r>
      <w:r>
        <w:t>.</w:t>
      </w:r>
    </w:p>
    <w:p w14:paraId="039161AD" w14:textId="4923469D" w:rsidR="00F31F38" w:rsidRDefault="004260AF" w:rsidP="00415026">
      <w:pPr>
        <w:pStyle w:val="Bulletleft1"/>
      </w:pPr>
      <w:r>
        <w:t>T</w:t>
      </w:r>
      <w:r w:rsidR="00E63CAA">
        <w:t>his is sensible because</w:t>
      </w:r>
      <w:r w:rsidR="00E10833" w:rsidRPr="00E10833">
        <w:t xml:space="preserve"> both groups of </w:t>
      </w:r>
      <w:r w:rsidR="00F31F38">
        <w:t xml:space="preserve">patients </w:t>
      </w:r>
      <w:r w:rsidR="00E10833" w:rsidRPr="00E10833">
        <w:t>are covered by one indicator</w:t>
      </w:r>
      <w:r>
        <w:t>.</w:t>
      </w:r>
    </w:p>
    <w:p w14:paraId="285F132C" w14:textId="075C467A" w:rsidR="00D2488C" w:rsidRDefault="004260AF" w:rsidP="00415026">
      <w:pPr>
        <w:pStyle w:val="Bulletleft1"/>
      </w:pPr>
      <w:r>
        <w:t>R</w:t>
      </w:r>
      <w:r w:rsidR="00E10833" w:rsidRPr="00E10833">
        <w:t>eviewing medicines in a structured fashion is supported</w:t>
      </w:r>
      <w:r w:rsidR="00477707">
        <w:t xml:space="preserve"> and should reduce polypharmacy.</w:t>
      </w:r>
    </w:p>
    <w:p w14:paraId="6E557ACC" w14:textId="77777777" w:rsidR="009C1354" w:rsidRPr="00415026" w:rsidRDefault="009C1354" w:rsidP="005C3893">
      <w:pPr>
        <w:pStyle w:val="Paragraph"/>
        <w:spacing w:line="360" w:lineRule="auto"/>
      </w:pPr>
      <w:r w:rsidRPr="00415026">
        <w:t>Stakeholders outlined the following concerns about the indicator:</w:t>
      </w:r>
    </w:p>
    <w:p w14:paraId="7DF572C4" w14:textId="5D37E480" w:rsidR="00E13431" w:rsidRPr="00415026" w:rsidRDefault="004260AF" w:rsidP="00F22B3B">
      <w:pPr>
        <w:pStyle w:val="Bulletleft1"/>
      </w:pPr>
      <w:r>
        <w:t>W</w:t>
      </w:r>
      <w:r w:rsidR="00473F7A">
        <w:t xml:space="preserve">ording </w:t>
      </w:r>
      <w:r w:rsidR="00275240">
        <w:t>is</w:t>
      </w:r>
      <w:r w:rsidR="00E13431" w:rsidRPr="00415026">
        <w:t xml:space="preserve"> over-prescriptive and </w:t>
      </w:r>
      <w:r w:rsidR="00275240">
        <w:t xml:space="preserve">does </w:t>
      </w:r>
      <w:r w:rsidR="00E13431" w:rsidRPr="00415026">
        <w:t xml:space="preserve">not </w:t>
      </w:r>
      <w:proofErr w:type="spellStart"/>
      <w:r w:rsidR="00E13431" w:rsidRPr="00415026">
        <w:t>emphasise</w:t>
      </w:r>
      <w:proofErr w:type="spellEnd"/>
      <w:r w:rsidR="00E13431" w:rsidRPr="00415026">
        <w:t xml:space="preserve"> the importance of deprescribing</w:t>
      </w:r>
      <w:r>
        <w:t>.</w:t>
      </w:r>
    </w:p>
    <w:p w14:paraId="15AD6744" w14:textId="193BD104" w:rsidR="00E13431" w:rsidRPr="00415026" w:rsidRDefault="004260AF" w:rsidP="00F22B3B">
      <w:pPr>
        <w:pStyle w:val="Bulletleft1"/>
      </w:pPr>
      <w:r>
        <w:t xml:space="preserve">The </w:t>
      </w:r>
      <w:r w:rsidR="00E13431" w:rsidRPr="00415026">
        <w:t xml:space="preserve">“use of a </w:t>
      </w:r>
      <w:proofErr w:type="spellStart"/>
      <w:r w:rsidR="00E13431" w:rsidRPr="00415026">
        <w:t>recognised</w:t>
      </w:r>
      <w:proofErr w:type="spellEnd"/>
      <w:r w:rsidR="00E13431" w:rsidRPr="00415026">
        <w:t xml:space="preserve"> tool” </w:t>
      </w:r>
      <w:r w:rsidR="00275240">
        <w:t>is</w:t>
      </w:r>
      <w:r w:rsidR="00275240" w:rsidRPr="00415026">
        <w:t xml:space="preserve"> vague</w:t>
      </w:r>
      <w:r w:rsidR="000E011F">
        <w:t>, subject to interpretation</w:t>
      </w:r>
      <w:r w:rsidR="00275240" w:rsidRPr="00415026">
        <w:t xml:space="preserve"> and it is not clear how</w:t>
      </w:r>
      <w:r w:rsidR="002F296A">
        <w:t xml:space="preserve"> </w:t>
      </w:r>
      <w:r w:rsidR="00275240" w:rsidRPr="00415026">
        <w:t>to code or document it</w:t>
      </w:r>
      <w:r>
        <w:t>.</w:t>
      </w:r>
      <w:r w:rsidR="00275240" w:rsidRPr="00415026">
        <w:t xml:space="preserve"> </w:t>
      </w:r>
    </w:p>
    <w:p w14:paraId="578C18F5" w14:textId="1E010E48" w:rsidR="009C1354" w:rsidRPr="00FB0CC9" w:rsidRDefault="004260AF" w:rsidP="00425E68">
      <w:pPr>
        <w:pStyle w:val="Bulletleft1"/>
      </w:pPr>
      <w:r>
        <w:t>F</w:t>
      </w:r>
      <w:r w:rsidR="00E13431" w:rsidRPr="00415026">
        <w:t xml:space="preserve">ocus on medication </w:t>
      </w:r>
      <w:r w:rsidR="00AB1791">
        <w:t xml:space="preserve">review </w:t>
      </w:r>
      <w:r w:rsidR="00E13431" w:rsidRPr="00415026">
        <w:t xml:space="preserve">may </w:t>
      </w:r>
      <w:r w:rsidR="00275240">
        <w:t>distract</w:t>
      </w:r>
      <w:r w:rsidR="00E13431" w:rsidRPr="00415026">
        <w:t xml:space="preserve"> from holistic conversations about care</w:t>
      </w:r>
      <w:r>
        <w:t>.</w:t>
      </w:r>
      <w:r w:rsidR="00275240">
        <w:t xml:space="preserve"> </w:t>
      </w:r>
    </w:p>
    <w:p w14:paraId="6B1CC606" w14:textId="77777777" w:rsidR="009C1354" w:rsidRPr="00FB0CC9" w:rsidRDefault="009C1354" w:rsidP="00670FFB">
      <w:pPr>
        <w:pStyle w:val="Paragraph"/>
        <w:keepNext/>
        <w:spacing w:line="360" w:lineRule="auto"/>
        <w:rPr>
          <w:u w:val="single"/>
        </w:rPr>
      </w:pPr>
      <w:r w:rsidRPr="00FB0CC9">
        <w:rPr>
          <w:b/>
          <w:u w:val="single"/>
        </w:rPr>
        <w:lastRenderedPageBreak/>
        <w:t>Considerations for the advisory committee</w:t>
      </w:r>
    </w:p>
    <w:p w14:paraId="49E5D701" w14:textId="77777777" w:rsidR="009C1354" w:rsidRPr="00FB0CC9" w:rsidRDefault="009C1354" w:rsidP="005C3893">
      <w:pPr>
        <w:pStyle w:val="Paragraphnonumbers"/>
        <w:spacing w:line="360" w:lineRule="auto"/>
      </w:pPr>
      <w:r w:rsidRPr="00FB0CC9">
        <w:t>The committee is asked to consider:</w:t>
      </w:r>
    </w:p>
    <w:p w14:paraId="4B8C7C94" w14:textId="4363A701" w:rsidR="00FB0CC9" w:rsidRPr="00FB0CC9" w:rsidRDefault="00AB1791" w:rsidP="00FB0CC9">
      <w:pPr>
        <w:pStyle w:val="Bulletleft1"/>
      </w:pPr>
      <w:r>
        <w:t>W</w:t>
      </w:r>
      <w:r w:rsidR="00FB0CC9">
        <w:t xml:space="preserve">hether </w:t>
      </w:r>
      <w:r w:rsidR="00FB0CC9" w:rsidRPr="00FB0CC9">
        <w:t xml:space="preserve">examples of </w:t>
      </w:r>
      <w:proofErr w:type="spellStart"/>
      <w:r w:rsidR="00FB0CC9" w:rsidRPr="00FB0CC9">
        <w:t>recogni</w:t>
      </w:r>
      <w:r w:rsidR="00FB0CC9">
        <w:t>s</w:t>
      </w:r>
      <w:r w:rsidR="00FB0CC9" w:rsidRPr="00FB0CC9">
        <w:t>ed</w:t>
      </w:r>
      <w:proofErr w:type="spellEnd"/>
      <w:r w:rsidR="00FB0CC9" w:rsidRPr="00FB0CC9">
        <w:t xml:space="preserve"> tools </w:t>
      </w:r>
      <w:r w:rsidR="00FB0CC9">
        <w:t xml:space="preserve">should </w:t>
      </w:r>
      <w:r w:rsidR="00FB0CC9" w:rsidRPr="00FB0CC9">
        <w:t>be given</w:t>
      </w:r>
      <w:r w:rsidR="00C73AC2">
        <w:t>.</w:t>
      </w:r>
    </w:p>
    <w:p w14:paraId="117620E6" w14:textId="098EFDDA" w:rsidR="009C1354" w:rsidRPr="00FB0CC9" w:rsidRDefault="00AB1791" w:rsidP="00FB0CC9">
      <w:pPr>
        <w:pStyle w:val="Bulletleft1"/>
      </w:pPr>
      <w:r>
        <w:t>How the indicator can decrease the likelihood of harm from overtreatment through emphasizing the importance of de</w:t>
      </w:r>
      <w:r w:rsidR="00C73AC2">
        <w:t>pre</w:t>
      </w:r>
      <w:r>
        <w:t>scribing</w:t>
      </w:r>
      <w:r w:rsidR="00C73AC2">
        <w:t>.</w:t>
      </w:r>
    </w:p>
    <w:p w14:paraId="3F7867DA" w14:textId="77777777" w:rsidR="003F694A" w:rsidRPr="006375EE" w:rsidRDefault="003F694A" w:rsidP="005C3893">
      <w:pPr>
        <w:spacing w:line="360" w:lineRule="auto"/>
        <w:rPr>
          <w:b/>
          <w:bCs/>
          <w:highlight w:val="yellow"/>
          <w:lang w:val="en-US"/>
        </w:rPr>
      </w:pPr>
      <w:r w:rsidRPr="006375EE">
        <w:rPr>
          <w:rFonts w:ascii="Arial" w:hAnsi="Arial"/>
          <w:b/>
          <w:bCs/>
          <w:highlight w:val="yellow"/>
          <w:lang w:val="en-US"/>
        </w:rPr>
        <w:br w:type="page"/>
      </w:r>
    </w:p>
    <w:p w14:paraId="774BA500" w14:textId="4DAD4E1D" w:rsidR="007136A7" w:rsidRPr="00451463" w:rsidRDefault="009072F7" w:rsidP="005C3893">
      <w:pPr>
        <w:pStyle w:val="Heading3"/>
        <w:spacing w:line="360" w:lineRule="auto"/>
        <w:rPr>
          <w:sz w:val="28"/>
          <w:szCs w:val="28"/>
        </w:rPr>
      </w:pPr>
      <w:bookmarkStart w:id="20" w:name="_Toc17817654"/>
      <w:r w:rsidRPr="00451463">
        <w:rPr>
          <w:sz w:val="28"/>
          <w:szCs w:val="28"/>
        </w:rPr>
        <w:lastRenderedPageBreak/>
        <w:t>IND</w:t>
      </w:r>
      <w:r w:rsidR="00451463" w:rsidRPr="00451463">
        <w:rPr>
          <w:sz w:val="28"/>
          <w:szCs w:val="28"/>
        </w:rPr>
        <w:t>15.1</w:t>
      </w:r>
      <w:r w:rsidRPr="00451463">
        <w:rPr>
          <w:sz w:val="28"/>
          <w:szCs w:val="28"/>
        </w:rPr>
        <w:t xml:space="preserve">: </w:t>
      </w:r>
      <w:r w:rsidR="009200C2">
        <w:rPr>
          <w:sz w:val="28"/>
          <w:szCs w:val="28"/>
        </w:rPr>
        <w:t xml:space="preserve">Recording of falls in people aged </w:t>
      </w:r>
      <w:r w:rsidR="00B95040">
        <w:rPr>
          <w:rFonts w:cs="Arial"/>
          <w:sz w:val="28"/>
          <w:szCs w:val="28"/>
        </w:rPr>
        <w:t>≥</w:t>
      </w:r>
      <w:r w:rsidR="009200C2">
        <w:rPr>
          <w:sz w:val="28"/>
          <w:szCs w:val="28"/>
        </w:rPr>
        <w:t xml:space="preserve">65 years with moderate or severe frailty - </w:t>
      </w:r>
      <w:r w:rsidR="00451463" w:rsidRPr="00451463">
        <w:rPr>
          <w:sz w:val="28"/>
          <w:szCs w:val="28"/>
        </w:rPr>
        <w:t>Falls prevention</w:t>
      </w:r>
      <w:bookmarkEnd w:id="20"/>
      <w:r w:rsidR="004260AF">
        <w:rPr>
          <w:sz w:val="28"/>
          <w:szCs w:val="28"/>
        </w:rPr>
        <w:t xml:space="preserve"> </w:t>
      </w:r>
    </w:p>
    <w:p w14:paraId="2C05E73D" w14:textId="3EC6D16E" w:rsidR="007136A7" w:rsidRPr="006375EE" w:rsidRDefault="00451463" w:rsidP="005C3893">
      <w:pPr>
        <w:pStyle w:val="Paragraph"/>
        <w:spacing w:line="360" w:lineRule="auto"/>
        <w:rPr>
          <w:i/>
          <w:highlight w:val="yellow"/>
        </w:rPr>
      </w:pPr>
      <w:bookmarkStart w:id="21" w:name="_Toc521679145"/>
      <w:r w:rsidRPr="00451463">
        <w:rPr>
          <w:i/>
        </w:rPr>
        <w:t>The percentage of patients (aged 65 years and over) with moderate or severe frailty who have been asked whether they have had a fall, about the total number of falls and about the type of falls, in the last 12 months</w:t>
      </w:r>
      <w:r w:rsidR="009072F7" w:rsidRPr="00451463">
        <w:rPr>
          <w:i/>
        </w:rPr>
        <w:t>.</w:t>
      </w:r>
      <w:bookmarkEnd w:id="21"/>
      <w:r w:rsidR="009072F7" w:rsidRPr="00451463">
        <w:rPr>
          <w:i/>
        </w:rPr>
        <w:t xml:space="preserve"> </w:t>
      </w:r>
    </w:p>
    <w:p w14:paraId="7984DAE9" w14:textId="77777777" w:rsidR="007136A7" w:rsidRPr="000955F4" w:rsidRDefault="007136A7" w:rsidP="005C3893">
      <w:pPr>
        <w:pStyle w:val="Paragraph"/>
        <w:spacing w:line="360" w:lineRule="auto"/>
        <w:rPr>
          <w:b/>
          <w:bCs/>
          <w:kern w:val="32"/>
          <w:u w:val="single"/>
        </w:rPr>
      </w:pPr>
      <w:r w:rsidRPr="000955F4">
        <w:rPr>
          <w:b/>
          <w:bCs/>
          <w:kern w:val="32"/>
          <w:u w:val="single"/>
        </w:rPr>
        <w:t>Rationale</w:t>
      </w:r>
    </w:p>
    <w:p w14:paraId="78CF0EFB" w14:textId="0C9A980A" w:rsidR="007136A7" w:rsidRDefault="000955F4" w:rsidP="005C3893">
      <w:pPr>
        <w:pStyle w:val="Paragraph"/>
        <w:spacing w:line="360" w:lineRule="auto"/>
      </w:pPr>
      <w:r w:rsidRPr="000955F4">
        <w:t>A history of falls in the past year is a risk factor for falls and is a predictor of further falls. This indicator is intended to identify and minimise risks relating to falls.</w:t>
      </w:r>
    </w:p>
    <w:p w14:paraId="3A7EBA94" w14:textId="77777777" w:rsidR="007136A7" w:rsidRPr="00D2488C" w:rsidRDefault="007136A7" w:rsidP="005C3893">
      <w:pPr>
        <w:pStyle w:val="Paragraph"/>
        <w:spacing w:line="360" w:lineRule="auto"/>
        <w:rPr>
          <w:b/>
          <w:bCs/>
          <w:kern w:val="32"/>
          <w:u w:val="single"/>
        </w:rPr>
      </w:pPr>
      <w:r w:rsidRPr="00D2488C">
        <w:rPr>
          <w:b/>
          <w:bCs/>
          <w:kern w:val="32"/>
          <w:u w:val="single"/>
        </w:rPr>
        <w:t>Summary of consultation comments</w:t>
      </w:r>
    </w:p>
    <w:p w14:paraId="7F1602F7" w14:textId="7F60E81E" w:rsidR="00EF7C4A" w:rsidRPr="00D2488C" w:rsidRDefault="00EF7C4A" w:rsidP="005C3893">
      <w:pPr>
        <w:pStyle w:val="Paragraph"/>
        <w:spacing w:line="360" w:lineRule="auto"/>
      </w:pPr>
      <w:r w:rsidRPr="00D2488C">
        <w:t>Stakeholders made the following</w:t>
      </w:r>
      <w:r w:rsidR="001E0E8C" w:rsidRPr="00D2488C">
        <w:t xml:space="preserve"> positive</w:t>
      </w:r>
      <w:r w:rsidRPr="00D2488C">
        <w:t xml:space="preserve"> comments in relation to this indicator:</w:t>
      </w:r>
    </w:p>
    <w:p w14:paraId="5FD75191" w14:textId="21C76185" w:rsidR="006F5506" w:rsidRPr="00D2488C" w:rsidRDefault="002F296A" w:rsidP="00415026">
      <w:pPr>
        <w:pStyle w:val="Bulletleft1"/>
      </w:pPr>
      <w:r>
        <w:t>T</w:t>
      </w:r>
      <w:r w:rsidR="00E10833" w:rsidRPr="00D2488C">
        <w:t>his indicator is strongly supported</w:t>
      </w:r>
    </w:p>
    <w:p w14:paraId="1478B1A2" w14:textId="78F4F365" w:rsidR="00E10833" w:rsidRPr="00D2488C" w:rsidRDefault="009200C2" w:rsidP="00415026">
      <w:pPr>
        <w:pStyle w:val="Bulletleft1"/>
      </w:pPr>
      <w:r>
        <w:t>Stakeholders highlighted that p</w:t>
      </w:r>
      <w:r w:rsidR="00E10833" w:rsidRPr="00D2488C">
        <w:t xml:space="preserve">eople with moderate frailty are the single largest identifiable patient group </w:t>
      </w:r>
      <w:r w:rsidR="006F5506" w:rsidRPr="00D2488C">
        <w:t>who wil</w:t>
      </w:r>
      <w:r w:rsidR="00F31F38" w:rsidRPr="00D2488C">
        <w:t>l</w:t>
      </w:r>
      <w:r w:rsidR="00E10833" w:rsidRPr="00D2488C">
        <w:t xml:space="preserve"> benefit from falls prevention interventions and </w:t>
      </w:r>
      <w:r w:rsidR="006F5506" w:rsidRPr="00D2488C">
        <w:t>may</w:t>
      </w:r>
      <w:r w:rsidR="00E10833" w:rsidRPr="00D2488C">
        <w:t xml:space="preserve"> not be currently engaged</w:t>
      </w:r>
      <w:r w:rsidR="004260AF">
        <w:t>.</w:t>
      </w:r>
    </w:p>
    <w:p w14:paraId="0BB08D79" w14:textId="106B5D55" w:rsidR="001B6878" w:rsidRPr="00D2488C" w:rsidRDefault="00065B8F" w:rsidP="005C3893">
      <w:pPr>
        <w:pStyle w:val="Paragraph"/>
        <w:spacing w:line="360" w:lineRule="auto"/>
      </w:pPr>
      <w:r w:rsidRPr="00D2488C">
        <w:t xml:space="preserve">Stakeholders outlined the following </w:t>
      </w:r>
      <w:r w:rsidR="001B6878" w:rsidRPr="00D2488C">
        <w:t>concerns about the indicator:</w:t>
      </w:r>
    </w:p>
    <w:p w14:paraId="7749CC7C" w14:textId="05078944" w:rsidR="006F5506" w:rsidRPr="00D2488C" w:rsidRDefault="004260AF" w:rsidP="00415026">
      <w:pPr>
        <w:pStyle w:val="Bulletleft1"/>
      </w:pPr>
      <w:r>
        <w:t>A</w:t>
      </w:r>
      <w:r w:rsidR="00415026" w:rsidRPr="00D2488C">
        <w:t>lign with the wording in the GMS contract</w:t>
      </w:r>
      <w:r>
        <w:t>.</w:t>
      </w:r>
      <w:r w:rsidR="00415026" w:rsidRPr="00D2488C">
        <w:t xml:space="preserve"> </w:t>
      </w:r>
    </w:p>
    <w:p w14:paraId="3D90EA77" w14:textId="0D299FAB" w:rsidR="00415026" w:rsidRPr="00D2488C" w:rsidRDefault="004260AF" w:rsidP="00415026">
      <w:pPr>
        <w:pStyle w:val="Bulletleft1"/>
      </w:pPr>
      <w:r>
        <w:t>I</w:t>
      </w:r>
      <w:r w:rsidR="00D2488C">
        <w:t>t</w:t>
      </w:r>
      <w:r w:rsidR="00415026" w:rsidRPr="00D2488C">
        <w:t xml:space="preserve"> is very complex. </w:t>
      </w:r>
      <w:r w:rsidR="005E2DEC" w:rsidRPr="00D2488C">
        <w:t>C</w:t>
      </w:r>
      <w:r w:rsidR="00415026" w:rsidRPr="00D2488C">
        <w:t xml:space="preserve">ollecting data </w:t>
      </w:r>
      <w:r w:rsidR="006F5506" w:rsidRPr="00D2488C">
        <w:t>on</w:t>
      </w:r>
      <w:r w:rsidR="00415026" w:rsidRPr="00D2488C">
        <w:t xml:space="preserve"> patients at risk of falling</w:t>
      </w:r>
      <w:r w:rsidR="005E2DEC" w:rsidRPr="00D2488C">
        <w:t xml:space="preserve"> is valuable</w:t>
      </w:r>
      <w:r w:rsidR="006F5506" w:rsidRPr="00D2488C">
        <w:t xml:space="preserve"> but</w:t>
      </w:r>
      <w:r w:rsidR="00415026" w:rsidRPr="00D2488C">
        <w:t xml:space="preserve"> professionals should be trusted to act when risks are identified.</w:t>
      </w:r>
    </w:p>
    <w:p w14:paraId="12E3B180" w14:textId="10DF0BCF" w:rsidR="00415026" w:rsidRPr="00D2488C" w:rsidRDefault="004260AF" w:rsidP="00415026">
      <w:pPr>
        <w:pStyle w:val="Bulletleft1"/>
      </w:pPr>
      <w:r>
        <w:t>D</w:t>
      </w:r>
      <w:r w:rsidR="005E2DEC" w:rsidRPr="00D2488C">
        <w:t>oes this</w:t>
      </w:r>
      <w:r w:rsidR="00415026" w:rsidRPr="00D2488C">
        <w:t xml:space="preserve"> record whether the question has been asked in the past 12 months, or the number and type of falls in </w:t>
      </w:r>
      <w:r w:rsidR="006F5506" w:rsidRPr="00D2488C">
        <w:t>that time</w:t>
      </w:r>
      <w:r>
        <w:t>.</w:t>
      </w:r>
      <w:r w:rsidR="00415026" w:rsidRPr="00D2488C">
        <w:t xml:space="preserve"> </w:t>
      </w:r>
    </w:p>
    <w:p w14:paraId="7D11E6F0" w14:textId="655E1763" w:rsidR="009D1EB8" w:rsidRPr="005E2DEC" w:rsidRDefault="004260AF" w:rsidP="005E2DEC">
      <w:pPr>
        <w:pStyle w:val="Bulletleft1"/>
      </w:pPr>
      <w:r>
        <w:t>I</w:t>
      </w:r>
      <w:r w:rsidR="005E2DEC" w:rsidRPr="00D2488C">
        <w:t>nclude nutritional</w:t>
      </w:r>
      <w:r w:rsidR="005E2DEC" w:rsidRPr="00F31F38">
        <w:t xml:space="preserve"> screening, assessment and management in falls pathways</w:t>
      </w:r>
      <w:r>
        <w:t>.</w:t>
      </w:r>
    </w:p>
    <w:p w14:paraId="1438BDA8" w14:textId="77777777" w:rsidR="00B95040" w:rsidRDefault="00B95040">
      <w:pPr>
        <w:rPr>
          <w:rFonts w:ascii="Arial" w:hAnsi="Arial"/>
          <w:b/>
          <w:u w:val="single"/>
        </w:rPr>
      </w:pPr>
      <w:r>
        <w:rPr>
          <w:b/>
          <w:u w:val="single"/>
        </w:rPr>
        <w:br w:type="page"/>
      </w:r>
    </w:p>
    <w:p w14:paraId="48D6B88A" w14:textId="629549B0" w:rsidR="007136A7" w:rsidRPr="00FB0CC9" w:rsidRDefault="007136A7" w:rsidP="005C7DB5">
      <w:pPr>
        <w:pStyle w:val="Paragraph"/>
        <w:keepNext/>
        <w:spacing w:line="360" w:lineRule="auto"/>
        <w:rPr>
          <w:u w:val="single"/>
        </w:rPr>
      </w:pPr>
      <w:r w:rsidRPr="00FB0CC9">
        <w:rPr>
          <w:b/>
          <w:u w:val="single"/>
        </w:rPr>
        <w:lastRenderedPageBreak/>
        <w:t>Considerations for the advisory committee</w:t>
      </w:r>
    </w:p>
    <w:p w14:paraId="70725A80" w14:textId="77777777" w:rsidR="007136A7" w:rsidRPr="00FB0CC9" w:rsidRDefault="007136A7" w:rsidP="005C7DB5">
      <w:pPr>
        <w:pStyle w:val="Paragraphnonumbers"/>
        <w:keepNext/>
        <w:spacing w:line="360" w:lineRule="auto"/>
      </w:pPr>
      <w:r w:rsidRPr="00FB0CC9">
        <w:t>The committee is asked to consider:</w:t>
      </w:r>
    </w:p>
    <w:p w14:paraId="5E940DC2" w14:textId="08D799D6" w:rsidR="00B95040" w:rsidRDefault="00B95040" w:rsidP="00FB0CC9">
      <w:pPr>
        <w:pStyle w:val="Bulletleft1"/>
      </w:pPr>
      <w:r>
        <w:t xml:space="preserve">Stakeholder comments that patient or </w:t>
      </w:r>
      <w:proofErr w:type="spellStart"/>
      <w:r>
        <w:t>carer</w:t>
      </w:r>
      <w:proofErr w:type="spellEnd"/>
      <w:r>
        <w:t xml:space="preserve"> recall of the number and type of falls is likely to be poor, resulting in poor quality data</w:t>
      </w:r>
      <w:r w:rsidR="00C73AC2">
        <w:t>.</w:t>
      </w:r>
    </w:p>
    <w:p w14:paraId="1CAA7025" w14:textId="52356EF9" w:rsidR="00B95040" w:rsidRDefault="00C874EF" w:rsidP="00FB0CC9">
      <w:pPr>
        <w:pStyle w:val="Bulletleft1"/>
      </w:pPr>
      <w:r>
        <w:t>W</w:t>
      </w:r>
      <w:r w:rsidR="00FB0CC9" w:rsidRPr="00FB0CC9">
        <w:t>hether th</w:t>
      </w:r>
      <w:r w:rsidR="004260AF">
        <w:t xml:space="preserve">e wording </w:t>
      </w:r>
      <w:r w:rsidR="00FB0CC9" w:rsidRPr="00FB0CC9">
        <w:t xml:space="preserve">should align </w:t>
      </w:r>
      <w:r w:rsidR="009200C2">
        <w:t xml:space="preserve">more closely </w:t>
      </w:r>
      <w:r w:rsidR="00FB0CC9" w:rsidRPr="00FB0CC9">
        <w:t>with the GMS contract</w:t>
      </w:r>
      <w:r w:rsidR="00B95040">
        <w:t>, for people with severe frailty “</w:t>
      </w:r>
      <w:r w:rsidR="00B95040" w:rsidRPr="00774E8D">
        <w:t>the number of patients with severe frailty who are recorded as having had a fall in the preceding 12 months”</w:t>
      </w:r>
      <w:r w:rsidR="00C73AC2">
        <w:t>.</w:t>
      </w:r>
    </w:p>
    <w:p w14:paraId="40CCB367" w14:textId="3CAC1945" w:rsidR="00451463" w:rsidRPr="00FB0CC9" w:rsidRDefault="00B95040" w:rsidP="00B95040">
      <w:pPr>
        <w:pStyle w:val="Bulletleft1"/>
        <w:numPr>
          <w:ilvl w:val="0"/>
          <w:numId w:val="0"/>
        </w:numPr>
        <w:ind w:left="284"/>
      </w:pPr>
      <w:r>
        <w:t xml:space="preserve"> </w:t>
      </w:r>
      <w:r w:rsidR="009200C2">
        <w:t xml:space="preserve"> </w:t>
      </w:r>
      <w:r w:rsidR="00451463" w:rsidRPr="00FB0CC9">
        <w:rPr>
          <w:sz w:val="28"/>
          <w:szCs w:val="28"/>
        </w:rPr>
        <w:br w:type="page"/>
      </w:r>
    </w:p>
    <w:p w14:paraId="7E2F0DB3" w14:textId="29841DE5" w:rsidR="00451463" w:rsidRPr="009769A5" w:rsidRDefault="00451463" w:rsidP="00451463">
      <w:pPr>
        <w:pStyle w:val="Heading3"/>
        <w:spacing w:line="360" w:lineRule="auto"/>
        <w:rPr>
          <w:sz w:val="28"/>
          <w:szCs w:val="28"/>
        </w:rPr>
      </w:pPr>
      <w:bookmarkStart w:id="22" w:name="_Toc17817655"/>
      <w:r w:rsidRPr="00FB0CC9">
        <w:rPr>
          <w:sz w:val="28"/>
          <w:szCs w:val="28"/>
        </w:rPr>
        <w:lastRenderedPageBreak/>
        <w:t>IND15.2: Falls</w:t>
      </w:r>
      <w:r w:rsidRPr="009769A5">
        <w:rPr>
          <w:sz w:val="28"/>
          <w:szCs w:val="28"/>
        </w:rPr>
        <w:t xml:space="preserve"> prevention</w:t>
      </w:r>
      <w:r w:rsidR="004260AF">
        <w:rPr>
          <w:sz w:val="28"/>
          <w:szCs w:val="28"/>
        </w:rPr>
        <w:t xml:space="preserve"> advice</w:t>
      </w:r>
      <w:r w:rsidR="00774E8D">
        <w:rPr>
          <w:sz w:val="28"/>
          <w:szCs w:val="28"/>
        </w:rPr>
        <w:t xml:space="preserve"> for people aged </w:t>
      </w:r>
      <w:r w:rsidR="00774E8D">
        <w:rPr>
          <w:rFonts w:cs="Arial"/>
          <w:sz w:val="28"/>
          <w:szCs w:val="28"/>
        </w:rPr>
        <w:t>≥</w:t>
      </w:r>
      <w:r w:rsidR="00774E8D">
        <w:rPr>
          <w:sz w:val="28"/>
          <w:szCs w:val="28"/>
        </w:rPr>
        <w:t>65 years with moderate or severe frailty identified as being at risk</w:t>
      </w:r>
      <w:bookmarkEnd w:id="22"/>
    </w:p>
    <w:p w14:paraId="6E2D808A" w14:textId="7EFC734F" w:rsidR="00451463" w:rsidRPr="006375EE" w:rsidRDefault="00451463" w:rsidP="00451463">
      <w:pPr>
        <w:pStyle w:val="Paragraph"/>
        <w:spacing w:line="360" w:lineRule="auto"/>
        <w:rPr>
          <w:i/>
          <w:highlight w:val="yellow"/>
        </w:rPr>
      </w:pPr>
      <w:r w:rsidRPr="00451463">
        <w:rPr>
          <w:i/>
        </w:rPr>
        <w:t xml:space="preserve">The percentage of patients (aged 65 years and over) with moderate or severe frailty who have been asked whether they have had a fall, about the total number of falls and about the type of falls, in the last 12 </w:t>
      </w:r>
      <w:r>
        <w:rPr>
          <w:i/>
        </w:rPr>
        <w:t>m</w:t>
      </w:r>
      <w:r w:rsidRPr="00451463">
        <w:rPr>
          <w:i/>
        </w:rPr>
        <w:t>onths, were found to be at risk and have been provided with advice and guidance with regard to falls prevention (in the last 12 months).</w:t>
      </w:r>
    </w:p>
    <w:p w14:paraId="62A9195A" w14:textId="77777777" w:rsidR="00451463" w:rsidRPr="00AB2B13" w:rsidRDefault="00451463" w:rsidP="00451463">
      <w:pPr>
        <w:pStyle w:val="Paragraph"/>
        <w:spacing w:line="360" w:lineRule="auto"/>
        <w:rPr>
          <w:b/>
          <w:bCs/>
          <w:kern w:val="32"/>
          <w:u w:val="single"/>
        </w:rPr>
      </w:pPr>
      <w:r w:rsidRPr="00AB2B13">
        <w:rPr>
          <w:b/>
          <w:bCs/>
          <w:kern w:val="32"/>
          <w:u w:val="single"/>
        </w:rPr>
        <w:t>Rationale</w:t>
      </w:r>
    </w:p>
    <w:p w14:paraId="0C3E8F34" w14:textId="5D4C626C" w:rsidR="000955F4" w:rsidRPr="006375EE" w:rsidRDefault="00C874EF" w:rsidP="000955F4">
      <w:pPr>
        <w:pStyle w:val="Paragraph"/>
        <w:spacing w:line="360" w:lineRule="auto"/>
      </w:pPr>
      <w:r>
        <w:t>Advice and guidance on falls prevention can lead to a reduced risk of falls, particularly in this population</w:t>
      </w:r>
      <w:r w:rsidR="003700D2">
        <w:t>, leading to a reduction in harm, serious injury and personal and financial costs</w:t>
      </w:r>
      <w:r w:rsidR="00E2487E">
        <w:t>.</w:t>
      </w:r>
    </w:p>
    <w:p w14:paraId="66343B56" w14:textId="77777777" w:rsidR="00451463" w:rsidRPr="00F31F38" w:rsidRDefault="00451463" w:rsidP="00451463">
      <w:pPr>
        <w:pStyle w:val="Paragraph"/>
        <w:spacing w:line="360" w:lineRule="auto"/>
        <w:rPr>
          <w:b/>
          <w:bCs/>
          <w:kern w:val="32"/>
          <w:u w:val="single"/>
        </w:rPr>
      </w:pPr>
      <w:r w:rsidRPr="00F31F38">
        <w:rPr>
          <w:b/>
          <w:bCs/>
          <w:kern w:val="32"/>
          <w:u w:val="single"/>
        </w:rPr>
        <w:t>Summary of consultation comments</w:t>
      </w:r>
    </w:p>
    <w:p w14:paraId="5FF52100" w14:textId="77777777" w:rsidR="00451463" w:rsidRPr="00F31F38" w:rsidRDefault="00451463" w:rsidP="00451463">
      <w:pPr>
        <w:pStyle w:val="Paragraph"/>
        <w:spacing w:line="360" w:lineRule="auto"/>
      </w:pPr>
      <w:r w:rsidRPr="00F31F38">
        <w:t>Stakeholders outlined the following concerns about the indicator:</w:t>
      </w:r>
    </w:p>
    <w:p w14:paraId="0D23E144" w14:textId="1254AE2B" w:rsidR="00FA5999" w:rsidRPr="00F31F38" w:rsidRDefault="004260AF" w:rsidP="006F5506">
      <w:pPr>
        <w:pStyle w:val="Bulletleft1"/>
      </w:pPr>
      <w:r>
        <w:t>C</w:t>
      </w:r>
      <w:r w:rsidR="00FA5999" w:rsidRPr="00F31F38">
        <w:t>linician</w:t>
      </w:r>
      <w:r w:rsidR="00F31F38">
        <w:t>s</w:t>
      </w:r>
      <w:r w:rsidR="00FA5999" w:rsidRPr="00F31F38">
        <w:t xml:space="preserve"> should be relied on to </w:t>
      </w:r>
      <w:proofErr w:type="gramStart"/>
      <w:r w:rsidR="00FA5999" w:rsidRPr="00F31F38">
        <w:t>take action</w:t>
      </w:r>
      <w:proofErr w:type="gramEnd"/>
      <w:r w:rsidR="00FA5999" w:rsidRPr="00F31F38">
        <w:t xml:space="preserve"> </w:t>
      </w:r>
      <w:r w:rsidR="00F31F38">
        <w:t>if</w:t>
      </w:r>
      <w:r w:rsidR="00FA5999" w:rsidRPr="00F31F38">
        <w:t xml:space="preserve"> a significant problem </w:t>
      </w:r>
      <w:r w:rsidR="00F31F38">
        <w:t>is</w:t>
      </w:r>
      <w:r w:rsidR="00FA5999" w:rsidRPr="00F31F38">
        <w:t xml:space="preserve"> identified</w:t>
      </w:r>
      <w:r>
        <w:t>.</w:t>
      </w:r>
    </w:p>
    <w:p w14:paraId="2AFB245B" w14:textId="05D7928B" w:rsidR="00C41EE6" w:rsidRPr="00F31F38" w:rsidRDefault="004260AF" w:rsidP="00C41EE6">
      <w:pPr>
        <w:pStyle w:val="Bulletleft1"/>
      </w:pPr>
      <w:r>
        <w:t>I</w:t>
      </w:r>
      <w:r w:rsidR="00F31F38">
        <w:t xml:space="preserve">nclude </w:t>
      </w:r>
      <w:r w:rsidR="00C41EE6" w:rsidRPr="00F31F38">
        <w:t>nutritional screening, assessment and management in falls pathways</w:t>
      </w:r>
      <w:r>
        <w:t>.</w:t>
      </w:r>
    </w:p>
    <w:p w14:paraId="124053B0" w14:textId="5844CF6D" w:rsidR="006F5506" w:rsidRPr="00F31F38" w:rsidRDefault="004260AF" w:rsidP="00643388">
      <w:pPr>
        <w:pStyle w:val="Bulletleft1"/>
      </w:pPr>
      <w:r>
        <w:t xml:space="preserve">The </w:t>
      </w:r>
      <w:r w:rsidR="00E10833" w:rsidRPr="00F31F38">
        <w:t>‘provision of advice and guidance’ is vague</w:t>
      </w:r>
      <w:r w:rsidR="00D2488C">
        <w:t>;</w:t>
      </w:r>
      <w:r w:rsidR="00F31F38">
        <w:t xml:space="preserve"> </w:t>
      </w:r>
      <w:r w:rsidR="00E10833" w:rsidRPr="00F31F38">
        <w:t xml:space="preserve">specify </w:t>
      </w:r>
      <w:r w:rsidR="006F5506" w:rsidRPr="00F31F38">
        <w:t>the type</w:t>
      </w:r>
      <w:r w:rsidR="00E10833" w:rsidRPr="00F31F38">
        <w:t xml:space="preserve"> of advice provided</w:t>
      </w:r>
      <w:r>
        <w:t>.</w:t>
      </w:r>
    </w:p>
    <w:p w14:paraId="1B632C29" w14:textId="3A1D8B3B" w:rsidR="00451463" w:rsidRPr="00F31F38" w:rsidRDefault="004260AF" w:rsidP="00643388">
      <w:pPr>
        <w:pStyle w:val="Bulletleft1"/>
      </w:pPr>
      <w:r>
        <w:t>T</w:t>
      </w:r>
      <w:r w:rsidR="00E10833" w:rsidRPr="00F31F38">
        <w:t xml:space="preserve">here is no evidence that information provision reduces the rate </w:t>
      </w:r>
      <w:r w:rsidR="006F5506" w:rsidRPr="00F31F38">
        <w:t>or</w:t>
      </w:r>
      <w:r w:rsidR="00E10833" w:rsidRPr="00F31F38">
        <w:t xml:space="preserve"> risk of falls.  </w:t>
      </w:r>
    </w:p>
    <w:p w14:paraId="0F95C52E" w14:textId="77777777" w:rsidR="00451463" w:rsidRPr="00F31F38" w:rsidRDefault="00451463" w:rsidP="00451463">
      <w:pPr>
        <w:pStyle w:val="Paragraph"/>
        <w:keepNext/>
        <w:spacing w:line="360" w:lineRule="auto"/>
        <w:rPr>
          <w:u w:val="single"/>
        </w:rPr>
      </w:pPr>
      <w:r w:rsidRPr="00F31F38">
        <w:rPr>
          <w:b/>
          <w:u w:val="single"/>
        </w:rPr>
        <w:t>Considerations for the advisory committee</w:t>
      </w:r>
    </w:p>
    <w:p w14:paraId="7FBA24B0" w14:textId="77777777" w:rsidR="00451463" w:rsidRPr="00FB0CC9" w:rsidRDefault="00451463" w:rsidP="00451463">
      <w:pPr>
        <w:pStyle w:val="Paragraphnonumbers"/>
        <w:spacing w:line="360" w:lineRule="auto"/>
      </w:pPr>
      <w:r w:rsidRPr="00FB0CC9">
        <w:t>The committee is asked to consider:</w:t>
      </w:r>
    </w:p>
    <w:p w14:paraId="326AC10E" w14:textId="66EF2431" w:rsidR="00774E8D" w:rsidRPr="00774E8D" w:rsidRDefault="00774E8D" w:rsidP="00451463">
      <w:pPr>
        <w:pStyle w:val="Bulletleft1"/>
        <w:numPr>
          <w:ilvl w:val="1"/>
          <w:numId w:val="10"/>
        </w:numPr>
        <w:tabs>
          <w:tab w:val="clear" w:pos="567"/>
          <w:tab w:val="num" w:pos="284"/>
        </w:tabs>
        <w:ind w:left="284" w:hanging="284"/>
      </w:pPr>
      <w:r w:rsidRPr="00774E8D">
        <w:t>Stakeholder</w:t>
      </w:r>
      <w:r>
        <w:t xml:space="preserve"> suggestions that the identification indicator (15.1) is </w:t>
      </w:r>
      <w:proofErr w:type="gramStart"/>
      <w:r>
        <w:t>sufficient</w:t>
      </w:r>
      <w:proofErr w:type="gramEnd"/>
      <w:r>
        <w:t>, healthcare professionals should be trusted to act appropriately</w:t>
      </w:r>
      <w:r w:rsidR="00C73AC2">
        <w:t>.</w:t>
      </w:r>
      <w:r>
        <w:t xml:space="preserve"> </w:t>
      </w:r>
    </w:p>
    <w:p w14:paraId="61B68245" w14:textId="112125C9" w:rsidR="00451463" w:rsidRPr="00FB0CC9" w:rsidRDefault="00C874EF" w:rsidP="00451463">
      <w:pPr>
        <w:pStyle w:val="Bulletleft1"/>
        <w:numPr>
          <w:ilvl w:val="1"/>
          <w:numId w:val="10"/>
        </w:numPr>
        <w:tabs>
          <w:tab w:val="clear" w:pos="567"/>
          <w:tab w:val="num" w:pos="284"/>
        </w:tabs>
        <w:ind w:left="284" w:hanging="284"/>
        <w:rPr>
          <w:b/>
          <w:bCs/>
        </w:rPr>
      </w:pPr>
      <w:r>
        <w:t>W</w:t>
      </w:r>
      <w:r w:rsidR="00FB0CC9" w:rsidRPr="00FB0CC9">
        <w:t>hether examples of the types of advice should be included</w:t>
      </w:r>
      <w:r w:rsidR="00C73AC2">
        <w:t>.</w:t>
      </w:r>
    </w:p>
    <w:p w14:paraId="063FC44D" w14:textId="5ED766C7" w:rsidR="009769A5" w:rsidRPr="00FB0CC9" w:rsidRDefault="00774E8D" w:rsidP="00643388">
      <w:pPr>
        <w:pStyle w:val="Bulletleft1"/>
        <w:numPr>
          <w:ilvl w:val="1"/>
          <w:numId w:val="10"/>
        </w:numPr>
        <w:tabs>
          <w:tab w:val="clear" w:pos="567"/>
          <w:tab w:val="num" w:pos="284"/>
        </w:tabs>
        <w:ind w:left="284" w:hanging="284"/>
        <w:rPr>
          <w:b/>
          <w:bCs/>
          <w:kern w:val="32"/>
          <w:sz w:val="28"/>
          <w:szCs w:val="32"/>
        </w:rPr>
      </w:pPr>
      <w:r>
        <w:t>Concerns about the e</w:t>
      </w:r>
      <w:r w:rsidR="00FB0CC9" w:rsidRPr="00FB0CC9">
        <w:t>vidence that information provision reduces the rate or risk of falls</w:t>
      </w:r>
      <w:r w:rsidR="00451463" w:rsidRPr="00FB0CC9">
        <w:t xml:space="preserve">. </w:t>
      </w:r>
      <w:r w:rsidR="009769A5" w:rsidRPr="00FB0CC9">
        <w:br w:type="page"/>
      </w:r>
    </w:p>
    <w:p w14:paraId="38494CEC" w14:textId="383E6F78" w:rsidR="007E7FF4" w:rsidRPr="00FB0CC9" w:rsidRDefault="007E7FF4" w:rsidP="007E7FF4">
      <w:pPr>
        <w:pStyle w:val="Heading1"/>
      </w:pPr>
      <w:bookmarkStart w:id="23" w:name="_Toc17817656"/>
      <w:r w:rsidRPr="00FB0CC9">
        <w:lastRenderedPageBreak/>
        <w:t>General comments</w:t>
      </w:r>
      <w:bookmarkEnd w:id="23"/>
      <w:r w:rsidRPr="00FB0CC9">
        <w:t xml:space="preserve"> </w:t>
      </w:r>
    </w:p>
    <w:p w14:paraId="6F18B91F" w14:textId="5AA8DF9B" w:rsidR="007E7FF4" w:rsidRPr="00FB0CC9" w:rsidRDefault="007E7FF4" w:rsidP="007E7FF4">
      <w:pPr>
        <w:pStyle w:val="Paragraph"/>
        <w:spacing w:line="360" w:lineRule="auto"/>
      </w:pPr>
      <w:r w:rsidRPr="00FB0CC9">
        <w:t xml:space="preserve">The following is a summary of general comments on the </w:t>
      </w:r>
      <w:r w:rsidR="000955F4" w:rsidRPr="00FB0CC9">
        <w:t>draft</w:t>
      </w:r>
      <w:r w:rsidRPr="00FB0CC9">
        <w:t xml:space="preserve"> indicators:</w:t>
      </w:r>
    </w:p>
    <w:p w14:paraId="0F1B2EF7" w14:textId="1A731AC5" w:rsidR="007E7FF4" w:rsidRPr="00FB0CC9" w:rsidRDefault="003316DC" w:rsidP="007E7FF4">
      <w:pPr>
        <w:pStyle w:val="Bulletleft1"/>
      </w:pPr>
      <w:r>
        <w:t>L</w:t>
      </w:r>
      <w:r w:rsidR="005E2DEC" w:rsidRPr="00FB0CC9">
        <w:t>ink</w:t>
      </w:r>
      <w:r w:rsidR="0035797B" w:rsidRPr="00FB0CC9">
        <w:t xml:space="preserve"> the heart failure and the multimorbidity and frailty indicators</w:t>
      </w:r>
      <w:r>
        <w:t>.</w:t>
      </w:r>
    </w:p>
    <w:p w14:paraId="675129E4" w14:textId="4CD6C438" w:rsidR="00D30DE0" w:rsidRDefault="003316DC" w:rsidP="005E2DEC">
      <w:pPr>
        <w:pStyle w:val="Bulletleft1"/>
      </w:pPr>
      <w:r>
        <w:t>I</w:t>
      </w:r>
      <w:r w:rsidR="005E2DEC" w:rsidRPr="00FB0CC9">
        <w:t>ncorporate nutrition screening and</w:t>
      </w:r>
      <w:r w:rsidR="005E2DEC" w:rsidRPr="0035797B">
        <w:t xml:space="preserve"> management into all indicators especially </w:t>
      </w:r>
      <w:r w:rsidR="005E2DEC">
        <w:t>relating</w:t>
      </w:r>
      <w:r w:rsidR="005E2DEC" w:rsidRPr="0035797B">
        <w:t xml:space="preserve"> to multimorbidity</w:t>
      </w:r>
      <w:r w:rsidR="005E2DEC">
        <w:t xml:space="preserve"> and</w:t>
      </w:r>
      <w:r w:rsidR="005E2DEC" w:rsidRPr="0035797B">
        <w:t xml:space="preserve"> frailty</w:t>
      </w:r>
      <w:r>
        <w:t>.</w:t>
      </w:r>
    </w:p>
    <w:p w14:paraId="25E4E188" w14:textId="65B444DC" w:rsidR="00D13C4C" w:rsidRDefault="003316DC" w:rsidP="00643388">
      <w:pPr>
        <w:pStyle w:val="Bulletleft1"/>
      </w:pPr>
      <w:r>
        <w:t>I</w:t>
      </w:r>
      <w:r w:rsidR="00E10833">
        <w:t xml:space="preserve">ndicators </w:t>
      </w:r>
      <w:r w:rsidR="005E2DEC">
        <w:t>on</w:t>
      </w:r>
      <w:r w:rsidR="00E10833">
        <w:t xml:space="preserve"> frailty are welcome, including monitoring of specific interventions for those living with frailty, such as medications review or falls prevention support</w:t>
      </w:r>
      <w:r>
        <w:t>.</w:t>
      </w:r>
    </w:p>
    <w:p w14:paraId="000834AD" w14:textId="0EC94E23" w:rsidR="00425E68" w:rsidRDefault="00425E68" w:rsidP="00425E68">
      <w:pPr>
        <w:pStyle w:val="Bulletleft1"/>
      </w:pPr>
      <w:r>
        <w:t>T</w:t>
      </w:r>
      <w:r w:rsidRPr="00FB0CC9">
        <w:t>hreshold of 4+ conditions excludes many who would benefit from this review</w:t>
      </w:r>
      <w:r>
        <w:t>.</w:t>
      </w:r>
    </w:p>
    <w:p w14:paraId="66B67804" w14:textId="4A4CFE8E" w:rsidR="00753A9F" w:rsidRPr="00266B6F" w:rsidRDefault="00D13C4C" w:rsidP="00D13C4C">
      <w:pPr>
        <w:pStyle w:val="Heading1"/>
        <w:rPr>
          <w:highlight w:val="yellow"/>
        </w:rPr>
      </w:pPr>
      <w:bookmarkStart w:id="24" w:name="_Toc17817657"/>
      <w:r>
        <w:t>Suggestions for additional indicators</w:t>
      </w:r>
      <w:bookmarkEnd w:id="24"/>
    </w:p>
    <w:p w14:paraId="211C0244" w14:textId="3747F2C6" w:rsidR="00D13C4C" w:rsidRDefault="003316DC" w:rsidP="00D13C4C">
      <w:pPr>
        <w:pStyle w:val="Bulletleft1"/>
      </w:pPr>
      <w:r>
        <w:t>S</w:t>
      </w:r>
      <w:r w:rsidR="00D13C4C">
        <w:t>uggestion to include additional indicators on malnutrition, falls and frailty</w:t>
      </w:r>
      <w:r>
        <w:t>.</w:t>
      </w:r>
      <w:r w:rsidR="00D13C4C">
        <w:t xml:space="preserve"> </w:t>
      </w:r>
    </w:p>
    <w:p w14:paraId="0F1F087D" w14:textId="5E396EF1" w:rsidR="00D13C4C" w:rsidRDefault="003316DC" w:rsidP="00D13C4C">
      <w:pPr>
        <w:pStyle w:val="Bulletleft1"/>
      </w:pPr>
      <w:r>
        <w:t>I</w:t>
      </w:r>
      <w:r w:rsidR="005E2DEC">
        <w:t>nclude</w:t>
      </w:r>
      <w:r w:rsidR="00D13C4C" w:rsidRPr="00D30DE0">
        <w:t xml:space="preserve"> an indicator </w:t>
      </w:r>
      <w:r w:rsidR="005E2DEC">
        <w:t>on</w:t>
      </w:r>
      <w:r w:rsidR="00D2488C">
        <w:t xml:space="preserve"> the</w:t>
      </w:r>
      <w:r w:rsidR="00D13C4C" w:rsidRPr="00D30DE0">
        <w:t xml:space="preserve"> nutritional assessment and management of frail patients pre and post fall</w:t>
      </w:r>
      <w:r w:rsidR="00D13C4C">
        <w:t xml:space="preserve"> or </w:t>
      </w:r>
      <w:r w:rsidR="00D13C4C" w:rsidRPr="00D30DE0">
        <w:t>fracture</w:t>
      </w:r>
      <w:r>
        <w:t>.</w:t>
      </w:r>
      <w:r w:rsidR="00D13C4C">
        <w:t xml:space="preserve"> </w:t>
      </w:r>
    </w:p>
    <w:p w14:paraId="60F820E6" w14:textId="5C620BA9" w:rsidR="00D13C4C" w:rsidRPr="00405A0D" w:rsidRDefault="003316DC" w:rsidP="00D13C4C">
      <w:pPr>
        <w:pStyle w:val="Bulletleft1"/>
      </w:pPr>
      <w:r>
        <w:t>I</w:t>
      </w:r>
      <w:r w:rsidR="00D13C4C">
        <w:t xml:space="preserve">ndicators to monitor the comprehensive assessment and review of frail people, </w:t>
      </w:r>
      <w:r w:rsidR="005E2DEC">
        <w:t>to help</w:t>
      </w:r>
      <w:r w:rsidR="00D13C4C">
        <w:t xml:space="preserve"> proactive and recurrent management of frailty in the community.</w:t>
      </w:r>
    </w:p>
    <w:p w14:paraId="20E57DC5" w14:textId="03EF2E9F" w:rsidR="00D13C4C" w:rsidRPr="00D13C4C" w:rsidRDefault="00D13C4C" w:rsidP="00D13C4C">
      <w:pPr>
        <w:pStyle w:val="Bulletleft1"/>
        <w:sectPr w:rsidR="00D13C4C" w:rsidRPr="00D13C4C" w:rsidSect="007F3BF0">
          <w:headerReference w:type="default" r:id="rId23"/>
          <w:footerReference w:type="default" r:id="rId24"/>
          <w:pgSz w:w="11907" w:h="16840" w:code="9"/>
          <w:pgMar w:top="1440" w:right="1134" w:bottom="993" w:left="1134" w:header="709" w:footer="709" w:gutter="0"/>
          <w:pgNumType w:chapStyle="1"/>
          <w:cols w:space="708"/>
          <w:docGrid w:linePitch="360"/>
        </w:sectPr>
      </w:pPr>
    </w:p>
    <w:p w14:paraId="123085F8" w14:textId="563D373C" w:rsidR="00D73835" w:rsidRPr="006375EE" w:rsidRDefault="00D73835" w:rsidP="00511471">
      <w:pPr>
        <w:pStyle w:val="Bulletleft1last"/>
        <w:numPr>
          <w:ilvl w:val="0"/>
          <w:numId w:val="0"/>
        </w:numPr>
        <w:rPr>
          <w:highlight w:val="yellow"/>
        </w:rPr>
      </w:pPr>
    </w:p>
    <w:p w14:paraId="6FD71D8E" w14:textId="6AB3FFEF" w:rsidR="00C130C8" w:rsidRPr="00FB0CC9" w:rsidRDefault="00C130C8" w:rsidP="00511471">
      <w:pPr>
        <w:pStyle w:val="Heading1"/>
      </w:pPr>
      <w:bookmarkStart w:id="25" w:name="_Toc17817658"/>
      <w:r w:rsidRPr="00FB0CC9">
        <w:t>Appendix A</w:t>
      </w:r>
      <w:r w:rsidR="00BB716A" w:rsidRPr="00FB0CC9">
        <w:t>: C</w:t>
      </w:r>
      <w:r w:rsidRPr="00FB0CC9">
        <w:t>onsultation comments</w:t>
      </w:r>
      <w:bookmarkEnd w:id="25"/>
      <w:r w:rsidRPr="00FB0CC9">
        <w:t xml:space="preserve"> </w:t>
      </w:r>
    </w:p>
    <w:tbl>
      <w:tblPr>
        <w:tblStyle w:val="TableGrid"/>
        <w:tblW w:w="14884" w:type="dxa"/>
        <w:tblLayout w:type="fixed"/>
        <w:tblLook w:val="0020" w:firstRow="1" w:lastRow="0" w:firstColumn="0" w:lastColumn="0" w:noHBand="0" w:noVBand="0"/>
      </w:tblPr>
      <w:tblGrid>
        <w:gridCol w:w="562"/>
        <w:gridCol w:w="1139"/>
        <w:gridCol w:w="1985"/>
        <w:gridCol w:w="11198"/>
      </w:tblGrid>
      <w:tr w:rsidR="00AB487A" w:rsidRPr="00FB0CC9" w14:paraId="6A3A7C2A" w14:textId="77777777" w:rsidTr="0024650F">
        <w:trPr>
          <w:trHeight w:val="316"/>
        </w:trPr>
        <w:tc>
          <w:tcPr>
            <w:tcW w:w="562" w:type="dxa"/>
          </w:tcPr>
          <w:p w14:paraId="20D8A8A7" w14:textId="77777777" w:rsidR="00AB487A" w:rsidRPr="006658EF" w:rsidRDefault="00AB487A" w:rsidP="00AB487A">
            <w:pPr>
              <w:pStyle w:val="TableText1"/>
              <w:jc w:val="center"/>
              <w:rPr>
                <w:b/>
                <w:sz w:val="20"/>
                <w:szCs w:val="20"/>
              </w:rPr>
            </w:pPr>
            <w:r w:rsidRPr="006658EF">
              <w:rPr>
                <w:b/>
                <w:sz w:val="20"/>
                <w:szCs w:val="20"/>
              </w:rPr>
              <w:t>ID</w:t>
            </w:r>
          </w:p>
        </w:tc>
        <w:tc>
          <w:tcPr>
            <w:tcW w:w="1139" w:type="dxa"/>
          </w:tcPr>
          <w:p w14:paraId="32CAD8FF" w14:textId="77777777" w:rsidR="00AB487A" w:rsidRPr="00FB0CC9" w:rsidRDefault="00AB487A" w:rsidP="00AB487A">
            <w:pPr>
              <w:pStyle w:val="TableText1"/>
              <w:rPr>
                <w:b/>
              </w:rPr>
            </w:pPr>
            <w:r w:rsidRPr="00FB0CC9">
              <w:rPr>
                <w:rFonts w:cs="Arial"/>
                <w:b/>
                <w:bCs/>
                <w:color w:val="000000"/>
                <w:sz w:val="20"/>
                <w:szCs w:val="20"/>
              </w:rPr>
              <w:t>Indicator</w:t>
            </w:r>
          </w:p>
        </w:tc>
        <w:tc>
          <w:tcPr>
            <w:tcW w:w="1985" w:type="dxa"/>
          </w:tcPr>
          <w:p w14:paraId="2AF38FAC" w14:textId="77777777" w:rsidR="00AB487A" w:rsidRPr="00FB0CC9" w:rsidRDefault="00AB487A" w:rsidP="00AB487A">
            <w:pPr>
              <w:pStyle w:val="TableText1"/>
              <w:rPr>
                <w:b/>
              </w:rPr>
            </w:pPr>
            <w:r w:rsidRPr="00FB0CC9">
              <w:rPr>
                <w:rFonts w:cs="Arial"/>
                <w:b/>
                <w:bCs/>
                <w:color w:val="000000"/>
                <w:sz w:val="20"/>
                <w:szCs w:val="20"/>
              </w:rPr>
              <w:t>Stakeholder</w:t>
            </w:r>
          </w:p>
        </w:tc>
        <w:tc>
          <w:tcPr>
            <w:tcW w:w="11198" w:type="dxa"/>
          </w:tcPr>
          <w:p w14:paraId="5CDB7593" w14:textId="77777777" w:rsidR="00AB487A" w:rsidRPr="00FB0CC9" w:rsidRDefault="00AB487A" w:rsidP="00AB487A">
            <w:pPr>
              <w:pStyle w:val="TableText1"/>
              <w:rPr>
                <w:b/>
              </w:rPr>
            </w:pPr>
            <w:r w:rsidRPr="00FB0CC9">
              <w:rPr>
                <w:rFonts w:cs="Arial"/>
                <w:b/>
                <w:bCs/>
                <w:color w:val="000000"/>
                <w:sz w:val="20"/>
                <w:szCs w:val="20"/>
              </w:rPr>
              <w:t>Comment</w:t>
            </w:r>
          </w:p>
        </w:tc>
      </w:tr>
      <w:tr w:rsidR="008F052B" w:rsidRPr="00FB0CC9" w14:paraId="5C09382A" w14:textId="77777777" w:rsidTr="0024650F">
        <w:trPr>
          <w:trHeight w:val="259"/>
        </w:trPr>
        <w:tc>
          <w:tcPr>
            <w:tcW w:w="562" w:type="dxa"/>
          </w:tcPr>
          <w:p w14:paraId="2E1926E4" w14:textId="1525655C" w:rsidR="008F052B" w:rsidRPr="006658EF" w:rsidRDefault="00C73AC2" w:rsidP="008F052B">
            <w:pPr>
              <w:pStyle w:val="TableText1"/>
              <w:jc w:val="center"/>
              <w:rPr>
                <w:rFonts w:cs="Arial"/>
                <w:sz w:val="20"/>
                <w:szCs w:val="20"/>
              </w:rPr>
            </w:pPr>
            <w:r w:rsidRPr="006658EF">
              <w:rPr>
                <w:rFonts w:cs="Arial"/>
                <w:sz w:val="20"/>
                <w:szCs w:val="20"/>
              </w:rPr>
              <w:t>1</w:t>
            </w:r>
          </w:p>
        </w:tc>
        <w:tc>
          <w:tcPr>
            <w:tcW w:w="1139" w:type="dxa"/>
          </w:tcPr>
          <w:p w14:paraId="15F5BDB1" w14:textId="37BD3D65" w:rsidR="008F052B" w:rsidRPr="00FB0CC9" w:rsidRDefault="008F052B" w:rsidP="008F052B">
            <w:pPr>
              <w:pStyle w:val="TableText1"/>
              <w:rPr>
                <w:rFonts w:cs="Arial"/>
                <w:color w:val="000000"/>
                <w:sz w:val="20"/>
                <w:szCs w:val="20"/>
              </w:rPr>
            </w:pPr>
            <w:r w:rsidRPr="00FB0CC9">
              <w:rPr>
                <w:rFonts w:cs="Arial"/>
                <w:color w:val="000000"/>
                <w:sz w:val="20"/>
                <w:szCs w:val="20"/>
              </w:rPr>
              <w:t>General comment</w:t>
            </w:r>
          </w:p>
        </w:tc>
        <w:tc>
          <w:tcPr>
            <w:tcW w:w="1985" w:type="dxa"/>
          </w:tcPr>
          <w:p w14:paraId="0F7AE002" w14:textId="71E92B72" w:rsidR="008F052B" w:rsidRPr="00FB0CC9" w:rsidRDefault="008F052B" w:rsidP="008F052B">
            <w:pPr>
              <w:pStyle w:val="TableText1"/>
              <w:rPr>
                <w:rFonts w:cs="Arial"/>
                <w:b/>
                <w:sz w:val="20"/>
                <w:szCs w:val="20"/>
              </w:rPr>
            </w:pPr>
            <w:r w:rsidRPr="00FB0CC9">
              <w:rPr>
                <w:rFonts w:cs="Arial"/>
                <w:b/>
                <w:sz w:val="20"/>
                <w:szCs w:val="20"/>
              </w:rPr>
              <w:t>Abbott</w:t>
            </w:r>
          </w:p>
        </w:tc>
        <w:tc>
          <w:tcPr>
            <w:tcW w:w="11198" w:type="dxa"/>
          </w:tcPr>
          <w:p w14:paraId="1934B9DD" w14:textId="77777777" w:rsidR="008F052B" w:rsidRPr="00FB0CC9" w:rsidRDefault="008F052B" w:rsidP="008F052B">
            <w:pPr>
              <w:rPr>
                <w:rFonts w:ascii="Arial" w:hAnsi="Arial" w:cs="Arial"/>
                <w:sz w:val="20"/>
                <w:szCs w:val="20"/>
              </w:rPr>
            </w:pPr>
            <w:r w:rsidRPr="00FB0CC9">
              <w:rPr>
                <w:rFonts w:ascii="Arial" w:hAnsi="Arial" w:cs="Arial"/>
                <w:sz w:val="20"/>
                <w:szCs w:val="20"/>
              </w:rPr>
              <w:t>Muscle naturally declines with age. Sarcopenia occurs as a natural part of age, which can lead to physical frailty and an increased risk of morbidity and mortality.</w:t>
            </w:r>
            <w:r w:rsidRPr="00FB0CC9">
              <w:rPr>
                <w:rFonts w:ascii="Arial" w:hAnsi="Arial" w:cs="Arial"/>
                <w:sz w:val="20"/>
                <w:szCs w:val="20"/>
                <w:vertAlign w:val="superscript"/>
              </w:rPr>
              <w:t>1</w:t>
            </w:r>
            <w:r w:rsidRPr="00FB0CC9">
              <w:rPr>
                <w:rFonts w:ascii="Arial" w:hAnsi="Arial" w:cs="Arial"/>
                <w:sz w:val="20"/>
                <w:szCs w:val="20"/>
              </w:rPr>
              <w:t xml:space="preserve"> Loss of muscle mass is associated with increased rates of falls and fractures,</w:t>
            </w:r>
            <w:r w:rsidRPr="00FB0CC9">
              <w:rPr>
                <w:rFonts w:ascii="Arial" w:hAnsi="Arial" w:cs="Arial"/>
                <w:sz w:val="20"/>
                <w:szCs w:val="20"/>
                <w:vertAlign w:val="superscript"/>
              </w:rPr>
              <w:t xml:space="preserve">2 </w:t>
            </w:r>
            <w:r w:rsidRPr="00FB0CC9">
              <w:rPr>
                <w:rFonts w:ascii="Arial" w:hAnsi="Arial" w:cs="Arial"/>
                <w:sz w:val="20"/>
                <w:szCs w:val="20"/>
              </w:rPr>
              <w:t>and frail patients are a risk group of falling and sustaining fractures.</w:t>
            </w:r>
          </w:p>
          <w:p w14:paraId="16CB1A18" w14:textId="77777777" w:rsidR="008F052B" w:rsidRPr="00FB0CC9" w:rsidRDefault="008F052B" w:rsidP="008F052B">
            <w:pPr>
              <w:rPr>
                <w:rFonts w:ascii="Arial" w:hAnsi="Arial" w:cs="Arial"/>
                <w:sz w:val="20"/>
                <w:szCs w:val="20"/>
              </w:rPr>
            </w:pPr>
          </w:p>
          <w:p w14:paraId="6F0E89B8" w14:textId="36849759" w:rsidR="008F052B" w:rsidRPr="00C54B46" w:rsidRDefault="008F052B" w:rsidP="008F052B">
            <w:pPr>
              <w:rPr>
                <w:rFonts w:ascii="Arial" w:hAnsi="Arial" w:cs="Arial"/>
                <w:sz w:val="20"/>
                <w:szCs w:val="20"/>
              </w:rPr>
            </w:pPr>
            <w:r w:rsidRPr="00FB0CC9">
              <w:rPr>
                <w:rFonts w:ascii="Arial" w:hAnsi="Arial" w:cs="Arial"/>
                <w:sz w:val="20"/>
                <w:szCs w:val="20"/>
              </w:rPr>
              <w:t>Nutrition can play a role in this.</w:t>
            </w:r>
            <w:r w:rsidR="00C54B46">
              <w:rPr>
                <w:rFonts w:ascii="Arial" w:hAnsi="Arial" w:cs="Arial"/>
                <w:sz w:val="20"/>
                <w:szCs w:val="20"/>
              </w:rPr>
              <w:t xml:space="preserve"> </w:t>
            </w:r>
            <w:r w:rsidRPr="00FB0CC9">
              <w:rPr>
                <w:rFonts w:ascii="Arial" w:hAnsi="Arial" w:cs="Arial"/>
                <w:sz w:val="20"/>
                <w:szCs w:val="20"/>
              </w:rPr>
              <w:t>For older adults, intakes of vitamin D have been shown to reduce the risk of falls and hip fractures.</w:t>
            </w:r>
            <w:r w:rsidRPr="00FB0CC9">
              <w:rPr>
                <w:rFonts w:ascii="Arial" w:hAnsi="Arial" w:cs="Arial"/>
                <w:sz w:val="20"/>
                <w:szCs w:val="20"/>
                <w:vertAlign w:val="superscript"/>
              </w:rPr>
              <w:t>3,4</w:t>
            </w:r>
          </w:p>
          <w:p w14:paraId="1BC6561A" w14:textId="77777777" w:rsidR="008F052B" w:rsidRPr="00FB0CC9" w:rsidRDefault="008F052B" w:rsidP="008F052B">
            <w:pPr>
              <w:rPr>
                <w:rFonts w:ascii="Arial" w:hAnsi="Arial" w:cs="Arial"/>
                <w:sz w:val="20"/>
                <w:szCs w:val="20"/>
                <w:vertAlign w:val="superscript"/>
              </w:rPr>
            </w:pPr>
          </w:p>
          <w:p w14:paraId="22E1D979" w14:textId="77777777" w:rsidR="008F052B" w:rsidRPr="00FB0CC9" w:rsidRDefault="008F052B" w:rsidP="008F052B">
            <w:pPr>
              <w:autoSpaceDE w:val="0"/>
              <w:autoSpaceDN w:val="0"/>
              <w:adjustRightInd w:val="0"/>
              <w:rPr>
                <w:rFonts w:ascii="Arial" w:eastAsia="SegoeUISymbol" w:hAnsi="Arial" w:cs="Arial"/>
                <w:sz w:val="20"/>
                <w:szCs w:val="20"/>
                <w:vertAlign w:val="superscript"/>
                <w:lang w:eastAsia="en-GB"/>
              </w:rPr>
            </w:pPr>
            <w:r w:rsidRPr="00FB0CC9">
              <w:rPr>
                <w:rFonts w:ascii="Arial" w:eastAsia="SegoeUISymbol" w:hAnsi="Arial" w:cs="Arial"/>
                <w:sz w:val="20"/>
                <w:szCs w:val="20"/>
                <w:lang w:eastAsia="en-GB"/>
              </w:rPr>
              <w:t>Protein intake is essential to help minimise declines in strength and function</w:t>
            </w:r>
            <w:r w:rsidRPr="00FB0CC9">
              <w:rPr>
                <w:rFonts w:ascii="Arial" w:eastAsia="SegoeUISymbol" w:hAnsi="Arial" w:cs="Arial"/>
                <w:sz w:val="20"/>
                <w:szCs w:val="20"/>
                <w:vertAlign w:val="superscript"/>
                <w:lang w:eastAsia="en-GB"/>
              </w:rPr>
              <w:t xml:space="preserve">5 </w:t>
            </w:r>
            <w:r w:rsidRPr="00FB0CC9">
              <w:rPr>
                <w:rFonts w:ascii="Arial" w:eastAsia="SegoeUISymbol" w:hAnsi="Arial" w:cs="Arial"/>
                <w:sz w:val="20"/>
                <w:szCs w:val="20"/>
                <w:lang w:eastAsia="en-GB"/>
              </w:rPr>
              <w:t>and high protein oral nutritional supplements have been clinically proven to reduce hospital readmissions by 30%, as well as improve weight and grip strength.</w:t>
            </w:r>
            <w:r w:rsidRPr="00FB0CC9">
              <w:rPr>
                <w:rFonts w:ascii="Arial" w:eastAsia="SegoeUISymbol" w:hAnsi="Arial" w:cs="Arial"/>
                <w:sz w:val="20"/>
                <w:szCs w:val="20"/>
                <w:vertAlign w:val="superscript"/>
                <w:lang w:eastAsia="en-GB"/>
              </w:rPr>
              <w:t>6</w:t>
            </w:r>
          </w:p>
          <w:p w14:paraId="4D60A902" w14:textId="77777777" w:rsidR="008F052B" w:rsidRPr="00FB0CC9" w:rsidRDefault="008F052B" w:rsidP="008F052B">
            <w:pPr>
              <w:autoSpaceDE w:val="0"/>
              <w:autoSpaceDN w:val="0"/>
              <w:adjustRightInd w:val="0"/>
              <w:rPr>
                <w:rFonts w:ascii="Arial" w:eastAsia="SegoeUISymbol" w:hAnsi="Arial" w:cs="Arial"/>
                <w:sz w:val="20"/>
                <w:szCs w:val="20"/>
                <w:vertAlign w:val="superscript"/>
                <w:lang w:eastAsia="en-GB"/>
              </w:rPr>
            </w:pPr>
          </w:p>
          <w:p w14:paraId="10409875" w14:textId="77777777" w:rsidR="008F052B" w:rsidRPr="00FB0CC9" w:rsidRDefault="008F052B" w:rsidP="008F052B">
            <w:pPr>
              <w:autoSpaceDE w:val="0"/>
              <w:autoSpaceDN w:val="0"/>
              <w:adjustRightInd w:val="0"/>
              <w:rPr>
                <w:rFonts w:ascii="Arial" w:eastAsia="SegoeUISymbol" w:hAnsi="Arial" w:cs="Arial"/>
                <w:sz w:val="20"/>
                <w:szCs w:val="20"/>
                <w:vertAlign w:val="superscript"/>
                <w:lang w:eastAsia="en-GB"/>
              </w:rPr>
            </w:pPr>
            <w:r w:rsidRPr="00FB0CC9">
              <w:rPr>
                <w:rFonts w:ascii="Arial" w:eastAsia="SegoeUISymbol" w:hAnsi="Arial" w:cs="Arial"/>
                <w:sz w:val="20"/>
                <w:szCs w:val="20"/>
                <w:lang w:eastAsia="en-GB"/>
              </w:rPr>
              <w:t>Beta-hydroxy-beta-</w:t>
            </w:r>
            <w:proofErr w:type="spellStart"/>
            <w:r w:rsidRPr="00FB0CC9">
              <w:rPr>
                <w:rFonts w:ascii="Arial" w:eastAsia="SegoeUISymbol" w:hAnsi="Arial" w:cs="Arial"/>
                <w:sz w:val="20"/>
                <w:szCs w:val="20"/>
                <w:lang w:eastAsia="en-GB"/>
              </w:rPr>
              <w:t>methylbutyrate</w:t>
            </w:r>
            <w:proofErr w:type="spellEnd"/>
            <w:r w:rsidRPr="00FB0CC9">
              <w:rPr>
                <w:rFonts w:ascii="Arial" w:eastAsia="SegoeUISymbol" w:hAnsi="Arial" w:cs="Arial"/>
                <w:sz w:val="20"/>
                <w:szCs w:val="20"/>
                <w:lang w:eastAsia="en-GB"/>
              </w:rPr>
              <w:t xml:space="preserve"> (HMB) is also of interest in maintaining muscle, as HMB has been shown to have anticatabolic properties and contribute to the preservation of muscle through increased protein synthesis and decreased protein degradation.</w:t>
            </w:r>
            <w:r w:rsidRPr="00FB0CC9">
              <w:rPr>
                <w:rFonts w:ascii="Arial" w:eastAsia="SegoeUISymbol" w:hAnsi="Arial" w:cs="Arial"/>
                <w:sz w:val="20"/>
                <w:szCs w:val="20"/>
                <w:vertAlign w:val="superscript"/>
                <w:lang w:eastAsia="en-GB"/>
              </w:rPr>
              <w:t>7,8,9</w:t>
            </w:r>
          </w:p>
          <w:p w14:paraId="1925751B" w14:textId="77777777" w:rsidR="008F052B" w:rsidRPr="00FB0CC9" w:rsidRDefault="008F052B" w:rsidP="008F052B">
            <w:pPr>
              <w:autoSpaceDE w:val="0"/>
              <w:autoSpaceDN w:val="0"/>
              <w:adjustRightInd w:val="0"/>
              <w:rPr>
                <w:rFonts w:ascii="Arial" w:eastAsia="SegoeUISymbol" w:hAnsi="Arial" w:cs="Arial"/>
                <w:sz w:val="20"/>
                <w:szCs w:val="20"/>
                <w:vertAlign w:val="superscript"/>
                <w:lang w:eastAsia="en-GB"/>
              </w:rPr>
            </w:pPr>
          </w:p>
          <w:p w14:paraId="4D0A53EA" w14:textId="77777777" w:rsidR="008F052B" w:rsidRPr="00FB0CC9" w:rsidRDefault="008F052B" w:rsidP="008F052B">
            <w:pPr>
              <w:autoSpaceDE w:val="0"/>
              <w:autoSpaceDN w:val="0"/>
              <w:adjustRightInd w:val="0"/>
              <w:rPr>
                <w:rFonts w:ascii="Arial" w:eastAsia="SegoeUISymbol" w:hAnsi="Arial" w:cs="Arial"/>
                <w:sz w:val="20"/>
                <w:szCs w:val="20"/>
                <w:lang w:eastAsia="en-GB"/>
              </w:rPr>
            </w:pPr>
            <w:r w:rsidRPr="00FB0CC9">
              <w:rPr>
                <w:rFonts w:ascii="Arial" w:eastAsia="SegoeUISymbol" w:hAnsi="Arial" w:cs="Arial"/>
                <w:sz w:val="20"/>
                <w:szCs w:val="20"/>
                <w:lang w:eastAsia="en-GB"/>
              </w:rPr>
              <w:t>A study of 75 older, malnourished female patients with hip fracture (mobile and ambulatory before the fracture) were randomised to receive standard post-operative nutrition (control) or standard post-operative nutrition with an oral nutritional supplement (ONS) high in in protein, with HMB and additional vitamin D (experimental group) for 30 days.</w:t>
            </w:r>
            <w:r w:rsidRPr="00FB0CC9">
              <w:rPr>
                <w:rFonts w:ascii="Arial" w:eastAsia="SegoeUISymbol" w:hAnsi="Arial" w:cs="Arial"/>
                <w:sz w:val="20"/>
                <w:szCs w:val="20"/>
                <w:vertAlign w:val="superscript"/>
                <w:lang w:eastAsia="en-GB"/>
              </w:rPr>
              <w:t>10</w:t>
            </w:r>
          </w:p>
          <w:p w14:paraId="2042204F" w14:textId="77777777" w:rsidR="008F052B" w:rsidRPr="00FB0CC9" w:rsidRDefault="008F052B" w:rsidP="008F052B">
            <w:pPr>
              <w:autoSpaceDE w:val="0"/>
              <w:autoSpaceDN w:val="0"/>
              <w:adjustRightInd w:val="0"/>
              <w:rPr>
                <w:rFonts w:ascii="Arial" w:eastAsia="SegoeUISymbol" w:hAnsi="Arial" w:cs="Arial"/>
                <w:sz w:val="20"/>
                <w:szCs w:val="20"/>
                <w:lang w:eastAsia="en-GB"/>
              </w:rPr>
            </w:pPr>
          </w:p>
          <w:p w14:paraId="23DE4A8C" w14:textId="77777777" w:rsidR="008F052B" w:rsidRPr="00FB0CC9" w:rsidRDefault="008F052B" w:rsidP="008F052B">
            <w:pPr>
              <w:autoSpaceDE w:val="0"/>
              <w:autoSpaceDN w:val="0"/>
              <w:adjustRightInd w:val="0"/>
              <w:rPr>
                <w:rFonts w:ascii="Arial" w:eastAsia="SegoeUISymbol" w:hAnsi="Arial" w:cs="Arial"/>
                <w:sz w:val="20"/>
                <w:szCs w:val="20"/>
                <w:lang w:eastAsia="en-GB"/>
              </w:rPr>
            </w:pPr>
            <w:r w:rsidRPr="00FB0CC9">
              <w:rPr>
                <w:rFonts w:ascii="Arial" w:eastAsia="SegoeUISymbol" w:hAnsi="Arial" w:cs="Arial"/>
                <w:sz w:val="20"/>
                <w:szCs w:val="20"/>
                <w:lang w:eastAsia="en-GB"/>
              </w:rPr>
              <w:t>It showed that the patients in the experimental group (vs control):</w:t>
            </w:r>
          </w:p>
          <w:p w14:paraId="21DE9A27" w14:textId="77777777" w:rsidR="008F052B" w:rsidRPr="00FB0CC9" w:rsidRDefault="008F052B" w:rsidP="008F052B">
            <w:pPr>
              <w:autoSpaceDE w:val="0"/>
              <w:autoSpaceDN w:val="0"/>
              <w:adjustRightInd w:val="0"/>
              <w:rPr>
                <w:rFonts w:ascii="Arial" w:eastAsia="SegoeUISymbol" w:hAnsi="Arial" w:cs="Arial"/>
                <w:sz w:val="20"/>
                <w:szCs w:val="20"/>
                <w:lang w:eastAsia="en-GB"/>
              </w:rPr>
            </w:pPr>
          </w:p>
          <w:p w14:paraId="73CC93F8" w14:textId="77777777" w:rsidR="008F052B" w:rsidRPr="00FB0CC9" w:rsidRDefault="008F052B" w:rsidP="008F052B">
            <w:pPr>
              <w:autoSpaceDE w:val="0"/>
              <w:autoSpaceDN w:val="0"/>
              <w:adjustRightInd w:val="0"/>
              <w:rPr>
                <w:rFonts w:ascii="Arial" w:eastAsia="SegoeUISymbol" w:hAnsi="Arial" w:cs="Arial"/>
                <w:sz w:val="20"/>
                <w:szCs w:val="20"/>
                <w:lang w:eastAsia="en-GB"/>
              </w:rPr>
            </w:pPr>
            <w:r w:rsidRPr="00FB0CC9">
              <w:rPr>
                <w:rFonts w:ascii="Arial" w:eastAsia="SegoeUISymbol" w:hAnsi="Arial" w:cs="Arial"/>
                <w:sz w:val="20"/>
                <w:szCs w:val="20"/>
                <w:lang w:eastAsia="en-GB"/>
              </w:rPr>
              <w:t>-Were significantly more mobile at day 30</w:t>
            </w:r>
          </w:p>
          <w:p w14:paraId="0A558E14" w14:textId="77777777" w:rsidR="008F052B" w:rsidRPr="00FB0CC9" w:rsidRDefault="008F052B" w:rsidP="008F052B">
            <w:pPr>
              <w:autoSpaceDE w:val="0"/>
              <w:autoSpaceDN w:val="0"/>
              <w:adjustRightInd w:val="0"/>
              <w:rPr>
                <w:rFonts w:ascii="Arial" w:eastAsia="SegoeUISymbol" w:hAnsi="Arial" w:cs="Arial"/>
                <w:sz w:val="20"/>
                <w:szCs w:val="20"/>
                <w:lang w:eastAsia="en-GB"/>
              </w:rPr>
            </w:pPr>
            <w:r w:rsidRPr="00FB0CC9">
              <w:rPr>
                <w:rFonts w:ascii="Arial" w:eastAsia="SegoeUISymbol" w:hAnsi="Arial" w:cs="Arial"/>
                <w:sz w:val="20"/>
                <w:szCs w:val="20"/>
                <w:lang w:eastAsia="en-GB"/>
              </w:rPr>
              <w:t>-Were significantly stronger at day 30</w:t>
            </w:r>
          </w:p>
          <w:p w14:paraId="0F3847D8" w14:textId="77777777" w:rsidR="008F052B" w:rsidRPr="00FB0CC9" w:rsidRDefault="008F052B" w:rsidP="008F052B">
            <w:pPr>
              <w:autoSpaceDE w:val="0"/>
              <w:autoSpaceDN w:val="0"/>
              <w:adjustRightInd w:val="0"/>
              <w:rPr>
                <w:rFonts w:ascii="Arial" w:eastAsia="SegoeUISymbol" w:hAnsi="Arial" w:cs="Arial"/>
                <w:sz w:val="20"/>
                <w:szCs w:val="20"/>
                <w:lang w:eastAsia="en-GB"/>
              </w:rPr>
            </w:pPr>
            <w:r w:rsidRPr="00FB0CC9">
              <w:rPr>
                <w:rFonts w:ascii="Arial" w:eastAsia="SegoeUISymbol" w:hAnsi="Arial" w:cs="Arial"/>
                <w:sz w:val="20"/>
                <w:szCs w:val="20"/>
                <w:lang w:eastAsia="en-GB"/>
              </w:rPr>
              <w:t>-Had significantly improved wound healing times at day 30.</w:t>
            </w:r>
          </w:p>
          <w:p w14:paraId="7D28F43E" w14:textId="77777777" w:rsidR="008F052B" w:rsidRPr="00FB0CC9" w:rsidRDefault="008F052B" w:rsidP="008F052B">
            <w:pPr>
              <w:autoSpaceDE w:val="0"/>
              <w:autoSpaceDN w:val="0"/>
              <w:adjustRightInd w:val="0"/>
              <w:rPr>
                <w:rFonts w:ascii="Arial" w:eastAsia="SegoeUISymbol" w:hAnsi="Arial" w:cs="Arial"/>
                <w:sz w:val="20"/>
                <w:szCs w:val="20"/>
                <w:lang w:eastAsia="en-GB"/>
              </w:rPr>
            </w:pPr>
          </w:p>
          <w:p w14:paraId="272EF95E" w14:textId="77777777" w:rsidR="008F052B" w:rsidRPr="00FB0CC9" w:rsidRDefault="008F052B" w:rsidP="008F052B">
            <w:pPr>
              <w:autoSpaceDE w:val="0"/>
              <w:autoSpaceDN w:val="0"/>
              <w:adjustRightInd w:val="0"/>
              <w:rPr>
                <w:rFonts w:ascii="Arial" w:eastAsia="SegoeUISymbol" w:hAnsi="Arial" w:cs="Arial"/>
                <w:sz w:val="20"/>
                <w:szCs w:val="20"/>
                <w:lang w:eastAsia="en-GB"/>
              </w:rPr>
            </w:pPr>
            <w:bookmarkStart w:id="26" w:name="_Hlk9251146"/>
            <w:r w:rsidRPr="00FB0CC9">
              <w:rPr>
                <w:rFonts w:ascii="Arial" w:eastAsia="SegoeUISymbol" w:hAnsi="Arial" w:cs="Arial"/>
                <w:sz w:val="20"/>
                <w:szCs w:val="20"/>
                <w:lang w:eastAsia="en-GB"/>
              </w:rPr>
              <w:t>Therefore, the inclusion of an indicator involving the nutritional assessment (including a parameter of measuring muscle mass/strength) and the appropriate nutritional management of frail patients pre and post fall/fracture, which may include offering an ONS high in protein, with HMB and additional vitamin D) would contribute to improved outcomes in these patients.</w:t>
            </w:r>
          </w:p>
          <w:bookmarkEnd w:id="26"/>
          <w:p w14:paraId="502154F4" w14:textId="77777777" w:rsidR="008F052B" w:rsidRPr="00FB0CC9" w:rsidRDefault="008F052B" w:rsidP="008F052B">
            <w:pPr>
              <w:rPr>
                <w:rFonts w:ascii="Arial" w:hAnsi="Arial" w:cs="Arial"/>
                <w:sz w:val="20"/>
                <w:szCs w:val="20"/>
                <w:vertAlign w:val="superscript"/>
              </w:rPr>
            </w:pPr>
          </w:p>
          <w:p w14:paraId="29C4EB42" w14:textId="77777777" w:rsidR="008F052B" w:rsidRPr="00FB0CC9" w:rsidRDefault="008F052B" w:rsidP="008F052B">
            <w:pPr>
              <w:pStyle w:val="ListParagraph"/>
              <w:numPr>
                <w:ilvl w:val="0"/>
                <w:numId w:val="38"/>
              </w:numPr>
              <w:rPr>
                <w:rFonts w:ascii="Arial" w:hAnsi="Arial" w:cs="Arial"/>
                <w:sz w:val="20"/>
                <w:szCs w:val="20"/>
              </w:rPr>
            </w:pPr>
            <w:r w:rsidRPr="00FB0CC9">
              <w:rPr>
                <w:rFonts w:ascii="Arial" w:hAnsi="Arial" w:cs="Arial"/>
                <w:sz w:val="20"/>
                <w:szCs w:val="20"/>
              </w:rPr>
              <w:t xml:space="preserve">Wilkinson DJ </w:t>
            </w:r>
            <w:r w:rsidRPr="00FB0CC9">
              <w:rPr>
                <w:rFonts w:ascii="Arial" w:hAnsi="Arial" w:cs="Arial"/>
                <w:i/>
                <w:sz w:val="20"/>
                <w:szCs w:val="20"/>
              </w:rPr>
              <w:t>et al. Ageing Res Rev</w:t>
            </w:r>
            <w:r w:rsidRPr="00FB0CC9">
              <w:rPr>
                <w:rFonts w:ascii="Arial" w:hAnsi="Arial" w:cs="Arial"/>
                <w:sz w:val="20"/>
                <w:szCs w:val="20"/>
              </w:rPr>
              <w:t xml:space="preserve"> </w:t>
            </w:r>
            <w:proofErr w:type="gramStart"/>
            <w:r w:rsidRPr="00FB0CC9">
              <w:rPr>
                <w:rFonts w:ascii="Arial" w:hAnsi="Arial" w:cs="Arial"/>
                <w:sz w:val="20"/>
                <w:szCs w:val="20"/>
              </w:rPr>
              <w:t>2018;47:123</w:t>
            </w:r>
            <w:proofErr w:type="gramEnd"/>
            <w:r w:rsidRPr="00FB0CC9">
              <w:rPr>
                <w:rFonts w:ascii="Arial" w:hAnsi="Arial" w:cs="Arial"/>
                <w:sz w:val="20"/>
                <w:szCs w:val="20"/>
              </w:rPr>
              <w:t>-132.</w:t>
            </w:r>
          </w:p>
          <w:p w14:paraId="02821BEC" w14:textId="77777777" w:rsidR="008F052B" w:rsidRPr="00FB0CC9" w:rsidRDefault="008F052B" w:rsidP="008F052B">
            <w:pPr>
              <w:pStyle w:val="ListParagraph"/>
              <w:numPr>
                <w:ilvl w:val="0"/>
                <w:numId w:val="38"/>
              </w:numPr>
              <w:rPr>
                <w:rFonts w:ascii="Arial" w:hAnsi="Arial" w:cs="Arial"/>
                <w:sz w:val="20"/>
                <w:szCs w:val="20"/>
              </w:rPr>
            </w:pPr>
            <w:proofErr w:type="spellStart"/>
            <w:r w:rsidRPr="00FB0CC9">
              <w:rPr>
                <w:rFonts w:ascii="Arial" w:hAnsi="Arial" w:cs="Arial"/>
                <w:sz w:val="20"/>
                <w:szCs w:val="20"/>
              </w:rPr>
              <w:t>Mithal</w:t>
            </w:r>
            <w:proofErr w:type="spellEnd"/>
            <w:r w:rsidRPr="00FB0CC9">
              <w:rPr>
                <w:rFonts w:ascii="Arial" w:hAnsi="Arial" w:cs="Arial"/>
                <w:sz w:val="20"/>
                <w:szCs w:val="20"/>
              </w:rPr>
              <w:t xml:space="preserve"> A </w:t>
            </w:r>
            <w:r w:rsidRPr="00FB0CC9">
              <w:rPr>
                <w:rFonts w:ascii="Arial" w:hAnsi="Arial" w:cs="Arial"/>
                <w:i/>
                <w:sz w:val="20"/>
                <w:szCs w:val="20"/>
              </w:rPr>
              <w:t xml:space="preserve">et al. </w:t>
            </w:r>
            <w:proofErr w:type="spellStart"/>
            <w:r w:rsidRPr="00FB0CC9">
              <w:rPr>
                <w:rFonts w:ascii="Arial" w:hAnsi="Arial" w:cs="Arial"/>
                <w:i/>
                <w:sz w:val="20"/>
                <w:szCs w:val="20"/>
              </w:rPr>
              <w:t>Osteoporos</w:t>
            </w:r>
            <w:proofErr w:type="spellEnd"/>
            <w:r w:rsidRPr="00FB0CC9">
              <w:rPr>
                <w:rFonts w:ascii="Arial" w:hAnsi="Arial" w:cs="Arial"/>
                <w:i/>
                <w:sz w:val="20"/>
                <w:szCs w:val="20"/>
              </w:rPr>
              <w:t xml:space="preserve"> Int</w:t>
            </w:r>
            <w:r w:rsidRPr="00FB0CC9">
              <w:rPr>
                <w:rFonts w:ascii="Arial" w:hAnsi="Arial" w:cs="Arial"/>
                <w:sz w:val="20"/>
                <w:szCs w:val="20"/>
              </w:rPr>
              <w:t xml:space="preserve"> 2013;24(5):1555-1566.</w:t>
            </w:r>
          </w:p>
          <w:p w14:paraId="5475D126" w14:textId="77777777" w:rsidR="008F052B" w:rsidRPr="00FB0CC9" w:rsidRDefault="008F052B" w:rsidP="008F052B">
            <w:pPr>
              <w:pStyle w:val="ListParagraph"/>
              <w:numPr>
                <w:ilvl w:val="0"/>
                <w:numId w:val="38"/>
              </w:numPr>
              <w:rPr>
                <w:rFonts w:ascii="Arial" w:hAnsi="Arial" w:cs="Arial"/>
                <w:sz w:val="20"/>
                <w:szCs w:val="20"/>
              </w:rPr>
            </w:pPr>
            <w:r w:rsidRPr="00FB0CC9">
              <w:rPr>
                <w:rFonts w:ascii="Arial" w:hAnsi="Arial" w:cs="Arial"/>
                <w:sz w:val="20"/>
                <w:szCs w:val="20"/>
              </w:rPr>
              <w:t>EFSA J 2011;9(9):2382.</w:t>
            </w:r>
          </w:p>
          <w:p w14:paraId="46E58349" w14:textId="77777777" w:rsidR="008F052B" w:rsidRPr="00FB0CC9" w:rsidRDefault="008F052B" w:rsidP="008F052B">
            <w:pPr>
              <w:pStyle w:val="ListParagraph"/>
              <w:numPr>
                <w:ilvl w:val="0"/>
                <w:numId w:val="38"/>
              </w:numPr>
              <w:rPr>
                <w:rFonts w:ascii="Arial" w:hAnsi="Arial" w:cs="Arial"/>
                <w:sz w:val="20"/>
                <w:szCs w:val="20"/>
              </w:rPr>
            </w:pPr>
            <w:r w:rsidRPr="00FB0CC9">
              <w:rPr>
                <w:rFonts w:ascii="Arial" w:hAnsi="Arial" w:cs="Arial"/>
                <w:sz w:val="20"/>
                <w:szCs w:val="20"/>
              </w:rPr>
              <w:lastRenderedPageBreak/>
              <w:t xml:space="preserve">Bischoff-Ferrari HA </w:t>
            </w:r>
            <w:r w:rsidRPr="00FB0CC9">
              <w:rPr>
                <w:rFonts w:ascii="Arial" w:hAnsi="Arial" w:cs="Arial"/>
                <w:i/>
                <w:sz w:val="20"/>
                <w:szCs w:val="20"/>
              </w:rPr>
              <w:t xml:space="preserve">et al. N </w:t>
            </w:r>
            <w:proofErr w:type="spellStart"/>
            <w:r w:rsidRPr="00FB0CC9">
              <w:rPr>
                <w:rFonts w:ascii="Arial" w:hAnsi="Arial" w:cs="Arial"/>
                <w:i/>
                <w:sz w:val="20"/>
                <w:szCs w:val="20"/>
              </w:rPr>
              <w:t>Eng</w:t>
            </w:r>
            <w:proofErr w:type="spellEnd"/>
            <w:r w:rsidRPr="00FB0CC9">
              <w:rPr>
                <w:rFonts w:ascii="Arial" w:hAnsi="Arial" w:cs="Arial"/>
                <w:i/>
                <w:sz w:val="20"/>
                <w:szCs w:val="20"/>
              </w:rPr>
              <w:t xml:space="preserve"> J Med</w:t>
            </w:r>
            <w:r w:rsidRPr="00FB0CC9">
              <w:rPr>
                <w:rFonts w:ascii="Arial" w:hAnsi="Arial" w:cs="Arial"/>
                <w:sz w:val="20"/>
                <w:szCs w:val="20"/>
              </w:rPr>
              <w:t xml:space="preserve"> 2012;367(1):40-49.</w:t>
            </w:r>
          </w:p>
          <w:p w14:paraId="6DEA6840" w14:textId="77777777" w:rsidR="008F052B" w:rsidRPr="00FB0CC9" w:rsidRDefault="008F052B" w:rsidP="008F052B">
            <w:pPr>
              <w:pStyle w:val="ListParagraph"/>
              <w:numPr>
                <w:ilvl w:val="0"/>
                <w:numId w:val="38"/>
              </w:numPr>
              <w:autoSpaceDE w:val="0"/>
              <w:autoSpaceDN w:val="0"/>
              <w:adjustRightInd w:val="0"/>
              <w:rPr>
                <w:rFonts w:ascii="Arial" w:hAnsi="Arial" w:cs="Arial"/>
                <w:sz w:val="20"/>
                <w:szCs w:val="20"/>
                <w:lang w:eastAsia="en-GB"/>
              </w:rPr>
            </w:pPr>
            <w:r w:rsidRPr="00FB0CC9">
              <w:rPr>
                <w:rFonts w:ascii="Arial" w:hAnsi="Arial" w:cs="Arial"/>
                <w:sz w:val="20"/>
                <w:szCs w:val="20"/>
                <w:lang w:eastAsia="en-GB"/>
              </w:rPr>
              <w:t xml:space="preserve">Deutz NE </w:t>
            </w:r>
            <w:r w:rsidRPr="00FB0CC9">
              <w:rPr>
                <w:rFonts w:ascii="Arial" w:hAnsi="Arial" w:cs="Arial"/>
                <w:i/>
                <w:sz w:val="20"/>
                <w:szCs w:val="20"/>
                <w:lang w:eastAsia="en-GB"/>
              </w:rPr>
              <w:t xml:space="preserve">et al. Clin </w:t>
            </w:r>
            <w:proofErr w:type="spellStart"/>
            <w:r w:rsidRPr="00FB0CC9">
              <w:rPr>
                <w:rFonts w:ascii="Arial" w:hAnsi="Arial" w:cs="Arial"/>
                <w:i/>
                <w:sz w:val="20"/>
                <w:szCs w:val="20"/>
                <w:lang w:eastAsia="en-GB"/>
              </w:rPr>
              <w:t>Nutr</w:t>
            </w:r>
            <w:proofErr w:type="spellEnd"/>
            <w:r w:rsidRPr="00FB0CC9">
              <w:rPr>
                <w:rFonts w:ascii="Arial" w:hAnsi="Arial" w:cs="Arial"/>
                <w:sz w:val="20"/>
                <w:szCs w:val="20"/>
                <w:lang w:eastAsia="en-GB"/>
              </w:rPr>
              <w:t xml:space="preserve"> 2014;33(6):929-936</w:t>
            </w:r>
          </w:p>
          <w:p w14:paraId="54AE4C32" w14:textId="77777777" w:rsidR="008F052B" w:rsidRPr="00FB0CC9" w:rsidRDefault="008F052B" w:rsidP="008F052B">
            <w:pPr>
              <w:pStyle w:val="ListParagraph"/>
              <w:numPr>
                <w:ilvl w:val="0"/>
                <w:numId w:val="38"/>
              </w:numPr>
              <w:autoSpaceDE w:val="0"/>
              <w:autoSpaceDN w:val="0"/>
              <w:adjustRightInd w:val="0"/>
              <w:rPr>
                <w:rFonts w:ascii="Arial" w:hAnsi="Arial" w:cs="Arial"/>
                <w:sz w:val="20"/>
                <w:szCs w:val="20"/>
                <w:lang w:eastAsia="en-GB"/>
              </w:rPr>
            </w:pPr>
            <w:r w:rsidRPr="00FB0CC9">
              <w:rPr>
                <w:rFonts w:ascii="Arial" w:hAnsi="Arial" w:cs="Arial"/>
                <w:sz w:val="20"/>
                <w:szCs w:val="20"/>
                <w:lang w:eastAsia="en-GB"/>
              </w:rPr>
              <w:t xml:space="preserve">Cawood AL </w:t>
            </w:r>
            <w:r w:rsidRPr="00FB0CC9">
              <w:rPr>
                <w:rFonts w:ascii="Arial" w:hAnsi="Arial" w:cs="Arial"/>
                <w:i/>
                <w:sz w:val="20"/>
                <w:szCs w:val="20"/>
                <w:lang w:eastAsia="en-GB"/>
              </w:rPr>
              <w:t xml:space="preserve">et al. Ageing Res Rev </w:t>
            </w:r>
            <w:r w:rsidRPr="00FB0CC9">
              <w:rPr>
                <w:rFonts w:ascii="Arial" w:hAnsi="Arial" w:cs="Arial"/>
                <w:sz w:val="20"/>
                <w:szCs w:val="20"/>
                <w:lang w:eastAsia="en-GB"/>
              </w:rPr>
              <w:t>2012;11(2):278-296.</w:t>
            </w:r>
          </w:p>
          <w:p w14:paraId="3DADF833" w14:textId="77777777" w:rsidR="008F052B" w:rsidRPr="00FB0CC9" w:rsidRDefault="008F052B" w:rsidP="008F052B">
            <w:pPr>
              <w:pStyle w:val="ListParagraph"/>
              <w:numPr>
                <w:ilvl w:val="0"/>
                <w:numId w:val="38"/>
              </w:numPr>
              <w:autoSpaceDE w:val="0"/>
              <w:autoSpaceDN w:val="0"/>
              <w:adjustRightInd w:val="0"/>
              <w:rPr>
                <w:rFonts w:ascii="Arial" w:hAnsi="Arial" w:cs="Arial"/>
                <w:sz w:val="20"/>
                <w:szCs w:val="20"/>
                <w:lang w:eastAsia="en-GB"/>
              </w:rPr>
            </w:pPr>
            <w:r w:rsidRPr="00FB0CC9">
              <w:rPr>
                <w:rFonts w:ascii="Arial" w:hAnsi="Arial" w:cs="Arial"/>
                <w:sz w:val="20"/>
                <w:szCs w:val="20"/>
                <w:lang w:eastAsia="en-GB"/>
              </w:rPr>
              <w:t xml:space="preserve">Wilson GJ </w:t>
            </w:r>
            <w:r w:rsidRPr="00FB0CC9">
              <w:rPr>
                <w:rFonts w:ascii="Arial" w:hAnsi="Arial" w:cs="Arial"/>
                <w:i/>
                <w:sz w:val="20"/>
                <w:szCs w:val="20"/>
                <w:lang w:eastAsia="en-GB"/>
              </w:rPr>
              <w:t xml:space="preserve">et al. </w:t>
            </w:r>
            <w:proofErr w:type="spellStart"/>
            <w:r w:rsidRPr="00FB0CC9">
              <w:rPr>
                <w:rFonts w:ascii="Arial" w:hAnsi="Arial" w:cs="Arial"/>
                <w:i/>
                <w:sz w:val="20"/>
                <w:szCs w:val="20"/>
                <w:lang w:eastAsia="en-GB"/>
              </w:rPr>
              <w:t>Nutr</w:t>
            </w:r>
            <w:proofErr w:type="spellEnd"/>
            <w:r w:rsidRPr="00FB0CC9">
              <w:rPr>
                <w:rFonts w:ascii="Arial" w:hAnsi="Arial" w:cs="Arial"/>
                <w:i/>
                <w:sz w:val="20"/>
                <w:szCs w:val="20"/>
                <w:lang w:eastAsia="en-GB"/>
              </w:rPr>
              <w:t xml:space="preserve"> </w:t>
            </w:r>
            <w:proofErr w:type="spellStart"/>
            <w:r w:rsidRPr="00FB0CC9">
              <w:rPr>
                <w:rFonts w:ascii="Arial" w:hAnsi="Arial" w:cs="Arial"/>
                <w:i/>
                <w:sz w:val="20"/>
                <w:szCs w:val="20"/>
                <w:lang w:eastAsia="en-GB"/>
              </w:rPr>
              <w:t>Metab</w:t>
            </w:r>
            <w:proofErr w:type="spellEnd"/>
            <w:r w:rsidRPr="00FB0CC9">
              <w:rPr>
                <w:rFonts w:ascii="Arial" w:hAnsi="Arial" w:cs="Arial"/>
                <w:sz w:val="20"/>
                <w:szCs w:val="20"/>
                <w:lang w:eastAsia="en-GB"/>
              </w:rPr>
              <w:t xml:space="preserve"> (</w:t>
            </w:r>
            <w:proofErr w:type="spellStart"/>
            <w:r w:rsidRPr="00FB0CC9">
              <w:rPr>
                <w:rFonts w:ascii="Arial" w:hAnsi="Arial" w:cs="Arial"/>
                <w:sz w:val="20"/>
                <w:szCs w:val="20"/>
                <w:lang w:eastAsia="en-GB"/>
              </w:rPr>
              <w:t>Lond</w:t>
            </w:r>
            <w:proofErr w:type="spellEnd"/>
            <w:r w:rsidRPr="00FB0CC9">
              <w:rPr>
                <w:rFonts w:ascii="Arial" w:hAnsi="Arial" w:cs="Arial"/>
                <w:sz w:val="20"/>
                <w:szCs w:val="20"/>
                <w:lang w:eastAsia="en-GB"/>
              </w:rPr>
              <w:t xml:space="preserve">) </w:t>
            </w:r>
            <w:proofErr w:type="gramStart"/>
            <w:r w:rsidRPr="00FB0CC9">
              <w:rPr>
                <w:rFonts w:ascii="Arial" w:hAnsi="Arial" w:cs="Arial"/>
                <w:sz w:val="20"/>
                <w:szCs w:val="20"/>
                <w:lang w:eastAsia="en-GB"/>
              </w:rPr>
              <w:t>2008;5:1</w:t>
            </w:r>
            <w:proofErr w:type="gramEnd"/>
          </w:p>
          <w:p w14:paraId="561794CB" w14:textId="77777777" w:rsidR="008F052B" w:rsidRPr="00FB0CC9" w:rsidRDefault="008F052B" w:rsidP="008F052B">
            <w:pPr>
              <w:pStyle w:val="ListParagraph"/>
              <w:numPr>
                <w:ilvl w:val="0"/>
                <w:numId w:val="38"/>
              </w:numPr>
              <w:autoSpaceDE w:val="0"/>
              <w:autoSpaceDN w:val="0"/>
              <w:adjustRightInd w:val="0"/>
              <w:rPr>
                <w:rFonts w:ascii="Arial" w:hAnsi="Arial" w:cs="Arial"/>
                <w:sz w:val="20"/>
                <w:szCs w:val="20"/>
                <w:lang w:eastAsia="en-GB"/>
              </w:rPr>
            </w:pPr>
            <w:r w:rsidRPr="00FB0CC9">
              <w:rPr>
                <w:rFonts w:ascii="Arial" w:hAnsi="Arial" w:cs="Arial"/>
                <w:sz w:val="20"/>
                <w:szCs w:val="20"/>
                <w:lang w:eastAsia="en-GB"/>
              </w:rPr>
              <w:t xml:space="preserve">Manzano M </w:t>
            </w:r>
            <w:r w:rsidRPr="00FB0CC9">
              <w:rPr>
                <w:rFonts w:ascii="Arial" w:hAnsi="Arial" w:cs="Arial"/>
                <w:i/>
                <w:sz w:val="20"/>
                <w:szCs w:val="20"/>
                <w:lang w:eastAsia="en-GB"/>
              </w:rPr>
              <w:t>et al</w:t>
            </w:r>
            <w:r w:rsidRPr="00FB0CC9">
              <w:rPr>
                <w:rFonts w:ascii="Arial" w:hAnsi="Arial" w:cs="Arial"/>
                <w:sz w:val="20"/>
                <w:szCs w:val="20"/>
                <w:lang w:eastAsia="en-GB"/>
              </w:rPr>
              <w:t>. Presented at 31</w:t>
            </w:r>
            <w:r w:rsidRPr="00FB0CC9">
              <w:rPr>
                <w:rFonts w:ascii="Arial" w:hAnsi="Arial" w:cs="Arial"/>
                <w:sz w:val="20"/>
                <w:szCs w:val="20"/>
                <w:vertAlign w:val="superscript"/>
                <w:lang w:eastAsia="en-GB"/>
              </w:rPr>
              <w:t>st</w:t>
            </w:r>
            <w:r w:rsidRPr="00FB0CC9">
              <w:rPr>
                <w:rFonts w:ascii="Arial" w:hAnsi="Arial" w:cs="Arial"/>
                <w:sz w:val="20"/>
                <w:szCs w:val="20"/>
                <w:lang w:eastAsia="en-GB"/>
              </w:rPr>
              <w:t xml:space="preserve"> ESPEN Congress. 29 August-1 Sept 2009, Vienna, Austria.</w:t>
            </w:r>
          </w:p>
          <w:p w14:paraId="61B40889" w14:textId="77777777" w:rsidR="008F052B" w:rsidRPr="009A769C" w:rsidRDefault="008F052B" w:rsidP="008F052B">
            <w:pPr>
              <w:pStyle w:val="ListParagraph"/>
              <w:numPr>
                <w:ilvl w:val="0"/>
                <w:numId w:val="38"/>
              </w:numPr>
              <w:autoSpaceDE w:val="0"/>
              <w:autoSpaceDN w:val="0"/>
              <w:adjustRightInd w:val="0"/>
              <w:rPr>
                <w:rFonts w:ascii="Arial" w:hAnsi="Arial" w:cs="Arial"/>
                <w:sz w:val="20"/>
                <w:szCs w:val="20"/>
                <w:lang w:eastAsia="en-GB"/>
              </w:rPr>
            </w:pPr>
            <w:proofErr w:type="spellStart"/>
            <w:r w:rsidRPr="00FB0CC9">
              <w:rPr>
                <w:rFonts w:ascii="Arial" w:hAnsi="Arial" w:cs="Arial"/>
                <w:sz w:val="20"/>
                <w:szCs w:val="20"/>
                <w:lang w:eastAsia="en-GB"/>
              </w:rPr>
              <w:t>Eley</w:t>
            </w:r>
            <w:proofErr w:type="spellEnd"/>
            <w:r w:rsidRPr="00FB0CC9">
              <w:rPr>
                <w:rFonts w:ascii="Arial" w:hAnsi="Arial" w:cs="Arial"/>
                <w:sz w:val="20"/>
                <w:szCs w:val="20"/>
                <w:lang w:eastAsia="en-GB"/>
              </w:rPr>
              <w:t xml:space="preserve"> HL </w:t>
            </w:r>
            <w:r w:rsidRPr="00FB0CC9">
              <w:rPr>
                <w:rFonts w:ascii="Arial" w:hAnsi="Arial" w:cs="Arial"/>
                <w:i/>
                <w:sz w:val="20"/>
                <w:szCs w:val="20"/>
                <w:lang w:eastAsia="en-GB"/>
              </w:rPr>
              <w:t xml:space="preserve">et al. Am J </w:t>
            </w:r>
            <w:proofErr w:type="spellStart"/>
            <w:r w:rsidRPr="00FB0CC9">
              <w:rPr>
                <w:rFonts w:ascii="Arial" w:hAnsi="Arial" w:cs="Arial"/>
                <w:i/>
                <w:sz w:val="20"/>
                <w:szCs w:val="20"/>
                <w:lang w:eastAsia="en-GB"/>
              </w:rPr>
              <w:t>Physiol</w:t>
            </w:r>
            <w:proofErr w:type="spellEnd"/>
            <w:r w:rsidRPr="00FB0CC9">
              <w:rPr>
                <w:rFonts w:ascii="Arial" w:hAnsi="Arial" w:cs="Arial"/>
                <w:i/>
                <w:sz w:val="20"/>
                <w:szCs w:val="20"/>
                <w:lang w:eastAsia="en-GB"/>
              </w:rPr>
              <w:t xml:space="preserve"> Endocrinol</w:t>
            </w:r>
            <w:r w:rsidRPr="009A769C">
              <w:rPr>
                <w:rFonts w:ascii="Arial" w:hAnsi="Arial" w:cs="Arial"/>
                <w:i/>
                <w:sz w:val="20"/>
                <w:szCs w:val="20"/>
                <w:lang w:eastAsia="en-GB"/>
              </w:rPr>
              <w:t xml:space="preserve"> </w:t>
            </w:r>
            <w:proofErr w:type="spellStart"/>
            <w:r w:rsidRPr="009A769C">
              <w:rPr>
                <w:rFonts w:ascii="Arial" w:hAnsi="Arial" w:cs="Arial"/>
                <w:i/>
                <w:sz w:val="20"/>
                <w:szCs w:val="20"/>
                <w:lang w:eastAsia="en-GB"/>
              </w:rPr>
              <w:t>Metab</w:t>
            </w:r>
            <w:proofErr w:type="spellEnd"/>
            <w:r w:rsidRPr="009A769C">
              <w:rPr>
                <w:rFonts w:ascii="Arial" w:hAnsi="Arial" w:cs="Arial"/>
                <w:sz w:val="20"/>
                <w:szCs w:val="20"/>
                <w:lang w:eastAsia="en-GB"/>
              </w:rPr>
              <w:t xml:space="preserve"> 2008;295(6</w:t>
            </w:r>
            <w:proofErr w:type="gramStart"/>
            <w:r w:rsidRPr="009A769C">
              <w:rPr>
                <w:rFonts w:ascii="Arial" w:hAnsi="Arial" w:cs="Arial"/>
                <w:sz w:val="20"/>
                <w:szCs w:val="20"/>
                <w:lang w:eastAsia="en-GB"/>
              </w:rPr>
              <w:t>):E</w:t>
            </w:r>
            <w:proofErr w:type="gramEnd"/>
            <w:r w:rsidRPr="009A769C">
              <w:rPr>
                <w:rFonts w:ascii="Arial" w:hAnsi="Arial" w:cs="Arial"/>
                <w:sz w:val="20"/>
                <w:szCs w:val="20"/>
                <w:lang w:eastAsia="en-GB"/>
              </w:rPr>
              <w:t>1417-1426.</w:t>
            </w:r>
          </w:p>
          <w:p w14:paraId="77F062BF" w14:textId="52B852F9" w:rsidR="008F052B" w:rsidRPr="00FB0CC9" w:rsidRDefault="008F052B" w:rsidP="008F052B">
            <w:pPr>
              <w:rPr>
                <w:rFonts w:ascii="Arial" w:hAnsi="Arial" w:cs="Arial"/>
                <w:sz w:val="20"/>
                <w:szCs w:val="20"/>
              </w:rPr>
            </w:pPr>
            <w:proofErr w:type="spellStart"/>
            <w:r w:rsidRPr="009A769C">
              <w:rPr>
                <w:rFonts w:ascii="Arial" w:hAnsi="Arial" w:cs="Arial"/>
                <w:sz w:val="20"/>
                <w:szCs w:val="20"/>
              </w:rPr>
              <w:t>Ekinci</w:t>
            </w:r>
            <w:proofErr w:type="spellEnd"/>
            <w:r w:rsidRPr="009A769C">
              <w:rPr>
                <w:rFonts w:ascii="Arial" w:hAnsi="Arial" w:cs="Arial"/>
                <w:sz w:val="20"/>
                <w:szCs w:val="20"/>
              </w:rPr>
              <w:t xml:space="preserve"> O </w:t>
            </w:r>
            <w:r w:rsidRPr="009A769C">
              <w:rPr>
                <w:rFonts w:ascii="Arial" w:hAnsi="Arial" w:cs="Arial"/>
                <w:i/>
                <w:sz w:val="20"/>
                <w:szCs w:val="20"/>
              </w:rPr>
              <w:t xml:space="preserve">et al. </w:t>
            </w:r>
            <w:proofErr w:type="spellStart"/>
            <w:r w:rsidRPr="009A769C">
              <w:rPr>
                <w:rFonts w:ascii="Arial" w:hAnsi="Arial" w:cs="Arial"/>
                <w:i/>
                <w:sz w:val="20"/>
                <w:szCs w:val="20"/>
              </w:rPr>
              <w:t>Nutr</w:t>
            </w:r>
            <w:proofErr w:type="spellEnd"/>
            <w:r w:rsidRPr="009A769C">
              <w:rPr>
                <w:rFonts w:ascii="Arial" w:hAnsi="Arial" w:cs="Arial"/>
                <w:i/>
                <w:sz w:val="20"/>
                <w:szCs w:val="20"/>
              </w:rPr>
              <w:t xml:space="preserve"> Clin </w:t>
            </w:r>
            <w:proofErr w:type="spellStart"/>
            <w:r w:rsidRPr="009A769C">
              <w:rPr>
                <w:rFonts w:ascii="Arial" w:hAnsi="Arial" w:cs="Arial"/>
                <w:i/>
                <w:sz w:val="20"/>
                <w:szCs w:val="20"/>
              </w:rPr>
              <w:t>Pract</w:t>
            </w:r>
            <w:proofErr w:type="spellEnd"/>
            <w:r w:rsidRPr="009A769C">
              <w:rPr>
                <w:rFonts w:ascii="Arial" w:hAnsi="Arial" w:cs="Arial"/>
                <w:sz w:val="20"/>
                <w:szCs w:val="20"/>
              </w:rPr>
              <w:t xml:space="preserve"> 2016;31(6):829-835</w:t>
            </w:r>
          </w:p>
        </w:tc>
      </w:tr>
      <w:tr w:rsidR="008F052B" w:rsidRPr="00FB0CC9" w14:paraId="1AD5BD47" w14:textId="77777777" w:rsidTr="0024650F">
        <w:trPr>
          <w:trHeight w:val="259"/>
        </w:trPr>
        <w:tc>
          <w:tcPr>
            <w:tcW w:w="562" w:type="dxa"/>
          </w:tcPr>
          <w:p w14:paraId="45FD55BB" w14:textId="27DCEDBE" w:rsidR="008F052B" w:rsidRPr="006658EF" w:rsidRDefault="006658EF" w:rsidP="008F052B">
            <w:pPr>
              <w:pStyle w:val="TableText1"/>
              <w:jc w:val="center"/>
              <w:rPr>
                <w:rFonts w:cs="Arial"/>
                <w:sz w:val="20"/>
                <w:szCs w:val="20"/>
              </w:rPr>
            </w:pPr>
            <w:r w:rsidRPr="006658EF">
              <w:rPr>
                <w:rFonts w:cs="Arial"/>
                <w:sz w:val="20"/>
                <w:szCs w:val="20"/>
              </w:rPr>
              <w:lastRenderedPageBreak/>
              <w:t>2</w:t>
            </w:r>
          </w:p>
        </w:tc>
        <w:tc>
          <w:tcPr>
            <w:tcW w:w="1139" w:type="dxa"/>
          </w:tcPr>
          <w:p w14:paraId="22CECBCA" w14:textId="33EFC960" w:rsidR="008F052B" w:rsidRPr="00FB0CC9" w:rsidRDefault="008F052B" w:rsidP="008F052B">
            <w:pPr>
              <w:pStyle w:val="TableText1"/>
              <w:rPr>
                <w:rFonts w:cs="Arial"/>
                <w:color w:val="000000"/>
                <w:sz w:val="20"/>
                <w:szCs w:val="20"/>
              </w:rPr>
            </w:pPr>
            <w:r w:rsidRPr="00FB0CC9">
              <w:rPr>
                <w:rFonts w:cs="Arial"/>
                <w:color w:val="000000"/>
                <w:sz w:val="20"/>
                <w:szCs w:val="20"/>
              </w:rPr>
              <w:t>General comment</w:t>
            </w:r>
          </w:p>
        </w:tc>
        <w:tc>
          <w:tcPr>
            <w:tcW w:w="1985" w:type="dxa"/>
          </w:tcPr>
          <w:p w14:paraId="726CCA96" w14:textId="110D37C0" w:rsidR="008F052B" w:rsidRPr="00FB0CC9" w:rsidRDefault="008F052B" w:rsidP="008F052B">
            <w:pPr>
              <w:pStyle w:val="TableText1"/>
              <w:rPr>
                <w:rFonts w:cs="Arial"/>
                <w:b/>
                <w:sz w:val="20"/>
                <w:szCs w:val="20"/>
              </w:rPr>
            </w:pPr>
            <w:r w:rsidRPr="00FB0CC9">
              <w:rPr>
                <w:rFonts w:cs="Arial"/>
                <w:b/>
                <w:sz w:val="20"/>
                <w:szCs w:val="20"/>
              </w:rPr>
              <w:t>Alliance for Heart Failure</w:t>
            </w:r>
          </w:p>
        </w:tc>
        <w:tc>
          <w:tcPr>
            <w:tcW w:w="11198" w:type="dxa"/>
          </w:tcPr>
          <w:p w14:paraId="43208C5A" w14:textId="77777777" w:rsidR="008F052B" w:rsidRPr="00FB0CC9" w:rsidRDefault="008F052B" w:rsidP="008F052B">
            <w:pPr>
              <w:rPr>
                <w:rFonts w:ascii="Arial" w:hAnsi="Arial" w:cs="Arial"/>
                <w:sz w:val="20"/>
                <w:szCs w:val="20"/>
              </w:rPr>
            </w:pPr>
            <w:r w:rsidRPr="00FB0CC9">
              <w:rPr>
                <w:rFonts w:ascii="Arial" w:hAnsi="Arial" w:cs="Arial"/>
                <w:sz w:val="20"/>
                <w:szCs w:val="20"/>
              </w:rPr>
              <w:t>As well as the specific recommendations to the newly proposed indicators outlined below, we suggest the following general points to help improve overall management of patients living with heart failure.</w:t>
            </w:r>
          </w:p>
          <w:p w14:paraId="52B53D19" w14:textId="77777777" w:rsidR="008F052B" w:rsidRPr="00FB0CC9" w:rsidRDefault="008F052B" w:rsidP="008F052B">
            <w:pPr>
              <w:rPr>
                <w:rFonts w:ascii="Arial" w:hAnsi="Arial" w:cs="Arial"/>
                <w:b/>
                <w:bCs/>
                <w:sz w:val="20"/>
                <w:szCs w:val="20"/>
                <w:lang w:val="en-US"/>
              </w:rPr>
            </w:pPr>
          </w:p>
          <w:p w14:paraId="0DF5D136" w14:textId="77777777" w:rsidR="008F052B" w:rsidRPr="00FB0CC9" w:rsidRDefault="008F052B" w:rsidP="008F052B">
            <w:pPr>
              <w:rPr>
                <w:rFonts w:ascii="Arial" w:hAnsi="Arial" w:cs="Arial"/>
                <w:sz w:val="20"/>
                <w:szCs w:val="20"/>
                <w:lang w:val="en-US"/>
              </w:rPr>
            </w:pPr>
            <w:r w:rsidRPr="00FB0CC9">
              <w:rPr>
                <w:rFonts w:ascii="Arial" w:hAnsi="Arial" w:cs="Arial"/>
                <w:b/>
                <w:bCs/>
                <w:sz w:val="20"/>
                <w:szCs w:val="20"/>
                <w:lang w:val="en-US"/>
              </w:rPr>
              <w:t>Data Integrity</w:t>
            </w:r>
            <w:r w:rsidRPr="00FB0CC9">
              <w:rPr>
                <w:rFonts w:ascii="Arial" w:hAnsi="Arial" w:cs="Arial"/>
                <w:sz w:val="20"/>
                <w:szCs w:val="20"/>
                <w:lang w:val="en-US"/>
              </w:rPr>
              <w:t xml:space="preserve"> - It would be valuable to capture the </w:t>
            </w:r>
            <w:r w:rsidRPr="00FB0CC9">
              <w:rPr>
                <w:rFonts w:ascii="Arial" w:hAnsi="Arial" w:cs="Arial"/>
                <w:i/>
                <w:sz w:val="20"/>
                <w:szCs w:val="20"/>
                <w:lang w:val="en-US"/>
              </w:rPr>
              <w:t>type of heart failure</w:t>
            </w:r>
            <w:r w:rsidRPr="00FB0CC9">
              <w:rPr>
                <w:rFonts w:ascii="Arial" w:hAnsi="Arial" w:cs="Arial"/>
                <w:sz w:val="20"/>
                <w:szCs w:val="20"/>
                <w:lang w:val="en-US"/>
              </w:rPr>
              <w:t xml:space="preserve"> and supporting data points within the QOF indicator menu. For example, more specific metrics to capture include a) the quantitative measure of ejection fraction b) NYHA</w:t>
            </w:r>
            <w:r w:rsidRPr="00FB0CC9">
              <w:rPr>
                <w:rStyle w:val="FootnoteReference"/>
                <w:rFonts w:ascii="Arial" w:hAnsi="Arial" w:cs="Arial"/>
                <w:sz w:val="20"/>
                <w:szCs w:val="20"/>
                <w:lang w:val="en-US"/>
              </w:rPr>
              <w:footnoteReference w:id="3"/>
            </w:r>
            <w:r w:rsidRPr="00FB0CC9">
              <w:rPr>
                <w:rFonts w:ascii="Arial" w:hAnsi="Arial" w:cs="Arial"/>
                <w:sz w:val="20"/>
                <w:szCs w:val="20"/>
                <w:lang w:val="en-US"/>
              </w:rPr>
              <w:t xml:space="preserve"> classification and c) disease severity of heart failure. By tracking these metrics, HCPs would generate a more robust dataset to actively manage patients with heart failure, potentially improving patient outcomes. </w:t>
            </w:r>
          </w:p>
          <w:p w14:paraId="2A67B206" w14:textId="77777777" w:rsidR="008F052B" w:rsidRPr="00FB0CC9" w:rsidRDefault="008F052B" w:rsidP="008F052B">
            <w:pPr>
              <w:rPr>
                <w:rFonts w:ascii="Arial" w:hAnsi="Arial" w:cs="Arial"/>
                <w:sz w:val="20"/>
                <w:szCs w:val="20"/>
                <w:lang w:val="en-US"/>
              </w:rPr>
            </w:pPr>
          </w:p>
          <w:p w14:paraId="67256CDD" w14:textId="77777777" w:rsidR="008F052B" w:rsidRPr="00FB0CC9" w:rsidRDefault="008F052B" w:rsidP="008F052B">
            <w:pPr>
              <w:rPr>
                <w:rFonts w:ascii="Arial" w:hAnsi="Arial" w:cs="Arial"/>
                <w:sz w:val="20"/>
                <w:szCs w:val="20"/>
                <w:lang w:val="en-US"/>
              </w:rPr>
            </w:pPr>
            <w:r w:rsidRPr="00FB0CC9">
              <w:rPr>
                <w:rFonts w:ascii="Arial" w:hAnsi="Arial" w:cs="Arial"/>
                <w:b/>
                <w:bCs/>
                <w:sz w:val="20"/>
                <w:szCs w:val="20"/>
                <w:lang w:val="en-US"/>
              </w:rPr>
              <w:t>Multi-morbidity / Elderly checkup crossovers</w:t>
            </w:r>
            <w:r w:rsidRPr="00FB0CC9">
              <w:rPr>
                <w:rFonts w:ascii="Arial" w:hAnsi="Arial" w:cs="Arial"/>
                <w:sz w:val="20"/>
                <w:szCs w:val="20"/>
                <w:lang w:val="en-US"/>
              </w:rPr>
              <w:t xml:space="preserve"> – Currently, </w:t>
            </w:r>
            <w:proofErr w:type="gramStart"/>
            <w:r w:rsidRPr="00FB0CC9">
              <w:rPr>
                <w:rFonts w:ascii="Arial" w:hAnsi="Arial" w:cs="Arial"/>
                <w:sz w:val="20"/>
                <w:szCs w:val="20"/>
                <w:lang w:val="en-US"/>
              </w:rPr>
              <w:t>all of</w:t>
            </w:r>
            <w:proofErr w:type="gramEnd"/>
            <w:r w:rsidRPr="00FB0CC9">
              <w:rPr>
                <w:rFonts w:ascii="Arial" w:hAnsi="Arial" w:cs="Arial"/>
                <w:sz w:val="20"/>
                <w:szCs w:val="20"/>
                <w:lang w:val="en-US"/>
              </w:rPr>
              <w:t xml:space="preserve"> the measures contained in the heart failure indicator menu are post-diagnosis metrics. In other therapy areas such as cancer, measures are more proactive, also covering the pre-diagnosis stage of the patient pathway. We therefore propose including proactive metrics for heart failure and incorporate these into existing activity undertaken in primary care. For example, screening for and tracking patients that show early indicators of heart failure (shortness of breath, </w:t>
            </w:r>
            <w:proofErr w:type="spellStart"/>
            <w:r w:rsidRPr="00FB0CC9">
              <w:rPr>
                <w:rFonts w:ascii="Arial" w:hAnsi="Arial" w:cs="Arial"/>
                <w:sz w:val="20"/>
                <w:szCs w:val="20"/>
                <w:lang w:val="en-US"/>
              </w:rPr>
              <w:t>oedema</w:t>
            </w:r>
            <w:proofErr w:type="spellEnd"/>
            <w:r w:rsidRPr="00FB0CC9">
              <w:rPr>
                <w:rFonts w:ascii="Arial" w:hAnsi="Arial" w:cs="Arial"/>
                <w:sz w:val="20"/>
                <w:szCs w:val="20"/>
                <w:lang w:val="en-US"/>
              </w:rPr>
              <w:t>, chronic fatigue etc.) at multi-morbidity or polypharmacy checkups</w:t>
            </w:r>
            <w:r w:rsidRPr="00FB0CC9">
              <w:rPr>
                <w:rStyle w:val="FootnoteReference"/>
                <w:rFonts w:ascii="Arial" w:hAnsi="Arial" w:cs="Arial"/>
                <w:sz w:val="20"/>
                <w:szCs w:val="20"/>
                <w:lang w:val="en-US"/>
              </w:rPr>
              <w:footnoteReference w:id="4"/>
            </w:r>
            <w:r w:rsidRPr="00FB0CC9">
              <w:rPr>
                <w:rFonts w:ascii="Arial" w:hAnsi="Arial" w:cs="Arial"/>
                <w:sz w:val="20"/>
                <w:szCs w:val="20"/>
                <w:lang w:val="en-US"/>
              </w:rPr>
              <w:t>. At a minimum this should include a NT-</w:t>
            </w:r>
            <w:proofErr w:type="spellStart"/>
            <w:r w:rsidRPr="00FB0CC9">
              <w:rPr>
                <w:rFonts w:ascii="Arial" w:hAnsi="Arial" w:cs="Arial"/>
                <w:sz w:val="20"/>
                <w:szCs w:val="20"/>
                <w:lang w:val="en-US"/>
              </w:rPr>
              <w:t>proBNP</w:t>
            </w:r>
            <w:proofErr w:type="spellEnd"/>
            <w:r w:rsidRPr="00FB0CC9">
              <w:rPr>
                <w:rFonts w:ascii="Arial" w:hAnsi="Arial" w:cs="Arial"/>
                <w:sz w:val="20"/>
                <w:szCs w:val="20"/>
                <w:lang w:val="en-US"/>
              </w:rPr>
              <w:t xml:space="preserve"> test as part of the regular blood tests taken. We propose specific synergies between the </w:t>
            </w:r>
            <w:r w:rsidRPr="00FB0CC9">
              <w:rPr>
                <w:rFonts w:ascii="Arial" w:hAnsi="Arial" w:cs="Arial"/>
                <w:i/>
                <w:sz w:val="20"/>
                <w:szCs w:val="20"/>
                <w:lang w:val="en-US"/>
              </w:rPr>
              <w:t>Heart Failure</w:t>
            </w:r>
            <w:r w:rsidRPr="00FB0CC9">
              <w:rPr>
                <w:rFonts w:ascii="Arial" w:hAnsi="Arial" w:cs="Arial"/>
                <w:sz w:val="20"/>
                <w:szCs w:val="20"/>
                <w:lang w:val="en-US"/>
              </w:rPr>
              <w:t xml:space="preserve"> and </w:t>
            </w:r>
            <w:r w:rsidRPr="00FB0CC9">
              <w:rPr>
                <w:rFonts w:ascii="Arial" w:hAnsi="Arial" w:cs="Arial"/>
                <w:i/>
                <w:sz w:val="20"/>
                <w:szCs w:val="20"/>
                <w:lang w:val="en-US"/>
              </w:rPr>
              <w:t>Multi-morbidity and Frailty</w:t>
            </w:r>
            <w:r w:rsidRPr="00FB0CC9">
              <w:rPr>
                <w:rFonts w:ascii="Arial" w:hAnsi="Arial" w:cs="Arial"/>
                <w:sz w:val="20"/>
                <w:szCs w:val="20"/>
                <w:lang w:val="en-US"/>
              </w:rPr>
              <w:t xml:space="preserve"> indicator menus below, for consideration. </w:t>
            </w:r>
          </w:p>
          <w:p w14:paraId="52A4E443" w14:textId="77777777" w:rsidR="008F052B" w:rsidRPr="00FB0CC9" w:rsidRDefault="008F052B" w:rsidP="008F052B">
            <w:pPr>
              <w:rPr>
                <w:rFonts w:ascii="Arial" w:hAnsi="Arial" w:cs="Arial"/>
                <w:sz w:val="20"/>
                <w:szCs w:val="20"/>
              </w:rPr>
            </w:pPr>
          </w:p>
        </w:tc>
      </w:tr>
      <w:tr w:rsidR="008F052B" w:rsidRPr="00FB0CC9" w14:paraId="0AE25A54" w14:textId="77777777" w:rsidTr="0024650F">
        <w:trPr>
          <w:trHeight w:val="259"/>
        </w:trPr>
        <w:tc>
          <w:tcPr>
            <w:tcW w:w="562" w:type="dxa"/>
          </w:tcPr>
          <w:p w14:paraId="39AABE38" w14:textId="61995FF2" w:rsidR="008F052B" w:rsidRPr="006658EF" w:rsidRDefault="006658EF" w:rsidP="008F052B">
            <w:pPr>
              <w:pStyle w:val="TableText1"/>
              <w:jc w:val="center"/>
              <w:rPr>
                <w:rFonts w:cs="Arial"/>
                <w:sz w:val="20"/>
                <w:szCs w:val="20"/>
              </w:rPr>
            </w:pPr>
            <w:r w:rsidRPr="006658EF">
              <w:rPr>
                <w:rFonts w:cs="Arial"/>
                <w:sz w:val="20"/>
                <w:szCs w:val="20"/>
              </w:rPr>
              <w:t>3</w:t>
            </w:r>
          </w:p>
        </w:tc>
        <w:tc>
          <w:tcPr>
            <w:tcW w:w="1139" w:type="dxa"/>
          </w:tcPr>
          <w:p w14:paraId="66503EF0" w14:textId="7B1E1B9E" w:rsidR="008F052B" w:rsidRPr="00FB0CC9" w:rsidRDefault="008F052B" w:rsidP="008F052B">
            <w:pPr>
              <w:pStyle w:val="TableText1"/>
              <w:rPr>
                <w:rFonts w:cs="Arial"/>
                <w:color w:val="000000"/>
                <w:sz w:val="20"/>
                <w:szCs w:val="20"/>
              </w:rPr>
            </w:pPr>
            <w:r w:rsidRPr="00FB0CC9">
              <w:rPr>
                <w:rFonts w:cs="Arial"/>
                <w:color w:val="000000"/>
                <w:sz w:val="20"/>
                <w:szCs w:val="20"/>
              </w:rPr>
              <w:t>General comment</w:t>
            </w:r>
          </w:p>
        </w:tc>
        <w:tc>
          <w:tcPr>
            <w:tcW w:w="1985" w:type="dxa"/>
          </w:tcPr>
          <w:p w14:paraId="2F8B59CD" w14:textId="4D166F90" w:rsidR="008F052B" w:rsidRPr="00FB0CC9" w:rsidRDefault="008F052B" w:rsidP="008F052B">
            <w:pPr>
              <w:pStyle w:val="TableText1"/>
              <w:rPr>
                <w:rFonts w:cs="Arial"/>
                <w:b/>
                <w:sz w:val="20"/>
                <w:szCs w:val="20"/>
              </w:rPr>
            </w:pPr>
            <w:r w:rsidRPr="00FB0CC9">
              <w:rPr>
                <w:rFonts w:cs="Arial"/>
                <w:b/>
                <w:sz w:val="20"/>
                <w:szCs w:val="20"/>
              </w:rPr>
              <w:t>Boehringer Ingelheim Limited</w:t>
            </w:r>
          </w:p>
        </w:tc>
        <w:tc>
          <w:tcPr>
            <w:tcW w:w="11198" w:type="dxa"/>
          </w:tcPr>
          <w:p w14:paraId="70C2C831" w14:textId="77777777" w:rsidR="008F052B" w:rsidRPr="00FB0CC9" w:rsidRDefault="008F052B" w:rsidP="008F052B">
            <w:pPr>
              <w:rPr>
                <w:rFonts w:ascii="Arial" w:hAnsi="Arial" w:cs="Arial"/>
                <w:bCs/>
                <w:sz w:val="20"/>
                <w:szCs w:val="20"/>
                <w:lang w:val="en"/>
              </w:rPr>
            </w:pPr>
            <w:r w:rsidRPr="00FB0CC9">
              <w:rPr>
                <w:rFonts w:ascii="Arial" w:hAnsi="Arial" w:cs="Arial"/>
                <w:bCs/>
                <w:sz w:val="20"/>
                <w:szCs w:val="20"/>
                <w:lang w:val="en"/>
              </w:rPr>
              <w:t>Do you think the proposed indicators will lead to improvements in care and outcomes for patients?</w:t>
            </w:r>
          </w:p>
          <w:p w14:paraId="7B86FAAE" w14:textId="77777777" w:rsidR="008F052B" w:rsidRPr="00FB0CC9" w:rsidRDefault="008F052B" w:rsidP="008F052B">
            <w:pPr>
              <w:rPr>
                <w:rFonts w:ascii="Arial" w:hAnsi="Arial" w:cs="Arial"/>
                <w:bCs/>
                <w:sz w:val="20"/>
                <w:szCs w:val="20"/>
                <w:lang w:val="en"/>
              </w:rPr>
            </w:pPr>
          </w:p>
          <w:p w14:paraId="044BE139" w14:textId="77777777" w:rsidR="008F052B" w:rsidRPr="00FB0CC9" w:rsidRDefault="008F052B" w:rsidP="008F052B">
            <w:pPr>
              <w:rPr>
                <w:rFonts w:ascii="Arial" w:hAnsi="Arial" w:cs="Arial"/>
                <w:bCs/>
                <w:sz w:val="20"/>
                <w:szCs w:val="20"/>
                <w:lang w:val="en"/>
              </w:rPr>
            </w:pPr>
            <w:bookmarkStart w:id="27" w:name="_Hlk9250962"/>
            <w:r w:rsidRPr="00FB0CC9">
              <w:rPr>
                <w:rFonts w:ascii="Arial" w:hAnsi="Arial" w:cs="Arial"/>
                <w:bCs/>
                <w:sz w:val="20"/>
                <w:szCs w:val="20"/>
                <w:lang w:val="en"/>
              </w:rPr>
              <w:t xml:space="preserve">This is a welcome addition to the register. Elderly and frail patients, particularly with multi-morbidities are a vulnerable group (medically, psychologically and socially), and care must be taken in identifying and managing them appropriately to </w:t>
            </w:r>
            <w:proofErr w:type="spellStart"/>
            <w:r w:rsidRPr="00FB0CC9">
              <w:rPr>
                <w:rFonts w:ascii="Arial" w:hAnsi="Arial" w:cs="Arial"/>
                <w:bCs/>
                <w:sz w:val="20"/>
                <w:szCs w:val="20"/>
                <w:lang w:val="en"/>
              </w:rPr>
              <w:t>maximise</w:t>
            </w:r>
            <w:proofErr w:type="spellEnd"/>
            <w:r w:rsidRPr="00FB0CC9">
              <w:rPr>
                <w:rFonts w:ascii="Arial" w:hAnsi="Arial" w:cs="Arial"/>
                <w:bCs/>
                <w:sz w:val="20"/>
                <w:szCs w:val="20"/>
                <w:lang w:val="en"/>
              </w:rPr>
              <w:t xml:space="preserve"> quality and quantity of life.</w:t>
            </w:r>
          </w:p>
          <w:bookmarkEnd w:id="27"/>
          <w:p w14:paraId="1000D46F" w14:textId="77777777" w:rsidR="008F052B" w:rsidRPr="00FB0CC9" w:rsidRDefault="008F052B" w:rsidP="008F052B">
            <w:pPr>
              <w:rPr>
                <w:rFonts w:ascii="Arial" w:hAnsi="Arial" w:cs="Arial"/>
                <w:sz w:val="20"/>
                <w:szCs w:val="20"/>
              </w:rPr>
            </w:pPr>
          </w:p>
        </w:tc>
      </w:tr>
      <w:tr w:rsidR="008F052B" w:rsidRPr="00FB0CC9" w14:paraId="5CAF9969" w14:textId="77777777" w:rsidTr="0024650F">
        <w:trPr>
          <w:trHeight w:val="259"/>
        </w:trPr>
        <w:tc>
          <w:tcPr>
            <w:tcW w:w="562" w:type="dxa"/>
          </w:tcPr>
          <w:p w14:paraId="335270CC" w14:textId="5402C385" w:rsidR="008F052B" w:rsidRPr="006658EF" w:rsidRDefault="006658EF" w:rsidP="008F052B">
            <w:pPr>
              <w:pStyle w:val="TableText1"/>
              <w:jc w:val="center"/>
              <w:rPr>
                <w:rFonts w:cs="Arial"/>
                <w:sz w:val="20"/>
                <w:szCs w:val="20"/>
              </w:rPr>
            </w:pPr>
            <w:r w:rsidRPr="006658EF">
              <w:rPr>
                <w:rFonts w:cs="Arial"/>
                <w:sz w:val="20"/>
                <w:szCs w:val="20"/>
              </w:rPr>
              <w:t>4</w:t>
            </w:r>
          </w:p>
        </w:tc>
        <w:tc>
          <w:tcPr>
            <w:tcW w:w="1139" w:type="dxa"/>
          </w:tcPr>
          <w:p w14:paraId="7CBE19D9" w14:textId="6B4F0CF2" w:rsidR="008F052B" w:rsidRPr="00FB0CC9" w:rsidRDefault="008F052B" w:rsidP="008F052B">
            <w:pPr>
              <w:pStyle w:val="TableText1"/>
              <w:rPr>
                <w:rFonts w:cs="Arial"/>
                <w:color w:val="000000"/>
                <w:sz w:val="20"/>
                <w:szCs w:val="20"/>
              </w:rPr>
            </w:pPr>
            <w:r w:rsidRPr="00FB0CC9">
              <w:rPr>
                <w:rFonts w:cs="Arial"/>
                <w:color w:val="000000"/>
                <w:sz w:val="20"/>
                <w:szCs w:val="20"/>
              </w:rPr>
              <w:t>General comment</w:t>
            </w:r>
          </w:p>
        </w:tc>
        <w:tc>
          <w:tcPr>
            <w:tcW w:w="1985" w:type="dxa"/>
          </w:tcPr>
          <w:p w14:paraId="23F28E93" w14:textId="52B0830B" w:rsidR="008F052B" w:rsidRPr="00FB0CC9" w:rsidRDefault="008F052B" w:rsidP="008F052B">
            <w:pPr>
              <w:pStyle w:val="TableText1"/>
              <w:rPr>
                <w:rFonts w:cs="Arial"/>
                <w:b/>
                <w:sz w:val="20"/>
                <w:szCs w:val="20"/>
              </w:rPr>
            </w:pPr>
            <w:r w:rsidRPr="00FB0CC9">
              <w:rPr>
                <w:rFonts w:cs="Arial"/>
                <w:b/>
                <w:sz w:val="20"/>
                <w:szCs w:val="20"/>
              </w:rPr>
              <w:t>British Dietetic Association</w:t>
            </w:r>
          </w:p>
        </w:tc>
        <w:tc>
          <w:tcPr>
            <w:tcW w:w="11198" w:type="dxa"/>
          </w:tcPr>
          <w:p w14:paraId="58A022D3" w14:textId="77777777" w:rsidR="008F052B" w:rsidRPr="00FB0CC9" w:rsidRDefault="008F052B" w:rsidP="008F052B">
            <w:pPr>
              <w:pStyle w:val="Default"/>
              <w:rPr>
                <w:rFonts w:ascii="Arial" w:hAnsi="Arial" w:cs="Arial"/>
                <w:color w:val="auto"/>
                <w:sz w:val="20"/>
                <w:szCs w:val="20"/>
              </w:rPr>
            </w:pPr>
            <w:bookmarkStart w:id="28" w:name="_Hlk9251053"/>
            <w:r w:rsidRPr="00FB0CC9">
              <w:rPr>
                <w:rFonts w:ascii="Arial" w:hAnsi="Arial" w:cs="Arial"/>
                <w:color w:val="auto"/>
                <w:sz w:val="20"/>
                <w:szCs w:val="20"/>
              </w:rPr>
              <w:t>The NHS long-term plan makes it clear that preventing and managing frailty should form part of the new NHS service model for the 21</w:t>
            </w:r>
            <w:r w:rsidRPr="00FB0CC9">
              <w:rPr>
                <w:rFonts w:ascii="Arial" w:hAnsi="Arial" w:cs="Arial"/>
                <w:color w:val="auto"/>
                <w:sz w:val="20"/>
                <w:szCs w:val="20"/>
                <w:vertAlign w:val="superscript"/>
              </w:rPr>
              <w:t>st</w:t>
            </w:r>
            <w:r w:rsidRPr="00FB0CC9">
              <w:rPr>
                <w:rFonts w:ascii="Arial" w:hAnsi="Arial" w:cs="Arial"/>
                <w:color w:val="auto"/>
                <w:sz w:val="20"/>
                <w:szCs w:val="20"/>
              </w:rPr>
              <w:t xml:space="preserve"> century. The significant links between frailty and </w:t>
            </w:r>
            <w:proofErr w:type="gramStart"/>
            <w:r w:rsidRPr="00FB0CC9">
              <w:rPr>
                <w:rFonts w:ascii="Arial" w:hAnsi="Arial" w:cs="Arial"/>
                <w:color w:val="auto"/>
                <w:sz w:val="20"/>
                <w:szCs w:val="20"/>
              </w:rPr>
              <w:t>malnutrition</w:t>
            </w:r>
            <w:proofErr w:type="gramEnd"/>
            <w:r w:rsidRPr="00FB0CC9">
              <w:rPr>
                <w:rFonts w:ascii="Arial" w:hAnsi="Arial" w:cs="Arial"/>
                <w:color w:val="auto"/>
                <w:sz w:val="20"/>
                <w:szCs w:val="20"/>
              </w:rPr>
              <w:t xml:space="preserve"> however, are often overlooked</w:t>
            </w:r>
            <w:bookmarkEnd w:id="28"/>
            <w:r w:rsidRPr="00FB0CC9">
              <w:rPr>
                <w:rFonts w:ascii="Arial" w:hAnsi="Arial" w:cs="Arial"/>
                <w:color w:val="auto"/>
                <w:sz w:val="20"/>
                <w:szCs w:val="20"/>
              </w:rPr>
              <w:t xml:space="preserve">, as many people perceive unplanned weight loss as a natural part of ageing. Some weight loss is normal; however, the aging process is not the only contributing factor to Sarcopenia, this is linked with malnutrition and frailty (1). People that are malnourished are four times more likely to have a fall (2) and one out of every two people who are frail will also be malnourished (3). </w:t>
            </w:r>
            <w:r w:rsidRPr="00FB0CC9">
              <w:rPr>
                <w:rFonts w:ascii="Arial" w:hAnsi="Arial" w:cs="Arial"/>
                <w:color w:val="auto"/>
                <w:sz w:val="20"/>
                <w:szCs w:val="20"/>
              </w:rPr>
              <w:lastRenderedPageBreak/>
              <w:t xml:space="preserve">Therefore, recognising the signs of malnutrition early by screening and treating with diet is key to reducing the complications associated with frailty. </w:t>
            </w:r>
          </w:p>
          <w:p w14:paraId="1264CCBA" w14:textId="77777777" w:rsidR="008F052B" w:rsidRPr="00FB0CC9" w:rsidRDefault="008F052B" w:rsidP="008F052B">
            <w:pPr>
              <w:pStyle w:val="Default"/>
              <w:rPr>
                <w:rFonts w:ascii="Arial" w:hAnsi="Arial" w:cs="Arial"/>
                <w:color w:val="auto"/>
                <w:sz w:val="20"/>
                <w:szCs w:val="20"/>
              </w:rPr>
            </w:pPr>
          </w:p>
          <w:p w14:paraId="400EA767" w14:textId="77777777" w:rsidR="008F052B" w:rsidRPr="00FB0CC9" w:rsidRDefault="008F052B" w:rsidP="008F052B">
            <w:pPr>
              <w:rPr>
                <w:rFonts w:ascii="Arial" w:hAnsi="Arial" w:cs="Arial"/>
                <w:sz w:val="20"/>
                <w:szCs w:val="20"/>
              </w:rPr>
            </w:pPr>
            <w:bookmarkStart w:id="29" w:name="_Hlk8657897"/>
            <w:r w:rsidRPr="00FB0CC9">
              <w:rPr>
                <w:rFonts w:ascii="Arial" w:hAnsi="Arial" w:cs="Arial"/>
                <w:sz w:val="20"/>
                <w:szCs w:val="20"/>
              </w:rPr>
              <w:t>We therefore recommend the following indicators in relation to frailty, falls and malnutrition</w:t>
            </w:r>
            <w:bookmarkEnd w:id="29"/>
            <w:r w:rsidRPr="00FB0CC9">
              <w:rPr>
                <w:rFonts w:ascii="Arial" w:hAnsi="Arial" w:cs="Arial"/>
                <w:sz w:val="20"/>
                <w:szCs w:val="20"/>
              </w:rPr>
              <w:t xml:space="preserve">: </w:t>
            </w:r>
          </w:p>
          <w:p w14:paraId="0D38FE3A" w14:textId="77777777" w:rsidR="008F052B" w:rsidRPr="00FB0CC9" w:rsidRDefault="008F052B" w:rsidP="008F052B">
            <w:pPr>
              <w:pStyle w:val="ListParagraph"/>
              <w:numPr>
                <w:ilvl w:val="0"/>
                <w:numId w:val="36"/>
              </w:numPr>
              <w:spacing w:after="160" w:line="256" w:lineRule="auto"/>
              <w:rPr>
                <w:rFonts w:ascii="Arial" w:hAnsi="Arial" w:cs="Arial"/>
                <w:sz w:val="20"/>
                <w:szCs w:val="20"/>
              </w:rPr>
            </w:pPr>
            <w:bookmarkStart w:id="30" w:name="_Hlk9251086"/>
            <w:r w:rsidRPr="00FB0CC9">
              <w:rPr>
                <w:rFonts w:ascii="Arial" w:hAnsi="Arial" w:cs="Arial"/>
                <w:sz w:val="20"/>
                <w:szCs w:val="20"/>
              </w:rPr>
              <w:t>The practice can produce a register of people who are at moderate to severe frailty and their risk of malnutrition (based on results of a validated nutritional screening tool*).</w:t>
            </w:r>
          </w:p>
          <w:p w14:paraId="5E7DA872" w14:textId="77777777" w:rsidR="008F052B" w:rsidRPr="00FB0CC9" w:rsidRDefault="008F052B" w:rsidP="008F052B">
            <w:pPr>
              <w:pStyle w:val="ListParagraph"/>
              <w:numPr>
                <w:ilvl w:val="0"/>
                <w:numId w:val="36"/>
              </w:numPr>
              <w:spacing w:after="160" w:line="256" w:lineRule="auto"/>
              <w:rPr>
                <w:rFonts w:ascii="Arial" w:hAnsi="Arial" w:cs="Arial"/>
                <w:sz w:val="20"/>
                <w:szCs w:val="20"/>
              </w:rPr>
            </w:pPr>
            <w:r w:rsidRPr="00FB0CC9">
              <w:rPr>
                <w:rFonts w:ascii="Arial" w:hAnsi="Arial" w:cs="Arial"/>
                <w:sz w:val="20"/>
                <w:szCs w:val="20"/>
              </w:rPr>
              <w:t>The practice can produce a register of people who have recently reported having a fall and their risk of malnutrition (based on results of the validated nutritional screening tool).</w:t>
            </w:r>
          </w:p>
          <w:p w14:paraId="15B41228" w14:textId="77777777" w:rsidR="008F052B" w:rsidRPr="00FB0CC9" w:rsidRDefault="008F052B" w:rsidP="008F052B">
            <w:pPr>
              <w:rPr>
                <w:rFonts w:ascii="Arial" w:hAnsi="Arial" w:cs="Arial"/>
                <w:sz w:val="20"/>
                <w:szCs w:val="20"/>
              </w:rPr>
            </w:pPr>
            <w:bookmarkStart w:id="31" w:name="_Hlk8658460"/>
            <w:bookmarkEnd w:id="30"/>
            <w:r w:rsidRPr="00FB0CC9">
              <w:rPr>
                <w:rFonts w:ascii="Arial" w:hAnsi="Arial" w:cs="Arial"/>
                <w:sz w:val="20"/>
                <w:szCs w:val="20"/>
              </w:rPr>
              <w:t xml:space="preserve">* a validated nutritional screening tool, for example, the Malnutrition Universal Screening Tool (‘MUST’) (4) or Score Generated Subjective Global Assessment (PG-SGA) (5). </w:t>
            </w:r>
          </w:p>
          <w:bookmarkEnd w:id="31"/>
          <w:p w14:paraId="38293BDC" w14:textId="77777777" w:rsidR="008F052B" w:rsidRPr="00FB0CC9" w:rsidRDefault="008F052B" w:rsidP="008F052B">
            <w:pPr>
              <w:rPr>
                <w:rFonts w:ascii="Arial" w:hAnsi="Arial" w:cs="Arial"/>
                <w:sz w:val="20"/>
                <w:szCs w:val="20"/>
              </w:rPr>
            </w:pPr>
          </w:p>
          <w:p w14:paraId="20EA2AA9" w14:textId="77777777" w:rsidR="008F052B" w:rsidRPr="00FB0CC9" w:rsidRDefault="008F052B" w:rsidP="008F052B">
            <w:pPr>
              <w:pStyle w:val="Default"/>
              <w:rPr>
                <w:rFonts w:ascii="Arial" w:hAnsi="Arial" w:cs="Arial"/>
                <w:color w:val="auto"/>
                <w:sz w:val="20"/>
                <w:szCs w:val="20"/>
              </w:rPr>
            </w:pPr>
            <w:r w:rsidRPr="00FB0CC9">
              <w:rPr>
                <w:rFonts w:ascii="Arial" w:hAnsi="Arial" w:cs="Arial"/>
                <w:color w:val="auto"/>
                <w:sz w:val="20"/>
                <w:szCs w:val="20"/>
              </w:rPr>
              <w:t>References:</w:t>
            </w:r>
          </w:p>
          <w:p w14:paraId="527350A9" w14:textId="77777777" w:rsidR="008F052B" w:rsidRPr="00FB0CC9" w:rsidRDefault="008F052B" w:rsidP="008F052B">
            <w:pPr>
              <w:pStyle w:val="Default"/>
              <w:numPr>
                <w:ilvl w:val="0"/>
                <w:numId w:val="37"/>
              </w:numPr>
              <w:rPr>
                <w:rFonts w:ascii="Arial" w:hAnsi="Arial" w:cs="Arial"/>
                <w:color w:val="auto"/>
                <w:sz w:val="20"/>
                <w:szCs w:val="20"/>
              </w:rPr>
            </w:pPr>
            <w:r w:rsidRPr="00FB0CC9">
              <w:rPr>
                <w:rFonts w:ascii="Arial" w:hAnsi="Arial" w:cs="Arial"/>
                <w:color w:val="auto"/>
                <w:sz w:val="20"/>
                <w:szCs w:val="20"/>
              </w:rPr>
              <w:t xml:space="preserve">Friedrich L. End-of-life nutrition: is tube feeding the solution? Annals of Long-Term Care: Clinical Care and Aging. 2013; 21(10):30-33 </w:t>
            </w:r>
          </w:p>
          <w:p w14:paraId="2CEA573C" w14:textId="77777777" w:rsidR="008F052B" w:rsidRPr="00FB0CC9" w:rsidRDefault="008F052B" w:rsidP="008F052B">
            <w:pPr>
              <w:pStyle w:val="Default"/>
              <w:numPr>
                <w:ilvl w:val="0"/>
                <w:numId w:val="37"/>
              </w:numPr>
              <w:rPr>
                <w:rFonts w:ascii="Arial" w:hAnsi="Arial" w:cs="Arial"/>
                <w:color w:val="auto"/>
                <w:sz w:val="20"/>
                <w:szCs w:val="20"/>
              </w:rPr>
            </w:pPr>
            <w:proofErr w:type="spellStart"/>
            <w:r w:rsidRPr="00FB0CC9">
              <w:rPr>
                <w:rFonts w:ascii="Arial" w:hAnsi="Arial" w:cs="Arial"/>
                <w:color w:val="auto"/>
                <w:sz w:val="20"/>
                <w:szCs w:val="20"/>
              </w:rPr>
              <w:t>Laur</w:t>
            </w:r>
            <w:proofErr w:type="spellEnd"/>
            <w:r w:rsidRPr="00FB0CC9">
              <w:rPr>
                <w:rFonts w:ascii="Arial" w:hAnsi="Arial" w:cs="Arial"/>
                <w:color w:val="auto"/>
                <w:sz w:val="20"/>
                <w:szCs w:val="20"/>
              </w:rPr>
              <w:t xml:space="preserve"> CV et al. Malnutrition or frailty? Overlap and evidence gaps in the diagnosis and treatment of frailty and malnutrition. Appl. Physiol. </w:t>
            </w:r>
            <w:proofErr w:type="spellStart"/>
            <w:r w:rsidRPr="00FB0CC9">
              <w:rPr>
                <w:rFonts w:ascii="Arial" w:hAnsi="Arial" w:cs="Arial"/>
                <w:color w:val="auto"/>
                <w:sz w:val="20"/>
                <w:szCs w:val="20"/>
              </w:rPr>
              <w:t>Nutr</w:t>
            </w:r>
            <w:proofErr w:type="spellEnd"/>
            <w:r w:rsidRPr="00FB0CC9">
              <w:rPr>
                <w:rFonts w:ascii="Arial" w:hAnsi="Arial" w:cs="Arial"/>
                <w:color w:val="auto"/>
                <w:sz w:val="20"/>
                <w:szCs w:val="20"/>
              </w:rPr>
              <w:t xml:space="preserve">. </w:t>
            </w:r>
            <w:proofErr w:type="spellStart"/>
            <w:r w:rsidRPr="00FB0CC9">
              <w:rPr>
                <w:rFonts w:ascii="Arial" w:hAnsi="Arial" w:cs="Arial"/>
                <w:color w:val="auto"/>
                <w:sz w:val="20"/>
                <w:szCs w:val="20"/>
              </w:rPr>
              <w:t>Metab</w:t>
            </w:r>
            <w:proofErr w:type="spellEnd"/>
            <w:r w:rsidRPr="00FB0CC9">
              <w:rPr>
                <w:rFonts w:ascii="Arial" w:hAnsi="Arial" w:cs="Arial"/>
                <w:color w:val="auto"/>
                <w:sz w:val="20"/>
                <w:szCs w:val="20"/>
              </w:rPr>
              <w:t xml:space="preserve">. 2017 </w:t>
            </w:r>
            <w:r w:rsidRPr="00FB0CC9">
              <w:rPr>
                <w:rFonts w:ascii="Arial" w:hAnsi="Arial" w:cs="Arial"/>
                <w:color w:val="auto"/>
                <w:sz w:val="20"/>
                <w:szCs w:val="20"/>
                <w:shd w:val="clear" w:color="auto" w:fill="FFFFFF"/>
              </w:rPr>
              <w:t>May; 42(5):449-458</w:t>
            </w:r>
          </w:p>
          <w:p w14:paraId="35216B98" w14:textId="77777777" w:rsidR="008F052B" w:rsidRPr="00FB0CC9" w:rsidRDefault="008F052B" w:rsidP="008F052B">
            <w:pPr>
              <w:pStyle w:val="Default"/>
              <w:numPr>
                <w:ilvl w:val="0"/>
                <w:numId w:val="37"/>
              </w:numPr>
              <w:rPr>
                <w:rFonts w:ascii="Arial" w:hAnsi="Arial" w:cs="Arial"/>
                <w:color w:val="auto"/>
                <w:sz w:val="20"/>
                <w:szCs w:val="20"/>
              </w:rPr>
            </w:pPr>
            <w:proofErr w:type="spellStart"/>
            <w:r w:rsidRPr="00FB0CC9">
              <w:rPr>
                <w:rFonts w:ascii="Arial" w:hAnsi="Arial" w:cs="Arial"/>
                <w:color w:val="auto"/>
                <w:sz w:val="20"/>
                <w:szCs w:val="20"/>
              </w:rPr>
              <w:t>Bollwein</w:t>
            </w:r>
            <w:proofErr w:type="spellEnd"/>
            <w:r w:rsidRPr="00FB0CC9">
              <w:rPr>
                <w:rFonts w:ascii="Arial" w:hAnsi="Arial" w:cs="Arial"/>
                <w:color w:val="auto"/>
                <w:sz w:val="20"/>
                <w:szCs w:val="20"/>
              </w:rPr>
              <w:t xml:space="preserve"> J et al. Nutritional status according to the mini nutritional assessment (MNA) and frailty in community dwelling older persons: a close relationship. J. </w:t>
            </w:r>
            <w:proofErr w:type="spellStart"/>
            <w:r w:rsidRPr="00FB0CC9">
              <w:rPr>
                <w:rFonts w:ascii="Arial" w:hAnsi="Arial" w:cs="Arial"/>
                <w:color w:val="auto"/>
                <w:sz w:val="20"/>
                <w:szCs w:val="20"/>
              </w:rPr>
              <w:t>Nutr</w:t>
            </w:r>
            <w:proofErr w:type="spellEnd"/>
            <w:r w:rsidRPr="00FB0CC9">
              <w:rPr>
                <w:rFonts w:ascii="Arial" w:hAnsi="Arial" w:cs="Arial"/>
                <w:color w:val="auto"/>
                <w:sz w:val="20"/>
                <w:szCs w:val="20"/>
              </w:rPr>
              <w:t xml:space="preserve">. Health Aging. 2013 April; 17(4): 351–356 </w:t>
            </w:r>
          </w:p>
          <w:p w14:paraId="5E29750B" w14:textId="77777777" w:rsidR="008F052B" w:rsidRPr="00FB0CC9" w:rsidRDefault="008F052B" w:rsidP="008F052B">
            <w:pPr>
              <w:pStyle w:val="ListParagraph"/>
              <w:numPr>
                <w:ilvl w:val="0"/>
                <w:numId w:val="37"/>
              </w:numPr>
              <w:rPr>
                <w:rFonts w:ascii="Arial" w:hAnsi="Arial" w:cs="Arial"/>
                <w:sz w:val="20"/>
                <w:szCs w:val="20"/>
                <w:shd w:val="clear" w:color="auto" w:fill="FFFFFF"/>
              </w:rPr>
            </w:pPr>
            <w:bookmarkStart w:id="32" w:name="_Hlk8658955"/>
            <w:r w:rsidRPr="00FB0CC9">
              <w:rPr>
                <w:rFonts w:ascii="Arial" w:hAnsi="Arial" w:cs="Arial"/>
                <w:sz w:val="20"/>
                <w:szCs w:val="20"/>
                <w:shd w:val="clear" w:color="auto" w:fill="FFFFFF"/>
              </w:rPr>
              <w:t>British Association of Parenteral and Enteral Nutrition (BAPEN) Malnutrition Universal Screening Tool (MUST) </w:t>
            </w:r>
            <w:hyperlink r:id="rId25" w:tgtFrame="_blank" w:history="1">
              <w:r w:rsidRPr="00FB0CC9">
                <w:rPr>
                  <w:rStyle w:val="Hyperlink"/>
                  <w:rFonts w:ascii="Arial" w:hAnsi="Arial" w:cs="Arial"/>
                  <w:color w:val="auto"/>
                  <w:sz w:val="20"/>
                  <w:szCs w:val="20"/>
                  <w:shd w:val="clear" w:color="auto" w:fill="FFFFFF"/>
                </w:rPr>
                <w:t>http://www.bapen.org.uk/pdfs/must/must_full.pdf</w:t>
              </w:r>
            </w:hyperlink>
          </w:p>
          <w:p w14:paraId="777C0421" w14:textId="77777777" w:rsidR="008F052B" w:rsidRPr="00FB0CC9" w:rsidRDefault="0024650F" w:rsidP="008F052B">
            <w:pPr>
              <w:pStyle w:val="ListParagraph"/>
              <w:numPr>
                <w:ilvl w:val="0"/>
                <w:numId w:val="37"/>
              </w:numPr>
              <w:rPr>
                <w:rFonts w:ascii="Arial" w:hAnsi="Arial" w:cs="Arial"/>
                <w:sz w:val="20"/>
                <w:szCs w:val="20"/>
              </w:rPr>
            </w:pPr>
            <w:hyperlink r:id="rId26" w:tgtFrame="_blank" w:history="1">
              <w:r w:rsidR="008F052B" w:rsidRPr="00FB0CC9">
                <w:rPr>
                  <w:rStyle w:val="Hyperlink"/>
                  <w:rFonts w:ascii="Arial" w:hAnsi="Arial" w:cs="Arial"/>
                  <w:iCs/>
                  <w:color w:val="auto"/>
                  <w:sz w:val="20"/>
                  <w:szCs w:val="20"/>
                  <w:bdr w:val="none" w:sz="0" w:space="0" w:color="auto" w:frame="1"/>
                  <w:shd w:val="clear" w:color="auto" w:fill="FFFFFF"/>
                </w:rPr>
                <w:t>Ottery FD. Definition of standardized nutritional assessment and interventional pathways in oncology. Nutrition. 1996; 12(1) 15-9</w:t>
              </w:r>
            </w:hyperlink>
            <w:bookmarkEnd w:id="32"/>
          </w:p>
          <w:p w14:paraId="2B5450E1" w14:textId="77777777" w:rsidR="008F052B" w:rsidRPr="00FB0CC9" w:rsidRDefault="008F052B" w:rsidP="008F052B">
            <w:pPr>
              <w:rPr>
                <w:rFonts w:ascii="Arial" w:hAnsi="Arial" w:cs="Arial"/>
                <w:sz w:val="20"/>
                <w:szCs w:val="20"/>
              </w:rPr>
            </w:pPr>
          </w:p>
        </w:tc>
      </w:tr>
      <w:tr w:rsidR="003F5118" w:rsidRPr="00FB0CC9" w14:paraId="3D44C1AE" w14:textId="77777777" w:rsidTr="0024650F">
        <w:trPr>
          <w:trHeight w:val="259"/>
        </w:trPr>
        <w:tc>
          <w:tcPr>
            <w:tcW w:w="562" w:type="dxa"/>
          </w:tcPr>
          <w:p w14:paraId="2AD1FB1A" w14:textId="2DB8D6B0" w:rsidR="003F5118" w:rsidRPr="006658EF" w:rsidRDefault="006658EF" w:rsidP="003F5118">
            <w:pPr>
              <w:pStyle w:val="TableText1"/>
              <w:jc w:val="center"/>
              <w:rPr>
                <w:rFonts w:cs="Arial"/>
                <w:sz w:val="20"/>
                <w:szCs w:val="20"/>
              </w:rPr>
            </w:pPr>
            <w:r w:rsidRPr="006658EF">
              <w:rPr>
                <w:rFonts w:cs="Arial"/>
                <w:sz w:val="20"/>
                <w:szCs w:val="20"/>
              </w:rPr>
              <w:lastRenderedPageBreak/>
              <w:t>5</w:t>
            </w:r>
          </w:p>
        </w:tc>
        <w:tc>
          <w:tcPr>
            <w:tcW w:w="1139" w:type="dxa"/>
          </w:tcPr>
          <w:p w14:paraId="549AE4EB" w14:textId="16806DCF" w:rsidR="003F5118" w:rsidRPr="00FB0CC9" w:rsidRDefault="003F5118" w:rsidP="003F5118">
            <w:pPr>
              <w:pStyle w:val="TableText1"/>
              <w:rPr>
                <w:rFonts w:cs="Arial"/>
                <w:color w:val="000000"/>
                <w:sz w:val="20"/>
                <w:szCs w:val="20"/>
              </w:rPr>
            </w:pPr>
            <w:r>
              <w:rPr>
                <w:rFonts w:cs="Arial"/>
                <w:sz w:val="20"/>
                <w:szCs w:val="20"/>
              </w:rPr>
              <w:t>General comment</w:t>
            </w:r>
          </w:p>
        </w:tc>
        <w:tc>
          <w:tcPr>
            <w:tcW w:w="1985" w:type="dxa"/>
          </w:tcPr>
          <w:p w14:paraId="554CE85B" w14:textId="0C916A51" w:rsidR="003F5118" w:rsidRPr="00FB0CC9" w:rsidRDefault="003F5118" w:rsidP="003F5118">
            <w:pPr>
              <w:pStyle w:val="TableText1"/>
              <w:rPr>
                <w:rFonts w:cs="Arial"/>
                <w:b/>
                <w:sz w:val="20"/>
                <w:szCs w:val="20"/>
              </w:rPr>
            </w:pPr>
            <w:r w:rsidRPr="00205A28">
              <w:rPr>
                <w:rFonts w:cs="Arial"/>
                <w:sz w:val="20"/>
                <w:szCs w:val="20"/>
              </w:rPr>
              <w:t>British Dietetic Association</w:t>
            </w:r>
          </w:p>
        </w:tc>
        <w:tc>
          <w:tcPr>
            <w:tcW w:w="11198" w:type="dxa"/>
          </w:tcPr>
          <w:p w14:paraId="41A86F3B" w14:textId="77777777" w:rsidR="003F5118" w:rsidRPr="00205A28" w:rsidRDefault="003F5118" w:rsidP="003F5118">
            <w:pPr>
              <w:rPr>
                <w:rFonts w:ascii="Arial" w:hAnsi="Arial" w:cs="Arial"/>
                <w:sz w:val="20"/>
                <w:szCs w:val="20"/>
                <w:lang w:eastAsia="en-GB"/>
              </w:rPr>
            </w:pPr>
            <w:bookmarkStart w:id="33" w:name="_Hlk9260346"/>
            <w:r w:rsidRPr="00205A28">
              <w:rPr>
                <w:rFonts w:ascii="Arial" w:hAnsi="Arial" w:cs="Arial"/>
                <w:sz w:val="20"/>
                <w:szCs w:val="20"/>
                <w:lang w:eastAsia="en-GB"/>
              </w:rPr>
              <w:t xml:space="preserve">Weight loss and adopting a healthy lower salt diet can have beneficial effects on blood pressure, </w:t>
            </w:r>
            <w:proofErr w:type="gramStart"/>
            <w:r w:rsidRPr="00205A28">
              <w:rPr>
                <w:rFonts w:ascii="Arial" w:hAnsi="Arial" w:cs="Arial"/>
                <w:sz w:val="20"/>
                <w:szCs w:val="20"/>
                <w:lang w:eastAsia="en-GB"/>
              </w:rPr>
              <w:t>similar to</w:t>
            </w:r>
            <w:proofErr w:type="gramEnd"/>
            <w:r w:rsidRPr="00205A28">
              <w:rPr>
                <w:rFonts w:ascii="Arial" w:hAnsi="Arial" w:cs="Arial"/>
                <w:sz w:val="20"/>
                <w:szCs w:val="20"/>
                <w:lang w:eastAsia="en-GB"/>
              </w:rPr>
              <w:t xml:space="preserve"> the magnitude of beneficial effects seen with alcohol reduction (1,2,3,4,5,6,7,8). Therefore, we recommend adding the following indicators for hypertension relating to obesity and a healthy diet, </w:t>
            </w:r>
            <w:proofErr w:type="gramStart"/>
            <w:r w:rsidRPr="00205A28">
              <w:rPr>
                <w:rFonts w:ascii="Arial" w:hAnsi="Arial" w:cs="Arial"/>
                <w:sz w:val="20"/>
                <w:szCs w:val="20"/>
                <w:lang w:eastAsia="en-GB"/>
              </w:rPr>
              <w:t>in particular salt</w:t>
            </w:r>
            <w:proofErr w:type="gramEnd"/>
            <w:r w:rsidRPr="00205A28">
              <w:rPr>
                <w:rFonts w:ascii="Arial" w:hAnsi="Arial" w:cs="Arial"/>
                <w:sz w:val="20"/>
                <w:szCs w:val="20"/>
                <w:lang w:eastAsia="en-GB"/>
              </w:rPr>
              <w:t xml:space="preserve"> intake:</w:t>
            </w:r>
          </w:p>
          <w:p w14:paraId="75C0010C" w14:textId="77777777" w:rsidR="003F5118" w:rsidRPr="00205A28" w:rsidRDefault="003F5118" w:rsidP="003F5118">
            <w:pPr>
              <w:rPr>
                <w:rFonts w:ascii="Arial" w:hAnsi="Arial" w:cs="Arial"/>
                <w:sz w:val="20"/>
                <w:szCs w:val="20"/>
                <w:lang w:eastAsia="en-GB"/>
              </w:rPr>
            </w:pPr>
          </w:p>
          <w:p w14:paraId="61F528A9" w14:textId="77777777" w:rsidR="003F5118" w:rsidRPr="00205A28" w:rsidRDefault="003F5118" w:rsidP="003F5118">
            <w:pPr>
              <w:pStyle w:val="ListParagraph"/>
              <w:numPr>
                <w:ilvl w:val="0"/>
                <w:numId w:val="46"/>
              </w:numPr>
              <w:rPr>
                <w:rFonts w:ascii="Arial" w:hAnsi="Arial" w:cs="Arial"/>
                <w:sz w:val="20"/>
                <w:szCs w:val="20"/>
                <w:lang w:eastAsia="en-GB"/>
              </w:rPr>
            </w:pPr>
            <w:r w:rsidRPr="00205A28">
              <w:rPr>
                <w:rFonts w:ascii="Arial" w:hAnsi="Arial" w:cs="Arial"/>
                <w:sz w:val="20"/>
                <w:szCs w:val="20"/>
                <w:lang w:eastAsia="en-GB"/>
              </w:rPr>
              <w:t>The percentage of patients with a new diagnosis of hypertension in the preceding 12 months who have had their body mass index (BMI) calculated in the 3 months before or after the date of entry on the hypertension register.</w:t>
            </w:r>
          </w:p>
          <w:p w14:paraId="1525CC9D" w14:textId="77777777" w:rsidR="003F5118" w:rsidRPr="00205A28" w:rsidRDefault="003F5118" w:rsidP="003F5118">
            <w:pPr>
              <w:rPr>
                <w:rFonts w:ascii="Arial" w:hAnsi="Arial" w:cs="Arial"/>
                <w:sz w:val="20"/>
                <w:szCs w:val="20"/>
                <w:lang w:eastAsia="en-GB"/>
              </w:rPr>
            </w:pPr>
          </w:p>
          <w:p w14:paraId="6627681E" w14:textId="77777777" w:rsidR="003F5118" w:rsidRPr="00205A28" w:rsidRDefault="003F5118" w:rsidP="003F5118">
            <w:pPr>
              <w:pStyle w:val="ListParagraph"/>
              <w:numPr>
                <w:ilvl w:val="0"/>
                <w:numId w:val="46"/>
              </w:numPr>
              <w:rPr>
                <w:rFonts w:ascii="Arial" w:hAnsi="Arial" w:cs="Arial"/>
                <w:sz w:val="20"/>
                <w:szCs w:val="20"/>
                <w:lang w:eastAsia="en-GB"/>
              </w:rPr>
            </w:pPr>
            <w:r w:rsidRPr="00205A28">
              <w:rPr>
                <w:rFonts w:ascii="Arial" w:hAnsi="Arial" w:cs="Arial"/>
                <w:sz w:val="20"/>
                <w:szCs w:val="20"/>
                <w:lang w:eastAsia="en-GB"/>
              </w:rPr>
              <w:t>The percentage of patients with a new diagnosis of hypertension in the preceding 12 months who have been found to be overweight (BMI &gt;25kg/m</w:t>
            </w:r>
            <w:r w:rsidRPr="00205A28">
              <w:rPr>
                <w:rFonts w:ascii="Arial" w:hAnsi="Arial" w:cs="Arial"/>
                <w:sz w:val="20"/>
                <w:szCs w:val="20"/>
                <w:vertAlign w:val="superscript"/>
                <w:lang w:eastAsia="en-GB"/>
              </w:rPr>
              <w:t>2</w:t>
            </w:r>
            <w:r w:rsidRPr="00205A28">
              <w:rPr>
                <w:rFonts w:ascii="Arial" w:hAnsi="Arial" w:cs="Arial"/>
                <w:sz w:val="20"/>
                <w:szCs w:val="20"/>
                <w:lang w:eastAsia="en-GB"/>
              </w:rPr>
              <w:t>) and who have been given weight reduction interventions within 3 months of the recording of the BMI.</w:t>
            </w:r>
          </w:p>
          <w:p w14:paraId="10D232E0" w14:textId="77777777" w:rsidR="003F5118" w:rsidRPr="00205A28" w:rsidRDefault="003F5118" w:rsidP="003F5118">
            <w:pPr>
              <w:rPr>
                <w:rFonts w:ascii="Arial" w:hAnsi="Arial" w:cs="Arial"/>
                <w:sz w:val="20"/>
                <w:szCs w:val="20"/>
                <w:lang w:eastAsia="en-GB"/>
              </w:rPr>
            </w:pPr>
          </w:p>
          <w:p w14:paraId="6AF66508" w14:textId="77777777" w:rsidR="003F5118" w:rsidRPr="00205A28" w:rsidRDefault="003F5118" w:rsidP="003F5118">
            <w:pPr>
              <w:pStyle w:val="ListParagraph"/>
              <w:numPr>
                <w:ilvl w:val="0"/>
                <w:numId w:val="46"/>
              </w:numPr>
              <w:rPr>
                <w:rFonts w:ascii="Arial" w:hAnsi="Arial" w:cs="Arial"/>
                <w:sz w:val="20"/>
                <w:szCs w:val="20"/>
                <w:lang w:eastAsia="en-GB"/>
              </w:rPr>
            </w:pPr>
            <w:r w:rsidRPr="00205A28">
              <w:rPr>
                <w:rFonts w:ascii="Arial" w:hAnsi="Arial" w:cs="Arial"/>
                <w:sz w:val="20"/>
                <w:szCs w:val="20"/>
                <w:lang w:eastAsia="en-GB"/>
              </w:rPr>
              <w:t>The percentage of patients with a new diagnosis of hypertension in the preceding 12 months who have been given advice on a healthy diet which includes advice on reducing salt intake within 3 months of entry on the hypertension register.</w:t>
            </w:r>
          </w:p>
          <w:p w14:paraId="098EE3D0" w14:textId="77777777" w:rsidR="003F5118" w:rsidRPr="006F2843" w:rsidRDefault="003F5118" w:rsidP="003F5118">
            <w:pPr>
              <w:pStyle w:val="Paragraph"/>
              <w:rPr>
                <w:sz w:val="20"/>
                <w:szCs w:val="20"/>
              </w:rPr>
            </w:pPr>
            <w:r w:rsidRPr="006F2843">
              <w:rPr>
                <w:sz w:val="20"/>
                <w:szCs w:val="20"/>
              </w:rPr>
              <w:lastRenderedPageBreak/>
              <w:t>References:</w:t>
            </w:r>
          </w:p>
          <w:bookmarkEnd w:id="33"/>
          <w:p w14:paraId="49C65870" w14:textId="77777777" w:rsidR="003F5118" w:rsidRPr="005353CB" w:rsidRDefault="003F5118" w:rsidP="003F5118">
            <w:pPr>
              <w:pStyle w:val="ListParagraph"/>
              <w:numPr>
                <w:ilvl w:val="0"/>
                <w:numId w:val="47"/>
              </w:numPr>
              <w:shd w:val="clear" w:color="auto" w:fill="FFFFFF"/>
              <w:rPr>
                <w:rFonts w:ascii="Arial" w:hAnsi="Arial" w:cs="Arial"/>
                <w:bCs/>
                <w:kern w:val="36"/>
                <w:sz w:val="20"/>
                <w:szCs w:val="20"/>
                <w:lang w:eastAsia="en-GB"/>
              </w:rPr>
            </w:pPr>
            <w:r w:rsidRPr="005353CB">
              <w:fldChar w:fldCharType="begin"/>
            </w:r>
            <w:r w:rsidRPr="005353CB">
              <w:rPr>
                <w:rFonts w:ascii="Arial" w:hAnsi="Arial" w:cs="Arial"/>
                <w:sz w:val="20"/>
                <w:szCs w:val="20"/>
              </w:rPr>
              <w:instrText xml:space="preserve"> HYPERLINK "https://www.ncbi.nlm.nih.gov/pubmed/?term=Neter%20JE%5BAuthor%5D&amp;cauthor=true&amp;cauthor_uid=12975389" </w:instrText>
            </w:r>
            <w:r w:rsidRPr="005353CB">
              <w:fldChar w:fldCharType="separate"/>
            </w:r>
            <w:proofErr w:type="spellStart"/>
            <w:r w:rsidRPr="005353CB">
              <w:rPr>
                <w:rStyle w:val="Hyperlink"/>
                <w:rFonts w:ascii="Arial" w:hAnsi="Arial" w:cs="Arial"/>
                <w:color w:val="auto"/>
                <w:sz w:val="20"/>
                <w:szCs w:val="20"/>
                <w:lang w:eastAsia="en-GB"/>
              </w:rPr>
              <w:t>Neter</w:t>
            </w:r>
            <w:proofErr w:type="spellEnd"/>
            <w:r w:rsidRPr="005353CB">
              <w:rPr>
                <w:rStyle w:val="Hyperlink"/>
                <w:rFonts w:ascii="Arial" w:hAnsi="Arial" w:cs="Arial"/>
                <w:color w:val="auto"/>
                <w:sz w:val="20"/>
                <w:szCs w:val="20"/>
                <w:lang w:eastAsia="en-GB"/>
              </w:rPr>
              <w:t xml:space="preserve"> JE</w:t>
            </w:r>
            <w:r w:rsidRPr="005353CB">
              <w:rPr>
                <w:rStyle w:val="Hyperlink"/>
                <w:rFonts w:ascii="Arial" w:hAnsi="Arial" w:cs="Arial"/>
                <w:color w:val="auto"/>
                <w:sz w:val="20"/>
                <w:szCs w:val="20"/>
                <w:lang w:eastAsia="en-GB"/>
              </w:rPr>
              <w:fldChar w:fldCharType="end"/>
            </w:r>
            <w:r w:rsidRPr="005353CB">
              <w:rPr>
                <w:rFonts w:ascii="Arial" w:hAnsi="Arial" w:cs="Arial"/>
                <w:sz w:val="20"/>
                <w:szCs w:val="20"/>
                <w:lang w:eastAsia="en-GB"/>
              </w:rPr>
              <w:t>, </w:t>
            </w:r>
            <w:hyperlink r:id="rId27" w:history="1">
              <w:r w:rsidRPr="005353CB">
                <w:rPr>
                  <w:rStyle w:val="Hyperlink"/>
                  <w:rFonts w:ascii="Arial" w:hAnsi="Arial" w:cs="Arial"/>
                  <w:color w:val="auto"/>
                  <w:sz w:val="20"/>
                  <w:szCs w:val="20"/>
                  <w:lang w:eastAsia="en-GB"/>
                </w:rPr>
                <w:t>Stam BE</w:t>
              </w:r>
            </w:hyperlink>
            <w:r w:rsidRPr="005353CB">
              <w:rPr>
                <w:rFonts w:ascii="Arial" w:hAnsi="Arial" w:cs="Arial"/>
                <w:sz w:val="20"/>
                <w:szCs w:val="20"/>
                <w:lang w:eastAsia="en-GB"/>
              </w:rPr>
              <w:t>, </w:t>
            </w:r>
            <w:proofErr w:type="spellStart"/>
            <w:r w:rsidRPr="005353CB">
              <w:rPr>
                <w:rFonts w:ascii="Arial" w:hAnsi="Arial" w:cs="Arial"/>
                <w:sz w:val="20"/>
                <w:szCs w:val="20"/>
              </w:rPr>
              <w:fldChar w:fldCharType="begin"/>
            </w:r>
            <w:r w:rsidRPr="005353CB">
              <w:rPr>
                <w:rFonts w:ascii="Arial" w:hAnsi="Arial" w:cs="Arial"/>
                <w:sz w:val="20"/>
                <w:szCs w:val="20"/>
              </w:rPr>
              <w:instrText xml:space="preserve"> HYPERLINK "https://www.ncbi.nlm.nih.gov/pubmed/?term=Kok%20FJ%5BAuthor%5D&amp;cauthor=true&amp;cauthor_uid=12975389" </w:instrText>
            </w:r>
            <w:r w:rsidRPr="005353CB">
              <w:rPr>
                <w:rFonts w:ascii="Arial" w:hAnsi="Arial" w:cs="Arial"/>
                <w:sz w:val="20"/>
                <w:szCs w:val="20"/>
              </w:rPr>
              <w:fldChar w:fldCharType="separate"/>
            </w:r>
            <w:r w:rsidRPr="005353CB">
              <w:rPr>
                <w:rStyle w:val="Hyperlink"/>
                <w:rFonts w:ascii="Arial" w:hAnsi="Arial" w:cs="Arial"/>
                <w:color w:val="auto"/>
                <w:sz w:val="20"/>
                <w:szCs w:val="20"/>
                <w:lang w:eastAsia="en-GB"/>
              </w:rPr>
              <w:t>Kok</w:t>
            </w:r>
            <w:proofErr w:type="spellEnd"/>
            <w:r w:rsidRPr="005353CB">
              <w:rPr>
                <w:rStyle w:val="Hyperlink"/>
                <w:rFonts w:ascii="Arial" w:hAnsi="Arial" w:cs="Arial"/>
                <w:color w:val="auto"/>
                <w:sz w:val="20"/>
                <w:szCs w:val="20"/>
                <w:lang w:eastAsia="en-GB"/>
              </w:rPr>
              <w:t xml:space="preserve"> FJ</w:t>
            </w:r>
            <w:r w:rsidRPr="005353CB">
              <w:rPr>
                <w:rFonts w:ascii="Arial" w:hAnsi="Arial" w:cs="Arial"/>
                <w:sz w:val="20"/>
                <w:szCs w:val="20"/>
              </w:rPr>
              <w:fldChar w:fldCharType="end"/>
            </w:r>
            <w:r w:rsidRPr="005353CB">
              <w:rPr>
                <w:rFonts w:ascii="Arial" w:hAnsi="Arial" w:cs="Arial"/>
                <w:sz w:val="20"/>
                <w:szCs w:val="20"/>
                <w:lang w:eastAsia="en-GB"/>
              </w:rPr>
              <w:t>, </w:t>
            </w:r>
            <w:proofErr w:type="spellStart"/>
            <w:r w:rsidRPr="005353CB">
              <w:rPr>
                <w:rFonts w:ascii="Arial" w:hAnsi="Arial" w:cs="Arial"/>
                <w:sz w:val="20"/>
                <w:szCs w:val="20"/>
                <w:lang w:eastAsia="en-GB"/>
              </w:rPr>
              <w:fldChar w:fldCharType="begin"/>
            </w:r>
            <w:r w:rsidRPr="005353CB">
              <w:rPr>
                <w:rFonts w:ascii="Arial" w:hAnsi="Arial" w:cs="Arial"/>
                <w:sz w:val="20"/>
                <w:szCs w:val="20"/>
                <w:lang w:eastAsia="en-GB"/>
              </w:rPr>
              <w:instrText xml:space="preserve"> HYPERLINK "https://www.ncbi.nlm.nih.gov/pubmed/?term=Grobbee%20DE%5BAuthor%5D&amp;cauthor=true&amp;cauthor_uid=12975389" </w:instrText>
            </w:r>
            <w:r w:rsidRPr="005353CB">
              <w:rPr>
                <w:rFonts w:ascii="Arial" w:hAnsi="Arial" w:cs="Arial"/>
                <w:sz w:val="20"/>
                <w:szCs w:val="20"/>
                <w:lang w:eastAsia="en-GB"/>
              </w:rPr>
              <w:fldChar w:fldCharType="separate"/>
            </w:r>
            <w:r w:rsidRPr="005353CB">
              <w:rPr>
                <w:rStyle w:val="Hyperlink"/>
                <w:rFonts w:ascii="Arial" w:hAnsi="Arial" w:cs="Arial"/>
                <w:color w:val="auto"/>
                <w:sz w:val="20"/>
                <w:szCs w:val="20"/>
                <w:lang w:eastAsia="en-GB"/>
              </w:rPr>
              <w:t>Grobbee</w:t>
            </w:r>
            <w:proofErr w:type="spellEnd"/>
            <w:r w:rsidRPr="005353CB">
              <w:rPr>
                <w:rStyle w:val="Hyperlink"/>
                <w:rFonts w:ascii="Arial" w:hAnsi="Arial" w:cs="Arial"/>
                <w:color w:val="auto"/>
                <w:sz w:val="20"/>
                <w:szCs w:val="20"/>
                <w:lang w:eastAsia="en-GB"/>
              </w:rPr>
              <w:t xml:space="preserve"> DE</w:t>
            </w:r>
            <w:r w:rsidRPr="005353CB">
              <w:rPr>
                <w:rFonts w:ascii="Arial" w:hAnsi="Arial" w:cs="Arial"/>
                <w:sz w:val="20"/>
                <w:szCs w:val="20"/>
                <w:lang w:eastAsia="en-GB"/>
              </w:rPr>
              <w:fldChar w:fldCharType="end"/>
            </w:r>
            <w:r w:rsidRPr="005353CB">
              <w:rPr>
                <w:rFonts w:ascii="Arial" w:hAnsi="Arial" w:cs="Arial"/>
                <w:sz w:val="20"/>
                <w:szCs w:val="20"/>
                <w:lang w:eastAsia="en-GB"/>
              </w:rPr>
              <w:t>, </w:t>
            </w:r>
            <w:proofErr w:type="spellStart"/>
            <w:r w:rsidRPr="005353CB">
              <w:rPr>
                <w:rFonts w:ascii="Arial" w:hAnsi="Arial" w:cs="Arial"/>
                <w:sz w:val="20"/>
                <w:szCs w:val="20"/>
                <w:lang w:eastAsia="en-GB"/>
              </w:rPr>
              <w:fldChar w:fldCharType="begin"/>
            </w:r>
            <w:r w:rsidRPr="005353CB">
              <w:rPr>
                <w:rFonts w:ascii="Arial" w:hAnsi="Arial" w:cs="Arial"/>
                <w:sz w:val="20"/>
                <w:szCs w:val="20"/>
                <w:lang w:eastAsia="en-GB"/>
              </w:rPr>
              <w:instrText xml:space="preserve"> HYPERLINK "https://www.ncbi.nlm.nih.gov/pubmed/?term=Geleijnse%20JM%5BAuthor%5D&amp;cauthor=true&amp;cauthor_uid=12975389" </w:instrText>
            </w:r>
            <w:r w:rsidRPr="005353CB">
              <w:rPr>
                <w:rFonts w:ascii="Arial" w:hAnsi="Arial" w:cs="Arial"/>
                <w:sz w:val="20"/>
                <w:szCs w:val="20"/>
                <w:lang w:eastAsia="en-GB"/>
              </w:rPr>
              <w:fldChar w:fldCharType="separate"/>
            </w:r>
            <w:r w:rsidRPr="005353CB">
              <w:rPr>
                <w:rStyle w:val="Hyperlink"/>
                <w:rFonts w:ascii="Arial" w:hAnsi="Arial" w:cs="Arial"/>
                <w:color w:val="auto"/>
                <w:sz w:val="20"/>
                <w:szCs w:val="20"/>
                <w:lang w:eastAsia="en-GB"/>
              </w:rPr>
              <w:t>Geleijnse</w:t>
            </w:r>
            <w:proofErr w:type="spellEnd"/>
            <w:r w:rsidRPr="005353CB">
              <w:rPr>
                <w:rStyle w:val="Hyperlink"/>
                <w:rFonts w:ascii="Arial" w:hAnsi="Arial" w:cs="Arial"/>
                <w:color w:val="auto"/>
                <w:sz w:val="20"/>
                <w:szCs w:val="20"/>
                <w:lang w:eastAsia="en-GB"/>
              </w:rPr>
              <w:t xml:space="preserve"> JM</w:t>
            </w:r>
            <w:r w:rsidRPr="005353CB">
              <w:rPr>
                <w:rFonts w:ascii="Arial" w:hAnsi="Arial" w:cs="Arial"/>
                <w:sz w:val="20"/>
                <w:szCs w:val="20"/>
                <w:lang w:eastAsia="en-GB"/>
              </w:rPr>
              <w:fldChar w:fldCharType="end"/>
            </w:r>
            <w:r w:rsidRPr="005353CB">
              <w:rPr>
                <w:rFonts w:ascii="Arial" w:hAnsi="Arial" w:cs="Arial"/>
                <w:sz w:val="20"/>
                <w:szCs w:val="20"/>
                <w:lang w:eastAsia="en-GB"/>
              </w:rPr>
              <w:t xml:space="preserve">. </w:t>
            </w:r>
            <w:r w:rsidRPr="005353CB">
              <w:rPr>
                <w:rFonts w:ascii="Arial" w:hAnsi="Arial" w:cs="Arial"/>
                <w:bCs/>
                <w:kern w:val="36"/>
                <w:sz w:val="20"/>
                <w:szCs w:val="20"/>
                <w:lang w:eastAsia="en-GB"/>
              </w:rPr>
              <w:t xml:space="preserve">Influence of weight reduction on blood pressure: a meta-analysis of randomized controlled trials. </w:t>
            </w:r>
            <w:hyperlink r:id="rId28" w:tooltip="Hypertension (Dallas, Tex. : 1979)." w:history="1">
              <w:r w:rsidRPr="005353CB">
                <w:rPr>
                  <w:rStyle w:val="Hyperlink"/>
                  <w:rFonts w:ascii="Arial" w:hAnsi="Arial" w:cs="Arial"/>
                  <w:color w:val="auto"/>
                  <w:sz w:val="20"/>
                  <w:szCs w:val="20"/>
                  <w:lang w:eastAsia="en-GB"/>
                </w:rPr>
                <w:t>Hypertension.</w:t>
              </w:r>
            </w:hyperlink>
            <w:r w:rsidRPr="005353CB">
              <w:rPr>
                <w:rFonts w:ascii="Arial" w:hAnsi="Arial" w:cs="Arial"/>
                <w:sz w:val="20"/>
                <w:szCs w:val="20"/>
                <w:lang w:eastAsia="en-GB"/>
              </w:rPr>
              <w:t xml:space="preserve"> 2003 Nov;42(5):878-84. </w:t>
            </w:r>
            <w:proofErr w:type="spellStart"/>
            <w:r w:rsidRPr="005353CB">
              <w:rPr>
                <w:rFonts w:ascii="Arial" w:hAnsi="Arial" w:cs="Arial"/>
                <w:sz w:val="20"/>
                <w:szCs w:val="20"/>
                <w:lang w:eastAsia="en-GB"/>
              </w:rPr>
              <w:t>Epub</w:t>
            </w:r>
            <w:proofErr w:type="spellEnd"/>
            <w:r w:rsidRPr="005353CB">
              <w:rPr>
                <w:rFonts w:ascii="Arial" w:hAnsi="Arial" w:cs="Arial"/>
                <w:sz w:val="20"/>
                <w:szCs w:val="20"/>
                <w:lang w:eastAsia="en-GB"/>
              </w:rPr>
              <w:t xml:space="preserve"> 2003 Sep 15.</w:t>
            </w:r>
          </w:p>
          <w:p w14:paraId="5C56B93A" w14:textId="77777777" w:rsidR="003F5118" w:rsidRPr="00205A28" w:rsidRDefault="003F5118" w:rsidP="003F5118">
            <w:pPr>
              <w:pStyle w:val="ListParagraph"/>
              <w:numPr>
                <w:ilvl w:val="0"/>
                <w:numId w:val="47"/>
              </w:numPr>
              <w:shd w:val="clear" w:color="auto" w:fill="FFFFFF"/>
              <w:rPr>
                <w:rFonts w:ascii="Arial" w:hAnsi="Arial" w:cs="Arial"/>
                <w:sz w:val="20"/>
                <w:szCs w:val="20"/>
                <w:lang w:eastAsia="en-GB"/>
              </w:rPr>
            </w:pPr>
            <w:proofErr w:type="spellStart"/>
            <w:r w:rsidRPr="00205A28">
              <w:rPr>
                <w:rFonts w:ascii="Arial" w:hAnsi="Arial" w:cs="Arial"/>
                <w:sz w:val="20"/>
                <w:szCs w:val="20"/>
                <w:lang w:eastAsia="en-GB"/>
              </w:rPr>
              <w:t>Graudal</w:t>
            </w:r>
            <w:proofErr w:type="spellEnd"/>
            <w:r w:rsidRPr="00205A28">
              <w:rPr>
                <w:rFonts w:ascii="Arial" w:hAnsi="Arial" w:cs="Arial"/>
                <w:sz w:val="20"/>
                <w:szCs w:val="20"/>
                <w:lang w:eastAsia="en-GB"/>
              </w:rPr>
              <w:t xml:space="preserve"> NA, </w:t>
            </w:r>
            <w:proofErr w:type="spellStart"/>
            <w:r w:rsidRPr="00205A28">
              <w:rPr>
                <w:rFonts w:ascii="Arial" w:hAnsi="Arial" w:cs="Arial"/>
                <w:sz w:val="20"/>
                <w:szCs w:val="20"/>
                <w:lang w:eastAsia="en-GB"/>
              </w:rPr>
              <w:t>Hubeck-Graudal</w:t>
            </w:r>
            <w:proofErr w:type="spellEnd"/>
            <w:r w:rsidRPr="00205A28">
              <w:rPr>
                <w:rFonts w:ascii="Arial" w:hAnsi="Arial" w:cs="Arial"/>
                <w:sz w:val="20"/>
                <w:szCs w:val="20"/>
                <w:lang w:eastAsia="en-GB"/>
              </w:rPr>
              <w:t xml:space="preserve"> T, Jurgens G. Effects of low sodium diet versus high sodium diet on blood pressure, renin, aldosterone, catecholamines, cholesterol, and triglyceride. Cochrane Database </w:t>
            </w:r>
            <w:proofErr w:type="spellStart"/>
            <w:r w:rsidRPr="00205A28">
              <w:rPr>
                <w:rFonts w:ascii="Arial" w:hAnsi="Arial" w:cs="Arial"/>
                <w:sz w:val="20"/>
                <w:szCs w:val="20"/>
                <w:lang w:eastAsia="en-GB"/>
              </w:rPr>
              <w:t>Syst</w:t>
            </w:r>
            <w:proofErr w:type="spellEnd"/>
            <w:r w:rsidRPr="00205A28">
              <w:rPr>
                <w:rFonts w:ascii="Arial" w:hAnsi="Arial" w:cs="Arial"/>
                <w:sz w:val="20"/>
                <w:szCs w:val="20"/>
                <w:lang w:eastAsia="en-GB"/>
              </w:rPr>
              <w:t xml:space="preserve"> Rev. 2011 Nov 9;11:CD004022.</w:t>
            </w:r>
          </w:p>
          <w:p w14:paraId="32397EAC" w14:textId="77777777" w:rsidR="003F5118" w:rsidRPr="00205A28" w:rsidRDefault="003F5118" w:rsidP="003F5118">
            <w:pPr>
              <w:pStyle w:val="ListParagraph"/>
              <w:numPr>
                <w:ilvl w:val="0"/>
                <w:numId w:val="47"/>
              </w:numPr>
              <w:shd w:val="clear" w:color="auto" w:fill="FFFFFF"/>
              <w:rPr>
                <w:rFonts w:ascii="Arial" w:hAnsi="Arial" w:cs="Arial"/>
                <w:sz w:val="20"/>
                <w:szCs w:val="20"/>
                <w:lang w:eastAsia="en-GB"/>
              </w:rPr>
            </w:pPr>
            <w:r w:rsidRPr="00205A28">
              <w:rPr>
                <w:rFonts w:ascii="Arial" w:hAnsi="Arial" w:cs="Arial"/>
                <w:sz w:val="20"/>
                <w:szCs w:val="20"/>
                <w:lang w:eastAsia="en-GB"/>
              </w:rPr>
              <w:t xml:space="preserve">He FJ, Li J, Macgregor GA. Effect of longer-term modest salt reduction on blood pressure. Cochrane Database </w:t>
            </w:r>
            <w:proofErr w:type="spellStart"/>
            <w:r w:rsidRPr="00205A28">
              <w:rPr>
                <w:rFonts w:ascii="Arial" w:hAnsi="Arial" w:cs="Arial"/>
                <w:sz w:val="20"/>
                <w:szCs w:val="20"/>
                <w:lang w:eastAsia="en-GB"/>
              </w:rPr>
              <w:t>Syst</w:t>
            </w:r>
            <w:proofErr w:type="spellEnd"/>
            <w:r w:rsidRPr="00205A28">
              <w:rPr>
                <w:rFonts w:ascii="Arial" w:hAnsi="Arial" w:cs="Arial"/>
                <w:sz w:val="20"/>
                <w:szCs w:val="20"/>
                <w:lang w:eastAsia="en-GB"/>
              </w:rPr>
              <w:t xml:space="preserve"> Rev. 2013 Apr 30;4:CD004937. </w:t>
            </w:r>
          </w:p>
          <w:p w14:paraId="13E3942B" w14:textId="77777777" w:rsidR="003F5118" w:rsidRPr="00205A28" w:rsidRDefault="003F5118" w:rsidP="003F5118">
            <w:pPr>
              <w:pStyle w:val="ListParagraph"/>
              <w:numPr>
                <w:ilvl w:val="0"/>
                <w:numId w:val="47"/>
              </w:numPr>
              <w:shd w:val="clear" w:color="auto" w:fill="FFFFFF"/>
              <w:rPr>
                <w:rFonts w:ascii="Arial" w:hAnsi="Arial" w:cs="Arial"/>
                <w:sz w:val="20"/>
                <w:szCs w:val="20"/>
                <w:lang w:eastAsia="en-GB"/>
              </w:rPr>
            </w:pPr>
            <w:proofErr w:type="spellStart"/>
            <w:r w:rsidRPr="00205A28">
              <w:rPr>
                <w:rFonts w:ascii="Arial" w:hAnsi="Arial" w:cs="Arial"/>
                <w:sz w:val="20"/>
                <w:szCs w:val="20"/>
                <w:lang w:eastAsia="en-GB"/>
              </w:rPr>
              <w:t>Aburto</w:t>
            </w:r>
            <w:proofErr w:type="spellEnd"/>
            <w:r w:rsidRPr="00205A28">
              <w:rPr>
                <w:rFonts w:ascii="Arial" w:hAnsi="Arial" w:cs="Arial"/>
                <w:sz w:val="20"/>
                <w:szCs w:val="20"/>
                <w:lang w:eastAsia="en-GB"/>
              </w:rPr>
              <w:t xml:space="preserve"> NJ, </w:t>
            </w:r>
            <w:proofErr w:type="spellStart"/>
            <w:r w:rsidRPr="00205A28">
              <w:rPr>
                <w:rFonts w:ascii="Arial" w:hAnsi="Arial" w:cs="Arial"/>
                <w:sz w:val="20"/>
                <w:szCs w:val="20"/>
                <w:lang w:eastAsia="en-GB"/>
              </w:rPr>
              <w:t>Ziolkovska</w:t>
            </w:r>
            <w:proofErr w:type="spellEnd"/>
            <w:r w:rsidRPr="00205A28">
              <w:rPr>
                <w:rFonts w:ascii="Arial" w:hAnsi="Arial" w:cs="Arial"/>
                <w:sz w:val="20"/>
                <w:szCs w:val="20"/>
                <w:lang w:eastAsia="en-GB"/>
              </w:rPr>
              <w:t xml:space="preserve"> A, Hooper L, Elliott P, </w:t>
            </w:r>
            <w:proofErr w:type="spellStart"/>
            <w:r w:rsidRPr="00205A28">
              <w:rPr>
                <w:rFonts w:ascii="Arial" w:hAnsi="Arial" w:cs="Arial"/>
                <w:sz w:val="20"/>
                <w:szCs w:val="20"/>
                <w:lang w:eastAsia="en-GB"/>
              </w:rPr>
              <w:t>Cappuccio</w:t>
            </w:r>
            <w:proofErr w:type="spellEnd"/>
            <w:r w:rsidRPr="00205A28">
              <w:rPr>
                <w:rFonts w:ascii="Arial" w:hAnsi="Arial" w:cs="Arial"/>
                <w:sz w:val="20"/>
                <w:szCs w:val="20"/>
                <w:lang w:eastAsia="en-GB"/>
              </w:rPr>
              <w:t xml:space="preserve"> FP, </w:t>
            </w:r>
            <w:proofErr w:type="spellStart"/>
            <w:r w:rsidRPr="00205A28">
              <w:rPr>
                <w:rFonts w:ascii="Arial" w:hAnsi="Arial" w:cs="Arial"/>
                <w:sz w:val="20"/>
                <w:szCs w:val="20"/>
                <w:lang w:eastAsia="en-GB"/>
              </w:rPr>
              <w:t>Meerpohl</w:t>
            </w:r>
            <w:proofErr w:type="spellEnd"/>
            <w:r w:rsidRPr="00205A28">
              <w:rPr>
                <w:rFonts w:ascii="Arial" w:hAnsi="Arial" w:cs="Arial"/>
                <w:sz w:val="20"/>
                <w:szCs w:val="20"/>
                <w:lang w:eastAsia="en-GB"/>
              </w:rPr>
              <w:t xml:space="preserve"> JJ. Effect of lower sodium intake on health: systematic review and meta-analyses. BMJ. 2013 Apr 3;346</w:t>
            </w:r>
          </w:p>
          <w:p w14:paraId="57760A3E" w14:textId="77777777" w:rsidR="003F5118" w:rsidRPr="00205A28" w:rsidRDefault="003F5118" w:rsidP="003F5118">
            <w:pPr>
              <w:pStyle w:val="ListParagraph"/>
              <w:numPr>
                <w:ilvl w:val="0"/>
                <w:numId w:val="47"/>
              </w:numPr>
              <w:shd w:val="clear" w:color="auto" w:fill="FFFFFF"/>
              <w:rPr>
                <w:rFonts w:ascii="Arial" w:hAnsi="Arial" w:cs="Arial"/>
                <w:sz w:val="20"/>
                <w:szCs w:val="20"/>
                <w:lang w:eastAsia="en-GB"/>
              </w:rPr>
            </w:pPr>
            <w:r w:rsidRPr="00205A28">
              <w:rPr>
                <w:rFonts w:ascii="Arial" w:hAnsi="Arial" w:cs="Arial"/>
                <w:sz w:val="20"/>
                <w:szCs w:val="20"/>
                <w:lang w:eastAsia="en-GB"/>
              </w:rPr>
              <w:t xml:space="preserve">Appel LJ, Moore TJ, </w:t>
            </w:r>
            <w:proofErr w:type="spellStart"/>
            <w:r w:rsidRPr="00205A28">
              <w:rPr>
                <w:rFonts w:ascii="Arial" w:hAnsi="Arial" w:cs="Arial"/>
                <w:sz w:val="20"/>
                <w:szCs w:val="20"/>
                <w:lang w:eastAsia="en-GB"/>
              </w:rPr>
              <w:t>Obarzanek</w:t>
            </w:r>
            <w:proofErr w:type="spellEnd"/>
            <w:r w:rsidRPr="00205A28">
              <w:rPr>
                <w:rFonts w:ascii="Arial" w:hAnsi="Arial" w:cs="Arial"/>
                <w:sz w:val="20"/>
                <w:szCs w:val="20"/>
                <w:lang w:eastAsia="en-GB"/>
              </w:rPr>
              <w:t xml:space="preserve"> E, Vollmer WM, </w:t>
            </w:r>
            <w:proofErr w:type="spellStart"/>
            <w:r w:rsidRPr="00205A28">
              <w:rPr>
                <w:rFonts w:ascii="Arial" w:hAnsi="Arial" w:cs="Arial"/>
                <w:sz w:val="20"/>
                <w:szCs w:val="20"/>
                <w:lang w:eastAsia="en-GB"/>
              </w:rPr>
              <w:t>Svetkey</w:t>
            </w:r>
            <w:proofErr w:type="spellEnd"/>
            <w:r w:rsidRPr="00205A28">
              <w:rPr>
                <w:rFonts w:ascii="Arial" w:hAnsi="Arial" w:cs="Arial"/>
                <w:sz w:val="20"/>
                <w:szCs w:val="20"/>
                <w:lang w:eastAsia="en-GB"/>
              </w:rPr>
              <w:t xml:space="preserve"> LP, Sacks FM, et al. Dietary patterns and blood pressure. DASH Collaborative Research Group. N </w:t>
            </w:r>
            <w:proofErr w:type="spellStart"/>
            <w:r w:rsidRPr="00205A28">
              <w:rPr>
                <w:rFonts w:ascii="Arial" w:hAnsi="Arial" w:cs="Arial"/>
                <w:sz w:val="20"/>
                <w:szCs w:val="20"/>
                <w:lang w:eastAsia="en-GB"/>
              </w:rPr>
              <w:t>Eng</w:t>
            </w:r>
            <w:proofErr w:type="spellEnd"/>
            <w:r w:rsidRPr="00205A28">
              <w:rPr>
                <w:rFonts w:ascii="Arial" w:hAnsi="Arial" w:cs="Arial"/>
                <w:sz w:val="20"/>
                <w:szCs w:val="20"/>
                <w:lang w:eastAsia="en-GB"/>
              </w:rPr>
              <w:t xml:space="preserve"> J Med.1997 Apr </w:t>
            </w:r>
            <w:proofErr w:type="gramStart"/>
            <w:r w:rsidRPr="00205A28">
              <w:rPr>
                <w:rFonts w:ascii="Arial" w:hAnsi="Arial" w:cs="Arial"/>
                <w:sz w:val="20"/>
                <w:szCs w:val="20"/>
                <w:lang w:eastAsia="en-GB"/>
              </w:rPr>
              <w:t>17;337:637</w:t>
            </w:r>
            <w:proofErr w:type="gramEnd"/>
            <w:r w:rsidRPr="00205A28">
              <w:rPr>
                <w:rFonts w:ascii="Arial" w:hAnsi="Arial" w:cs="Arial"/>
                <w:sz w:val="20"/>
                <w:szCs w:val="20"/>
                <w:lang w:eastAsia="en-GB"/>
              </w:rPr>
              <w:t xml:space="preserve">-8. </w:t>
            </w:r>
          </w:p>
          <w:p w14:paraId="6673D6C5" w14:textId="77777777" w:rsidR="003F5118" w:rsidRPr="00205A28" w:rsidRDefault="003F5118" w:rsidP="003F5118">
            <w:pPr>
              <w:pStyle w:val="ListParagraph"/>
              <w:numPr>
                <w:ilvl w:val="0"/>
                <w:numId w:val="47"/>
              </w:numPr>
              <w:shd w:val="clear" w:color="auto" w:fill="FFFFFF"/>
              <w:rPr>
                <w:rFonts w:ascii="Arial" w:hAnsi="Arial" w:cs="Arial"/>
                <w:sz w:val="20"/>
                <w:szCs w:val="20"/>
                <w:lang w:eastAsia="en-GB"/>
              </w:rPr>
            </w:pPr>
            <w:r w:rsidRPr="00205A28">
              <w:rPr>
                <w:rFonts w:ascii="Arial" w:hAnsi="Arial" w:cs="Arial"/>
                <w:sz w:val="20"/>
                <w:szCs w:val="20"/>
                <w:lang w:eastAsia="en-GB"/>
              </w:rPr>
              <w:t xml:space="preserve">Bray GA, </w:t>
            </w:r>
            <w:proofErr w:type="spellStart"/>
            <w:r w:rsidRPr="00205A28">
              <w:rPr>
                <w:rFonts w:ascii="Arial" w:hAnsi="Arial" w:cs="Arial"/>
                <w:sz w:val="20"/>
                <w:szCs w:val="20"/>
                <w:lang w:eastAsia="en-GB"/>
              </w:rPr>
              <w:t>Vollner</w:t>
            </w:r>
            <w:proofErr w:type="spellEnd"/>
            <w:r w:rsidRPr="00205A28">
              <w:rPr>
                <w:rFonts w:ascii="Arial" w:hAnsi="Arial" w:cs="Arial"/>
                <w:sz w:val="20"/>
                <w:szCs w:val="20"/>
                <w:lang w:eastAsia="en-GB"/>
              </w:rPr>
              <w:t xml:space="preserve"> WM, Sacks FM, </w:t>
            </w:r>
            <w:proofErr w:type="spellStart"/>
            <w:r w:rsidRPr="00205A28">
              <w:rPr>
                <w:rFonts w:ascii="Arial" w:hAnsi="Arial" w:cs="Arial"/>
                <w:sz w:val="20"/>
                <w:szCs w:val="20"/>
                <w:lang w:eastAsia="en-GB"/>
              </w:rPr>
              <w:t>Obarzanek</w:t>
            </w:r>
            <w:proofErr w:type="spellEnd"/>
            <w:r w:rsidRPr="00205A28">
              <w:rPr>
                <w:rFonts w:ascii="Arial" w:hAnsi="Arial" w:cs="Arial"/>
                <w:sz w:val="20"/>
                <w:szCs w:val="20"/>
                <w:lang w:eastAsia="en-GB"/>
              </w:rPr>
              <w:t xml:space="preserve"> E, </w:t>
            </w:r>
            <w:proofErr w:type="spellStart"/>
            <w:r w:rsidRPr="00205A28">
              <w:rPr>
                <w:rFonts w:ascii="Arial" w:hAnsi="Arial" w:cs="Arial"/>
                <w:sz w:val="20"/>
                <w:szCs w:val="20"/>
                <w:lang w:eastAsia="en-GB"/>
              </w:rPr>
              <w:t>Svetkey</w:t>
            </w:r>
            <w:proofErr w:type="spellEnd"/>
            <w:r w:rsidRPr="00205A28">
              <w:rPr>
                <w:rFonts w:ascii="Arial" w:hAnsi="Arial" w:cs="Arial"/>
                <w:sz w:val="20"/>
                <w:szCs w:val="20"/>
                <w:lang w:eastAsia="en-GB"/>
              </w:rPr>
              <w:t xml:space="preserve"> LP, Appel LJ; DASH Collaborative Research Group. A further subgroup analysis of the effects of the DASH diet and three dietary sodium levels on blood pressure: results of the DASH-Sodium Trial. Am J </w:t>
            </w:r>
            <w:proofErr w:type="spellStart"/>
            <w:r w:rsidRPr="00205A28">
              <w:rPr>
                <w:rFonts w:ascii="Arial" w:hAnsi="Arial" w:cs="Arial"/>
                <w:sz w:val="20"/>
                <w:szCs w:val="20"/>
                <w:lang w:eastAsia="en-GB"/>
              </w:rPr>
              <w:t>Cardiol</w:t>
            </w:r>
            <w:proofErr w:type="spellEnd"/>
            <w:r w:rsidRPr="00205A28">
              <w:rPr>
                <w:rFonts w:ascii="Arial" w:hAnsi="Arial" w:cs="Arial"/>
                <w:sz w:val="20"/>
                <w:szCs w:val="20"/>
                <w:lang w:eastAsia="en-GB"/>
              </w:rPr>
              <w:t xml:space="preserve">. 2004 Jul 15;94(2):222-7. </w:t>
            </w:r>
          </w:p>
          <w:p w14:paraId="66CD8AF2" w14:textId="77777777" w:rsidR="003F5118" w:rsidRPr="00205A28" w:rsidRDefault="003F5118" w:rsidP="003F5118">
            <w:pPr>
              <w:pStyle w:val="ListParagraph"/>
              <w:numPr>
                <w:ilvl w:val="0"/>
                <w:numId w:val="47"/>
              </w:numPr>
              <w:shd w:val="clear" w:color="auto" w:fill="FFFFFF"/>
              <w:rPr>
                <w:rFonts w:ascii="Arial" w:hAnsi="Arial" w:cs="Arial"/>
                <w:sz w:val="20"/>
                <w:szCs w:val="20"/>
                <w:lang w:eastAsia="en-GB"/>
              </w:rPr>
            </w:pPr>
            <w:r w:rsidRPr="00205A28">
              <w:rPr>
                <w:rFonts w:ascii="Arial" w:hAnsi="Arial" w:cs="Arial"/>
                <w:sz w:val="20"/>
                <w:szCs w:val="20"/>
                <w:lang w:eastAsia="en-GB"/>
              </w:rPr>
              <w:t xml:space="preserve">The Trials of Hypertension Prevention Collaborative Research Group. Effects of weight loss and sodium reduction intervention on blood pressure and hypertension incidence in overweight people with high-normal blood pressure: </w:t>
            </w:r>
            <w:proofErr w:type="gramStart"/>
            <w:r w:rsidRPr="00205A28">
              <w:rPr>
                <w:rFonts w:ascii="Arial" w:hAnsi="Arial" w:cs="Arial"/>
                <w:sz w:val="20"/>
                <w:szCs w:val="20"/>
                <w:lang w:eastAsia="en-GB"/>
              </w:rPr>
              <w:t>the</w:t>
            </w:r>
            <w:proofErr w:type="gramEnd"/>
            <w:r w:rsidRPr="00205A28">
              <w:rPr>
                <w:rFonts w:ascii="Arial" w:hAnsi="Arial" w:cs="Arial"/>
                <w:sz w:val="20"/>
                <w:szCs w:val="20"/>
                <w:lang w:eastAsia="en-GB"/>
              </w:rPr>
              <w:t xml:space="preserve"> Trials of Hypertension Prevention, Phase II. Arch Intern Med. 1997 Mar 24;157(6):657-67. </w:t>
            </w:r>
          </w:p>
          <w:p w14:paraId="027AD4DD" w14:textId="3760E96F" w:rsidR="003F5118" w:rsidRPr="00FB0CC9" w:rsidRDefault="003F5118" w:rsidP="003F5118">
            <w:pPr>
              <w:pStyle w:val="Default"/>
              <w:rPr>
                <w:rFonts w:ascii="Arial" w:hAnsi="Arial" w:cs="Arial"/>
                <w:color w:val="auto"/>
                <w:sz w:val="20"/>
                <w:szCs w:val="20"/>
              </w:rPr>
            </w:pPr>
            <w:r w:rsidRPr="00205A28">
              <w:rPr>
                <w:rFonts w:ascii="Arial" w:hAnsi="Arial" w:cs="Arial"/>
                <w:sz w:val="20"/>
                <w:szCs w:val="20"/>
              </w:rPr>
              <w:t xml:space="preserve">Elmer PJ, </w:t>
            </w:r>
            <w:proofErr w:type="spellStart"/>
            <w:r w:rsidRPr="00205A28">
              <w:rPr>
                <w:rFonts w:ascii="Arial" w:hAnsi="Arial" w:cs="Arial"/>
                <w:sz w:val="20"/>
                <w:szCs w:val="20"/>
              </w:rPr>
              <w:t>Obarzanek</w:t>
            </w:r>
            <w:proofErr w:type="spellEnd"/>
            <w:r w:rsidRPr="00205A28">
              <w:rPr>
                <w:rFonts w:ascii="Arial" w:hAnsi="Arial" w:cs="Arial"/>
                <w:sz w:val="20"/>
                <w:szCs w:val="20"/>
              </w:rPr>
              <w:t xml:space="preserve"> E, Vollmer WM, Simons-Morton D, Stevens VJ, Young DR, et al; PREMIER Collaborative Research Group. Effects of comprehensive lifestyle modification on diet, weight, physical fitness, and blood pressure control: 18-month results of a randomized trial. Ann Intern Med. 2006 Apr 4;144(7):485-95</w:t>
            </w:r>
          </w:p>
        </w:tc>
      </w:tr>
      <w:tr w:rsidR="003F5118" w:rsidRPr="00FB0CC9" w14:paraId="0BEFFE32" w14:textId="77777777" w:rsidTr="0024650F">
        <w:trPr>
          <w:trHeight w:val="259"/>
        </w:trPr>
        <w:tc>
          <w:tcPr>
            <w:tcW w:w="562" w:type="dxa"/>
          </w:tcPr>
          <w:p w14:paraId="2594A601" w14:textId="2710E62C" w:rsidR="003F5118" w:rsidRPr="006658EF" w:rsidRDefault="006658EF" w:rsidP="003F5118">
            <w:pPr>
              <w:pStyle w:val="TableText1"/>
              <w:jc w:val="center"/>
              <w:rPr>
                <w:rFonts w:cs="Arial"/>
                <w:sz w:val="20"/>
                <w:szCs w:val="20"/>
              </w:rPr>
            </w:pPr>
            <w:r w:rsidRPr="006658EF">
              <w:rPr>
                <w:rFonts w:cs="Arial"/>
                <w:sz w:val="20"/>
                <w:szCs w:val="20"/>
              </w:rPr>
              <w:lastRenderedPageBreak/>
              <w:t>6</w:t>
            </w:r>
          </w:p>
        </w:tc>
        <w:tc>
          <w:tcPr>
            <w:tcW w:w="1139" w:type="dxa"/>
          </w:tcPr>
          <w:p w14:paraId="52B140B7" w14:textId="0EA2759A" w:rsidR="003F5118" w:rsidRPr="00FB0CC9" w:rsidRDefault="003F5118" w:rsidP="003F5118">
            <w:pPr>
              <w:pStyle w:val="TableText1"/>
              <w:rPr>
                <w:rFonts w:cs="Arial"/>
                <w:color w:val="000000"/>
                <w:sz w:val="20"/>
                <w:szCs w:val="20"/>
              </w:rPr>
            </w:pPr>
            <w:r w:rsidRPr="00FB0CC9">
              <w:rPr>
                <w:rFonts w:cs="Arial"/>
                <w:color w:val="000000"/>
                <w:sz w:val="20"/>
                <w:szCs w:val="20"/>
              </w:rPr>
              <w:t>General comment</w:t>
            </w:r>
          </w:p>
        </w:tc>
        <w:tc>
          <w:tcPr>
            <w:tcW w:w="1985" w:type="dxa"/>
          </w:tcPr>
          <w:p w14:paraId="750C89D7" w14:textId="098657B6" w:rsidR="003F5118" w:rsidRPr="00FB0CC9" w:rsidRDefault="003F5118" w:rsidP="003F5118">
            <w:pPr>
              <w:pStyle w:val="TableText1"/>
              <w:rPr>
                <w:rFonts w:cs="Arial"/>
                <w:b/>
                <w:sz w:val="20"/>
                <w:szCs w:val="20"/>
              </w:rPr>
            </w:pPr>
            <w:proofErr w:type="spellStart"/>
            <w:r w:rsidRPr="00FB0CC9">
              <w:rPr>
                <w:rFonts w:cs="Arial"/>
                <w:b/>
                <w:sz w:val="20"/>
                <w:szCs w:val="20"/>
              </w:rPr>
              <w:t>Elcena</w:t>
            </w:r>
            <w:proofErr w:type="spellEnd"/>
            <w:r w:rsidRPr="00FB0CC9">
              <w:rPr>
                <w:rFonts w:cs="Arial"/>
                <w:b/>
                <w:sz w:val="20"/>
                <w:szCs w:val="20"/>
              </w:rPr>
              <w:t xml:space="preserve"> Jeffers Foundation</w:t>
            </w:r>
          </w:p>
        </w:tc>
        <w:tc>
          <w:tcPr>
            <w:tcW w:w="11198" w:type="dxa"/>
          </w:tcPr>
          <w:p w14:paraId="7D10E361" w14:textId="01DF8E87" w:rsidR="003F5118" w:rsidRPr="00FB0CC9" w:rsidRDefault="003F5118" w:rsidP="003F5118">
            <w:pPr>
              <w:rPr>
                <w:rFonts w:ascii="Arial" w:hAnsi="Arial" w:cs="Arial"/>
                <w:sz w:val="20"/>
                <w:szCs w:val="20"/>
              </w:rPr>
            </w:pPr>
            <w:r w:rsidRPr="000E5708">
              <w:rPr>
                <w:rFonts w:ascii="Arial" w:hAnsi="Arial" w:cs="Arial"/>
                <w:sz w:val="20"/>
                <w:szCs w:val="20"/>
              </w:rPr>
              <w:t>There is a wish to know about self-care in general public education in life as different people has different diseases or ailments</w:t>
            </w:r>
          </w:p>
        </w:tc>
      </w:tr>
      <w:tr w:rsidR="003F5118" w:rsidRPr="006375EE" w14:paraId="78AAE695" w14:textId="77777777" w:rsidTr="0024650F">
        <w:trPr>
          <w:trHeight w:val="259"/>
        </w:trPr>
        <w:tc>
          <w:tcPr>
            <w:tcW w:w="562" w:type="dxa"/>
          </w:tcPr>
          <w:p w14:paraId="4AA354FA" w14:textId="4E5ADD5B" w:rsidR="003F5118" w:rsidRPr="006658EF" w:rsidRDefault="006658EF" w:rsidP="003F5118">
            <w:pPr>
              <w:pStyle w:val="TableText1"/>
              <w:jc w:val="center"/>
              <w:rPr>
                <w:rFonts w:cs="Arial"/>
                <w:sz w:val="20"/>
                <w:szCs w:val="20"/>
              </w:rPr>
            </w:pPr>
            <w:r w:rsidRPr="006658EF">
              <w:rPr>
                <w:rFonts w:cs="Arial"/>
                <w:sz w:val="20"/>
                <w:szCs w:val="20"/>
              </w:rPr>
              <w:t>7</w:t>
            </w:r>
          </w:p>
        </w:tc>
        <w:tc>
          <w:tcPr>
            <w:tcW w:w="1139" w:type="dxa"/>
          </w:tcPr>
          <w:p w14:paraId="76FFD328" w14:textId="2362A074" w:rsidR="003F5118" w:rsidRPr="00FB0CC9" w:rsidRDefault="003F5118" w:rsidP="003F5118">
            <w:pPr>
              <w:pStyle w:val="TableText1"/>
              <w:rPr>
                <w:rFonts w:cs="Arial"/>
                <w:color w:val="000000"/>
                <w:sz w:val="20"/>
                <w:szCs w:val="20"/>
              </w:rPr>
            </w:pPr>
            <w:r w:rsidRPr="00FB0CC9">
              <w:rPr>
                <w:rFonts w:cs="Arial"/>
                <w:color w:val="000000"/>
                <w:sz w:val="20"/>
                <w:szCs w:val="20"/>
              </w:rPr>
              <w:t>General comment</w:t>
            </w:r>
          </w:p>
        </w:tc>
        <w:tc>
          <w:tcPr>
            <w:tcW w:w="1985" w:type="dxa"/>
          </w:tcPr>
          <w:p w14:paraId="4F54ABA7" w14:textId="19B243DB" w:rsidR="003F5118" w:rsidRPr="00FB0CC9" w:rsidRDefault="003F5118" w:rsidP="003F5118">
            <w:pPr>
              <w:pStyle w:val="TableText1"/>
              <w:rPr>
                <w:rFonts w:cs="Arial"/>
                <w:b/>
                <w:sz w:val="20"/>
                <w:szCs w:val="20"/>
              </w:rPr>
            </w:pPr>
            <w:r w:rsidRPr="00FB0CC9">
              <w:rPr>
                <w:rFonts w:cs="Arial"/>
                <w:b/>
                <w:sz w:val="20"/>
                <w:szCs w:val="20"/>
              </w:rPr>
              <w:t>Managing Adult Malnutrition in the Community</w:t>
            </w:r>
          </w:p>
        </w:tc>
        <w:tc>
          <w:tcPr>
            <w:tcW w:w="11198" w:type="dxa"/>
          </w:tcPr>
          <w:p w14:paraId="66E1E77F" w14:textId="77777777" w:rsidR="003F5118" w:rsidRPr="00FB0CC9" w:rsidRDefault="003F5118" w:rsidP="003F5118">
            <w:pPr>
              <w:rPr>
                <w:rFonts w:ascii="Arial" w:hAnsi="Arial" w:cs="Arial"/>
                <w:sz w:val="20"/>
                <w:szCs w:val="20"/>
              </w:rPr>
            </w:pPr>
            <w:r w:rsidRPr="00FB0CC9">
              <w:rPr>
                <w:rFonts w:ascii="Arial" w:hAnsi="Arial" w:cs="Arial"/>
                <w:sz w:val="20"/>
                <w:szCs w:val="20"/>
              </w:rPr>
              <w:t xml:space="preserve">In light of the fact that the QOF aims to increase likelihood of improved patient outcomes, decrease likelihood of harm from overtreatment and improve the personalisation of care it should be noted that people who are </w:t>
            </w:r>
            <w:proofErr w:type="gramStart"/>
            <w:r w:rsidRPr="000E5708">
              <w:rPr>
                <w:rFonts w:ascii="Arial" w:hAnsi="Arial" w:cs="Arial"/>
                <w:sz w:val="20"/>
                <w:szCs w:val="20"/>
              </w:rPr>
              <w:t>malnourished</w:t>
            </w:r>
            <w:r w:rsidRPr="00FB0CC9">
              <w:rPr>
                <w:rFonts w:ascii="Arial" w:hAnsi="Arial" w:cs="Arial"/>
                <w:sz w:val="20"/>
                <w:szCs w:val="20"/>
              </w:rPr>
              <w:t xml:space="preserve"> :</w:t>
            </w:r>
            <w:proofErr w:type="gramEnd"/>
            <w:r w:rsidRPr="00FB0CC9">
              <w:rPr>
                <w:rFonts w:ascii="Arial" w:hAnsi="Arial" w:cs="Arial"/>
                <w:sz w:val="20"/>
                <w:szCs w:val="20"/>
              </w:rPr>
              <w:t xml:space="preserve">  </w:t>
            </w:r>
          </w:p>
          <w:p w14:paraId="037AE329" w14:textId="77777777" w:rsidR="003F5118" w:rsidRPr="00FB0CC9" w:rsidRDefault="003F5118" w:rsidP="003F5118">
            <w:pPr>
              <w:rPr>
                <w:rFonts w:ascii="Arial" w:hAnsi="Arial" w:cs="Arial"/>
                <w:sz w:val="20"/>
                <w:szCs w:val="20"/>
              </w:rPr>
            </w:pPr>
          </w:p>
          <w:p w14:paraId="1C693E37" w14:textId="77777777" w:rsidR="003F5118" w:rsidRPr="00FB0CC9" w:rsidRDefault="003F5118" w:rsidP="003F5118">
            <w:pPr>
              <w:pStyle w:val="ListParagraph"/>
              <w:numPr>
                <w:ilvl w:val="0"/>
                <w:numId w:val="39"/>
              </w:numPr>
              <w:rPr>
                <w:rFonts w:ascii="Arial" w:hAnsi="Arial" w:cs="Arial"/>
                <w:sz w:val="20"/>
                <w:szCs w:val="20"/>
              </w:rPr>
            </w:pPr>
            <w:r w:rsidRPr="00FB0CC9">
              <w:rPr>
                <w:rFonts w:ascii="Arial" w:hAnsi="Arial" w:cs="Arial"/>
                <w:sz w:val="20"/>
                <w:szCs w:val="20"/>
              </w:rPr>
              <w:t>have greater healthcare needs (more GP visits, care at home, antibiotics), more hospital admissions and readmissions and longer length of hospital stay</w:t>
            </w:r>
            <w:r w:rsidRPr="000E5708">
              <w:rPr>
                <w:rFonts w:ascii="Arial" w:hAnsi="Arial" w:cs="Arial"/>
                <w:sz w:val="20"/>
                <w:szCs w:val="20"/>
              </w:rPr>
              <w:t>1</w:t>
            </w:r>
          </w:p>
          <w:p w14:paraId="0C847ECD" w14:textId="77777777" w:rsidR="003F5118" w:rsidRPr="00FB0CC9" w:rsidRDefault="003F5118" w:rsidP="003F5118">
            <w:pPr>
              <w:pStyle w:val="ListParagraph"/>
              <w:numPr>
                <w:ilvl w:val="0"/>
                <w:numId w:val="39"/>
              </w:numPr>
              <w:rPr>
                <w:rFonts w:ascii="Arial" w:hAnsi="Arial" w:cs="Arial"/>
                <w:sz w:val="20"/>
                <w:szCs w:val="20"/>
              </w:rPr>
            </w:pPr>
            <w:r w:rsidRPr="00FB0CC9">
              <w:rPr>
                <w:rFonts w:ascii="Arial" w:hAnsi="Arial" w:cs="Arial"/>
                <w:sz w:val="20"/>
                <w:szCs w:val="20"/>
              </w:rPr>
              <w:t>have increased risk of falls</w:t>
            </w:r>
            <w:r w:rsidRPr="000E5708">
              <w:rPr>
                <w:rFonts w:ascii="Arial" w:hAnsi="Arial" w:cs="Arial"/>
                <w:sz w:val="20"/>
                <w:szCs w:val="20"/>
              </w:rPr>
              <w:t>2,3</w:t>
            </w:r>
            <w:r w:rsidRPr="00FB0CC9">
              <w:rPr>
                <w:rFonts w:ascii="Arial" w:hAnsi="Arial" w:cs="Arial"/>
                <w:sz w:val="20"/>
                <w:szCs w:val="20"/>
              </w:rPr>
              <w:t>, impaired recovery from illness and surgery</w:t>
            </w:r>
            <w:r w:rsidRPr="000E5708">
              <w:rPr>
                <w:rFonts w:ascii="Arial" w:hAnsi="Arial" w:cs="Arial"/>
                <w:sz w:val="20"/>
                <w:szCs w:val="20"/>
              </w:rPr>
              <w:t>4</w:t>
            </w:r>
            <w:r w:rsidRPr="00FB0CC9">
              <w:rPr>
                <w:rFonts w:ascii="Arial" w:hAnsi="Arial" w:cs="Arial"/>
                <w:sz w:val="20"/>
                <w:szCs w:val="20"/>
              </w:rPr>
              <w:t>, poorer clinical outcomes</w:t>
            </w:r>
            <w:r w:rsidRPr="000E5708">
              <w:rPr>
                <w:rFonts w:ascii="Arial" w:hAnsi="Arial" w:cs="Arial"/>
                <w:sz w:val="20"/>
                <w:szCs w:val="20"/>
              </w:rPr>
              <w:t>4</w:t>
            </w:r>
            <w:r w:rsidRPr="00FB0CC9">
              <w:rPr>
                <w:rFonts w:ascii="Arial" w:hAnsi="Arial" w:cs="Arial"/>
                <w:sz w:val="20"/>
                <w:szCs w:val="20"/>
              </w:rPr>
              <w:t>, impaired immune response</w:t>
            </w:r>
            <w:r w:rsidRPr="000E5708">
              <w:rPr>
                <w:rFonts w:ascii="Arial" w:hAnsi="Arial" w:cs="Arial"/>
                <w:sz w:val="20"/>
                <w:szCs w:val="20"/>
              </w:rPr>
              <w:t>4</w:t>
            </w:r>
            <w:r w:rsidRPr="00FB0CC9">
              <w:rPr>
                <w:rFonts w:ascii="Arial" w:hAnsi="Arial" w:cs="Arial"/>
                <w:sz w:val="20"/>
                <w:szCs w:val="20"/>
              </w:rPr>
              <w:t>, reduced muscle strength</w:t>
            </w:r>
            <w:r w:rsidRPr="000E5708">
              <w:rPr>
                <w:rFonts w:ascii="Arial" w:hAnsi="Arial" w:cs="Arial"/>
                <w:sz w:val="20"/>
                <w:szCs w:val="20"/>
              </w:rPr>
              <w:t>4</w:t>
            </w:r>
            <w:r w:rsidRPr="00FB0CC9">
              <w:rPr>
                <w:rFonts w:ascii="Arial" w:hAnsi="Arial" w:cs="Arial"/>
                <w:sz w:val="20"/>
                <w:szCs w:val="20"/>
              </w:rPr>
              <w:t xml:space="preserve"> and frailty</w:t>
            </w:r>
            <w:r w:rsidRPr="000E5708">
              <w:rPr>
                <w:rFonts w:ascii="Arial" w:hAnsi="Arial" w:cs="Arial"/>
                <w:sz w:val="20"/>
                <w:szCs w:val="20"/>
              </w:rPr>
              <w:t>5,6</w:t>
            </w:r>
            <w:r w:rsidRPr="00FB0CC9">
              <w:rPr>
                <w:rFonts w:ascii="Arial" w:hAnsi="Arial" w:cs="Arial"/>
                <w:sz w:val="20"/>
                <w:szCs w:val="20"/>
              </w:rPr>
              <w:t>, impaired wound healing</w:t>
            </w:r>
            <w:r w:rsidRPr="000E5708">
              <w:rPr>
                <w:rFonts w:ascii="Arial" w:hAnsi="Arial" w:cs="Arial"/>
                <w:sz w:val="20"/>
                <w:szCs w:val="20"/>
              </w:rPr>
              <w:t>4</w:t>
            </w:r>
            <w:r w:rsidRPr="00FB0CC9">
              <w:rPr>
                <w:rFonts w:ascii="Arial" w:hAnsi="Arial" w:cs="Arial"/>
                <w:sz w:val="20"/>
                <w:szCs w:val="20"/>
              </w:rPr>
              <w:t xml:space="preserve"> and impaired </w:t>
            </w:r>
            <w:proofErr w:type="spellStart"/>
            <w:r w:rsidRPr="00FB0CC9">
              <w:rPr>
                <w:rFonts w:ascii="Arial" w:hAnsi="Arial" w:cs="Arial"/>
                <w:sz w:val="20"/>
                <w:szCs w:val="20"/>
              </w:rPr>
              <w:t>pyscho</w:t>
            </w:r>
            <w:proofErr w:type="spellEnd"/>
            <w:r w:rsidRPr="00FB0CC9">
              <w:rPr>
                <w:rFonts w:ascii="Arial" w:hAnsi="Arial" w:cs="Arial"/>
                <w:sz w:val="20"/>
                <w:szCs w:val="20"/>
              </w:rPr>
              <w:t>-social function</w:t>
            </w:r>
            <w:r w:rsidRPr="000E5708">
              <w:rPr>
                <w:rFonts w:ascii="Arial" w:hAnsi="Arial" w:cs="Arial"/>
                <w:sz w:val="20"/>
                <w:szCs w:val="20"/>
              </w:rPr>
              <w:t>4</w:t>
            </w:r>
          </w:p>
          <w:p w14:paraId="52014880" w14:textId="77777777" w:rsidR="003F5118" w:rsidRPr="00FB0CC9" w:rsidRDefault="003F5118" w:rsidP="003F5118">
            <w:pPr>
              <w:pStyle w:val="ListParagraph"/>
              <w:numPr>
                <w:ilvl w:val="0"/>
                <w:numId w:val="39"/>
              </w:numPr>
              <w:rPr>
                <w:rFonts w:ascii="Arial" w:hAnsi="Arial" w:cs="Arial"/>
                <w:sz w:val="20"/>
                <w:szCs w:val="20"/>
              </w:rPr>
            </w:pPr>
            <w:r w:rsidRPr="00FB0CC9">
              <w:rPr>
                <w:rFonts w:ascii="Arial" w:hAnsi="Arial" w:cs="Arial"/>
                <w:sz w:val="20"/>
                <w:szCs w:val="20"/>
              </w:rPr>
              <w:t>have health and social care costs that are more than 3 times greater than a non- malnourished patient</w:t>
            </w:r>
            <w:r w:rsidRPr="000E5708">
              <w:rPr>
                <w:rFonts w:ascii="Arial" w:hAnsi="Arial" w:cs="Arial"/>
                <w:sz w:val="20"/>
                <w:szCs w:val="20"/>
              </w:rPr>
              <w:t>1</w:t>
            </w:r>
            <w:r w:rsidRPr="00FB0CC9">
              <w:rPr>
                <w:rFonts w:ascii="Arial" w:hAnsi="Arial" w:cs="Arial"/>
                <w:sz w:val="20"/>
                <w:szCs w:val="20"/>
              </w:rPr>
              <w:t xml:space="preserve"> (the cost of healthcare for a malnourished patient is estimated as £5763 compared to £1715 for a non-malnourished patient, the cost of social care for a malnourished patient is estimated as £1645 compared to £440 for a non-malnourished patient)  </w:t>
            </w:r>
          </w:p>
          <w:p w14:paraId="16474206" w14:textId="77777777" w:rsidR="003F5118" w:rsidRPr="00FB0CC9" w:rsidRDefault="003F5118" w:rsidP="003F5118">
            <w:pPr>
              <w:pStyle w:val="ListParagraph"/>
              <w:rPr>
                <w:rFonts w:ascii="Arial" w:hAnsi="Arial" w:cs="Arial"/>
                <w:sz w:val="20"/>
                <w:szCs w:val="20"/>
              </w:rPr>
            </w:pPr>
          </w:p>
          <w:p w14:paraId="46BCACC2" w14:textId="77777777" w:rsidR="003F5118" w:rsidRPr="00FB0CC9" w:rsidRDefault="003F5118" w:rsidP="003F5118">
            <w:pPr>
              <w:rPr>
                <w:rFonts w:ascii="Arial" w:hAnsi="Arial" w:cs="Arial"/>
                <w:sz w:val="20"/>
                <w:szCs w:val="20"/>
              </w:rPr>
            </w:pPr>
            <w:r w:rsidRPr="00FB0CC9">
              <w:rPr>
                <w:rFonts w:ascii="Arial" w:hAnsi="Arial" w:cs="Arial"/>
                <w:sz w:val="20"/>
                <w:szCs w:val="20"/>
              </w:rPr>
              <w:lastRenderedPageBreak/>
              <w:t>Malnutrition affects 11% of people at GP practices</w:t>
            </w:r>
            <w:r w:rsidRPr="000E5708">
              <w:rPr>
                <w:rFonts w:ascii="Arial" w:hAnsi="Arial" w:cs="Arial"/>
                <w:sz w:val="20"/>
                <w:szCs w:val="20"/>
              </w:rPr>
              <w:t>7</w:t>
            </w:r>
            <w:r w:rsidRPr="00FB0CC9">
              <w:rPr>
                <w:rFonts w:ascii="Arial" w:hAnsi="Arial" w:cs="Arial"/>
                <w:sz w:val="20"/>
                <w:szCs w:val="20"/>
              </w:rPr>
              <w:t>, 35% of people recently admitted to care homes</w:t>
            </w:r>
            <w:r w:rsidRPr="000E5708">
              <w:rPr>
                <w:rFonts w:ascii="Arial" w:hAnsi="Arial" w:cs="Arial"/>
                <w:sz w:val="20"/>
                <w:szCs w:val="20"/>
              </w:rPr>
              <w:t>8</w:t>
            </w:r>
            <w:r w:rsidRPr="00FB0CC9">
              <w:rPr>
                <w:rFonts w:ascii="Arial" w:hAnsi="Arial" w:cs="Arial"/>
                <w:sz w:val="20"/>
                <w:szCs w:val="20"/>
              </w:rPr>
              <w:t>, 29% of adults on admission to hospital</w:t>
            </w:r>
            <w:r w:rsidRPr="000E5708">
              <w:rPr>
                <w:rFonts w:ascii="Arial" w:hAnsi="Arial" w:cs="Arial"/>
                <w:sz w:val="20"/>
                <w:szCs w:val="20"/>
              </w:rPr>
              <w:t>9</w:t>
            </w:r>
            <w:r w:rsidRPr="00FB0CC9">
              <w:rPr>
                <w:rFonts w:ascii="Arial" w:hAnsi="Arial" w:cs="Arial"/>
                <w:sz w:val="20"/>
                <w:szCs w:val="20"/>
              </w:rPr>
              <w:t>, 30% of those attending hospital outpatients</w:t>
            </w:r>
            <w:r w:rsidRPr="000E5708">
              <w:rPr>
                <w:rFonts w:ascii="Arial" w:hAnsi="Arial" w:cs="Arial"/>
                <w:sz w:val="20"/>
                <w:szCs w:val="20"/>
              </w:rPr>
              <w:t>10</w:t>
            </w:r>
            <w:r w:rsidRPr="00FB0CC9">
              <w:rPr>
                <w:rFonts w:ascii="Arial" w:hAnsi="Arial" w:cs="Arial"/>
                <w:sz w:val="20"/>
                <w:szCs w:val="20"/>
              </w:rPr>
              <w:t>.</w:t>
            </w:r>
          </w:p>
          <w:p w14:paraId="4F3C5A61" w14:textId="77777777" w:rsidR="003F5118" w:rsidRPr="00FB0CC9" w:rsidRDefault="003F5118" w:rsidP="003F5118">
            <w:pPr>
              <w:rPr>
                <w:rFonts w:ascii="Arial" w:hAnsi="Arial" w:cs="Arial"/>
                <w:sz w:val="20"/>
                <w:szCs w:val="20"/>
              </w:rPr>
            </w:pPr>
          </w:p>
          <w:p w14:paraId="59641527" w14:textId="77777777" w:rsidR="003F5118" w:rsidRPr="00FB0CC9" w:rsidRDefault="003F5118" w:rsidP="003F5118">
            <w:pPr>
              <w:rPr>
                <w:rFonts w:ascii="Arial" w:hAnsi="Arial" w:cs="Arial"/>
                <w:sz w:val="20"/>
                <w:szCs w:val="20"/>
              </w:rPr>
            </w:pPr>
            <w:r w:rsidRPr="00FB0CC9">
              <w:rPr>
                <w:rFonts w:ascii="Arial" w:hAnsi="Arial" w:cs="Arial"/>
                <w:sz w:val="20"/>
                <w:szCs w:val="20"/>
              </w:rPr>
              <w:t xml:space="preserve">We would therefore </w:t>
            </w:r>
            <w:bookmarkStart w:id="34" w:name="_Hlk9251188"/>
            <w:r w:rsidRPr="00FB0CC9">
              <w:rPr>
                <w:rFonts w:ascii="Arial" w:hAnsi="Arial" w:cs="Arial"/>
                <w:sz w:val="20"/>
                <w:szCs w:val="20"/>
              </w:rPr>
              <w:t>recommend that nutrition screening (using a validated screening tool such as ‘MUST’</w:t>
            </w:r>
            <w:r w:rsidRPr="000E5708">
              <w:rPr>
                <w:rFonts w:ascii="Arial" w:hAnsi="Arial" w:cs="Arial"/>
                <w:sz w:val="20"/>
                <w:szCs w:val="20"/>
              </w:rPr>
              <w:t>11</w:t>
            </w:r>
            <w:r w:rsidRPr="00FB0CC9">
              <w:rPr>
                <w:rFonts w:ascii="Arial" w:hAnsi="Arial" w:cs="Arial"/>
                <w:sz w:val="20"/>
                <w:szCs w:val="20"/>
              </w:rPr>
              <w:t xml:space="preserve">), assessment and management are incorporated into all indicators (and particularly in relation to multimorbidity, frailty, falls and COPD in relation to the issue of malnutrition).  </w:t>
            </w:r>
            <w:bookmarkEnd w:id="34"/>
          </w:p>
          <w:p w14:paraId="6F8C51CE" w14:textId="77777777" w:rsidR="003F5118" w:rsidRPr="00FB0CC9" w:rsidRDefault="003F5118" w:rsidP="003F5118">
            <w:pPr>
              <w:rPr>
                <w:rFonts w:ascii="Arial" w:hAnsi="Arial" w:cs="Arial"/>
                <w:sz w:val="20"/>
                <w:szCs w:val="20"/>
              </w:rPr>
            </w:pPr>
          </w:p>
          <w:p w14:paraId="752B4777" w14:textId="77777777" w:rsidR="003F5118" w:rsidRPr="00FB0CC9" w:rsidRDefault="003F5118" w:rsidP="003F5118">
            <w:pPr>
              <w:rPr>
                <w:rFonts w:ascii="Arial" w:hAnsi="Arial" w:cs="Arial"/>
                <w:sz w:val="20"/>
                <w:szCs w:val="20"/>
              </w:rPr>
            </w:pPr>
            <w:r w:rsidRPr="00FB0CC9">
              <w:rPr>
                <w:rFonts w:ascii="Arial" w:hAnsi="Arial" w:cs="Arial"/>
                <w:sz w:val="20"/>
                <w:szCs w:val="20"/>
              </w:rPr>
              <w:t>References:</w:t>
            </w:r>
          </w:p>
          <w:p w14:paraId="18619559" w14:textId="77777777" w:rsidR="003F5118" w:rsidRPr="00FB0CC9" w:rsidRDefault="003F5118" w:rsidP="003F5118">
            <w:pPr>
              <w:pStyle w:val="ListParagraph"/>
              <w:numPr>
                <w:ilvl w:val="0"/>
                <w:numId w:val="40"/>
              </w:numPr>
              <w:rPr>
                <w:rFonts w:ascii="Arial" w:hAnsi="Arial" w:cs="Arial"/>
                <w:sz w:val="20"/>
                <w:szCs w:val="20"/>
              </w:rPr>
            </w:pPr>
            <w:r w:rsidRPr="00FB0CC9">
              <w:rPr>
                <w:rFonts w:ascii="Arial" w:hAnsi="Arial" w:cs="Arial"/>
                <w:sz w:val="20"/>
                <w:szCs w:val="20"/>
              </w:rPr>
              <w:t xml:space="preserve">Elia M, on behalf of the Malnutrition Action Group (BAPEN) and the National Institute for Health Research Southampton Biomedical Research Centre. The cost of malnutrition in England and potential cost savings from nutritional interventions (full report). 2015.  http://www.bapen.org.uk/pdfs/economic-report-full.pdf </w:t>
            </w:r>
          </w:p>
          <w:p w14:paraId="72AB2735" w14:textId="77777777" w:rsidR="003F5118" w:rsidRPr="00FB0CC9" w:rsidRDefault="003F5118" w:rsidP="003F5118">
            <w:pPr>
              <w:pStyle w:val="ListParagraph"/>
              <w:numPr>
                <w:ilvl w:val="0"/>
                <w:numId w:val="40"/>
              </w:numPr>
              <w:rPr>
                <w:rFonts w:ascii="Arial" w:hAnsi="Arial" w:cs="Arial"/>
                <w:sz w:val="20"/>
                <w:szCs w:val="20"/>
              </w:rPr>
            </w:pPr>
            <w:r w:rsidRPr="00FB0CC9">
              <w:rPr>
                <w:rFonts w:ascii="Arial" w:hAnsi="Arial" w:cs="Arial"/>
                <w:sz w:val="20"/>
                <w:szCs w:val="20"/>
              </w:rPr>
              <w:t>Brotherton, Simmonds and Stroud on behalf of BAPEN (2010), Malnutrition Matters. Meeting quality standards in nutritional care, UK: BAPEN</w:t>
            </w:r>
          </w:p>
          <w:p w14:paraId="2B0C1F15" w14:textId="77777777" w:rsidR="003F5118" w:rsidRPr="00FB0CC9" w:rsidRDefault="003F5118" w:rsidP="003F5118">
            <w:pPr>
              <w:pStyle w:val="ListParagraph"/>
              <w:numPr>
                <w:ilvl w:val="0"/>
                <w:numId w:val="40"/>
              </w:numPr>
              <w:rPr>
                <w:rFonts w:ascii="Arial" w:hAnsi="Arial" w:cs="Arial"/>
                <w:sz w:val="20"/>
                <w:szCs w:val="20"/>
              </w:rPr>
            </w:pPr>
            <w:proofErr w:type="spellStart"/>
            <w:r w:rsidRPr="00FB0CC9">
              <w:rPr>
                <w:rFonts w:ascii="Arial" w:hAnsi="Arial" w:cs="Arial"/>
                <w:sz w:val="20"/>
                <w:szCs w:val="20"/>
              </w:rPr>
              <w:t>Meijers</w:t>
            </w:r>
            <w:proofErr w:type="spellEnd"/>
            <w:r w:rsidRPr="00FB0CC9">
              <w:rPr>
                <w:rFonts w:ascii="Arial" w:hAnsi="Arial" w:cs="Arial"/>
                <w:sz w:val="20"/>
                <w:szCs w:val="20"/>
              </w:rPr>
              <w:t xml:space="preserve"> et al (2012). Predicting falls in elderly receiving home care: The role of malnutrition and impaired mobility, Journal of Nutrition, Health and Aging 16(7): 654-658</w:t>
            </w:r>
          </w:p>
          <w:p w14:paraId="0B1121CE" w14:textId="77777777" w:rsidR="003F5118" w:rsidRPr="00FB0CC9" w:rsidRDefault="003F5118" w:rsidP="003F5118">
            <w:pPr>
              <w:pStyle w:val="ListParagraph"/>
              <w:numPr>
                <w:ilvl w:val="0"/>
                <w:numId w:val="40"/>
              </w:numPr>
              <w:rPr>
                <w:rFonts w:ascii="Arial" w:hAnsi="Arial" w:cs="Arial"/>
                <w:sz w:val="20"/>
                <w:szCs w:val="20"/>
              </w:rPr>
            </w:pPr>
            <w:r w:rsidRPr="00FB0CC9">
              <w:rPr>
                <w:rFonts w:ascii="Arial" w:hAnsi="Arial" w:cs="Arial"/>
                <w:sz w:val="20"/>
                <w:szCs w:val="20"/>
              </w:rPr>
              <w:t>Stratton RJ et al. Disease-related malnutrition: an evidence-based approach to treatment. Oxford: CABI publishing; 2003.</w:t>
            </w:r>
          </w:p>
          <w:p w14:paraId="2B4A7FA7" w14:textId="77777777" w:rsidR="003F5118" w:rsidRPr="00FB0CC9" w:rsidRDefault="003F5118" w:rsidP="003F5118">
            <w:pPr>
              <w:pStyle w:val="ListParagraph"/>
              <w:numPr>
                <w:ilvl w:val="0"/>
                <w:numId w:val="40"/>
              </w:numPr>
              <w:rPr>
                <w:rFonts w:ascii="Arial" w:hAnsi="Arial" w:cs="Arial"/>
                <w:sz w:val="20"/>
                <w:szCs w:val="20"/>
              </w:rPr>
            </w:pPr>
            <w:proofErr w:type="spellStart"/>
            <w:r w:rsidRPr="00FB0CC9">
              <w:rPr>
                <w:rFonts w:ascii="Arial" w:hAnsi="Arial" w:cs="Arial"/>
                <w:sz w:val="20"/>
                <w:szCs w:val="20"/>
              </w:rPr>
              <w:t>Gossier</w:t>
            </w:r>
            <w:proofErr w:type="spellEnd"/>
            <w:r w:rsidRPr="00FB0CC9">
              <w:rPr>
                <w:rFonts w:ascii="Arial" w:hAnsi="Arial" w:cs="Arial"/>
                <w:sz w:val="20"/>
                <w:szCs w:val="20"/>
              </w:rPr>
              <w:t xml:space="preserve"> S, </w:t>
            </w:r>
            <w:proofErr w:type="spellStart"/>
            <w:r w:rsidRPr="00FB0CC9">
              <w:rPr>
                <w:rFonts w:ascii="Arial" w:hAnsi="Arial" w:cs="Arial"/>
                <w:sz w:val="20"/>
                <w:szCs w:val="20"/>
              </w:rPr>
              <w:t>Guyonnet</w:t>
            </w:r>
            <w:proofErr w:type="spellEnd"/>
            <w:r w:rsidRPr="00FB0CC9">
              <w:rPr>
                <w:rFonts w:ascii="Arial" w:hAnsi="Arial" w:cs="Arial"/>
                <w:sz w:val="20"/>
                <w:szCs w:val="20"/>
              </w:rPr>
              <w:t xml:space="preserve"> S and </w:t>
            </w:r>
            <w:proofErr w:type="spellStart"/>
            <w:r w:rsidRPr="00FB0CC9">
              <w:rPr>
                <w:rFonts w:ascii="Arial" w:hAnsi="Arial" w:cs="Arial"/>
                <w:sz w:val="20"/>
                <w:szCs w:val="20"/>
              </w:rPr>
              <w:t>Volkert</w:t>
            </w:r>
            <w:proofErr w:type="spellEnd"/>
            <w:r w:rsidRPr="00FB0CC9">
              <w:rPr>
                <w:rFonts w:ascii="Arial" w:hAnsi="Arial" w:cs="Arial"/>
                <w:sz w:val="20"/>
                <w:szCs w:val="20"/>
              </w:rPr>
              <w:t xml:space="preserve"> D. The Role of Nutrition in Frailty: An Overview. The Journal of Frailty &amp; Aging 2016; 5(2)</w:t>
            </w:r>
          </w:p>
          <w:p w14:paraId="640FFCC3" w14:textId="77777777" w:rsidR="003F5118" w:rsidRPr="00FB0CC9" w:rsidRDefault="003F5118" w:rsidP="003F5118">
            <w:pPr>
              <w:pStyle w:val="ListParagraph"/>
              <w:numPr>
                <w:ilvl w:val="0"/>
                <w:numId w:val="40"/>
              </w:numPr>
              <w:rPr>
                <w:rFonts w:ascii="Arial" w:hAnsi="Arial" w:cs="Arial"/>
                <w:sz w:val="20"/>
                <w:szCs w:val="20"/>
              </w:rPr>
            </w:pPr>
            <w:r w:rsidRPr="00FB0CC9">
              <w:rPr>
                <w:rFonts w:ascii="Arial" w:hAnsi="Arial" w:cs="Arial"/>
                <w:sz w:val="20"/>
                <w:szCs w:val="20"/>
              </w:rPr>
              <w:t xml:space="preserve">JAMDA. Frailty Consensus: A Call </w:t>
            </w:r>
            <w:proofErr w:type="gramStart"/>
            <w:r w:rsidRPr="00FB0CC9">
              <w:rPr>
                <w:rFonts w:ascii="Arial" w:hAnsi="Arial" w:cs="Arial"/>
                <w:sz w:val="20"/>
                <w:szCs w:val="20"/>
              </w:rPr>
              <w:t>To</w:t>
            </w:r>
            <w:proofErr w:type="gramEnd"/>
            <w:r w:rsidRPr="00FB0CC9">
              <w:rPr>
                <w:rFonts w:ascii="Arial" w:hAnsi="Arial" w:cs="Arial"/>
                <w:sz w:val="20"/>
                <w:szCs w:val="20"/>
              </w:rPr>
              <w:t xml:space="preserve"> Action. 2013; 14: 391-397</w:t>
            </w:r>
          </w:p>
          <w:p w14:paraId="5460AF89" w14:textId="77777777" w:rsidR="003F5118" w:rsidRPr="00FB0CC9" w:rsidRDefault="003F5118" w:rsidP="003F5118">
            <w:pPr>
              <w:pStyle w:val="ListParagraph"/>
              <w:numPr>
                <w:ilvl w:val="0"/>
                <w:numId w:val="40"/>
              </w:numPr>
              <w:rPr>
                <w:rFonts w:ascii="Arial" w:hAnsi="Arial" w:cs="Arial"/>
                <w:sz w:val="20"/>
                <w:szCs w:val="20"/>
              </w:rPr>
            </w:pPr>
            <w:r w:rsidRPr="00FB0CC9">
              <w:rPr>
                <w:rFonts w:ascii="Arial" w:hAnsi="Arial" w:cs="Arial"/>
                <w:sz w:val="20"/>
                <w:szCs w:val="20"/>
              </w:rPr>
              <w:t>McGurk P et al. The burden of malnutrition in general practice. Gut 2012; 61 (</w:t>
            </w:r>
            <w:proofErr w:type="spellStart"/>
            <w:r w:rsidRPr="00FB0CC9">
              <w:rPr>
                <w:rFonts w:ascii="Arial" w:hAnsi="Arial" w:cs="Arial"/>
                <w:sz w:val="20"/>
                <w:szCs w:val="20"/>
              </w:rPr>
              <w:t>Suppl</w:t>
            </w:r>
            <w:proofErr w:type="spellEnd"/>
            <w:r w:rsidRPr="00FB0CC9">
              <w:rPr>
                <w:rFonts w:ascii="Arial" w:hAnsi="Arial" w:cs="Arial"/>
                <w:sz w:val="20"/>
                <w:szCs w:val="20"/>
              </w:rPr>
              <w:t xml:space="preserve"> 2): A18 (OC-042)</w:t>
            </w:r>
          </w:p>
          <w:p w14:paraId="1C3B0DC9" w14:textId="77777777" w:rsidR="003F5118" w:rsidRPr="00FB0CC9" w:rsidRDefault="003F5118" w:rsidP="003F5118">
            <w:pPr>
              <w:pStyle w:val="ListParagraph"/>
              <w:numPr>
                <w:ilvl w:val="0"/>
                <w:numId w:val="40"/>
              </w:numPr>
              <w:rPr>
                <w:rFonts w:ascii="Arial" w:hAnsi="Arial" w:cs="Arial"/>
                <w:sz w:val="20"/>
                <w:szCs w:val="20"/>
              </w:rPr>
            </w:pPr>
            <w:r w:rsidRPr="00FB0CC9">
              <w:rPr>
                <w:rFonts w:ascii="Arial" w:hAnsi="Arial" w:cs="Arial"/>
                <w:sz w:val="20"/>
                <w:szCs w:val="20"/>
              </w:rPr>
              <w:t xml:space="preserve">Russell C, Elia M on behalf of BAPEN and collaborators. Nutrition Screening Surveys in Care Homes in the UK: A report based on the amalgamated data from the four Nutrition Screening Week surveys undertaken by BAPEN in 2007, 2008, 2010 and 2011. 2015 http://www.bapen.org.uk/pdfs/nsw/care-homes/care-homes-uk.pdf </w:t>
            </w:r>
          </w:p>
          <w:p w14:paraId="208CAAE4" w14:textId="77777777" w:rsidR="003F5118" w:rsidRPr="00FB0CC9" w:rsidRDefault="003F5118" w:rsidP="003F5118">
            <w:pPr>
              <w:pStyle w:val="ListParagraph"/>
              <w:numPr>
                <w:ilvl w:val="0"/>
                <w:numId w:val="40"/>
              </w:numPr>
              <w:rPr>
                <w:rFonts w:ascii="Arial" w:hAnsi="Arial" w:cs="Arial"/>
                <w:sz w:val="20"/>
                <w:szCs w:val="20"/>
              </w:rPr>
            </w:pPr>
            <w:r w:rsidRPr="00FB0CC9">
              <w:rPr>
                <w:rFonts w:ascii="Arial" w:hAnsi="Arial" w:cs="Arial"/>
                <w:sz w:val="20"/>
                <w:szCs w:val="20"/>
              </w:rPr>
              <w:t xml:space="preserve">Russell C, Elia M on behalf of BAPEN and collaborators. Nutrition Screening Surveys in Hospitals in the UK, 2007-2011: A report based on the amalgamated data from the four Nutrition Screening Week surveys undertaken by BAPEN in 2007, 2008, 2010 and 2011. 2014. http://www.bapen.org.uk/pdfs/nsw/bapen-nsw-uk.pdf </w:t>
            </w:r>
          </w:p>
          <w:p w14:paraId="4F84C29F" w14:textId="77777777" w:rsidR="003F5118" w:rsidRPr="00FB0CC9" w:rsidRDefault="003F5118" w:rsidP="003F5118">
            <w:pPr>
              <w:pStyle w:val="ListParagraph"/>
              <w:numPr>
                <w:ilvl w:val="0"/>
                <w:numId w:val="40"/>
              </w:numPr>
              <w:rPr>
                <w:rFonts w:ascii="Arial" w:hAnsi="Arial" w:cs="Arial"/>
                <w:sz w:val="20"/>
                <w:szCs w:val="20"/>
              </w:rPr>
            </w:pPr>
            <w:r w:rsidRPr="00FB0CC9">
              <w:rPr>
                <w:rFonts w:ascii="Arial" w:hAnsi="Arial" w:cs="Arial"/>
                <w:sz w:val="20"/>
                <w:szCs w:val="20"/>
              </w:rPr>
              <w:t xml:space="preserve">Stratton RJ et al. Malnutrition in hospital outpatients: prevalence, concurrent validity and ease of use of the ‘malnutrition universal screening tool’ (‘MUST’) for adults. Br J </w:t>
            </w:r>
            <w:proofErr w:type="spellStart"/>
            <w:r w:rsidRPr="00FB0CC9">
              <w:rPr>
                <w:rFonts w:ascii="Arial" w:hAnsi="Arial" w:cs="Arial"/>
                <w:sz w:val="20"/>
                <w:szCs w:val="20"/>
              </w:rPr>
              <w:t>Nutr</w:t>
            </w:r>
            <w:proofErr w:type="spellEnd"/>
            <w:r w:rsidRPr="00FB0CC9">
              <w:rPr>
                <w:rFonts w:ascii="Arial" w:hAnsi="Arial" w:cs="Arial"/>
                <w:sz w:val="20"/>
                <w:szCs w:val="20"/>
              </w:rPr>
              <w:t xml:space="preserve"> (2004):92, 799-808. </w:t>
            </w:r>
          </w:p>
          <w:p w14:paraId="332B26C7" w14:textId="77777777" w:rsidR="003F5118" w:rsidRPr="00FB0CC9" w:rsidRDefault="003F5118" w:rsidP="003F5118">
            <w:pPr>
              <w:pStyle w:val="ListParagraph"/>
              <w:numPr>
                <w:ilvl w:val="0"/>
                <w:numId w:val="40"/>
              </w:numPr>
              <w:rPr>
                <w:rFonts w:ascii="Arial" w:hAnsi="Arial" w:cs="Arial"/>
                <w:sz w:val="20"/>
                <w:szCs w:val="20"/>
              </w:rPr>
            </w:pPr>
            <w:r w:rsidRPr="00FB0CC9">
              <w:rPr>
                <w:rFonts w:ascii="Arial" w:hAnsi="Arial" w:cs="Arial"/>
                <w:sz w:val="20"/>
                <w:szCs w:val="20"/>
              </w:rPr>
              <w:t>The ‘MUST’ report. Nutritional screening for adults: a multidisciplinary responsibility. Elia M, editor. 2003. Redditch, UK, BAPEN.</w:t>
            </w:r>
          </w:p>
          <w:p w14:paraId="7E4A04E6" w14:textId="77777777" w:rsidR="003F5118" w:rsidRPr="00442BCE" w:rsidRDefault="003F5118" w:rsidP="003F5118">
            <w:pPr>
              <w:rPr>
                <w:rFonts w:ascii="Arial" w:hAnsi="Arial" w:cs="Arial"/>
                <w:sz w:val="20"/>
                <w:szCs w:val="20"/>
              </w:rPr>
            </w:pPr>
          </w:p>
        </w:tc>
      </w:tr>
      <w:tr w:rsidR="003F5118" w:rsidRPr="006375EE" w14:paraId="24FEEC8A" w14:textId="77777777" w:rsidTr="0024650F">
        <w:trPr>
          <w:trHeight w:val="259"/>
        </w:trPr>
        <w:tc>
          <w:tcPr>
            <w:tcW w:w="562" w:type="dxa"/>
          </w:tcPr>
          <w:p w14:paraId="5247C527" w14:textId="0EEACED1" w:rsidR="003F5118" w:rsidRPr="006658EF" w:rsidRDefault="006658EF" w:rsidP="003F5118">
            <w:pPr>
              <w:pStyle w:val="TableText1"/>
              <w:jc w:val="center"/>
              <w:rPr>
                <w:rFonts w:cs="Arial"/>
                <w:sz w:val="20"/>
                <w:szCs w:val="20"/>
              </w:rPr>
            </w:pPr>
            <w:r w:rsidRPr="006658EF">
              <w:rPr>
                <w:rFonts w:cs="Arial"/>
                <w:sz w:val="20"/>
                <w:szCs w:val="20"/>
              </w:rPr>
              <w:lastRenderedPageBreak/>
              <w:t>8</w:t>
            </w:r>
          </w:p>
        </w:tc>
        <w:tc>
          <w:tcPr>
            <w:tcW w:w="1139" w:type="dxa"/>
          </w:tcPr>
          <w:p w14:paraId="26635B5C" w14:textId="125E0BE9" w:rsidR="003F5118" w:rsidRPr="00D30DE0" w:rsidRDefault="003F5118" w:rsidP="003F5118">
            <w:pPr>
              <w:pStyle w:val="TableText1"/>
              <w:rPr>
                <w:rFonts w:cs="Arial"/>
                <w:color w:val="000000"/>
                <w:sz w:val="20"/>
                <w:szCs w:val="20"/>
              </w:rPr>
            </w:pPr>
            <w:r w:rsidRPr="00D30DE0">
              <w:rPr>
                <w:rFonts w:cs="Arial"/>
                <w:color w:val="000000"/>
                <w:sz w:val="20"/>
                <w:szCs w:val="20"/>
              </w:rPr>
              <w:t>General comment</w:t>
            </w:r>
          </w:p>
        </w:tc>
        <w:tc>
          <w:tcPr>
            <w:tcW w:w="1985" w:type="dxa"/>
          </w:tcPr>
          <w:p w14:paraId="4CB4AB5E" w14:textId="3CFBA30A" w:rsidR="003F5118" w:rsidRPr="00442BCE" w:rsidRDefault="003F5118" w:rsidP="003F5118">
            <w:pPr>
              <w:pStyle w:val="TableText1"/>
              <w:rPr>
                <w:rFonts w:cs="Arial"/>
                <w:b/>
                <w:sz w:val="20"/>
                <w:szCs w:val="20"/>
              </w:rPr>
            </w:pPr>
            <w:r w:rsidRPr="00442BCE">
              <w:rPr>
                <w:rFonts w:cs="Arial"/>
                <w:b/>
                <w:sz w:val="20"/>
                <w:szCs w:val="20"/>
              </w:rPr>
              <w:t>Managing Adult Malnutrition in the Community</w:t>
            </w:r>
          </w:p>
        </w:tc>
        <w:tc>
          <w:tcPr>
            <w:tcW w:w="11198" w:type="dxa"/>
          </w:tcPr>
          <w:p w14:paraId="1CAA95B8" w14:textId="77777777" w:rsidR="003F5118" w:rsidRPr="00442BCE" w:rsidRDefault="003F5118" w:rsidP="003F5118">
            <w:pPr>
              <w:rPr>
                <w:rFonts w:ascii="Arial" w:hAnsi="Arial" w:cs="Arial"/>
                <w:sz w:val="20"/>
                <w:szCs w:val="20"/>
              </w:rPr>
            </w:pPr>
            <w:r w:rsidRPr="00442BCE">
              <w:rPr>
                <w:rFonts w:ascii="Arial" w:hAnsi="Arial" w:cs="Arial"/>
                <w:sz w:val="20"/>
                <w:szCs w:val="20"/>
              </w:rPr>
              <w:t>NICE QS24</w:t>
            </w:r>
            <w:r w:rsidRPr="00442BCE">
              <w:rPr>
                <w:rFonts w:ascii="Arial" w:hAnsi="Arial" w:cs="Arial"/>
                <w:sz w:val="20"/>
                <w:szCs w:val="20"/>
                <w:vertAlign w:val="superscript"/>
              </w:rPr>
              <w:t>1</w:t>
            </w:r>
            <w:r w:rsidRPr="00442BCE">
              <w:rPr>
                <w:rFonts w:ascii="Arial" w:hAnsi="Arial" w:cs="Arial"/>
                <w:sz w:val="20"/>
                <w:szCs w:val="20"/>
              </w:rPr>
              <w:t xml:space="preserve"> Nutrition Support in Adults should be incorporated into all aspects of care.  </w:t>
            </w:r>
          </w:p>
          <w:p w14:paraId="573E7A93" w14:textId="77777777" w:rsidR="003F5118" w:rsidRPr="00442BCE" w:rsidRDefault="003F5118" w:rsidP="003F5118">
            <w:pPr>
              <w:rPr>
                <w:rFonts w:ascii="Arial" w:hAnsi="Arial" w:cs="Arial"/>
                <w:sz w:val="20"/>
                <w:szCs w:val="20"/>
              </w:rPr>
            </w:pPr>
            <w:r w:rsidRPr="00442BCE">
              <w:rPr>
                <w:rFonts w:ascii="Arial" w:hAnsi="Arial" w:cs="Arial"/>
                <w:sz w:val="20"/>
                <w:szCs w:val="20"/>
              </w:rPr>
              <w:t>NICE QS24</w:t>
            </w:r>
            <w:r w:rsidRPr="00442BCE">
              <w:rPr>
                <w:rFonts w:ascii="Arial" w:hAnsi="Arial" w:cs="Arial"/>
                <w:sz w:val="20"/>
                <w:szCs w:val="20"/>
                <w:vertAlign w:val="superscript"/>
              </w:rPr>
              <w:t>1</w:t>
            </w:r>
            <w:r w:rsidRPr="00442BCE">
              <w:rPr>
                <w:rFonts w:ascii="Arial" w:hAnsi="Arial" w:cs="Arial"/>
                <w:sz w:val="20"/>
                <w:szCs w:val="20"/>
              </w:rPr>
              <w:t xml:space="preserve"> recommends:</w:t>
            </w:r>
          </w:p>
          <w:p w14:paraId="12F1453A" w14:textId="77777777" w:rsidR="003F5118" w:rsidRPr="00442BCE" w:rsidRDefault="003F5118" w:rsidP="003F5118">
            <w:pPr>
              <w:pStyle w:val="ListParagraph"/>
              <w:numPr>
                <w:ilvl w:val="0"/>
                <w:numId w:val="42"/>
              </w:numPr>
              <w:rPr>
                <w:rFonts w:ascii="Arial" w:hAnsi="Arial" w:cs="Arial"/>
                <w:sz w:val="20"/>
                <w:szCs w:val="20"/>
              </w:rPr>
            </w:pPr>
            <w:r w:rsidRPr="00442BCE">
              <w:rPr>
                <w:rFonts w:ascii="Arial" w:hAnsi="Arial" w:cs="Arial"/>
                <w:sz w:val="20"/>
                <w:szCs w:val="20"/>
              </w:rPr>
              <w:t>People in care settings are screened for the risk of malnutrition using a validated screening tool</w:t>
            </w:r>
          </w:p>
          <w:p w14:paraId="4CF98428" w14:textId="77777777" w:rsidR="003F5118" w:rsidRPr="00442BCE" w:rsidRDefault="003F5118" w:rsidP="003F5118">
            <w:pPr>
              <w:pStyle w:val="ListParagraph"/>
              <w:numPr>
                <w:ilvl w:val="0"/>
                <w:numId w:val="42"/>
              </w:numPr>
              <w:rPr>
                <w:rFonts w:ascii="Arial" w:hAnsi="Arial" w:cs="Arial"/>
                <w:sz w:val="20"/>
                <w:szCs w:val="20"/>
              </w:rPr>
            </w:pPr>
            <w:r w:rsidRPr="00442BCE">
              <w:rPr>
                <w:rFonts w:ascii="Arial" w:hAnsi="Arial" w:cs="Arial"/>
                <w:sz w:val="20"/>
                <w:szCs w:val="20"/>
              </w:rPr>
              <w:t>People who are malnourished or at risk of malnutrition have a management care plan that aims to meet their complete nutritional requirements</w:t>
            </w:r>
          </w:p>
          <w:p w14:paraId="1B4FD451" w14:textId="77777777" w:rsidR="003F5118" w:rsidRPr="00442BCE" w:rsidRDefault="003F5118" w:rsidP="003F5118">
            <w:pPr>
              <w:pStyle w:val="ListParagraph"/>
              <w:numPr>
                <w:ilvl w:val="0"/>
                <w:numId w:val="42"/>
              </w:numPr>
              <w:rPr>
                <w:rFonts w:ascii="Arial" w:hAnsi="Arial" w:cs="Arial"/>
                <w:sz w:val="20"/>
                <w:szCs w:val="20"/>
              </w:rPr>
            </w:pPr>
            <w:r w:rsidRPr="00442BCE">
              <w:rPr>
                <w:rFonts w:ascii="Arial" w:hAnsi="Arial" w:cs="Arial"/>
                <w:sz w:val="20"/>
                <w:szCs w:val="20"/>
              </w:rPr>
              <w:lastRenderedPageBreak/>
              <w:t xml:space="preserve">All people who are screened for the risk of malnutrition have their screening results and nutrition support goals (if applicable), documented and communicated in writing within and between settings </w:t>
            </w:r>
          </w:p>
          <w:p w14:paraId="6090DC79" w14:textId="77777777" w:rsidR="003F5118" w:rsidRPr="00442BCE" w:rsidRDefault="003F5118" w:rsidP="003F5118">
            <w:pPr>
              <w:pStyle w:val="ListParagraph"/>
              <w:numPr>
                <w:ilvl w:val="0"/>
                <w:numId w:val="42"/>
              </w:numPr>
              <w:rPr>
                <w:rFonts w:ascii="Arial" w:hAnsi="Arial" w:cs="Arial"/>
                <w:sz w:val="20"/>
                <w:szCs w:val="20"/>
              </w:rPr>
            </w:pPr>
            <w:r w:rsidRPr="00442BCE">
              <w:rPr>
                <w:rFonts w:ascii="Arial" w:hAnsi="Arial" w:cs="Arial"/>
                <w:sz w:val="20"/>
                <w:szCs w:val="20"/>
              </w:rPr>
              <w:t>People receiving nutrition support are offered a review of the indications, route, risks, benefits and goals of nutrition support at planned intervals.</w:t>
            </w:r>
          </w:p>
          <w:p w14:paraId="3066FEE0" w14:textId="77777777" w:rsidR="003F5118" w:rsidRPr="00442BCE" w:rsidRDefault="003F5118" w:rsidP="003F5118">
            <w:pPr>
              <w:rPr>
                <w:rFonts w:ascii="Arial" w:hAnsi="Arial" w:cs="Arial"/>
                <w:sz w:val="20"/>
                <w:szCs w:val="20"/>
              </w:rPr>
            </w:pPr>
          </w:p>
          <w:p w14:paraId="7A4CA6F2" w14:textId="77777777" w:rsidR="003F5118" w:rsidRPr="00442BCE" w:rsidRDefault="003F5118" w:rsidP="003F5118">
            <w:pPr>
              <w:rPr>
                <w:rFonts w:ascii="Arial" w:hAnsi="Arial" w:cs="Arial"/>
                <w:sz w:val="20"/>
                <w:szCs w:val="20"/>
              </w:rPr>
            </w:pPr>
            <w:r w:rsidRPr="00442BCE">
              <w:rPr>
                <w:rFonts w:ascii="Arial" w:hAnsi="Arial" w:cs="Arial"/>
                <w:sz w:val="20"/>
                <w:szCs w:val="20"/>
              </w:rPr>
              <w:t>NICE has shown that substantial cost savings can result from identifying and treating malnutrition – implementation of Clinical Guideline 32</w:t>
            </w:r>
            <w:r w:rsidRPr="00442BCE">
              <w:rPr>
                <w:rFonts w:ascii="Arial" w:hAnsi="Arial" w:cs="Arial"/>
                <w:sz w:val="20"/>
                <w:szCs w:val="20"/>
                <w:vertAlign w:val="superscript"/>
              </w:rPr>
              <w:t>2</w:t>
            </w:r>
            <w:r w:rsidRPr="00442BCE">
              <w:rPr>
                <w:rFonts w:ascii="Arial" w:hAnsi="Arial" w:cs="Arial"/>
                <w:sz w:val="20"/>
                <w:szCs w:val="20"/>
              </w:rPr>
              <w:t>: Nutrition Support in Adults and supporting Quality Standard 24</w:t>
            </w:r>
            <w:r w:rsidRPr="00442BCE">
              <w:rPr>
                <w:rFonts w:ascii="Arial" w:hAnsi="Arial" w:cs="Arial"/>
                <w:sz w:val="20"/>
                <w:szCs w:val="20"/>
                <w:vertAlign w:val="superscript"/>
              </w:rPr>
              <w:t>1</w:t>
            </w:r>
            <w:r w:rsidRPr="00442BCE">
              <w:rPr>
                <w:rFonts w:ascii="Arial" w:hAnsi="Arial" w:cs="Arial"/>
                <w:sz w:val="20"/>
                <w:szCs w:val="20"/>
              </w:rPr>
              <w:t xml:space="preserve"> have been shown to have a high impact with respect to cost savings – estimating savings of £71,800 per 100,000 people by implementing screening and management of malnutrition.</w:t>
            </w:r>
          </w:p>
          <w:p w14:paraId="69AD8E5E" w14:textId="77777777" w:rsidR="003F5118" w:rsidRPr="00442BCE" w:rsidRDefault="003F5118" w:rsidP="003F5118">
            <w:pPr>
              <w:rPr>
                <w:rFonts w:ascii="Arial" w:hAnsi="Arial" w:cs="Arial"/>
                <w:sz w:val="20"/>
                <w:szCs w:val="20"/>
              </w:rPr>
            </w:pPr>
          </w:p>
          <w:p w14:paraId="423BA11D" w14:textId="77777777" w:rsidR="003F5118" w:rsidRPr="00442BCE" w:rsidRDefault="003F5118" w:rsidP="003F5118">
            <w:pPr>
              <w:rPr>
                <w:rFonts w:ascii="Arial" w:hAnsi="Arial" w:cs="Arial"/>
                <w:sz w:val="20"/>
                <w:szCs w:val="20"/>
              </w:rPr>
            </w:pPr>
            <w:proofErr w:type="gramStart"/>
            <w:r w:rsidRPr="00442BCE">
              <w:rPr>
                <w:rFonts w:ascii="Arial" w:hAnsi="Arial" w:cs="Arial"/>
                <w:sz w:val="20"/>
                <w:szCs w:val="20"/>
              </w:rPr>
              <w:t>However</w:t>
            </w:r>
            <w:proofErr w:type="gramEnd"/>
            <w:r w:rsidRPr="00442BCE">
              <w:rPr>
                <w:rFonts w:ascii="Arial" w:hAnsi="Arial" w:cs="Arial"/>
                <w:sz w:val="20"/>
                <w:szCs w:val="20"/>
              </w:rPr>
              <w:t xml:space="preserve"> despite this nutrition continues to be ignored as a key indicator in many disease areas.</w:t>
            </w:r>
          </w:p>
          <w:p w14:paraId="04A09DC5" w14:textId="77777777" w:rsidR="003F5118" w:rsidRPr="00442BCE" w:rsidRDefault="003F5118" w:rsidP="003F5118">
            <w:pPr>
              <w:rPr>
                <w:rFonts w:ascii="Arial" w:hAnsi="Arial" w:cs="Arial"/>
                <w:sz w:val="20"/>
                <w:szCs w:val="20"/>
              </w:rPr>
            </w:pPr>
          </w:p>
          <w:p w14:paraId="20D145F1" w14:textId="77777777" w:rsidR="003F5118" w:rsidRPr="00442BCE" w:rsidRDefault="003F5118" w:rsidP="003F5118">
            <w:pPr>
              <w:rPr>
                <w:rFonts w:ascii="Arial" w:hAnsi="Arial" w:cs="Arial"/>
                <w:sz w:val="20"/>
                <w:szCs w:val="20"/>
              </w:rPr>
            </w:pPr>
            <w:r w:rsidRPr="00442BCE">
              <w:rPr>
                <w:rFonts w:ascii="Arial" w:hAnsi="Arial" w:cs="Arial"/>
                <w:sz w:val="20"/>
                <w:szCs w:val="20"/>
              </w:rPr>
              <w:t>References:</w:t>
            </w:r>
          </w:p>
          <w:p w14:paraId="1774EAF2" w14:textId="77777777" w:rsidR="003F5118" w:rsidRPr="00442BCE" w:rsidRDefault="003F5118" w:rsidP="003F5118">
            <w:pPr>
              <w:pStyle w:val="ListParagraph"/>
              <w:numPr>
                <w:ilvl w:val="0"/>
                <w:numId w:val="41"/>
              </w:numPr>
              <w:rPr>
                <w:rFonts w:ascii="Arial" w:hAnsi="Arial" w:cs="Arial"/>
                <w:sz w:val="20"/>
                <w:szCs w:val="20"/>
              </w:rPr>
            </w:pPr>
            <w:r w:rsidRPr="00442BCE">
              <w:rPr>
                <w:rFonts w:ascii="Arial" w:hAnsi="Arial" w:cs="Arial"/>
                <w:sz w:val="20"/>
                <w:szCs w:val="20"/>
              </w:rPr>
              <w:t>National Institute for of Health and Care Clinical Excellence (NICE). Nutrition support in adults. Quality Standard 24. 2012.</w:t>
            </w:r>
          </w:p>
          <w:p w14:paraId="7B6608D2" w14:textId="77777777" w:rsidR="003F5118" w:rsidRPr="00442BCE" w:rsidRDefault="003F5118" w:rsidP="003F5118">
            <w:pPr>
              <w:pStyle w:val="ListParagraph"/>
              <w:numPr>
                <w:ilvl w:val="0"/>
                <w:numId w:val="41"/>
              </w:numPr>
              <w:rPr>
                <w:rFonts w:ascii="Arial" w:hAnsi="Arial" w:cs="Arial"/>
                <w:sz w:val="20"/>
                <w:szCs w:val="20"/>
              </w:rPr>
            </w:pPr>
            <w:r w:rsidRPr="00442BCE">
              <w:rPr>
                <w:rFonts w:ascii="Arial" w:hAnsi="Arial" w:cs="Arial"/>
                <w:sz w:val="20"/>
                <w:szCs w:val="20"/>
              </w:rPr>
              <w:t>National Institute of Health and Care Excellence (NICE). Nutrition support in adults: oral nutrition support, enteral tube feeding and parenteral nutrition. Clinical Guideline 32. 2006.</w:t>
            </w:r>
          </w:p>
          <w:p w14:paraId="4A1F11E9" w14:textId="77777777" w:rsidR="003F5118" w:rsidRPr="00442BCE" w:rsidRDefault="003F5118" w:rsidP="003F5118">
            <w:pPr>
              <w:rPr>
                <w:rFonts w:ascii="Arial" w:hAnsi="Arial" w:cs="Arial"/>
                <w:sz w:val="20"/>
                <w:szCs w:val="20"/>
              </w:rPr>
            </w:pPr>
          </w:p>
        </w:tc>
      </w:tr>
      <w:tr w:rsidR="003F5118" w:rsidRPr="006375EE" w14:paraId="37B420D2" w14:textId="77777777" w:rsidTr="0024650F">
        <w:trPr>
          <w:trHeight w:val="259"/>
        </w:trPr>
        <w:tc>
          <w:tcPr>
            <w:tcW w:w="562" w:type="dxa"/>
          </w:tcPr>
          <w:p w14:paraId="6D36B538" w14:textId="101A98E8" w:rsidR="003F5118" w:rsidRPr="006658EF" w:rsidRDefault="006658EF" w:rsidP="003F5118">
            <w:pPr>
              <w:pStyle w:val="TableText1"/>
              <w:jc w:val="center"/>
              <w:rPr>
                <w:rFonts w:cs="Arial"/>
                <w:sz w:val="20"/>
                <w:szCs w:val="20"/>
              </w:rPr>
            </w:pPr>
            <w:r w:rsidRPr="006658EF">
              <w:rPr>
                <w:rFonts w:cs="Arial"/>
                <w:sz w:val="20"/>
                <w:szCs w:val="20"/>
              </w:rPr>
              <w:lastRenderedPageBreak/>
              <w:t>9</w:t>
            </w:r>
          </w:p>
        </w:tc>
        <w:tc>
          <w:tcPr>
            <w:tcW w:w="1139" w:type="dxa"/>
          </w:tcPr>
          <w:p w14:paraId="66D32565" w14:textId="7BFE8D0A" w:rsidR="003F5118" w:rsidRPr="00E10833" w:rsidRDefault="003F5118" w:rsidP="003F5118">
            <w:pPr>
              <w:pStyle w:val="TableText1"/>
              <w:rPr>
                <w:rFonts w:cs="Arial"/>
                <w:color w:val="000000"/>
                <w:sz w:val="20"/>
                <w:szCs w:val="20"/>
              </w:rPr>
            </w:pPr>
            <w:r w:rsidRPr="00E10833">
              <w:rPr>
                <w:rFonts w:cs="Arial"/>
                <w:color w:val="000000"/>
                <w:sz w:val="20"/>
                <w:szCs w:val="20"/>
              </w:rPr>
              <w:t>General comment</w:t>
            </w:r>
          </w:p>
        </w:tc>
        <w:tc>
          <w:tcPr>
            <w:tcW w:w="1985" w:type="dxa"/>
          </w:tcPr>
          <w:p w14:paraId="4D4E7DDD" w14:textId="6F75B503" w:rsidR="003F5118" w:rsidRPr="00E10833" w:rsidRDefault="003F5118" w:rsidP="003F5118">
            <w:pPr>
              <w:pStyle w:val="TableText1"/>
              <w:rPr>
                <w:rFonts w:cs="Arial"/>
                <w:b/>
                <w:sz w:val="20"/>
                <w:szCs w:val="20"/>
              </w:rPr>
            </w:pPr>
            <w:r w:rsidRPr="00E10833">
              <w:rPr>
                <w:rFonts w:cs="Arial"/>
                <w:b/>
                <w:sz w:val="20"/>
                <w:szCs w:val="20"/>
                <w:lang w:eastAsia="en-US"/>
              </w:rPr>
              <w:t>NHS England</w:t>
            </w:r>
          </w:p>
        </w:tc>
        <w:tc>
          <w:tcPr>
            <w:tcW w:w="11198" w:type="dxa"/>
          </w:tcPr>
          <w:p w14:paraId="573F6FE2" w14:textId="11AE2203" w:rsidR="003F5118" w:rsidRPr="00E10833" w:rsidRDefault="003F5118" w:rsidP="003F5118">
            <w:pPr>
              <w:rPr>
                <w:rFonts w:ascii="Arial" w:hAnsi="Arial" w:cs="Arial"/>
                <w:sz w:val="20"/>
                <w:szCs w:val="20"/>
              </w:rPr>
            </w:pPr>
            <w:r w:rsidRPr="00E10833">
              <w:rPr>
                <w:rFonts w:ascii="Arial" w:hAnsi="Arial" w:cs="Arial"/>
                <w:sz w:val="20"/>
                <w:szCs w:val="20"/>
              </w:rPr>
              <w:t xml:space="preserve">NHS England welcomes the consultation on revised and potential new indicators for inclusion on the NICE menu. Those relating to respiratory care and heart failure </w:t>
            </w:r>
            <w:proofErr w:type="gramStart"/>
            <w:r w:rsidRPr="00E10833">
              <w:rPr>
                <w:rFonts w:ascii="Arial" w:hAnsi="Arial" w:cs="Arial"/>
                <w:sz w:val="20"/>
                <w:szCs w:val="20"/>
              </w:rPr>
              <w:t>in particular are</w:t>
            </w:r>
            <w:proofErr w:type="gramEnd"/>
            <w:r w:rsidRPr="00E10833">
              <w:rPr>
                <w:rFonts w:ascii="Arial" w:hAnsi="Arial" w:cs="Arial"/>
                <w:sz w:val="20"/>
                <w:szCs w:val="20"/>
              </w:rPr>
              <w:t xml:space="preserve"> in line with the recommendations of the 2018 QOF review, The NHS Long-Term Plan and Investment and evolution: a five-year framework for GP contract reform. The remaining areas are also closely aligned to Long Term Plan objectives. </w:t>
            </w:r>
          </w:p>
        </w:tc>
      </w:tr>
      <w:tr w:rsidR="003F5118" w:rsidRPr="006375EE" w14:paraId="024EDA5D" w14:textId="77777777" w:rsidTr="0024650F">
        <w:trPr>
          <w:trHeight w:val="259"/>
        </w:trPr>
        <w:tc>
          <w:tcPr>
            <w:tcW w:w="562" w:type="dxa"/>
          </w:tcPr>
          <w:p w14:paraId="1531B6DF" w14:textId="3811414B" w:rsidR="003F5118" w:rsidRPr="006658EF" w:rsidRDefault="006658EF" w:rsidP="003F5118">
            <w:pPr>
              <w:pStyle w:val="TableText1"/>
              <w:jc w:val="center"/>
              <w:rPr>
                <w:rFonts w:cs="Arial"/>
                <w:sz w:val="20"/>
                <w:szCs w:val="20"/>
              </w:rPr>
            </w:pPr>
            <w:r w:rsidRPr="006658EF">
              <w:rPr>
                <w:rFonts w:cs="Arial"/>
                <w:sz w:val="20"/>
                <w:szCs w:val="20"/>
              </w:rPr>
              <w:t>10</w:t>
            </w:r>
          </w:p>
        </w:tc>
        <w:tc>
          <w:tcPr>
            <w:tcW w:w="1139" w:type="dxa"/>
          </w:tcPr>
          <w:p w14:paraId="2F41513E" w14:textId="209F536D" w:rsidR="003F5118" w:rsidRPr="006375EE" w:rsidRDefault="003F5118" w:rsidP="003F5118">
            <w:pPr>
              <w:pStyle w:val="TableText1"/>
              <w:rPr>
                <w:rFonts w:cs="Arial"/>
                <w:color w:val="000000"/>
                <w:sz w:val="20"/>
                <w:szCs w:val="20"/>
                <w:highlight w:val="yellow"/>
              </w:rPr>
            </w:pPr>
            <w:r w:rsidRPr="00D30DE0">
              <w:rPr>
                <w:rFonts w:cs="Arial"/>
                <w:color w:val="000000"/>
                <w:sz w:val="20"/>
                <w:szCs w:val="20"/>
              </w:rPr>
              <w:t>General comment</w:t>
            </w:r>
          </w:p>
        </w:tc>
        <w:tc>
          <w:tcPr>
            <w:tcW w:w="1985" w:type="dxa"/>
          </w:tcPr>
          <w:p w14:paraId="77D69541" w14:textId="75E8D7BB" w:rsidR="003F5118" w:rsidRPr="006375EE" w:rsidRDefault="003F5118" w:rsidP="003F5118">
            <w:pPr>
              <w:pStyle w:val="TableText1"/>
              <w:rPr>
                <w:rFonts w:cs="Arial"/>
                <w:color w:val="000000"/>
                <w:sz w:val="20"/>
                <w:szCs w:val="20"/>
                <w:highlight w:val="yellow"/>
              </w:rPr>
            </w:pPr>
            <w:proofErr w:type="spellStart"/>
            <w:r w:rsidRPr="00442BCE">
              <w:rPr>
                <w:rFonts w:cs="Arial"/>
                <w:b/>
                <w:sz w:val="20"/>
                <w:szCs w:val="20"/>
              </w:rPr>
              <w:t>Nutricia</w:t>
            </w:r>
            <w:proofErr w:type="spellEnd"/>
            <w:r w:rsidRPr="00442BCE">
              <w:rPr>
                <w:rFonts w:cs="Arial"/>
                <w:b/>
                <w:sz w:val="20"/>
                <w:szCs w:val="20"/>
              </w:rPr>
              <w:t xml:space="preserve"> Advanced Medical Nutrition</w:t>
            </w:r>
          </w:p>
        </w:tc>
        <w:tc>
          <w:tcPr>
            <w:tcW w:w="11198" w:type="dxa"/>
          </w:tcPr>
          <w:p w14:paraId="00A922A3" w14:textId="77777777" w:rsidR="003F5118" w:rsidRPr="00442BCE" w:rsidRDefault="003F5118" w:rsidP="003F5118">
            <w:pPr>
              <w:rPr>
                <w:rFonts w:ascii="Arial" w:hAnsi="Arial" w:cs="Arial"/>
                <w:sz w:val="20"/>
                <w:szCs w:val="20"/>
              </w:rPr>
            </w:pPr>
            <w:r w:rsidRPr="00442BCE">
              <w:rPr>
                <w:rFonts w:ascii="Arial" w:hAnsi="Arial" w:cs="Arial"/>
                <w:sz w:val="20"/>
                <w:szCs w:val="20"/>
              </w:rPr>
              <w:t xml:space="preserve">Advise the </w:t>
            </w:r>
            <w:bookmarkStart w:id="35" w:name="_Hlk9250804"/>
            <w:r w:rsidRPr="00442BCE">
              <w:rPr>
                <w:rFonts w:ascii="Arial" w:hAnsi="Arial" w:cs="Arial"/>
                <w:sz w:val="20"/>
                <w:szCs w:val="20"/>
              </w:rPr>
              <w:t>incorporation of nutrition screening and management into all indicators especially in relation to multimorbidity, frailty</w:t>
            </w:r>
            <w:bookmarkEnd w:id="35"/>
            <w:r w:rsidRPr="00442BCE">
              <w:rPr>
                <w:rFonts w:ascii="Arial" w:hAnsi="Arial" w:cs="Arial"/>
                <w:sz w:val="20"/>
                <w:szCs w:val="20"/>
              </w:rPr>
              <w:t xml:space="preserve"> and COPD because for example in NICE QS24 it clearly states that </w:t>
            </w:r>
          </w:p>
          <w:p w14:paraId="73A28ADF" w14:textId="77777777" w:rsidR="003F5118" w:rsidRPr="00442BCE" w:rsidRDefault="003F5118" w:rsidP="003F5118">
            <w:pPr>
              <w:rPr>
                <w:rFonts w:ascii="Arial" w:hAnsi="Arial" w:cs="Arial"/>
                <w:sz w:val="20"/>
                <w:szCs w:val="20"/>
              </w:rPr>
            </w:pPr>
          </w:p>
          <w:p w14:paraId="3DB68E0A" w14:textId="77777777" w:rsidR="003F5118" w:rsidRPr="00442BCE" w:rsidRDefault="003F5118" w:rsidP="003F5118">
            <w:pPr>
              <w:pStyle w:val="ListParagraph"/>
              <w:numPr>
                <w:ilvl w:val="0"/>
                <w:numId w:val="35"/>
              </w:numPr>
              <w:ind w:right="902"/>
              <w:rPr>
                <w:rFonts w:ascii="Arial" w:hAnsi="Arial" w:cs="Arial"/>
                <w:sz w:val="20"/>
                <w:szCs w:val="20"/>
                <w:lang w:eastAsia="en-GB"/>
              </w:rPr>
            </w:pPr>
            <w:r w:rsidRPr="00442BCE">
              <w:rPr>
                <w:rFonts w:ascii="Arial" w:hAnsi="Arial" w:cs="Arial"/>
                <w:sz w:val="20"/>
                <w:szCs w:val="20"/>
                <w:lang w:eastAsia="en-GB"/>
              </w:rPr>
              <w:t>People in care settings are screened for the risk of malnutrition using a validated screening tool</w:t>
            </w:r>
          </w:p>
          <w:p w14:paraId="1F73F2C5" w14:textId="77777777" w:rsidR="003F5118" w:rsidRPr="00442BCE" w:rsidRDefault="003F5118" w:rsidP="003F5118">
            <w:pPr>
              <w:pStyle w:val="ListParagraph"/>
              <w:numPr>
                <w:ilvl w:val="0"/>
                <w:numId w:val="35"/>
              </w:numPr>
              <w:spacing w:before="100" w:beforeAutospacing="1" w:after="100" w:afterAutospacing="1"/>
              <w:ind w:right="902"/>
              <w:rPr>
                <w:rFonts w:ascii="Arial" w:hAnsi="Arial" w:cs="Arial"/>
                <w:sz w:val="20"/>
                <w:szCs w:val="20"/>
                <w:lang w:eastAsia="en-GB"/>
              </w:rPr>
            </w:pPr>
            <w:r w:rsidRPr="00442BCE">
              <w:rPr>
                <w:rFonts w:ascii="Arial" w:hAnsi="Arial" w:cs="Arial"/>
                <w:sz w:val="20"/>
                <w:szCs w:val="20"/>
                <w:lang w:eastAsia="en-GB"/>
              </w:rPr>
              <w:t>People who are malnourished or at risk of malnutrition have a management care plan that aims to meet their complete nutritional requirements</w:t>
            </w:r>
          </w:p>
          <w:p w14:paraId="7E28E7BB" w14:textId="3E3540F0" w:rsidR="003F5118" w:rsidRPr="006375EE" w:rsidRDefault="003F5118" w:rsidP="003F5118">
            <w:pPr>
              <w:pStyle w:val="TableText1"/>
              <w:rPr>
                <w:rFonts w:cs="Arial"/>
                <w:color w:val="000000"/>
                <w:sz w:val="20"/>
                <w:szCs w:val="20"/>
                <w:highlight w:val="yellow"/>
              </w:rPr>
            </w:pPr>
            <w:r w:rsidRPr="00442BCE">
              <w:rPr>
                <w:rFonts w:cs="Arial"/>
                <w:sz w:val="20"/>
                <w:szCs w:val="20"/>
              </w:rPr>
              <w:t>All people who are screened for the risk of malnutrition have their screening results and nutrition support goals (if applicable), documented and communicated in writing within and between settings</w:t>
            </w:r>
          </w:p>
        </w:tc>
      </w:tr>
      <w:tr w:rsidR="003F5118" w:rsidRPr="006375EE" w14:paraId="00D87102" w14:textId="77777777" w:rsidTr="0024650F">
        <w:trPr>
          <w:trHeight w:val="259"/>
        </w:trPr>
        <w:tc>
          <w:tcPr>
            <w:tcW w:w="562" w:type="dxa"/>
          </w:tcPr>
          <w:p w14:paraId="21CC4E53" w14:textId="77777777" w:rsidR="003F5118" w:rsidRPr="006658EF" w:rsidRDefault="003F5118" w:rsidP="003F5118">
            <w:pPr>
              <w:pStyle w:val="TableText1"/>
              <w:jc w:val="center"/>
              <w:rPr>
                <w:rFonts w:cs="Arial"/>
                <w:sz w:val="20"/>
                <w:szCs w:val="20"/>
              </w:rPr>
            </w:pPr>
          </w:p>
          <w:p w14:paraId="22094EA6" w14:textId="46CF2CA8" w:rsidR="003F5118" w:rsidRPr="006658EF" w:rsidRDefault="006658EF" w:rsidP="003F5118">
            <w:pPr>
              <w:pStyle w:val="TableText1"/>
              <w:jc w:val="center"/>
              <w:rPr>
                <w:rFonts w:cs="Arial"/>
                <w:sz w:val="20"/>
                <w:szCs w:val="20"/>
              </w:rPr>
            </w:pPr>
            <w:r w:rsidRPr="006658EF">
              <w:rPr>
                <w:rFonts w:cs="Arial"/>
                <w:sz w:val="20"/>
                <w:szCs w:val="20"/>
              </w:rPr>
              <w:t>11</w:t>
            </w:r>
          </w:p>
        </w:tc>
        <w:tc>
          <w:tcPr>
            <w:tcW w:w="1139" w:type="dxa"/>
          </w:tcPr>
          <w:p w14:paraId="5A1AF744" w14:textId="1B502F2D" w:rsidR="003F5118" w:rsidRPr="009A4C43" w:rsidRDefault="003F5118" w:rsidP="003F5118">
            <w:pPr>
              <w:pStyle w:val="TableText1"/>
              <w:rPr>
                <w:rFonts w:cs="Arial"/>
                <w:color w:val="000000"/>
                <w:sz w:val="20"/>
                <w:szCs w:val="20"/>
                <w:highlight w:val="yellow"/>
              </w:rPr>
            </w:pPr>
            <w:r w:rsidRPr="009A4C43">
              <w:rPr>
                <w:rFonts w:cs="Arial"/>
                <w:color w:val="000000"/>
                <w:sz w:val="20"/>
                <w:szCs w:val="20"/>
              </w:rPr>
              <w:t>General comment</w:t>
            </w:r>
          </w:p>
        </w:tc>
        <w:tc>
          <w:tcPr>
            <w:tcW w:w="1985" w:type="dxa"/>
          </w:tcPr>
          <w:p w14:paraId="578CD80C" w14:textId="1C091B12" w:rsidR="003F5118" w:rsidRPr="006375EE" w:rsidRDefault="003F5118" w:rsidP="003F5118">
            <w:pPr>
              <w:pStyle w:val="TableText1"/>
              <w:rPr>
                <w:rFonts w:cs="Arial"/>
                <w:color w:val="000000"/>
                <w:sz w:val="20"/>
                <w:szCs w:val="20"/>
                <w:highlight w:val="yellow"/>
              </w:rPr>
            </w:pPr>
            <w:proofErr w:type="spellStart"/>
            <w:r w:rsidRPr="00442BCE">
              <w:rPr>
                <w:rFonts w:cs="Arial"/>
                <w:b/>
                <w:sz w:val="20"/>
                <w:szCs w:val="20"/>
              </w:rPr>
              <w:t>Nutricia</w:t>
            </w:r>
            <w:proofErr w:type="spellEnd"/>
            <w:r w:rsidRPr="00442BCE">
              <w:rPr>
                <w:rFonts w:cs="Arial"/>
                <w:b/>
                <w:sz w:val="20"/>
                <w:szCs w:val="20"/>
              </w:rPr>
              <w:t xml:space="preserve"> Advanced Medical Nutrition</w:t>
            </w:r>
          </w:p>
        </w:tc>
        <w:tc>
          <w:tcPr>
            <w:tcW w:w="11198" w:type="dxa"/>
          </w:tcPr>
          <w:p w14:paraId="51493739" w14:textId="246039E3" w:rsidR="003F5118" w:rsidRPr="006375EE" w:rsidRDefault="003F5118" w:rsidP="003F5118">
            <w:pPr>
              <w:pStyle w:val="TableText1"/>
              <w:rPr>
                <w:rFonts w:cs="Arial"/>
                <w:color w:val="000000"/>
                <w:sz w:val="20"/>
                <w:szCs w:val="20"/>
                <w:highlight w:val="yellow"/>
              </w:rPr>
            </w:pPr>
            <w:r w:rsidRPr="00442BCE">
              <w:rPr>
                <w:rFonts w:cs="Arial"/>
                <w:sz w:val="20"/>
                <w:szCs w:val="20"/>
              </w:rPr>
              <w:t xml:space="preserve">NICE has shown that substantial cost savings can result from identifying and treating malnutrition – implementation of Clinical Guideline 32: Nutrition Support in Adults and supporting Quality Standard 24 have been shown to have a high impact with respect to cost savings and therefore this supports the integration of nutrition into care pathways an including some form of indicator </w:t>
            </w:r>
            <w:proofErr w:type="spellStart"/>
            <w:r w:rsidRPr="00442BCE">
              <w:rPr>
                <w:rFonts w:cs="Arial"/>
                <w:sz w:val="20"/>
                <w:szCs w:val="20"/>
              </w:rPr>
              <w:t>ie</w:t>
            </w:r>
            <w:proofErr w:type="spellEnd"/>
            <w:r w:rsidRPr="00442BCE">
              <w:rPr>
                <w:rFonts w:cs="Arial"/>
                <w:sz w:val="20"/>
                <w:szCs w:val="20"/>
              </w:rPr>
              <w:t xml:space="preserve"> screening for malnutrition risk (as stated above in multimorbidity/frailty/COPD) using a validated screening tool such as ‘MUST’ and implementing a Managing Malnutrition Pathway such as the Managing Adult Malnutrition in the Community Pathway </w:t>
            </w:r>
            <w:hyperlink r:id="rId29" w:history="1">
              <w:r w:rsidRPr="00442BCE">
                <w:rPr>
                  <w:rStyle w:val="Hyperlink"/>
                  <w:rFonts w:cs="Arial"/>
                  <w:color w:val="auto"/>
                  <w:sz w:val="20"/>
                  <w:szCs w:val="20"/>
                </w:rPr>
                <w:t>www.malnutritionpathway.co.uk</w:t>
              </w:r>
            </w:hyperlink>
            <w:r w:rsidRPr="00442BCE">
              <w:rPr>
                <w:rFonts w:cs="Arial"/>
                <w:sz w:val="20"/>
                <w:szCs w:val="20"/>
              </w:rPr>
              <w:t xml:space="preserve"> </w:t>
            </w:r>
          </w:p>
        </w:tc>
      </w:tr>
      <w:tr w:rsidR="003F5118" w:rsidRPr="006375EE" w14:paraId="40EF76DA" w14:textId="77777777" w:rsidTr="0024650F">
        <w:trPr>
          <w:trHeight w:val="259"/>
        </w:trPr>
        <w:tc>
          <w:tcPr>
            <w:tcW w:w="562" w:type="dxa"/>
          </w:tcPr>
          <w:p w14:paraId="0C8CEE60" w14:textId="7DB74ECB" w:rsidR="003F5118" w:rsidRPr="006658EF" w:rsidRDefault="006658EF" w:rsidP="003F5118">
            <w:pPr>
              <w:pStyle w:val="TableText1"/>
              <w:jc w:val="center"/>
              <w:rPr>
                <w:rFonts w:cs="Arial"/>
                <w:sz w:val="20"/>
                <w:szCs w:val="20"/>
              </w:rPr>
            </w:pPr>
            <w:r w:rsidRPr="006658EF">
              <w:rPr>
                <w:rFonts w:cs="Arial"/>
                <w:sz w:val="20"/>
                <w:szCs w:val="20"/>
              </w:rPr>
              <w:lastRenderedPageBreak/>
              <w:t>12</w:t>
            </w:r>
          </w:p>
        </w:tc>
        <w:tc>
          <w:tcPr>
            <w:tcW w:w="1139" w:type="dxa"/>
          </w:tcPr>
          <w:p w14:paraId="15A19D23" w14:textId="152328E6" w:rsidR="003F5118" w:rsidRPr="009A4C43" w:rsidRDefault="003F5118" w:rsidP="003F5118">
            <w:pPr>
              <w:pStyle w:val="TableText1"/>
              <w:rPr>
                <w:rFonts w:cs="Arial"/>
                <w:color w:val="000000"/>
                <w:sz w:val="20"/>
                <w:szCs w:val="20"/>
              </w:rPr>
            </w:pPr>
            <w:r w:rsidRPr="009A4C43">
              <w:rPr>
                <w:rFonts w:cs="Arial"/>
                <w:sz w:val="20"/>
                <w:szCs w:val="20"/>
              </w:rPr>
              <w:t>General comment</w:t>
            </w:r>
          </w:p>
        </w:tc>
        <w:tc>
          <w:tcPr>
            <w:tcW w:w="1985" w:type="dxa"/>
          </w:tcPr>
          <w:p w14:paraId="74160D65" w14:textId="00E4AAF1" w:rsidR="003F5118" w:rsidRPr="00E10833" w:rsidRDefault="003F5118" w:rsidP="003F5118">
            <w:pPr>
              <w:pStyle w:val="TableText1"/>
              <w:rPr>
                <w:rFonts w:cs="Arial"/>
                <w:color w:val="000000"/>
                <w:sz w:val="20"/>
                <w:szCs w:val="20"/>
              </w:rPr>
            </w:pPr>
            <w:r w:rsidRPr="00E10833">
              <w:rPr>
                <w:rFonts w:cs="Arial"/>
                <w:b/>
                <w:sz w:val="20"/>
                <w:szCs w:val="20"/>
              </w:rPr>
              <w:t>Public Health England</w:t>
            </w:r>
          </w:p>
        </w:tc>
        <w:tc>
          <w:tcPr>
            <w:tcW w:w="11198" w:type="dxa"/>
          </w:tcPr>
          <w:p w14:paraId="5F7E998B" w14:textId="77777777" w:rsidR="003F5118" w:rsidRPr="00E10833" w:rsidRDefault="003F5118" w:rsidP="003F5118">
            <w:pPr>
              <w:rPr>
                <w:rFonts w:ascii="Arial" w:hAnsi="Arial" w:cs="Arial"/>
                <w:sz w:val="20"/>
                <w:szCs w:val="20"/>
              </w:rPr>
            </w:pPr>
            <w:r w:rsidRPr="00E10833">
              <w:rPr>
                <w:rFonts w:ascii="Arial" w:hAnsi="Arial" w:cs="Arial"/>
                <w:sz w:val="20"/>
                <w:szCs w:val="20"/>
              </w:rPr>
              <w:t>The indicators proposed for inclusion in relation to frailty are welcome, including monitoring of specific interventions for those living with frailty, such as medications review or falls prevention support.</w:t>
            </w:r>
          </w:p>
          <w:p w14:paraId="16D559F8" w14:textId="77777777" w:rsidR="003F5118" w:rsidRPr="00E10833" w:rsidRDefault="003F5118" w:rsidP="003F5118">
            <w:pPr>
              <w:rPr>
                <w:rFonts w:ascii="Arial" w:hAnsi="Arial" w:cs="Arial"/>
                <w:sz w:val="20"/>
                <w:szCs w:val="20"/>
              </w:rPr>
            </w:pPr>
          </w:p>
          <w:p w14:paraId="0D0CD90D" w14:textId="11E93053" w:rsidR="003F5118" w:rsidRPr="00E10833" w:rsidRDefault="003F5118" w:rsidP="003F5118">
            <w:pPr>
              <w:pStyle w:val="TableText1"/>
              <w:rPr>
                <w:rFonts w:cs="Arial"/>
                <w:color w:val="000000"/>
                <w:sz w:val="20"/>
                <w:szCs w:val="20"/>
              </w:rPr>
            </w:pPr>
            <w:r w:rsidRPr="00E10833">
              <w:rPr>
                <w:rFonts w:cs="Arial"/>
                <w:sz w:val="20"/>
                <w:szCs w:val="20"/>
              </w:rPr>
              <w:t>However, in future. we would encourage consideration of indicators which seek to monitor the provision of comprehensive assessment and review for those who are frail, which is likely to be key in proactive and recurrent management of frailty in the community.(BGS, 2019), This can be viewed at: https://www.bgs.org.uk/resources/resource-series/comprehensive-geriatric-assessment-toolkit-for-primary-care-practitioners.</w:t>
            </w:r>
          </w:p>
        </w:tc>
      </w:tr>
      <w:tr w:rsidR="003F5118" w:rsidRPr="006375EE" w14:paraId="1B1CCE96" w14:textId="77777777" w:rsidTr="0024650F">
        <w:trPr>
          <w:trHeight w:val="259"/>
        </w:trPr>
        <w:tc>
          <w:tcPr>
            <w:tcW w:w="562" w:type="dxa"/>
          </w:tcPr>
          <w:p w14:paraId="3EC9F85C" w14:textId="241C9E7A" w:rsidR="003F5118" w:rsidRPr="006658EF" w:rsidRDefault="006658EF" w:rsidP="003F5118">
            <w:pPr>
              <w:pStyle w:val="TableText1"/>
              <w:jc w:val="center"/>
              <w:rPr>
                <w:rFonts w:cs="Arial"/>
                <w:sz w:val="20"/>
                <w:szCs w:val="20"/>
              </w:rPr>
            </w:pPr>
            <w:r w:rsidRPr="006658EF">
              <w:rPr>
                <w:rFonts w:cs="Arial"/>
                <w:sz w:val="20"/>
                <w:szCs w:val="20"/>
              </w:rPr>
              <w:t>13</w:t>
            </w:r>
          </w:p>
        </w:tc>
        <w:tc>
          <w:tcPr>
            <w:tcW w:w="1139" w:type="dxa"/>
          </w:tcPr>
          <w:p w14:paraId="6549C812" w14:textId="347BFAA7" w:rsidR="003F5118" w:rsidRPr="009A4C43" w:rsidRDefault="003F5118" w:rsidP="003F5118">
            <w:pPr>
              <w:pStyle w:val="TableText1"/>
              <w:rPr>
                <w:rFonts w:cs="Arial"/>
                <w:color w:val="000000"/>
                <w:sz w:val="20"/>
                <w:szCs w:val="20"/>
              </w:rPr>
            </w:pPr>
            <w:r w:rsidRPr="009A4C43">
              <w:rPr>
                <w:rFonts w:cs="Arial"/>
                <w:color w:val="000000"/>
                <w:sz w:val="20"/>
                <w:szCs w:val="20"/>
              </w:rPr>
              <w:t>General comment</w:t>
            </w:r>
          </w:p>
        </w:tc>
        <w:tc>
          <w:tcPr>
            <w:tcW w:w="1985" w:type="dxa"/>
          </w:tcPr>
          <w:p w14:paraId="5A8D54E5" w14:textId="5CF1427D" w:rsidR="003F5118" w:rsidRPr="00E10833" w:rsidRDefault="003F5118" w:rsidP="003F5118">
            <w:pPr>
              <w:pStyle w:val="TableText1"/>
              <w:rPr>
                <w:rFonts w:cs="Arial"/>
                <w:color w:val="000000"/>
                <w:sz w:val="20"/>
                <w:szCs w:val="20"/>
              </w:rPr>
            </w:pPr>
            <w:r w:rsidRPr="00E10833">
              <w:rPr>
                <w:rFonts w:cs="Arial"/>
                <w:b/>
                <w:sz w:val="20"/>
                <w:szCs w:val="20"/>
              </w:rPr>
              <w:t>Royal College of General Practitioners</w:t>
            </w:r>
          </w:p>
        </w:tc>
        <w:tc>
          <w:tcPr>
            <w:tcW w:w="11198" w:type="dxa"/>
          </w:tcPr>
          <w:p w14:paraId="7AFEC6C8" w14:textId="2E908FDA" w:rsidR="003F5118" w:rsidRPr="00E10833" w:rsidRDefault="003F5118" w:rsidP="003F5118">
            <w:pPr>
              <w:pStyle w:val="TableText1"/>
              <w:rPr>
                <w:rFonts w:cs="Arial"/>
                <w:color w:val="000000"/>
                <w:sz w:val="20"/>
                <w:szCs w:val="20"/>
              </w:rPr>
            </w:pPr>
            <w:r w:rsidRPr="00E10833">
              <w:rPr>
                <w:rFonts w:cs="Arial"/>
                <w:sz w:val="20"/>
                <w:szCs w:val="20"/>
              </w:rPr>
              <w:t>The RCGP is a partner on the Multiple Conditions Taskforce, which has also submitted a response to this consultation</w:t>
            </w:r>
          </w:p>
        </w:tc>
      </w:tr>
      <w:tr w:rsidR="003F5118" w:rsidRPr="006375EE" w14:paraId="1C03065F" w14:textId="77777777" w:rsidTr="0024650F">
        <w:trPr>
          <w:trHeight w:val="259"/>
        </w:trPr>
        <w:tc>
          <w:tcPr>
            <w:tcW w:w="562" w:type="dxa"/>
          </w:tcPr>
          <w:p w14:paraId="21E3560E" w14:textId="6E170665" w:rsidR="003F5118" w:rsidRPr="006658EF" w:rsidRDefault="006658EF" w:rsidP="003F5118">
            <w:pPr>
              <w:pStyle w:val="TableText1"/>
              <w:jc w:val="center"/>
              <w:rPr>
                <w:rFonts w:cs="Arial"/>
                <w:sz w:val="20"/>
                <w:szCs w:val="20"/>
              </w:rPr>
            </w:pPr>
            <w:r w:rsidRPr="006658EF">
              <w:rPr>
                <w:rFonts w:cs="Arial"/>
                <w:sz w:val="20"/>
                <w:szCs w:val="20"/>
              </w:rPr>
              <w:t>14</w:t>
            </w:r>
          </w:p>
        </w:tc>
        <w:tc>
          <w:tcPr>
            <w:tcW w:w="1139" w:type="dxa"/>
          </w:tcPr>
          <w:p w14:paraId="2969246A" w14:textId="2F9F20D4" w:rsidR="003F5118" w:rsidRPr="009A4C43" w:rsidRDefault="003F5118" w:rsidP="003F5118">
            <w:pPr>
              <w:pStyle w:val="TableText1"/>
              <w:rPr>
                <w:rFonts w:cs="Arial"/>
                <w:color w:val="000000"/>
                <w:sz w:val="20"/>
                <w:szCs w:val="20"/>
              </w:rPr>
            </w:pPr>
            <w:r w:rsidRPr="009A4C43">
              <w:rPr>
                <w:rFonts w:cs="Arial"/>
                <w:sz w:val="20"/>
                <w:szCs w:val="20"/>
              </w:rPr>
              <w:t>General- definition</w:t>
            </w:r>
          </w:p>
        </w:tc>
        <w:tc>
          <w:tcPr>
            <w:tcW w:w="1985" w:type="dxa"/>
          </w:tcPr>
          <w:p w14:paraId="41A6BB5E" w14:textId="06BB442E" w:rsidR="003F5118" w:rsidRPr="00442BCE" w:rsidRDefault="003F5118" w:rsidP="003F5118">
            <w:pPr>
              <w:pStyle w:val="TableText1"/>
              <w:rPr>
                <w:rFonts w:cs="Arial"/>
                <w:b/>
                <w:sz w:val="20"/>
                <w:szCs w:val="20"/>
              </w:rPr>
            </w:pPr>
            <w:r w:rsidRPr="00442BCE">
              <w:rPr>
                <w:rFonts w:cs="Arial"/>
                <w:b/>
                <w:sz w:val="20"/>
                <w:szCs w:val="20"/>
              </w:rPr>
              <w:t>British Dietetic Association</w:t>
            </w:r>
          </w:p>
        </w:tc>
        <w:tc>
          <w:tcPr>
            <w:tcW w:w="11198" w:type="dxa"/>
          </w:tcPr>
          <w:p w14:paraId="346EDC37" w14:textId="5933400C" w:rsidR="003F5118" w:rsidRPr="00442BCE" w:rsidRDefault="003F5118" w:rsidP="003F5118">
            <w:pPr>
              <w:rPr>
                <w:rFonts w:ascii="Arial" w:hAnsi="Arial" w:cs="Arial"/>
                <w:sz w:val="20"/>
                <w:szCs w:val="20"/>
              </w:rPr>
            </w:pPr>
            <w:r w:rsidRPr="00266B6F">
              <w:rPr>
                <w:rFonts w:ascii="Arial" w:hAnsi="Arial" w:cs="Arial"/>
                <w:sz w:val="20"/>
                <w:szCs w:val="20"/>
              </w:rPr>
              <w:t xml:space="preserve">Re: page 16. We would suggest including the following conditions on the Multimorbidity register: Motor Neurons Disease, Huntington’s Disease and </w:t>
            </w:r>
            <w:r w:rsidRPr="00266B6F">
              <w:rPr>
                <w:rFonts w:ascii="Arial" w:hAnsi="Arial" w:cs="Arial"/>
                <w:bCs/>
                <w:sz w:val="20"/>
                <w:szCs w:val="20"/>
                <w:shd w:val="clear" w:color="auto" w:fill="FFFFFF"/>
              </w:rPr>
              <w:t>Progressive Supranuclear Palsy.</w:t>
            </w:r>
          </w:p>
        </w:tc>
      </w:tr>
      <w:tr w:rsidR="003F5118" w:rsidRPr="006375EE" w14:paraId="5BDA031F" w14:textId="77777777" w:rsidTr="0024650F">
        <w:trPr>
          <w:trHeight w:val="259"/>
        </w:trPr>
        <w:tc>
          <w:tcPr>
            <w:tcW w:w="562" w:type="dxa"/>
          </w:tcPr>
          <w:p w14:paraId="2A910799" w14:textId="0B682DC5" w:rsidR="003F5118" w:rsidRPr="006658EF" w:rsidRDefault="006658EF" w:rsidP="003F5118">
            <w:pPr>
              <w:pStyle w:val="TableText1"/>
              <w:jc w:val="center"/>
              <w:rPr>
                <w:rFonts w:cs="Arial"/>
                <w:sz w:val="20"/>
                <w:szCs w:val="20"/>
              </w:rPr>
            </w:pPr>
            <w:r w:rsidRPr="006658EF">
              <w:rPr>
                <w:rFonts w:cs="Arial"/>
                <w:sz w:val="20"/>
                <w:szCs w:val="20"/>
              </w:rPr>
              <w:t>15</w:t>
            </w:r>
          </w:p>
        </w:tc>
        <w:tc>
          <w:tcPr>
            <w:tcW w:w="1139" w:type="dxa"/>
          </w:tcPr>
          <w:p w14:paraId="18DD3906" w14:textId="21EEA8F0" w:rsidR="003F5118" w:rsidRPr="009A4C43" w:rsidRDefault="003F5118" w:rsidP="003F5118">
            <w:pPr>
              <w:pStyle w:val="TableText1"/>
              <w:rPr>
                <w:rFonts w:cs="Arial"/>
                <w:sz w:val="20"/>
                <w:szCs w:val="20"/>
              </w:rPr>
            </w:pPr>
            <w:r w:rsidRPr="009A4C43">
              <w:rPr>
                <w:rFonts w:cs="Arial"/>
                <w:sz w:val="20"/>
                <w:szCs w:val="20"/>
              </w:rPr>
              <w:t>General- definition</w:t>
            </w:r>
          </w:p>
        </w:tc>
        <w:tc>
          <w:tcPr>
            <w:tcW w:w="1985" w:type="dxa"/>
          </w:tcPr>
          <w:p w14:paraId="5BD3CE29" w14:textId="77777777" w:rsidR="003F5118" w:rsidRPr="00442BCE" w:rsidRDefault="003F5118" w:rsidP="003F5118">
            <w:pPr>
              <w:spacing w:before="240"/>
              <w:rPr>
                <w:rFonts w:ascii="Arial" w:hAnsi="Arial" w:cs="Arial"/>
                <w:b/>
                <w:sz w:val="20"/>
                <w:szCs w:val="20"/>
              </w:rPr>
            </w:pPr>
            <w:r w:rsidRPr="00442BCE">
              <w:rPr>
                <w:rFonts w:ascii="Arial" w:hAnsi="Arial" w:cs="Arial"/>
                <w:b/>
                <w:sz w:val="20"/>
                <w:szCs w:val="20"/>
              </w:rPr>
              <w:t>British Thoracic Society</w:t>
            </w:r>
          </w:p>
          <w:p w14:paraId="79E156BF" w14:textId="77777777" w:rsidR="003F5118" w:rsidRPr="00442BCE" w:rsidRDefault="003F5118" w:rsidP="003F5118">
            <w:pPr>
              <w:pStyle w:val="TableText1"/>
              <w:rPr>
                <w:rFonts w:cs="Arial"/>
                <w:b/>
                <w:sz w:val="20"/>
                <w:szCs w:val="20"/>
              </w:rPr>
            </w:pPr>
          </w:p>
        </w:tc>
        <w:tc>
          <w:tcPr>
            <w:tcW w:w="11198" w:type="dxa"/>
          </w:tcPr>
          <w:p w14:paraId="6798E5F7" w14:textId="527CE7A0" w:rsidR="003F5118" w:rsidRPr="00266B6F" w:rsidRDefault="003F5118" w:rsidP="003F5118">
            <w:pPr>
              <w:rPr>
                <w:rFonts w:ascii="Arial" w:hAnsi="Arial" w:cs="Arial"/>
                <w:sz w:val="20"/>
                <w:szCs w:val="20"/>
              </w:rPr>
            </w:pPr>
            <w:r w:rsidRPr="00266B6F">
              <w:rPr>
                <w:rFonts w:ascii="Arial" w:hAnsi="Arial" w:cs="Arial"/>
                <w:sz w:val="20"/>
                <w:szCs w:val="20"/>
              </w:rPr>
              <w:t>This table should include a section on addiction/ substance abuse (including tobacco).</w:t>
            </w:r>
          </w:p>
          <w:p w14:paraId="6FBB2439" w14:textId="77777777" w:rsidR="003F5118" w:rsidRPr="00266B6F" w:rsidRDefault="003F5118" w:rsidP="003F5118">
            <w:pPr>
              <w:rPr>
                <w:rFonts w:ascii="Arial" w:hAnsi="Arial" w:cs="Arial"/>
                <w:sz w:val="20"/>
                <w:szCs w:val="20"/>
              </w:rPr>
            </w:pPr>
          </w:p>
          <w:p w14:paraId="79698355" w14:textId="77777777" w:rsidR="003F5118" w:rsidRPr="00266B6F" w:rsidRDefault="003F5118" w:rsidP="003F5118">
            <w:pPr>
              <w:rPr>
                <w:rFonts w:ascii="Arial" w:hAnsi="Arial" w:cs="Arial"/>
                <w:sz w:val="20"/>
                <w:szCs w:val="20"/>
              </w:rPr>
            </w:pPr>
            <w:r w:rsidRPr="00266B6F">
              <w:rPr>
                <w:rFonts w:ascii="Arial" w:hAnsi="Arial" w:cs="Arial"/>
                <w:sz w:val="20"/>
                <w:szCs w:val="20"/>
              </w:rPr>
              <w:t>There is alcohol and psychoactive substance abuse in the mental health section but there should be a separate section in the table for tobacco, alcohol and other substance addictions.</w:t>
            </w:r>
          </w:p>
          <w:p w14:paraId="5FE051FB" w14:textId="77777777" w:rsidR="003F5118" w:rsidRPr="00266B6F" w:rsidRDefault="003F5118" w:rsidP="003F5118">
            <w:pPr>
              <w:rPr>
                <w:rFonts w:ascii="Arial" w:hAnsi="Arial" w:cs="Arial"/>
                <w:sz w:val="20"/>
                <w:szCs w:val="20"/>
              </w:rPr>
            </w:pPr>
            <w:r w:rsidRPr="00266B6F">
              <w:rPr>
                <w:rFonts w:ascii="Arial" w:hAnsi="Arial" w:cs="Arial"/>
                <w:sz w:val="20"/>
                <w:szCs w:val="20"/>
              </w:rPr>
              <w:t>These should count as a morbidity as they are listed in the NG56 guidance and NICE QS153 quality statement.</w:t>
            </w:r>
          </w:p>
          <w:p w14:paraId="3BB5FEFF" w14:textId="77777777" w:rsidR="003F5118" w:rsidRPr="00266B6F" w:rsidRDefault="003F5118" w:rsidP="003F5118">
            <w:pPr>
              <w:rPr>
                <w:rFonts w:ascii="Arial" w:hAnsi="Arial" w:cs="Arial"/>
                <w:sz w:val="20"/>
                <w:szCs w:val="20"/>
              </w:rPr>
            </w:pPr>
            <w:r w:rsidRPr="00266B6F">
              <w:rPr>
                <w:rFonts w:ascii="Arial" w:hAnsi="Arial" w:cs="Arial"/>
                <w:sz w:val="20"/>
                <w:szCs w:val="20"/>
              </w:rPr>
              <w:t>They should also be listed separately because they multiply the risk of disease progression and exacerbation frequency/ NHS service use.</w:t>
            </w:r>
          </w:p>
          <w:p w14:paraId="50045D4B" w14:textId="77777777" w:rsidR="003F5118" w:rsidRPr="00266B6F" w:rsidRDefault="003F5118" w:rsidP="003F5118">
            <w:pPr>
              <w:rPr>
                <w:rFonts w:ascii="Arial" w:hAnsi="Arial" w:cs="Arial"/>
                <w:sz w:val="20"/>
                <w:szCs w:val="20"/>
              </w:rPr>
            </w:pPr>
            <w:r w:rsidRPr="00266B6F">
              <w:rPr>
                <w:rFonts w:ascii="Arial" w:hAnsi="Arial" w:cs="Arial"/>
                <w:sz w:val="20"/>
                <w:szCs w:val="20"/>
              </w:rPr>
              <w:t xml:space="preserve">The </w:t>
            </w:r>
            <w:proofErr w:type="gramStart"/>
            <w:r w:rsidRPr="00266B6F">
              <w:rPr>
                <w:rFonts w:ascii="Arial" w:hAnsi="Arial" w:cs="Arial"/>
                <w:sz w:val="20"/>
                <w:szCs w:val="20"/>
              </w:rPr>
              <w:t>main focus</w:t>
            </w:r>
            <w:proofErr w:type="gramEnd"/>
            <w:r w:rsidRPr="00266B6F">
              <w:rPr>
                <w:rFonts w:ascii="Arial" w:hAnsi="Arial" w:cs="Arial"/>
                <w:sz w:val="20"/>
                <w:szCs w:val="20"/>
              </w:rPr>
              <w:t xml:space="preserve"> for the multimorbidity guidance is for the elderly but this is a missed opportunity for single organ diseases in the younger patients with addictions.</w:t>
            </w:r>
          </w:p>
          <w:p w14:paraId="527BEC39" w14:textId="77777777" w:rsidR="003F5118" w:rsidRPr="00266B6F" w:rsidRDefault="003F5118" w:rsidP="003F5118">
            <w:pPr>
              <w:rPr>
                <w:rFonts w:ascii="Arial" w:hAnsi="Arial" w:cs="Arial"/>
                <w:sz w:val="20"/>
                <w:szCs w:val="20"/>
              </w:rPr>
            </w:pPr>
            <w:r w:rsidRPr="00266B6F">
              <w:rPr>
                <w:rFonts w:ascii="Arial" w:hAnsi="Arial" w:cs="Arial"/>
                <w:sz w:val="20"/>
                <w:szCs w:val="20"/>
              </w:rPr>
              <w:t>As we are moving more to treating tobacco addiction as one of the best and cost effective treatments for most respiratory diseases (and many others) this should be highlighted.</w:t>
            </w:r>
          </w:p>
          <w:p w14:paraId="54C9C6BC" w14:textId="77777777" w:rsidR="003F5118" w:rsidRPr="00266B6F" w:rsidRDefault="003F5118" w:rsidP="003F5118">
            <w:pPr>
              <w:rPr>
                <w:rFonts w:ascii="Arial" w:hAnsi="Arial" w:cs="Arial"/>
                <w:sz w:val="20"/>
                <w:szCs w:val="20"/>
              </w:rPr>
            </w:pPr>
          </w:p>
        </w:tc>
      </w:tr>
      <w:tr w:rsidR="003F5118" w:rsidRPr="006375EE" w14:paraId="487DC969" w14:textId="77777777" w:rsidTr="0024650F">
        <w:trPr>
          <w:trHeight w:val="259"/>
        </w:trPr>
        <w:tc>
          <w:tcPr>
            <w:tcW w:w="562" w:type="dxa"/>
          </w:tcPr>
          <w:p w14:paraId="0066A91A" w14:textId="2E24AA13" w:rsidR="003F5118" w:rsidRPr="006658EF" w:rsidRDefault="006658EF" w:rsidP="003F5118">
            <w:pPr>
              <w:pStyle w:val="TableText1"/>
              <w:jc w:val="center"/>
              <w:rPr>
                <w:rFonts w:cs="Arial"/>
                <w:sz w:val="20"/>
                <w:szCs w:val="20"/>
              </w:rPr>
            </w:pPr>
            <w:r w:rsidRPr="006658EF">
              <w:rPr>
                <w:rFonts w:cs="Arial"/>
                <w:sz w:val="20"/>
                <w:szCs w:val="20"/>
              </w:rPr>
              <w:t>16</w:t>
            </w:r>
          </w:p>
        </w:tc>
        <w:tc>
          <w:tcPr>
            <w:tcW w:w="1139" w:type="dxa"/>
          </w:tcPr>
          <w:p w14:paraId="7D720436" w14:textId="553EFEFB" w:rsidR="003F5118" w:rsidRPr="009A4C43" w:rsidRDefault="003F5118" w:rsidP="003F5118">
            <w:pPr>
              <w:pStyle w:val="TableText1"/>
              <w:rPr>
                <w:rFonts w:cs="Arial"/>
                <w:sz w:val="20"/>
                <w:szCs w:val="20"/>
              </w:rPr>
            </w:pPr>
            <w:r w:rsidRPr="009A4C43">
              <w:rPr>
                <w:rFonts w:cs="Arial"/>
                <w:sz w:val="20"/>
                <w:szCs w:val="20"/>
              </w:rPr>
              <w:t>General - definition</w:t>
            </w:r>
          </w:p>
        </w:tc>
        <w:tc>
          <w:tcPr>
            <w:tcW w:w="1985" w:type="dxa"/>
          </w:tcPr>
          <w:p w14:paraId="1A188D8C" w14:textId="6CC8CC75" w:rsidR="003F5118" w:rsidRPr="00442BCE" w:rsidRDefault="003F5118" w:rsidP="003F5118">
            <w:pPr>
              <w:pStyle w:val="TableText1"/>
              <w:rPr>
                <w:rFonts w:cs="Arial"/>
                <w:b/>
                <w:sz w:val="20"/>
                <w:szCs w:val="20"/>
              </w:rPr>
            </w:pPr>
            <w:r w:rsidRPr="00442BCE">
              <w:rPr>
                <w:rFonts w:cs="Arial"/>
                <w:b/>
                <w:sz w:val="20"/>
                <w:szCs w:val="20"/>
              </w:rPr>
              <w:t>Chelsea and Westminster NHS Foundation Trust - HIV Clinical Reference Group</w:t>
            </w:r>
          </w:p>
        </w:tc>
        <w:tc>
          <w:tcPr>
            <w:tcW w:w="11198" w:type="dxa"/>
          </w:tcPr>
          <w:p w14:paraId="05202691" w14:textId="0EA42CAF" w:rsidR="003F5118" w:rsidRPr="00442BCE" w:rsidRDefault="003F5118" w:rsidP="003F5118">
            <w:pPr>
              <w:rPr>
                <w:rFonts w:ascii="Arial" w:hAnsi="Arial" w:cs="Arial"/>
                <w:sz w:val="20"/>
                <w:szCs w:val="20"/>
              </w:rPr>
            </w:pPr>
            <w:r w:rsidRPr="00442BCE">
              <w:rPr>
                <w:rFonts w:ascii="Arial" w:hAnsi="Arial" w:cs="Arial"/>
                <w:sz w:val="20"/>
                <w:szCs w:val="20"/>
              </w:rPr>
              <w:t xml:space="preserve">The HIV CRG welcomes NICE’s work on multimorbidity and the new indicator promoting a multimorbidity register in primary care.  </w:t>
            </w:r>
            <w:proofErr w:type="gramStart"/>
            <w:r w:rsidRPr="00442BCE">
              <w:rPr>
                <w:rFonts w:ascii="Arial" w:hAnsi="Arial" w:cs="Arial"/>
                <w:sz w:val="20"/>
                <w:szCs w:val="20"/>
              </w:rPr>
              <w:t>However</w:t>
            </w:r>
            <w:proofErr w:type="gramEnd"/>
            <w:r w:rsidRPr="00442BCE">
              <w:rPr>
                <w:rFonts w:ascii="Arial" w:hAnsi="Arial" w:cs="Arial"/>
                <w:sz w:val="20"/>
                <w:szCs w:val="20"/>
              </w:rPr>
              <w:t xml:space="preserve"> we are concerned that the definition of multimorbidity for the register (presence of four or more condition categories) differs from the definition of multimorbidity in the NICE guideline.  We are concerned by the arbitrary nature of classification using 4 categories with no adjustment made for the severity or impact of these. Although we understand that any indicator must be measurable this will potentially exclude those who should be included.</w:t>
            </w:r>
          </w:p>
          <w:p w14:paraId="3D74387B" w14:textId="77777777" w:rsidR="003F5118" w:rsidRPr="00442BCE" w:rsidRDefault="003F5118" w:rsidP="003F5118">
            <w:pPr>
              <w:rPr>
                <w:rFonts w:ascii="Arial" w:hAnsi="Arial" w:cs="Arial"/>
                <w:sz w:val="20"/>
                <w:szCs w:val="20"/>
              </w:rPr>
            </w:pPr>
          </w:p>
          <w:p w14:paraId="2EA79C2E" w14:textId="77777777" w:rsidR="003F5118" w:rsidRPr="00442BCE" w:rsidRDefault="003F5118" w:rsidP="003F5118">
            <w:pPr>
              <w:rPr>
                <w:rFonts w:ascii="Arial" w:hAnsi="Arial" w:cs="Arial"/>
                <w:sz w:val="20"/>
                <w:szCs w:val="20"/>
              </w:rPr>
            </w:pPr>
            <w:r w:rsidRPr="00442BCE">
              <w:rPr>
                <w:rFonts w:ascii="Arial" w:hAnsi="Arial" w:cs="Arial"/>
                <w:sz w:val="20"/>
                <w:szCs w:val="20"/>
              </w:rPr>
              <w:t xml:space="preserve">People living with HIV are disproportionately affected by multimorbidity and work by Public Health England has shown that 73% of people living with HIV </w:t>
            </w:r>
            <w:proofErr w:type="gramStart"/>
            <w:r w:rsidRPr="00442BCE">
              <w:rPr>
                <w:rFonts w:ascii="Arial" w:hAnsi="Arial" w:cs="Arial"/>
                <w:sz w:val="20"/>
                <w:szCs w:val="20"/>
              </w:rPr>
              <w:t>have to</w:t>
            </w:r>
            <w:proofErr w:type="gramEnd"/>
            <w:r w:rsidRPr="00442BCE">
              <w:rPr>
                <w:rFonts w:ascii="Arial" w:hAnsi="Arial" w:cs="Arial"/>
                <w:sz w:val="20"/>
                <w:szCs w:val="20"/>
              </w:rPr>
              <w:t xml:space="preserve"> manage multiple health conditions (Positive Voices 2017).  According to Positive Voices 2014, 38% of people living with HIV have three or more long-term conditions – it will be an even higher percentage now with an ageing patient cohort.  This may well mean for many that they do come within the ‘four or more condition categories’ criterion.  However, HIV is not listed as a condition, which will automatically subtract ‘one’ from their tally.  And as stated above it is possible for conditions to cluster in categories – for example, anxiety, depression, alcohol problems and psychoactive substance misuse are all elevated in this population.</w:t>
            </w:r>
          </w:p>
          <w:p w14:paraId="6F1F4DDA" w14:textId="77777777" w:rsidR="003F5118" w:rsidRPr="00442BCE" w:rsidRDefault="003F5118" w:rsidP="003F5118">
            <w:pPr>
              <w:rPr>
                <w:rFonts w:ascii="Arial" w:hAnsi="Arial" w:cs="Arial"/>
                <w:sz w:val="20"/>
                <w:szCs w:val="20"/>
              </w:rPr>
            </w:pPr>
          </w:p>
          <w:p w14:paraId="1EFA866E" w14:textId="77777777" w:rsidR="003F5118" w:rsidRPr="00442BCE" w:rsidRDefault="003F5118" w:rsidP="003F5118">
            <w:pPr>
              <w:rPr>
                <w:rFonts w:ascii="Arial" w:hAnsi="Arial" w:cs="Arial"/>
                <w:sz w:val="20"/>
                <w:szCs w:val="20"/>
              </w:rPr>
            </w:pPr>
            <w:r w:rsidRPr="00442BCE">
              <w:rPr>
                <w:rFonts w:ascii="Arial" w:hAnsi="Arial" w:cs="Arial"/>
                <w:sz w:val="20"/>
                <w:szCs w:val="20"/>
              </w:rPr>
              <w:lastRenderedPageBreak/>
              <w:t>The impact of implementing and using this indicator is untested and it may be subject to the law of unintended consequence.</w:t>
            </w:r>
          </w:p>
          <w:p w14:paraId="0C03E289" w14:textId="77777777" w:rsidR="003F5118" w:rsidRPr="00442BCE" w:rsidRDefault="003F5118" w:rsidP="003F5118">
            <w:pPr>
              <w:rPr>
                <w:rFonts w:ascii="Arial" w:hAnsi="Arial" w:cs="Arial"/>
                <w:sz w:val="20"/>
                <w:szCs w:val="20"/>
              </w:rPr>
            </w:pPr>
          </w:p>
          <w:p w14:paraId="0C165A92" w14:textId="77777777" w:rsidR="003F5118" w:rsidRPr="00442BCE" w:rsidRDefault="003F5118" w:rsidP="003F5118">
            <w:pPr>
              <w:rPr>
                <w:rFonts w:ascii="Arial" w:hAnsi="Arial" w:cs="Arial"/>
                <w:sz w:val="20"/>
                <w:szCs w:val="20"/>
              </w:rPr>
            </w:pPr>
            <w:r w:rsidRPr="00442BCE">
              <w:rPr>
                <w:rFonts w:ascii="Arial" w:hAnsi="Arial" w:cs="Arial"/>
                <w:sz w:val="20"/>
                <w:szCs w:val="20"/>
              </w:rPr>
              <w:t>In view of the workstreams currently underway within the sector including within NHSE and the HIV CRG – we would propose that this indicator is deferred until the impact can be assessed more widely including within BHIVA and the HIV CRG.</w:t>
            </w:r>
          </w:p>
          <w:p w14:paraId="3AFAF460" w14:textId="77777777" w:rsidR="003F5118" w:rsidRPr="00442BCE" w:rsidRDefault="003F5118" w:rsidP="003F5118">
            <w:pPr>
              <w:rPr>
                <w:rFonts w:ascii="Arial" w:hAnsi="Arial" w:cs="Arial"/>
                <w:sz w:val="20"/>
                <w:szCs w:val="20"/>
              </w:rPr>
            </w:pPr>
          </w:p>
        </w:tc>
      </w:tr>
      <w:tr w:rsidR="003F5118" w:rsidRPr="006375EE" w14:paraId="7D9077FB" w14:textId="77777777" w:rsidTr="0024650F">
        <w:trPr>
          <w:trHeight w:val="259"/>
        </w:trPr>
        <w:tc>
          <w:tcPr>
            <w:tcW w:w="562" w:type="dxa"/>
          </w:tcPr>
          <w:p w14:paraId="00AE0BF9" w14:textId="666950A2" w:rsidR="003F5118" w:rsidRPr="006658EF" w:rsidRDefault="006658EF" w:rsidP="003F5118">
            <w:pPr>
              <w:pStyle w:val="TableText1"/>
              <w:jc w:val="center"/>
              <w:rPr>
                <w:rFonts w:cs="Arial"/>
                <w:sz w:val="20"/>
                <w:szCs w:val="20"/>
              </w:rPr>
            </w:pPr>
            <w:r w:rsidRPr="006658EF">
              <w:rPr>
                <w:rFonts w:cs="Arial"/>
                <w:sz w:val="20"/>
                <w:szCs w:val="20"/>
              </w:rPr>
              <w:lastRenderedPageBreak/>
              <w:t>17</w:t>
            </w:r>
          </w:p>
        </w:tc>
        <w:tc>
          <w:tcPr>
            <w:tcW w:w="1139" w:type="dxa"/>
          </w:tcPr>
          <w:p w14:paraId="300E124B" w14:textId="46D90557" w:rsidR="003F5118" w:rsidRPr="009A4C43" w:rsidRDefault="003F5118" w:rsidP="003F5118">
            <w:pPr>
              <w:pStyle w:val="TableText1"/>
              <w:rPr>
                <w:rFonts w:cs="Arial"/>
                <w:sz w:val="20"/>
                <w:szCs w:val="20"/>
              </w:rPr>
            </w:pPr>
            <w:r w:rsidRPr="009A4C43">
              <w:rPr>
                <w:rFonts w:cs="Arial"/>
                <w:sz w:val="20"/>
                <w:szCs w:val="20"/>
              </w:rPr>
              <w:t>General- definition</w:t>
            </w:r>
          </w:p>
        </w:tc>
        <w:tc>
          <w:tcPr>
            <w:tcW w:w="1985" w:type="dxa"/>
          </w:tcPr>
          <w:p w14:paraId="26E0A1FD" w14:textId="0EAEC71B" w:rsidR="003F5118" w:rsidRPr="00442BCE" w:rsidRDefault="003F5118" w:rsidP="003F5118">
            <w:pPr>
              <w:pStyle w:val="TableText1"/>
              <w:rPr>
                <w:rFonts w:cs="Arial"/>
                <w:b/>
                <w:sz w:val="20"/>
                <w:szCs w:val="20"/>
              </w:rPr>
            </w:pPr>
            <w:r w:rsidRPr="00442BCE">
              <w:rPr>
                <w:rFonts w:cs="Arial"/>
                <w:b/>
                <w:sz w:val="20"/>
                <w:szCs w:val="20"/>
              </w:rPr>
              <w:t>Managing Adult Malnutrition in the Community</w:t>
            </w:r>
          </w:p>
        </w:tc>
        <w:tc>
          <w:tcPr>
            <w:tcW w:w="11198" w:type="dxa"/>
          </w:tcPr>
          <w:p w14:paraId="62190AE2" w14:textId="77777777" w:rsidR="003F5118" w:rsidRPr="00266B6F" w:rsidRDefault="003F5118" w:rsidP="003F5118">
            <w:pPr>
              <w:rPr>
                <w:rFonts w:ascii="Arial" w:hAnsi="Arial" w:cs="Arial"/>
                <w:sz w:val="20"/>
                <w:szCs w:val="20"/>
              </w:rPr>
            </w:pPr>
            <w:r w:rsidRPr="00266B6F">
              <w:rPr>
                <w:rFonts w:ascii="Arial" w:hAnsi="Arial" w:cs="Arial"/>
                <w:sz w:val="20"/>
                <w:szCs w:val="20"/>
              </w:rPr>
              <w:t>Multimorbidity</w:t>
            </w:r>
          </w:p>
          <w:p w14:paraId="75C36327" w14:textId="77777777" w:rsidR="003F5118" w:rsidRPr="00266B6F" w:rsidRDefault="003F5118" w:rsidP="003F5118">
            <w:pPr>
              <w:pStyle w:val="ListParagraph"/>
              <w:numPr>
                <w:ilvl w:val="0"/>
                <w:numId w:val="44"/>
              </w:numPr>
              <w:rPr>
                <w:rFonts w:ascii="Arial" w:hAnsi="Arial" w:cs="Arial"/>
                <w:sz w:val="20"/>
                <w:szCs w:val="20"/>
              </w:rPr>
            </w:pPr>
            <w:r w:rsidRPr="00266B6F">
              <w:rPr>
                <w:rFonts w:ascii="Arial" w:hAnsi="Arial" w:cs="Arial"/>
                <w:sz w:val="20"/>
                <w:szCs w:val="20"/>
              </w:rPr>
              <w:t>People with multiple morbidities are particularly at risk of malnutrition</w:t>
            </w:r>
          </w:p>
          <w:p w14:paraId="63BFD450" w14:textId="77777777" w:rsidR="003F5118" w:rsidRPr="00266B6F" w:rsidRDefault="003F5118" w:rsidP="003F5118">
            <w:pPr>
              <w:pStyle w:val="ListParagraph"/>
              <w:numPr>
                <w:ilvl w:val="0"/>
                <w:numId w:val="44"/>
              </w:numPr>
              <w:rPr>
                <w:rFonts w:ascii="Arial" w:hAnsi="Arial" w:cs="Arial"/>
                <w:sz w:val="20"/>
                <w:szCs w:val="20"/>
              </w:rPr>
            </w:pPr>
            <w:r w:rsidRPr="00266B6F">
              <w:rPr>
                <w:rFonts w:ascii="Arial" w:hAnsi="Arial" w:cs="Arial"/>
                <w:sz w:val="20"/>
                <w:szCs w:val="20"/>
              </w:rPr>
              <w:t>Many chronic conditions can affect the ability and desire to eat predisposing individuals to malnutrition</w:t>
            </w:r>
          </w:p>
          <w:p w14:paraId="5140F8B9" w14:textId="77777777" w:rsidR="003F5118" w:rsidRPr="00266B6F" w:rsidRDefault="003F5118" w:rsidP="003F5118">
            <w:pPr>
              <w:pStyle w:val="ListParagraph"/>
              <w:numPr>
                <w:ilvl w:val="0"/>
                <w:numId w:val="44"/>
              </w:numPr>
              <w:rPr>
                <w:rFonts w:ascii="Arial" w:hAnsi="Arial" w:cs="Arial"/>
                <w:sz w:val="20"/>
                <w:szCs w:val="20"/>
              </w:rPr>
            </w:pPr>
            <w:r w:rsidRPr="00266B6F">
              <w:rPr>
                <w:rFonts w:ascii="Arial" w:hAnsi="Arial" w:cs="Arial"/>
                <w:sz w:val="20"/>
                <w:szCs w:val="20"/>
              </w:rPr>
              <w:t>It is recommended that nutritional status should be included on the multimorbidity register list – this would be relevant to those who are over-nourished (overweight/obese) or undernourished (at risk of malnutrition/malnourished)</w:t>
            </w:r>
          </w:p>
          <w:p w14:paraId="12B3249E" w14:textId="77777777" w:rsidR="003F5118" w:rsidRPr="00442BCE" w:rsidRDefault="003F5118" w:rsidP="003F5118">
            <w:pPr>
              <w:rPr>
                <w:rFonts w:ascii="Arial" w:hAnsi="Arial" w:cs="Arial"/>
                <w:sz w:val="20"/>
                <w:szCs w:val="20"/>
              </w:rPr>
            </w:pPr>
          </w:p>
        </w:tc>
      </w:tr>
      <w:tr w:rsidR="003F5118" w:rsidRPr="006375EE" w14:paraId="058D7BAD" w14:textId="77777777" w:rsidTr="0024650F">
        <w:trPr>
          <w:trHeight w:val="259"/>
        </w:trPr>
        <w:tc>
          <w:tcPr>
            <w:tcW w:w="562" w:type="dxa"/>
          </w:tcPr>
          <w:p w14:paraId="4C9EB528" w14:textId="56964045" w:rsidR="003F5118" w:rsidRPr="006658EF" w:rsidRDefault="006658EF" w:rsidP="003F5118">
            <w:pPr>
              <w:pStyle w:val="TableText1"/>
              <w:jc w:val="center"/>
              <w:rPr>
                <w:rFonts w:cs="Arial"/>
                <w:sz w:val="20"/>
                <w:szCs w:val="20"/>
              </w:rPr>
            </w:pPr>
            <w:r w:rsidRPr="006658EF">
              <w:rPr>
                <w:rFonts w:cs="Arial"/>
                <w:sz w:val="20"/>
                <w:szCs w:val="20"/>
              </w:rPr>
              <w:t>18</w:t>
            </w:r>
          </w:p>
        </w:tc>
        <w:tc>
          <w:tcPr>
            <w:tcW w:w="1139" w:type="dxa"/>
          </w:tcPr>
          <w:p w14:paraId="7F98A2BC" w14:textId="3495B466" w:rsidR="003F5118" w:rsidRPr="009A4C43" w:rsidRDefault="003F5118" w:rsidP="003F5118">
            <w:pPr>
              <w:pStyle w:val="TableText1"/>
              <w:rPr>
                <w:rFonts w:cs="Arial"/>
                <w:color w:val="000000"/>
                <w:sz w:val="20"/>
                <w:szCs w:val="20"/>
              </w:rPr>
            </w:pPr>
            <w:r w:rsidRPr="009A4C43">
              <w:rPr>
                <w:rFonts w:cs="Arial"/>
                <w:sz w:val="20"/>
                <w:szCs w:val="20"/>
              </w:rPr>
              <w:t>General- definition</w:t>
            </w:r>
          </w:p>
        </w:tc>
        <w:tc>
          <w:tcPr>
            <w:tcW w:w="1985" w:type="dxa"/>
          </w:tcPr>
          <w:p w14:paraId="1DA7F305" w14:textId="17102FFA" w:rsidR="003F5118" w:rsidRPr="00442BCE" w:rsidRDefault="003F5118" w:rsidP="003F5118">
            <w:pPr>
              <w:pStyle w:val="TableText1"/>
              <w:rPr>
                <w:rFonts w:cs="Arial"/>
                <w:b/>
                <w:sz w:val="20"/>
                <w:szCs w:val="20"/>
              </w:rPr>
            </w:pPr>
            <w:r w:rsidRPr="00442BCE">
              <w:rPr>
                <w:rFonts w:cs="Arial"/>
                <w:b/>
                <w:sz w:val="20"/>
                <w:szCs w:val="20"/>
              </w:rPr>
              <w:t>National AIDS Trust</w:t>
            </w:r>
          </w:p>
        </w:tc>
        <w:tc>
          <w:tcPr>
            <w:tcW w:w="11198" w:type="dxa"/>
          </w:tcPr>
          <w:p w14:paraId="630D5678" w14:textId="77777777" w:rsidR="003F5118" w:rsidRPr="00266B6F" w:rsidRDefault="003F5118" w:rsidP="003F5118">
            <w:pPr>
              <w:rPr>
                <w:rFonts w:ascii="Arial" w:hAnsi="Arial" w:cs="Arial"/>
                <w:sz w:val="20"/>
                <w:szCs w:val="20"/>
              </w:rPr>
            </w:pPr>
            <w:r w:rsidRPr="00266B6F">
              <w:rPr>
                <w:rFonts w:ascii="Arial" w:hAnsi="Arial" w:cs="Arial"/>
                <w:sz w:val="20"/>
                <w:szCs w:val="20"/>
              </w:rPr>
              <w:t xml:space="preserve">NAT welcomes NICE’s work on multimorbidity and the new indicator promoting a multimorbidity register in primary care.  We do, however, have grave concerns over the fact that the definition of multimorbidity for the register (presence of four or more condition categories) differs from the definition of multimorbidity in the NICE guideline.  This is </w:t>
            </w:r>
            <w:r w:rsidRPr="00266B6F">
              <w:rPr>
                <w:rFonts w:ascii="Arial" w:hAnsi="Arial" w:cs="Arial"/>
                <w:i/>
                <w:sz w:val="20"/>
                <w:szCs w:val="20"/>
              </w:rPr>
              <w:t>prima facie</w:t>
            </w:r>
            <w:r w:rsidRPr="00266B6F">
              <w:rPr>
                <w:rFonts w:ascii="Arial" w:hAnsi="Arial" w:cs="Arial"/>
                <w:sz w:val="20"/>
                <w:szCs w:val="20"/>
              </w:rPr>
              <w:t xml:space="preserve"> bad policy planning and can only result in confusion.  There are, furthermore, many people with rarer long-term conditions, or with multimorbidity of </w:t>
            </w:r>
            <w:proofErr w:type="gramStart"/>
            <w:r w:rsidRPr="00266B6F">
              <w:rPr>
                <w:rFonts w:ascii="Arial" w:hAnsi="Arial" w:cs="Arial"/>
                <w:sz w:val="20"/>
                <w:szCs w:val="20"/>
              </w:rPr>
              <w:t>a number of</w:t>
            </w:r>
            <w:proofErr w:type="gramEnd"/>
            <w:r w:rsidRPr="00266B6F">
              <w:rPr>
                <w:rFonts w:ascii="Arial" w:hAnsi="Arial" w:cs="Arial"/>
                <w:sz w:val="20"/>
                <w:szCs w:val="20"/>
              </w:rPr>
              <w:t xml:space="preserve"> conditions but in fewer categories, who need and will benefit from the GP practice formally assessing them as experiencing multimorbidity and thus in need of planned and integrated care.  This is of course a premise of NICE’s guideline and quality standard.  The unintended consequence of this restriction to the register will be the denial of appropriate care to many vulnerable people experiencing multimorbidity, as the GP practice focuses only on those in four or more categories.  This criterion ignores the centrality of clinical assessment as to whether a patient is managing their multimorbidity well or </w:t>
            </w:r>
            <w:proofErr w:type="gramStart"/>
            <w:r w:rsidRPr="00266B6F">
              <w:rPr>
                <w:rFonts w:ascii="Arial" w:hAnsi="Arial" w:cs="Arial"/>
                <w:sz w:val="20"/>
                <w:szCs w:val="20"/>
              </w:rPr>
              <w:t>is in need of</w:t>
            </w:r>
            <w:proofErr w:type="gramEnd"/>
            <w:r w:rsidRPr="00266B6F">
              <w:rPr>
                <w:rFonts w:ascii="Arial" w:hAnsi="Arial" w:cs="Arial"/>
                <w:sz w:val="20"/>
                <w:szCs w:val="20"/>
              </w:rPr>
              <w:t xml:space="preserve"> significant support.</w:t>
            </w:r>
          </w:p>
          <w:p w14:paraId="11BB32D5" w14:textId="77777777" w:rsidR="003F5118" w:rsidRPr="00266B6F" w:rsidRDefault="003F5118" w:rsidP="003F5118">
            <w:pPr>
              <w:rPr>
                <w:rFonts w:ascii="Arial" w:hAnsi="Arial" w:cs="Arial"/>
                <w:sz w:val="20"/>
                <w:szCs w:val="20"/>
              </w:rPr>
            </w:pPr>
          </w:p>
          <w:p w14:paraId="5599C4CF" w14:textId="77777777" w:rsidR="003F5118" w:rsidRPr="00266B6F" w:rsidRDefault="003F5118" w:rsidP="003F5118">
            <w:pPr>
              <w:rPr>
                <w:rFonts w:ascii="Arial" w:hAnsi="Arial" w:cs="Arial"/>
                <w:sz w:val="20"/>
                <w:szCs w:val="20"/>
              </w:rPr>
            </w:pPr>
            <w:r w:rsidRPr="00266B6F">
              <w:rPr>
                <w:rFonts w:ascii="Arial" w:hAnsi="Arial" w:cs="Arial"/>
                <w:sz w:val="20"/>
                <w:szCs w:val="20"/>
              </w:rPr>
              <w:t xml:space="preserve">People living with HIV are disproportionately affected by multimorbidity and work by Public Health England has shown that 73% of people living with HIV </w:t>
            </w:r>
            <w:proofErr w:type="gramStart"/>
            <w:r w:rsidRPr="00266B6F">
              <w:rPr>
                <w:rFonts w:ascii="Arial" w:hAnsi="Arial" w:cs="Arial"/>
                <w:sz w:val="20"/>
                <w:szCs w:val="20"/>
              </w:rPr>
              <w:t>have to</w:t>
            </w:r>
            <w:proofErr w:type="gramEnd"/>
            <w:r w:rsidRPr="00266B6F">
              <w:rPr>
                <w:rFonts w:ascii="Arial" w:hAnsi="Arial" w:cs="Arial"/>
                <w:sz w:val="20"/>
                <w:szCs w:val="20"/>
              </w:rPr>
              <w:t xml:space="preserve"> manage multiple health conditions (Positive Voices 2017).  According to Positive Voices 2014, 38% of people living with HIV have three or more long-term conditions – it will be an even higher percentage now with an ageing patient cohort.  This may well mean for many that they do come within the ‘four or more condition categories’ criterion.  However, HIV is not listed as a condition, which will automatically subtract ‘one’ from their tally.  And as stated above it is possible for conditions to cluster in categories – for example, anxiety, depression, alcohol problems and psychoactive substance misuse are all elevated in this population.</w:t>
            </w:r>
          </w:p>
          <w:p w14:paraId="07201238" w14:textId="77777777" w:rsidR="003F5118" w:rsidRPr="00266B6F" w:rsidRDefault="003F5118" w:rsidP="003F5118">
            <w:pPr>
              <w:rPr>
                <w:rFonts w:ascii="Arial" w:hAnsi="Arial" w:cs="Arial"/>
                <w:sz w:val="20"/>
                <w:szCs w:val="20"/>
              </w:rPr>
            </w:pPr>
          </w:p>
          <w:p w14:paraId="746799B9" w14:textId="77777777" w:rsidR="003F5118" w:rsidRPr="00266B6F" w:rsidRDefault="003F5118" w:rsidP="003F5118">
            <w:pPr>
              <w:rPr>
                <w:rFonts w:ascii="Arial" w:hAnsi="Arial" w:cs="Arial"/>
                <w:sz w:val="20"/>
                <w:szCs w:val="20"/>
              </w:rPr>
            </w:pPr>
            <w:r w:rsidRPr="00266B6F">
              <w:rPr>
                <w:rFonts w:ascii="Arial" w:hAnsi="Arial" w:cs="Arial"/>
                <w:sz w:val="20"/>
                <w:szCs w:val="20"/>
              </w:rPr>
              <w:t>Nor is it really clear how the proposed new indicator, that the practice can produce a register of people with multimorbidity who would benefit from a tailored approach to care, relates to the definition of multimorbidity in the ‘Background/Rationale’ section or to the subsequent list of categories and conditions.  Is the expectation simply that the register include people in four or more categories, or that they only meet the indicator if all such patients on their list are on the register, or that the list must only and exclusively include such patients and not include those with multimorbidity but in fewer categories?</w:t>
            </w:r>
          </w:p>
          <w:p w14:paraId="458154EE" w14:textId="77777777" w:rsidR="003F5118" w:rsidRPr="00266B6F" w:rsidRDefault="003F5118" w:rsidP="003F5118">
            <w:pPr>
              <w:rPr>
                <w:rFonts w:ascii="Arial" w:hAnsi="Arial" w:cs="Arial"/>
                <w:sz w:val="20"/>
                <w:szCs w:val="20"/>
              </w:rPr>
            </w:pPr>
          </w:p>
          <w:p w14:paraId="4F22CFDF" w14:textId="0DA3F8B8" w:rsidR="003F5118" w:rsidRPr="00266B6F" w:rsidRDefault="003F5118" w:rsidP="003F5118">
            <w:pPr>
              <w:rPr>
                <w:rFonts w:ascii="Arial" w:hAnsi="Arial" w:cs="Arial"/>
                <w:sz w:val="20"/>
                <w:szCs w:val="20"/>
              </w:rPr>
            </w:pPr>
            <w:r w:rsidRPr="00266B6F">
              <w:rPr>
                <w:rFonts w:ascii="Arial" w:hAnsi="Arial" w:cs="Arial"/>
                <w:sz w:val="20"/>
                <w:szCs w:val="20"/>
              </w:rPr>
              <w:t>A lot of work is currently taking place aiming to make the wider health system work to support people living with HIV as they experience multimorbidity, with a focus on engaging primary care around the needs of this patient group.  This indicator as it stands, or as it might possibly be (mis)interpreted, will put back such work significantly and harmfully.  We will be raising our concerns with BHIVA (the British HIV Association) and the HIV Clinical reference Group and urge NICE not to proceed with this indicator as currently drafted and certainly not before specific discussions with NAT, BHIVA and the HIV CRG.</w:t>
            </w:r>
          </w:p>
        </w:tc>
      </w:tr>
      <w:tr w:rsidR="003F5118" w:rsidRPr="006375EE" w14:paraId="40007AFB" w14:textId="77777777" w:rsidTr="0024650F">
        <w:trPr>
          <w:trHeight w:val="259"/>
        </w:trPr>
        <w:tc>
          <w:tcPr>
            <w:tcW w:w="562" w:type="dxa"/>
          </w:tcPr>
          <w:p w14:paraId="07A763D2" w14:textId="0D05852E" w:rsidR="003F5118" w:rsidRPr="006658EF" w:rsidRDefault="006658EF" w:rsidP="003F5118">
            <w:pPr>
              <w:pStyle w:val="TableText1"/>
              <w:jc w:val="center"/>
              <w:rPr>
                <w:rFonts w:cs="Arial"/>
                <w:sz w:val="20"/>
                <w:szCs w:val="20"/>
              </w:rPr>
            </w:pPr>
            <w:r w:rsidRPr="006658EF">
              <w:rPr>
                <w:rFonts w:cs="Arial"/>
                <w:sz w:val="20"/>
                <w:szCs w:val="20"/>
              </w:rPr>
              <w:lastRenderedPageBreak/>
              <w:t>19</w:t>
            </w:r>
          </w:p>
        </w:tc>
        <w:tc>
          <w:tcPr>
            <w:tcW w:w="1139" w:type="dxa"/>
          </w:tcPr>
          <w:p w14:paraId="3BAD350C" w14:textId="7EEADCAC" w:rsidR="003F5118" w:rsidRPr="009A4C43" w:rsidRDefault="003F5118" w:rsidP="003F5118">
            <w:pPr>
              <w:pStyle w:val="TableText1"/>
              <w:rPr>
                <w:rFonts w:cs="Arial"/>
                <w:color w:val="000000"/>
                <w:sz w:val="20"/>
                <w:szCs w:val="20"/>
              </w:rPr>
            </w:pPr>
            <w:r w:rsidRPr="009A4C43">
              <w:rPr>
                <w:rFonts w:cs="Arial"/>
                <w:sz w:val="20"/>
                <w:szCs w:val="20"/>
              </w:rPr>
              <w:t>General- definition</w:t>
            </w:r>
          </w:p>
        </w:tc>
        <w:tc>
          <w:tcPr>
            <w:tcW w:w="1985" w:type="dxa"/>
          </w:tcPr>
          <w:p w14:paraId="7ED8EB51" w14:textId="43DB37F4" w:rsidR="003F5118" w:rsidRPr="00442BCE" w:rsidRDefault="003F5118" w:rsidP="003F5118">
            <w:pPr>
              <w:pStyle w:val="TableText1"/>
              <w:rPr>
                <w:rFonts w:cs="Arial"/>
                <w:b/>
                <w:sz w:val="20"/>
                <w:szCs w:val="20"/>
              </w:rPr>
            </w:pPr>
            <w:proofErr w:type="spellStart"/>
            <w:r w:rsidRPr="00442BCE">
              <w:rPr>
                <w:rFonts w:cs="Arial"/>
                <w:b/>
                <w:sz w:val="20"/>
                <w:szCs w:val="20"/>
              </w:rPr>
              <w:t>Norgine</w:t>
            </w:r>
            <w:proofErr w:type="spellEnd"/>
            <w:r w:rsidRPr="00442BCE">
              <w:rPr>
                <w:rFonts w:cs="Arial"/>
                <w:b/>
                <w:sz w:val="20"/>
                <w:szCs w:val="20"/>
              </w:rPr>
              <w:t xml:space="preserve"> Pharmaceuticals Limited</w:t>
            </w:r>
          </w:p>
        </w:tc>
        <w:tc>
          <w:tcPr>
            <w:tcW w:w="11198" w:type="dxa"/>
          </w:tcPr>
          <w:p w14:paraId="62C87A16" w14:textId="4BFE6A6D" w:rsidR="003F5118" w:rsidRPr="00266B6F" w:rsidRDefault="003F5118" w:rsidP="003F5118">
            <w:pPr>
              <w:rPr>
                <w:rFonts w:ascii="Arial" w:hAnsi="Arial" w:cs="Arial"/>
                <w:sz w:val="20"/>
                <w:szCs w:val="20"/>
              </w:rPr>
            </w:pPr>
            <w:r w:rsidRPr="00266B6F">
              <w:rPr>
                <w:rFonts w:ascii="Arial" w:hAnsi="Arial" w:cs="Arial"/>
                <w:sz w:val="20"/>
                <w:szCs w:val="20"/>
              </w:rPr>
              <w:t xml:space="preserve">The definition of currently treated constipation is defined by prescriptions for laxatives in the past 12-months. Using this definition of constipation will not pick up the entirety of the population suffering with constipation. Additionally, basing this on prescribing data will mean that the count of patients with constipation will be influenced by both the condition </w:t>
            </w:r>
            <w:proofErr w:type="gramStart"/>
            <w:r w:rsidRPr="00266B6F">
              <w:rPr>
                <w:rFonts w:ascii="Arial" w:hAnsi="Arial" w:cs="Arial"/>
                <w:sz w:val="20"/>
                <w:szCs w:val="20"/>
              </w:rPr>
              <w:t>and also</w:t>
            </w:r>
            <w:proofErr w:type="gramEnd"/>
            <w:r w:rsidRPr="00266B6F">
              <w:rPr>
                <w:rFonts w:ascii="Arial" w:hAnsi="Arial" w:cs="Arial"/>
                <w:sz w:val="20"/>
                <w:szCs w:val="20"/>
              </w:rPr>
              <w:t xml:space="preserve"> the CCGs adherence to NHSE guidelines. The impact of this on patients is that their status as having multiple morbidities is not recognised and they will not go on to have their care managed appropriately.</w:t>
            </w:r>
          </w:p>
        </w:tc>
      </w:tr>
      <w:tr w:rsidR="003F5118" w:rsidRPr="006375EE" w14:paraId="1E241EE7" w14:textId="77777777" w:rsidTr="0024650F">
        <w:trPr>
          <w:trHeight w:val="259"/>
        </w:trPr>
        <w:tc>
          <w:tcPr>
            <w:tcW w:w="562" w:type="dxa"/>
          </w:tcPr>
          <w:p w14:paraId="5803595A" w14:textId="63429159" w:rsidR="003F5118" w:rsidRPr="006658EF" w:rsidRDefault="006658EF" w:rsidP="003F5118">
            <w:pPr>
              <w:pStyle w:val="TableText1"/>
              <w:jc w:val="center"/>
              <w:rPr>
                <w:rFonts w:cs="Arial"/>
                <w:sz w:val="20"/>
                <w:szCs w:val="20"/>
              </w:rPr>
            </w:pPr>
            <w:r w:rsidRPr="006658EF">
              <w:rPr>
                <w:rFonts w:cs="Arial"/>
                <w:sz w:val="20"/>
                <w:szCs w:val="20"/>
              </w:rPr>
              <w:t>20</w:t>
            </w:r>
          </w:p>
        </w:tc>
        <w:tc>
          <w:tcPr>
            <w:tcW w:w="1139" w:type="dxa"/>
          </w:tcPr>
          <w:p w14:paraId="1387AC23" w14:textId="66AAD02C" w:rsidR="003F5118" w:rsidRPr="009A4C43" w:rsidRDefault="003F5118" w:rsidP="003F5118">
            <w:pPr>
              <w:pStyle w:val="TableText1"/>
              <w:rPr>
                <w:rFonts w:cs="Arial"/>
                <w:color w:val="000000"/>
                <w:sz w:val="20"/>
                <w:szCs w:val="20"/>
              </w:rPr>
            </w:pPr>
            <w:r w:rsidRPr="009A4C43">
              <w:rPr>
                <w:rFonts w:cs="Arial"/>
                <w:sz w:val="20"/>
                <w:szCs w:val="20"/>
              </w:rPr>
              <w:t>General- definition</w:t>
            </w:r>
          </w:p>
        </w:tc>
        <w:tc>
          <w:tcPr>
            <w:tcW w:w="1985" w:type="dxa"/>
          </w:tcPr>
          <w:p w14:paraId="56E37768" w14:textId="46F1AC25" w:rsidR="003F5118" w:rsidRPr="00442BCE" w:rsidRDefault="003F5118" w:rsidP="003F5118">
            <w:pPr>
              <w:pStyle w:val="TableText1"/>
              <w:rPr>
                <w:rFonts w:cs="Arial"/>
                <w:b/>
                <w:sz w:val="20"/>
                <w:szCs w:val="20"/>
              </w:rPr>
            </w:pPr>
            <w:proofErr w:type="spellStart"/>
            <w:r w:rsidRPr="00442BCE">
              <w:rPr>
                <w:rFonts w:cs="Arial"/>
                <w:b/>
                <w:sz w:val="20"/>
                <w:szCs w:val="20"/>
              </w:rPr>
              <w:t>Nutricia</w:t>
            </w:r>
            <w:proofErr w:type="spellEnd"/>
            <w:r w:rsidRPr="00442BCE">
              <w:rPr>
                <w:rFonts w:cs="Arial"/>
                <w:b/>
                <w:sz w:val="20"/>
                <w:szCs w:val="20"/>
              </w:rPr>
              <w:t xml:space="preserve"> Advanced Medical Nutrition</w:t>
            </w:r>
          </w:p>
        </w:tc>
        <w:tc>
          <w:tcPr>
            <w:tcW w:w="11198" w:type="dxa"/>
          </w:tcPr>
          <w:p w14:paraId="4065EEC5" w14:textId="77777777" w:rsidR="003F5118" w:rsidRPr="00266B6F" w:rsidRDefault="003F5118" w:rsidP="003F5118">
            <w:pPr>
              <w:rPr>
                <w:rFonts w:ascii="Arial" w:hAnsi="Arial" w:cs="Arial"/>
                <w:sz w:val="20"/>
                <w:szCs w:val="20"/>
                <w:lang w:eastAsia="en-GB"/>
              </w:rPr>
            </w:pPr>
            <w:r w:rsidRPr="00266B6F">
              <w:rPr>
                <w:rFonts w:ascii="Arial" w:hAnsi="Arial" w:cs="Arial"/>
                <w:sz w:val="20"/>
                <w:szCs w:val="20"/>
              </w:rPr>
              <w:t xml:space="preserve">Under neurological conditions will this also include motor neurone disease, Parkinson’s, Huntingdon’s Disease? </w:t>
            </w:r>
          </w:p>
          <w:p w14:paraId="6F68AF90" w14:textId="77777777" w:rsidR="003F5118" w:rsidRPr="00266B6F" w:rsidRDefault="003F5118" w:rsidP="003F5118">
            <w:pPr>
              <w:rPr>
                <w:rFonts w:ascii="Arial" w:hAnsi="Arial" w:cs="Arial"/>
                <w:sz w:val="20"/>
                <w:szCs w:val="20"/>
              </w:rPr>
            </w:pPr>
          </w:p>
        </w:tc>
      </w:tr>
      <w:tr w:rsidR="003F5118" w:rsidRPr="006375EE" w14:paraId="4546DDF5" w14:textId="77777777" w:rsidTr="0024650F">
        <w:trPr>
          <w:trHeight w:val="259"/>
        </w:trPr>
        <w:tc>
          <w:tcPr>
            <w:tcW w:w="562" w:type="dxa"/>
          </w:tcPr>
          <w:p w14:paraId="72996AF4" w14:textId="1A806D3A" w:rsidR="003F5118" w:rsidRPr="006658EF" w:rsidRDefault="006658EF" w:rsidP="003F5118">
            <w:pPr>
              <w:pStyle w:val="TableText1"/>
              <w:jc w:val="center"/>
              <w:rPr>
                <w:rFonts w:cs="Arial"/>
                <w:sz w:val="20"/>
                <w:szCs w:val="20"/>
              </w:rPr>
            </w:pPr>
            <w:r w:rsidRPr="006658EF">
              <w:rPr>
                <w:rFonts w:cs="Arial"/>
                <w:sz w:val="20"/>
                <w:szCs w:val="20"/>
              </w:rPr>
              <w:t>21</w:t>
            </w:r>
          </w:p>
        </w:tc>
        <w:tc>
          <w:tcPr>
            <w:tcW w:w="1139" w:type="dxa"/>
          </w:tcPr>
          <w:p w14:paraId="02A9140C" w14:textId="41F713D1" w:rsidR="003F5118" w:rsidRPr="009A4C43" w:rsidRDefault="003F5118" w:rsidP="003F5118">
            <w:pPr>
              <w:pStyle w:val="TableText1"/>
              <w:rPr>
                <w:rFonts w:cs="Arial"/>
                <w:color w:val="000000"/>
                <w:sz w:val="20"/>
                <w:szCs w:val="20"/>
              </w:rPr>
            </w:pPr>
            <w:r w:rsidRPr="009A4C43">
              <w:rPr>
                <w:rFonts w:cs="Arial"/>
                <w:sz w:val="20"/>
                <w:szCs w:val="20"/>
              </w:rPr>
              <w:t>General- definition</w:t>
            </w:r>
          </w:p>
        </w:tc>
        <w:tc>
          <w:tcPr>
            <w:tcW w:w="1985" w:type="dxa"/>
          </w:tcPr>
          <w:p w14:paraId="2B72B826" w14:textId="21A8E74C" w:rsidR="003F5118" w:rsidRPr="00442BCE" w:rsidRDefault="003F5118" w:rsidP="003F5118">
            <w:pPr>
              <w:pStyle w:val="TableText1"/>
              <w:rPr>
                <w:rFonts w:cs="Arial"/>
                <w:b/>
                <w:sz w:val="20"/>
                <w:szCs w:val="20"/>
              </w:rPr>
            </w:pPr>
            <w:r w:rsidRPr="00442BCE">
              <w:rPr>
                <w:rFonts w:cs="Arial"/>
                <w:b/>
                <w:sz w:val="20"/>
                <w:szCs w:val="20"/>
              </w:rPr>
              <w:t>Resuscitation Council (UK)</w:t>
            </w:r>
          </w:p>
        </w:tc>
        <w:tc>
          <w:tcPr>
            <w:tcW w:w="11198" w:type="dxa"/>
          </w:tcPr>
          <w:p w14:paraId="6B0F4E97" w14:textId="67BE1B1C" w:rsidR="003F5118" w:rsidRPr="00266B6F" w:rsidRDefault="003F5118" w:rsidP="003F5118">
            <w:pPr>
              <w:rPr>
                <w:rFonts w:ascii="Arial" w:hAnsi="Arial" w:cs="Arial"/>
                <w:sz w:val="20"/>
                <w:szCs w:val="20"/>
              </w:rPr>
            </w:pPr>
            <w:r w:rsidRPr="00266B6F">
              <w:rPr>
                <w:rFonts w:ascii="Arial" w:hAnsi="Arial" w:cs="Arial"/>
                <w:sz w:val="20"/>
                <w:szCs w:val="20"/>
              </w:rPr>
              <w:t xml:space="preserve">The Resuscitation Council (UK) welcomes increasing recognition of the importance of frailty and multimorbidity in predisposing to sudden deterioration in health and we hope that this will lead to plans for emergency care and treatment (e.g. </w:t>
            </w:r>
            <w:proofErr w:type="spellStart"/>
            <w:r w:rsidRPr="00266B6F">
              <w:rPr>
                <w:rFonts w:ascii="Arial" w:hAnsi="Arial" w:cs="Arial"/>
                <w:sz w:val="20"/>
                <w:szCs w:val="20"/>
              </w:rPr>
              <w:t>ReSPECT</w:t>
            </w:r>
            <w:proofErr w:type="spellEnd"/>
            <w:r w:rsidRPr="00266B6F">
              <w:rPr>
                <w:rFonts w:ascii="Arial" w:hAnsi="Arial" w:cs="Arial"/>
                <w:sz w:val="20"/>
                <w:szCs w:val="20"/>
              </w:rPr>
              <w:t>) being made much more commonly than has been the case in the past.</w:t>
            </w:r>
          </w:p>
        </w:tc>
      </w:tr>
      <w:tr w:rsidR="003F5118" w:rsidRPr="006375EE" w14:paraId="3FE59021" w14:textId="77777777" w:rsidTr="0024650F">
        <w:trPr>
          <w:trHeight w:val="259"/>
        </w:trPr>
        <w:tc>
          <w:tcPr>
            <w:tcW w:w="562" w:type="dxa"/>
          </w:tcPr>
          <w:p w14:paraId="7E0F324D" w14:textId="13CB15FB" w:rsidR="003F5118" w:rsidRPr="006658EF" w:rsidRDefault="006658EF" w:rsidP="003F5118">
            <w:pPr>
              <w:pStyle w:val="TableText1"/>
              <w:jc w:val="center"/>
              <w:rPr>
                <w:rFonts w:cs="Arial"/>
                <w:sz w:val="20"/>
                <w:szCs w:val="20"/>
              </w:rPr>
            </w:pPr>
            <w:r w:rsidRPr="006658EF">
              <w:rPr>
                <w:rFonts w:cs="Arial"/>
                <w:sz w:val="20"/>
                <w:szCs w:val="20"/>
              </w:rPr>
              <w:t>22</w:t>
            </w:r>
          </w:p>
        </w:tc>
        <w:tc>
          <w:tcPr>
            <w:tcW w:w="1139" w:type="dxa"/>
          </w:tcPr>
          <w:p w14:paraId="2809A544" w14:textId="3EC022F3" w:rsidR="003F5118" w:rsidRPr="009A4C43" w:rsidRDefault="003F5118" w:rsidP="003F5118">
            <w:pPr>
              <w:pStyle w:val="TableText1"/>
              <w:rPr>
                <w:rFonts w:cs="Arial"/>
                <w:color w:val="000000"/>
                <w:sz w:val="20"/>
                <w:szCs w:val="20"/>
              </w:rPr>
            </w:pPr>
            <w:r w:rsidRPr="009A4C43">
              <w:rPr>
                <w:rFonts w:cs="Arial"/>
                <w:sz w:val="20"/>
                <w:szCs w:val="20"/>
              </w:rPr>
              <w:t>General- definition</w:t>
            </w:r>
          </w:p>
        </w:tc>
        <w:tc>
          <w:tcPr>
            <w:tcW w:w="1985" w:type="dxa"/>
          </w:tcPr>
          <w:p w14:paraId="1515EDC2" w14:textId="0322EC79" w:rsidR="003F5118" w:rsidRPr="00442BCE" w:rsidRDefault="003F5118" w:rsidP="003F5118">
            <w:pPr>
              <w:pStyle w:val="TableText1"/>
              <w:rPr>
                <w:rFonts w:cs="Arial"/>
                <w:b/>
                <w:sz w:val="20"/>
                <w:szCs w:val="20"/>
              </w:rPr>
            </w:pPr>
            <w:r w:rsidRPr="00442BCE">
              <w:rPr>
                <w:rFonts w:cs="Arial"/>
                <w:b/>
                <w:sz w:val="20"/>
                <w:szCs w:val="20"/>
              </w:rPr>
              <w:t>Resuscitation Council (UK)</w:t>
            </w:r>
          </w:p>
        </w:tc>
        <w:tc>
          <w:tcPr>
            <w:tcW w:w="11198" w:type="dxa"/>
          </w:tcPr>
          <w:p w14:paraId="054EECF8" w14:textId="6DD695A0" w:rsidR="003F5118" w:rsidRPr="00266B6F" w:rsidRDefault="003F5118" w:rsidP="003F5118">
            <w:pPr>
              <w:rPr>
                <w:rFonts w:ascii="Arial" w:hAnsi="Arial" w:cs="Arial"/>
                <w:sz w:val="20"/>
                <w:szCs w:val="20"/>
              </w:rPr>
            </w:pPr>
            <w:r w:rsidRPr="00266B6F">
              <w:rPr>
                <w:rFonts w:ascii="Arial" w:hAnsi="Arial" w:cs="Arial"/>
                <w:sz w:val="20"/>
                <w:szCs w:val="20"/>
              </w:rPr>
              <w:t>The multimorbidity section covers all ages but is clearly written with an older adult population in mind. Babies and children can have multiple morbidities that make them frail and vulnerable; the range of problems is wide but may include developmental delay, learning difficulties, cerebral palsy, communication problems (speech delay / non-vocal), cardiac, respiratory or gastrointestinal problems. The list as it exists does not capture these issues well.</w:t>
            </w:r>
          </w:p>
        </w:tc>
      </w:tr>
      <w:tr w:rsidR="003F5118" w:rsidRPr="006375EE" w14:paraId="08C430DF" w14:textId="77777777" w:rsidTr="0024650F">
        <w:trPr>
          <w:trHeight w:val="259"/>
        </w:trPr>
        <w:tc>
          <w:tcPr>
            <w:tcW w:w="562" w:type="dxa"/>
          </w:tcPr>
          <w:p w14:paraId="5314B9D1" w14:textId="16FA00D0" w:rsidR="003F5118" w:rsidRPr="006658EF" w:rsidRDefault="006658EF" w:rsidP="003F5118">
            <w:pPr>
              <w:pStyle w:val="TableText1"/>
              <w:jc w:val="center"/>
              <w:rPr>
                <w:rFonts w:cs="Arial"/>
                <w:sz w:val="20"/>
                <w:szCs w:val="20"/>
              </w:rPr>
            </w:pPr>
            <w:r w:rsidRPr="006658EF">
              <w:rPr>
                <w:rFonts w:cs="Arial"/>
                <w:sz w:val="20"/>
                <w:szCs w:val="20"/>
              </w:rPr>
              <w:t>23</w:t>
            </w:r>
          </w:p>
        </w:tc>
        <w:tc>
          <w:tcPr>
            <w:tcW w:w="1139" w:type="dxa"/>
          </w:tcPr>
          <w:p w14:paraId="5D296735" w14:textId="6C099EF0" w:rsidR="003F5118" w:rsidRPr="009A4C43" w:rsidRDefault="003F5118" w:rsidP="003F5118">
            <w:pPr>
              <w:pStyle w:val="TableText1"/>
              <w:rPr>
                <w:rFonts w:cs="Arial"/>
                <w:color w:val="000000"/>
                <w:sz w:val="20"/>
                <w:szCs w:val="20"/>
              </w:rPr>
            </w:pPr>
            <w:r w:rsidRPr="009A4C43">
              <w:rPr>
                <w:rFonts w:cs="Arial"/>
                <w:sz w:val="20"/>
                <w:szCs w:val="20"/>
              </w:rPr>
              <w:t>General- definition</w:t>
            </w:r>
          </w:p>
        </w:tc>
        <w:tc>
          <w:tcPr>
            <w:tcW w:w="1985" w:type="dxa"/>
          </w:tcPr>
          <w:p w14:paraId="186945C1" w14:textId="5C3719C1" w:rsidR="003F5118" w:rsidRPr="00442BCE" w:rsidRDefault="003F5118" w:rsidP="003F5118">
            <w:pPr>
              <w:pStyle w:val="TableText1"/>
              <w:rPr>
                <w:rFonts w:cs="Arial"/>
                <w:b/>
                <w:sz w:val="20"/>
                <w:szCs w:val="20"/>
              </w:rPr>
            </w:pPr>
            <w:r w:rsidRPr="00442BCE">
              <w:rPr>
                <w:rFonts w:cs="Arial"/>
                <w:b/>
                <w:sz w:val="20"/>
                <w:szCs w:val="20"/>
              </w:rPr>
              <w:t>Resuscitation Council (UK)</w:t>
            </w:r>
          </w:p>
        </w:tc>
        <w:tc>
          <w:tcPr>
            <w:tcW w:w="11198" w:type="dxa"/>
          </w:tcPr>
          <w:p w14:paraId="19A5CD5D" w14:textId="48E3F0FB" w:rsidR="003F5118" w:rsidRPr="00266B6F" w:rsidRDefault="003F5118" w:rsidP="003F5118">
            <w:pPr>
              <w:rPr>
                <w:rFonts w:ascii="Arial" w:hAnsi="Arial" w:cs="Arial"/>
                <w:sz w:val="20"/>
                <w:szCs w:val="20"/>
              </w:rPr>
            </w:pPr>
            <w:r w:rsidRPr="00266B6F">
              <w:rPr>
                <w:rFonts w:ascii="Arial" w:hAnsi="Arial" w:cs="Arial"/>
                <w:sz w:val="20"/>
                <w:szCs w:val="20"/>
              </w:rPr>
              <w:t xml:space="preserve">There are some important and not uncommon omissions that can contribute to frailty and risk, for example, </w:t>
            </w:r>
            <w:r w:rsidRPr="00266B6F">
              <w:rPr>
                <w:rFonts w:ascii="Arial" w:hAnsi="Arial" w:cs="Arial"/>
                <w:b/>
                <w:sz w:val="20"/>
                <w:szCs w:val="20"/>
              </w:rPr>
              <w:t>valvular heart disease and cardiomyopathy</w:t>
            </w:r>
            <w:r w:rsidRPr="00266B6F">
              <w:rPr>
                <w:rFonts w:ascii="Arial" w:hAnsi="Arial" w:cs="Arial"/>
                <w:sz w:val="20"/>
                <w:szCs w:val="20"/>
              </w:rPr>
              <w:t>.</w:t>
            </w:r>
          </w:p>
        </w:tc>
      </w:tr>
      <w:tr w:rsidR="003F5118" w:rsidRPr="006375EE" w14:paraId="7AD21CF3" w14:textId="77777777" w:rsidTr="0024650F">
        <w:trPr>
          <w:trHeight w:val="259"/>
        </w:trPr>
        <w:tc>
          <w:tcPr>
            <w:tcW w:w="562" w:type="dxa"/>
          </w:tcPr>
          <w:p w14:paraId="65285D80" w14:textId="1ABB44CA" w:rsidR="003F5118" w:rsidRPr="006658EF" w:rsidRDefault="006658EF" w:rsidP="003F5118">
            <w:pPr>
              <w:pStyle w:val="TableText1"/>
              <w:jc w:val="center"/>
              <w:rPr>
                <w:rFonts w:cs="Arial"/>
                <w:sz w:val="20"/>
                <w:szCs w:val="20"/>
              </w:rPr>
            </w:pPr>
            <w:r w:rsidRPr="006658EF">
              <w:rPr>
                <w:rFonts w:cs="Arial"/>
                <w:sz w:val="20"/>
                <w:szCs w:val="20"/>
              </w:rPr>
              <w:t>24</w:t>
            </w:r>
          </w:p>
        </w:tc>
        <w:tc>
          <w:tcPr>
            <w:tcW w:w="1139" w:type="dxa"/>
          </w:tcPr>
          <w:p w14:paraId="5897D83B" w14:textId="48235526" w:rsidR="003F5118" w:rsidRPr="009A4C43" w:rsidRDefault="003F5118" w:rsidP="003F5118">
            <w:pPr>
              <w:pStyle w:val="TableText1"/>
              <w:rPr>
                <w:rFonts w:cs="Arial"/>
                <w:color w:val="000000"/>
                <w:sz w:val="20"/>
                <w:szCs w:val="20"/>
              </w:rPr>
            </w:pPr>
            <w:r w:rsidRPr="009A4C43">
              <w:rPr>
                <w:rFonts w:cs="Arial"/>
                <w:sz w:val="20"/>
                <w:szCs w:val="20"/>
              </w:rPr>
              <w:t>General- definition</w:t>
            </w:r>
          </w:p>
        </w:tc>
        <w:tc>
          <w:tcPr>
            <w:tcW w:w="1985" w:type="dxa"/>
          </w:tcPr>
          <w:p w14:paraId="544F3C61" w14:textId="6BA0AE4A" w:rsidR="003F5118" w:rsidRPr="00442BCE" w:rsidRDefault="003F5118" w:rsidP="003F5118">
            <w:pPr>
              <w:pStyle w:val="TableText1"/>
              <w:rPr>
                <w:rFonts w:cs="Arial"/>
                <w:b/>
                <w:sz w:val="20"/>
                <w:szCs w:val="20"/>
              </w:rPr>
            </w:pPr>
            <w:r w:rsidRPr="00442BCE">
              <w:rPr>
                <w:rFonts w:cs="Arial"/>
                <w:b/>
                <w:sz w:val="20"/>
                <w:szCs w:val="20"/>
              </w:rPr>
              <w:t>Resuscitation Council (UK)</w:t>
            </w:r>
          </w:p>
        </w:tc>
        <w:tc>
          <w:tcPr>
            <w:tcW w:w="11198" w:type="dxa"/>
          </w:tcPr>
          <w:p w14:paraId="0E4B364F" w14:textId="77777777" w:rsidR="003F5118" w:rsidRPr="00266B6F" w:rsidRDefault="003F5118" w:rsidP="003F5118">
            <w:pPr>
              <w:rPr>
                <w:rFonts w:ascii="Arial" w:hAnsi="Arial" w:cs="Arial"/>
                <w:b/>
                <w:sz w:val="20"/>
                <w:szCs w:val="20"/>
              </w:rPr>
            </w:pPr>
            <w:r w:rsidRPr="00266B6F">
              <w:rPr>
                <w:rFonts w:ascii="Arial" w:hAnsi="Arial" w:cs="Arial"/>
                <w:sz w:val="20"/>
                <w:szCs w:val="20"/>
              </w:rPr>
              <w:t xml:space="preserve">There are some important and not necessarily uncommon omissions that can contribute to frailty and risk, for example, </w:t>
            </w:r>
            <w:r w:rsidRPr="00266B6F">
              <w:rPr>
                <w:rFonts w:ascii="Arial" w:hAnsi="Arial" w:cs="Arial"/>
                <w:b/>
                <w:sz w:val="20"/>
                <w:szCs w:val="20"/>
              </w:rPr>
              <w:t>pulmonary fibrosis</w:t>
            </w:r>
          </w:p>
          <w:p w14:paraId="7ECC331F" w14:textId="766F3E0D" w:rsidR="003F5118" w:rsidRPr="00266B6F" w:rsidRDefault="003F5118" w:rsidP="003F5118">
            <w:pPr>
              <w:rPr>
                <w:rFonts w:ascii="Arial" w:hAnsi="Arial" w:cs="Arial"/>
                <w:sz w:val="20"/>
                <w:szCs w:val="20"/>
              </w:rPr>
            </w:pPr>
            <w:r w:rsidRPr="00266B6F">
              <w:rPr>
                <w:rFonts w:ascii="Arial" w:hAnsi="Arial" w:cs="Arial"/>
                <w:b/>
                <w:sz w:val="20"/>
                <w:szCs w:val="20"/>
              </w:rPr>
              <w:t>cystic fibrosis</w:t>
            </w:r>
            <w:r w:rsidRPr="00266B6F">
              <w:rPr>
                <w:rFonts w:ascii="Arial" w:hAnsi="Arial" w:cs="Arial"/>
                <w:sz w:val="20"/>
                <w:szCs w:val="20"/>
              </w:rPr>
              <w:t xml:space="preserve">. We acknowledge that cystic fibrosis contributes to frailty by causing varying degrees of bronchiectasis and fibrosis but are surprised that </w:t>
            </w:r>
            <w:r w:rsidRPr="00266B6F">
              <w:rPr>
                <w:rFonts w:ascii="Arial" w:hAnsi="Arial" w:cs="Arial"/>
                <w:b/>
                <w:sz w:val="20"/>
                <w:szCs w:val="20"/>
              </w:rPr>
              <w:t>pulmonary fibrosis</w:t>
            </w:r>
            <w:r w:rsidRPr="00266B6F">
              <w:rPr>
                <w:rFonts w:ascii="Arial" w:hAnsi="Arial" w:cs="Arial"/>
                <w:sz w:val="20"/>
                <w:szCs w:val="20"/>
              </w:rPr>
              <w:t xml:space="preserve"> has not been listed.</w:t>
            </w:r>
          </w:p>
        </w:tc>
      </w:tr>
      <w:tr w:rsidR="003F5118" w:rsidRPr="006375EE" w14:paraId="66F02499" w14:textId="77777777" w:rsidTr="0024650F">
        <w:trPr>
          <w:trHeight w:val="259"/>
        </w:trPr>
        <w:tc>
          <w:tcPr>
            <w:tcW w:w="562" w:type="dxa"/>
          </w:tcPr>
          <w:p w14:paraId="5478DFD4" w14:textId="5565FF20" w:rsidR="003F5118" w:rsidRPr="006658EF" w:rsidRDefault="006658EF" w:rsidP="003F5118">
            <w:pPr>
              <w:pStyle w:val="TableText1"/>
              <w:jc w:val="center"/>
              <w:rPr>
                <w:rFonts w:cs="Arial"/>
                <w:sz w:val="20"/>
                <w:szCs w:val="20"/>
              </w:rPr>
            </w:pPr>
            <w:r w:rsidRPr="006658EF">
              <w:rPr>
                <w:rFonts w:cs="Arial"/>
                <w:sz w:val="20"/>
                <w:szCs w:val="20"/>
              </w:rPr>
              <w:t>25</w:t>
            </w:r>
          </w:p>
        </w:tc>
        <w:tc>
          <w:tcPr>
            <w:tcW w:w="1139" w:type="dxa"/>
          </w:tcPr>
          <w:p w14:paraId="3C2FAA9F" w14:textId="0E86654E" w:rsidR="003F5118" w:rsidRPr="009A4C43" w:rsidRDefault="003F5118" w:rsidP="003F5118">
            <w:pPr>
              <w:pStyle w:val="TableText1"/>
              <w:rPr>
                <w:rFonts w:cs="Arial"/>
                <w:color w:val="000000"/>
                <w:sz w:val="20"/>
                <w:szCs w:val="20"/>
              </w:rPr>
            </w:pPr>
            <w:r w:rsidRPr="009A4C43">
              <w:rPr>
                <w:rFonts w:cs="Arial"/>
                <w:sz w:val="20"/>
                <w:szCs w:val="20"/>
              </w:rPr>
              <w:t>General- definition</w:t>
            </w:r>
          </w:p>
        </w:tc>
        <w:tc>
          <w:tcPr>
            <w:tcW w:w="1985" w:type="dxa"/>
          </w:tcPr>
          <w:p w14:paraId="0BB1711A" w14:textId="24AC7242" w:rsidR="003F5118" w:rsidRPr="00442BCE" w:rsidRDefault="003F5118" w:rsidP="003F5118">
            <w:pPr>
              <w:pStyle w:val="TableText1"/>
              <w:rPr>
                <w:rFonts w:cs="Arial"/>
                <w:b/>
                <w:sz w:val="20"/>
                <w:szCs w:val="20"/>
              </w:rPr>
            </w:pPr>
            <w:r w:rsidRPr="00442BCE">
              <w:rPr>
                <w:rFonts w:cs="Arial"/>
                <w:b/>
                <w:sz w:val="20"/>
                <w:szCs w:val="20"/>
              </w:rPr>
              <w:t>Resuscitation Council (UK)</w:t>
            </w:r>
          </w:p>
        </w:tc>
        <w:tc>
          <w:tcPr>
            <w:tcW w:w="11198" w:type="dxa"/>
          </w:tcPr>
          <w:p w14:paraId="314CB608" w14:textId="06A8196F" w:rsidR="003F5118" w:rsidRPr="00266B6F" w:rsidRDefault="003F5118" w:rsidP="003F5118">
            <w:pPr>
              <w:rPr>
                <w:rFonts w:ascii="Arial" w:hAnsi="Arial" w:cs="Arial"/>
                <w:sz w:val="20"/>
                <w:szCs w:val="20"/>
              </w:rPr>
            </w:pPr>
            <w:r w:rsidRPr="00266B6F">
              <w:rPr>
                <w:rFonts w:ascii="Arial" w:hAnsi="Arial" w:cs="Arial"/>
                <w:sz w:val="20"/>
                <w:szCs w:val="20"/>
              </w:rPr>
              <w:t xml:space="preserve">Re: page 16. There are some important and not necessarily uncommon omissions that can contribute to frailty and risk, for example, </w:t>
            </w:r>
            <w:r w:rsidRPr="00266B6F">
              <w:rPr>
                <w:rFonts w:ascii="Arial" w:hAnsi="Arial" w:cs="Arial"/>
                <w:b/>
                <w:sz w:val="20"/>
                <w:szCs w:val="20"/>
              </w:rPr>
              <w:t>motor neurone disease and cerebral palsy, and disability from previous head injury</w:t>
            </w:r>
            <w:r w:rsidRPr="00266B6F">
              <w:rPr>
                <w:rFonts w:ascii="Arial" w:hAnsi="Arial" w:cs="Arial"/>
                <w:sz w:val="20"/>
                <w:szCs w:val="20"/>
              </w:rPr>
              <w:t>.</w:t>
            </w:r>
          </w:p>
        </w:tc>
      </w:tr>
      <w:tr w:rsidR="003F5118" w:rsidRPr="006375EE" w14:paraId="405024A3" w14:textId="77777777" w:rsidTr="0024650F">
        <w:trPr>
          <w:trHeight w:val="207"/>
        </w:trPr>
        <w:tc>
          <w:tcPr>
            <w:tcW w:w="562" w:type="dxa"/>
          </w:tcPr>
          <w:p w14:paraId="0371F2A8" w14:textId="1F78059C" w:rsidR="003F5118" w:rsidRPr="006658EF" w:rsidRDefault="006658EF" w:rsidP="003F5118">
            <w:pPr>
              <w:pStyle w:val="TableText1"/>
              <w:jc w:val="center"/>
              <w:rPr>
                <w:rFonts w:cs="Arial"/>
                <w:sz w:val="20"/>
                <w:szCs w:val="20"/>
              </w:rPr>
            </w:pPr>
            <w:r w:rsidRPr="006658EF">
              <w:rPr>
                <w:rFonts w:cs="Arial"/>
                <w:sz w:val="20"/>
                <w:szCs w:val="20"/>
              </w:rPr>
              <w:t>26</w:t>
            </w:r>
          </w:p>
        </w:tc>
        <w:tc>
          <w:tcPr>
            <w:tcW w:w="1139" w:type="dxa"/>
          </w:tcPr>
          <w:p w14:paraId="4576C051" w14:textId="6129C7CB" w:rsidR="003F5118" w:rsidRPr="00902CB1" w:rsidRDefault="003F5118" w:rsidP="003F5118">
            <w:pPr>
              <w:pStyle w:val="TableText1"/>
              <w:rPr>
                <w:rFonts w:cs="Arial"/>
                <w:szCs w:val="20"/>
              </w:rPr>
            </w:pPr>
            <w:r w:rsidRPr="00902CB1">
              <w:rPr>
                <w:rFonts w:cs="Arial"/>
                <w:color w:val="000000"/>
                <w:sz w:val="20"/>
                <w:szCs w:val="20"/>
              </w:rPr>
              <w:t>IND1</w:t>
            </w:r>
          </w:p>
        </w:tc>
        <w:tc>
          <w:tcPr>
            <w:tcW w:w="1985" w:type="dxa"/>
          </w:tcPr>
          <w:p w14:paraId="77BCC07C" w14:textId="73958037" w:rsidR="003F5118" w:rsidRPr="006375EE" w:rsidRDefault="003F5118" w:rsidP="003F5118">
            <w:pPr>
              <w:pStyle w:val="TableText1"/>
              <w:rPr>
                <w:rFonts w:cs="Arial"/>
                <w:szCs w:val="20"/>
                <w:highlight w:val="yellow"/>
              </w:rPr>
            </w:pPr>
            <w:r w:rsidRPr="00442BCE">
              <w:rPr>
                <w:rFonts w:cs="Arial"/>
                <w:b/>
                <w:sz w:val="20"/>
                <w:szCs w:val="20"/>
              </w:rPr>
              <w:t>Alzheimer’s Research UK</w:t>
            </w:r>
          </w:p>
        </w:tc>
        <w:tc>
          <w:tcPr>
            <w:tcW w:w="11198" w:type="dxa"/>
          </w:tcPr>
          <w:p w14:paraId="365FDF96" w14:textId="77777777" w:rsidR="003F5118" w:rsidRPr="00442BCE" w:rsidRDefault="003F5118" w:rsidP="003F5118">
            <w:pPr>
              <w:rPr>
                <w:rFonts w:ascii="Arial" w:hAnsi="Arial" w:cs="Arial"/>
                <w:sz w:val="20"/>
                <w:szCs w:val="20"/>
              </w:rPr>
            </w:pPr>
            <w:r w:rsidRPr="00442BCE">
              <w:rPr>
                <w:rFonts w:ascii="Arial" w:hAnsi="Arial" w:cs="Arial"/>
                <w:sz w:val="20"/>
                <w:szCs w:val="20"/>
              </w:rPr>
              <w:t xml:space="preserve">We believe that </w:t>
            </w:r>
            <w:bookmarkStart w:id="36" w:name="_Hlk9243865"/>
            <w:r w:rsidRPr="00442BCE">
              <w:rPr>
                <w:rFonts w:ascii="Arial" w:hAnsi="Arial" w:cs="Arial"/>
                <w:sz w:val="20"/>
                <w:szCs w:val="20"/>
              </w:rPr>
              <w:t xml:space="preserve">producing practice registers of those with multimorbidity will support interventions assisting with the optimal management of conditions, such as types of dementia, where worsening cognition and memory can exacerbate the challenges of managing </w:t>
            </w:r>
            <w:proofErr w:type="spellStart"/>
            <w:r w:rsidRPr="00442BCE">
              <w:rPr>
                <w:rFonts w:ascii="Arial" w:hAnsi="Arial" w:cs="Arial"/>
                <w:sz w:val="20"/>
                <w:szCs w:val="20"/>
              </w:rPr>
              <w:t>multimorbidities</w:t>
            </w:r>
            <w:bookmarkEnd w:id="36"/>
            <w:proofErr w:type="spellEnd"/>
            <w:r w:rsidRPr="00442BCE">
              <w:rPr>
                <w:rFonts w:ascii="Arial" w:hAnsi="Arial" w:cs="Arial"/>
                <w:sz w:val="20"/>
                <w:szCs w:val="20"/>
              </w:rPr>
              <w:t>.</w:t>
            </w:r>
          </w:p>
          <w:p w14:paraId="17115529" w14:textId="77777777" w:rsidR="003F5118" w:rsidRPr="00442BCE" w:rsidRDefault="003F5118" w:rsidP="003F5118">
            <w:pPr>
              <w:rPr>
                <w:rFonts w:ascii="Arial" w:hAnsi="Arial" w:cs="Arial"/>
                <w:sz w:val="20"/>
                <w:szCs w:val="20"/>
              </w:rPr>
            </w:pPr>
          </w:p>
          <w:p w14:paraId="1F3145D1" w14:textId="0EFCCD4E" w:rsidR="003F5118" w:rsidRPr="006375EE" w:rsidRDefault="003F5118" w:rsidP="003F5118">
            <w:pPr>
              <w:pStyle w:val="TableText1"/>
              <w:rPr>
                <w:rFonts w:cs="Arial"/>
                <w:szCs w:val="20"/>
                <w:highlight w:val="yellow"/>
              </w:rPr>
            </w:pPr>
            <w:r w:rsidRPr="00442BCE">
              <w:rPr>
                <w:rFonts w:cs="Arial"/>
                <w:sz w:val="20"/>
                <w:szCs w:val="20"/>
              </w:rPr>
              <w:t xml:space="preserve">Poor control of dementia and </w:t>
            </w:r>
            <w:proofErr w:type="spellStart"/>
            <w:r w:rsidRPr="00442BCE">
              <w:rPr>
                <w:rFonts w:cs="Arial"/>
                <w:sz w:val="20"/>
                <w:szCs w:val="20"/>
              </w:rPr>
              <w:t>multimorbidities</w:t>
            </w:r>
            <w:proofErr w:type="spellEnd"/>
            <w:r w:rsidRPr="00442BCE">
              <w:rPr>
                <w:rFonts w:cs="Arial"/>
                <w:sz w:val="20"/>
                <w:szCs w:val="20"/>
              </w:rPr>
              <w:t xml:space="preserve"> leads to an increased likelihood of hospitalisation, longer admissions and increased health and social care costs.</w:t>
            </w:r>
          </w:p>
        </w:tc>
      </w:tr>
      <w:tr w:rsidR="003F5118" w:rsidRPr="006375EE" w14:paraId="54DBFE95" w14:textId="77777777" w:rsidTr="0024650F">
        <w:trPr>
          <w:trHeight w:val="225"/>
        </w:trPr>
        <w:tc>
          <w:tcPr>
            <w:tcW w:w="562" w:type="dxa"/>
          </w:tcPr>
          <w:p w14:paraId="5D9A6684" w14:textId="61994BDE" w:rsidR="003F5118" w:rsidRPr="006658EF" w:rsidRDefault="006658EF" w:rsidP="003F5118">
            <w:pPr>
              <w:pStyle w:val="TableText1"/>
              <w:jc w:val="center"/>
              <w:rPr>
                <w:rFonts w:cs="Arial"/>
                <w:sz w:val="20"/>
                <w:szCs w:val="20"/>
              </w:rPr>
            </w:pPr>
            <w:r w:rsidRPr="006658EF">
              <w:rPr>
                <w:rFonts w:cs="Arial"/>
                <w:sz w:val="20"/>
                <w:szCs w:val="20"/>
              </w:rPr>
              <w:t>27</w:t>
            </w:r>
          </w:p>
        </w:tc>
        <w:tc>
          <w:tcPr>
            <w:tcW w:w="1139" w:type="dxa"/>
          </w:tcPr>
          <w:p w14:paraId="075BC5FA" w14:textId="566C7C0B" w:rsidR="003F5118" w:rsidRPr="00902CB1" w:rsidRDefault="003F5118" w:rsidP="003F5118">
            <w:pPr>
              <w:pStyle w:val="TableText1"/>
              <w:rPr>
                <w:rFonts w:cs="Arial"/>
                <w:szCs w:val="20"/>
              </w:rPr>
            </w:pPr>
            <w:r w:rsidRPr="00902CB1">
              <w:rPr>
                <w:rFonts w:cs="Arial"/>
                <w:color w:val="000000"/>
                <w:sz w:val="20"/>
                <w:szCs w:val="20"/>
              </w:rPr>
              <w:t>IND1</w:t>
            </w:r>
          </w:p>
        </w:tc>
        <w:tc>
          <w:tcPr>
            <w:tcW w:w="1985" w:type="dxa"/>
          </w:tcPr>
          <w:p w14:paraId="66C6AA23" w14:textId="135CE0C9" w:rsidR="003F5118" w:rsidRPr="006375EE" w:rsidRDefault="003F5118" w:rsidP="003F5118">
            <w:pPr>
              <w:pStyle w:val="TableText1"/>
              <w:rPr>
                <w:rFonts w:cs="Arial"/>
                <w:szCs w:val="20"/>
                <w:highlight w:val="yellow"/>
              </w:rPr>
            </w:pPr>
            <w:r w:rsidRPr="00442BCE">
              <w:rPr>
                <w:rFonts w:cs="Arial"/>
                <w:b/>
                <w:sz w:val="20"/>
                <w:szCs w:val="20"/>
              </w:rPr>
              <w:t>Alzheimer’s Research UK</w:t>
            </w:r>
          </w:p>
        </w:tc>
        <w:tc>
          <w:tcPr>
            <w:tcW w:w="11198" w:type="dxa"/>
          </w:tcPr>
          <w:p w14:paraId="3C876864" w14:textId="77777777" w:rsidR="003F5118" w:rsidRPr="00442BCE" w:rsidRDefault="003F5118" w:rsidP="003F5118">
            <w:pPr>
              <w:rPr>
                <w:rFonts w:ascii="Arial" w:hAnsi="Arial" w:cs="Arial"/>
                <w:sz w:val="20"/>
                <w:szCs w:val="20"/>
              </w:rPr>
            </w:pPr>
            <w:r w:rsidRPr="00442BCE">
              <w:rPr>
                <w:rFonts w:ascii="Arial" w:hAnsi="Arial" w:cs="Arial"/>
                <w:sz w:val="20"/>
                <w:szCs w:val="20"/>
              </w:rPr>
              <w:t xml:space="preserve">We </w:t>
            </w:r>
            <w:bookmarkStart w:id="37" w:name="_Hlk9243891"/>
            <w:r w:rsidRPr="00442BCE">
              <w:rPr>
                <w:rFonts w:ascii="Arial" w:hAnsi="Arial" w:cs="Arial"/>
                <w:sz w:val="20"/>
                <w:szCs w:val="20"/>
              </w:rPr>
              <w:t xml:space="preserve">would disagree that types of dementia (including Alzheimer’s) should be included as a condition only within the mental health category. The World Health Organization’s International Classification of Diseases 11th Revision, classifies types of dementia as a subcategory of neurocognitive disorders under mental, behavioural or neurodevelopmental disorders. </w:t>
            </w:r>
            <w:proofErr w:type="gramStart"/>
            <w:r w:rsidRPr="00442BCE">
              <w:rPr>
                <w:rFonts w:ascii="Arial" w:hAnsi="Arial" w:cs="Arial"/>
                <w:sz w:val="20"/>
                <w:szCs w:val="20"/>
              </w:rPr>
              <w:t>Therefore</w:t>
            </w:r>
            <w:proofErr w:type="gramEnd"/>
            <w:r w:rsidRPr="00442BCE">
              <w:rPr>
                <w:rFonts w:ascii="Arial" w:hAnsi="Arial" w:cs="Arial"/>
                <w:sz w:val="20"/>
                <w:szCs w:val="20"/>
              </w:rPr>
              <w:t xml:space="preserve"> we believe dementia should also feature in the neurological conditions category.</w:t>
            </w:r>
          </w:p>
          <w:bookmarkEnd w:id="37"/>
          <w:p w14:paraId="31BCA68F" w14:textId="77777777" w:rsidR="003F5118" w:rsidRPr="00442BCE" w:rsidRDefault="003F5118" w:rsidP="003F5118">
            <w:pPr>
              <w:rPr>
                <w:rFonts w:ascii="Arial" w:hAnsi="Arial" w:cs="Arial"/>
                <w:sz w:val="20"/>
                <w:szCs w:val="20"/>
              </w:rPr>
            </w:pPr>
          </w:p>
          <w:p w14:paraId="6E79E1E5" w14:textId="2D4E9ACF" w:rsidR="003F5118" w:rsidRPr="006375EE" w:rsidRDefault="003F5118" w:rsidP="003F5118">
            <w:pPr>
              <w:pStyle w:val="TableText1"/>
              <w:rPr>
                <w:rFonts w:cs="Arial"/>
                <w:szCs w:val="20"/>
                <w:highlight w:val="yellow"/>
              </w:rPr>
            </w:pPr>
            <w:r w:rsidRPr="00442BCE">
              <w:rPr>
                <w:rFonts w:cs="Arial"/>
                <w:sz w:val="20"/>
                <w:szCs w:val="20"/>
              </w:rPr>
              <w:t>Recognising Alzheimer’s and other dementias as progressive neurodegenerative diseases is important in moving towards greater consideration of the mild, moderate and severe stages, and that the pathological changes associated with the disease are present years before symptoms might show.</w:t>
            </w:r>
          </w:p>
        </w:tc>
      </w:tr>
      <w:tr w:rsidR="003F5118" w:rsidRPr="006375EE" w14:paraId="2C41A188" w14:textId="77777777" w:rsidTr="0024650F">
        <w:trPr>
          <w:trHeight w:val="225"/>
        </w:trPr>
        <w:tc>
          <w:tcPr>
            <w:tcW w:w="562" w:type="dxa"/>
          </w:tcPr>
          <w:p w14:paraId="6DFB5C1A" w14:textId="178AC504" w:rsidR="003F5118" w:rsidRPr="006658EF" w:rsidRDefault="006658EF" w:rsidP="003F5118">
            <w:pPr>
              <w:pStyle w:val="TableText1"/>
              <w:jc w:val="center"/>
              <w:rPr>
                <w:rFonts w:cs="Arial"/>
                <w:sz w:val="20"/>
                <w:szCs w:val="20"/>
              </w:rPr>
            </w:pPr>
            <w:r w:rsidRPr="006658EF">
              <w:rPr>
                <w:rFonts w:cs="Arial"/>
                <w:sz w:val="20"/>
                <w:szCs w:val="20"/>
              </w:rPr>
              <w:lastRenderedPageBreak/>
              <w:t>28</w:t>
            </w:r>
          </w:p>
        </w:tc>
        <w:tc>
          <w:tcPr>
            <w:tcW w:w="1139" w:type="dxa"/>
          </w:tcPr>
          <w:p w14:paraId="5F094150" w14:textId="77CBC21B" w:rsidR="003F5118" w:rsidRPr="00902CB1" w:rsidRDefault="003F5118" w:rsidP="003F5118">
            <w:pPr>
              <w:pStyle w:val="TableText1"/>
              <w:rPr>
                <w:rFonts w:cs="Arial"/>
                <w:color w:val="000000"/>
                <w:sz w:val="20"/>
                <w:szCs w:val="20"/>
              </w:rPr>
            </w:pPr>
            <w:r w:rsidRPr="00902CB1">
              <w:rPr>
                <w:rFonts w:cs="Arial"/>
                <w:color w:val="000000"/>
                <w:sz w:val="20"/>
                <w:szCs w:val="20"/>
              </w:rPr>
              <w:t>IND1</w:t>
            </w:r>
          </w:p>
        </w:tc>
        <w:tc>
          <w:tcPr>
            <w:tcW w:w="1985" w:type="dxa"/>
          </w:tcPr>
          <w:p w14:paraId="011B7B40" w14:textId="1C8877BD" w:rsidR="003F5118" w:rsidRPr="00442BCE" w:rsidRDefault="003F5118" w:rsidP="003F5118">
            <w:pPr>
              <w:pStyle w:val="TableText1"/>
              <w:rPr>
                <w:rFonts w:cs="Arial"/>
                <w:b/>
                <w:sz w:val="20"/>
                <w:szCs w:val="20"/>
              </w:rPr>
            </w:pPr>
            <w:r w:rsidRPr="00442BCE">
              <w:rPr>
                <w:rFonts w:cs="Arial"/>
                <w:b/>
                <w:sz w:val="20"/>
                <w:szCs w:val="20"/>
              </w:rPr>
              <w:t>AstraZeneca</w:t>
            </w:r>
          </w:p>
        </w:tc>
        <w:tc>
          <w:tcPr>
            <w:tcW w:w="11198" w:type="dxa"/>
          </w:tcPr>
          <w:p w14:paraId="3A664508" w14:textId="77777777" w:rsidR="003F5118" w:rsidRPr="00442BCE" w:rsidRDefault="003F5118" w:rsidP="003F5118">
            <w:pPr>
              <w:rPr>
                <w:rFonts w:ascii="Arial" w:hAnsi="Arial" w:cs="Arial"/>
                <w:sz w:val="20"/>
                <w:szCs w:val="20"/>
              </w:rPr>
            </w:pPr>
            <w:r w:rsidRPr="00442BCE">
              <w:rPr>
                <w:rFonts w:ascii="Arial" w:hAnsi="Arial" w:cs="Arial"/>
                <w:sz w:val="20"/>
                <w:szCs w:val="20"/>
              </w:rPr>
              <w:t>AstraZeneca welcomes the decision by NICE to produce a register of people with multimorbidity who would benefit from a tailored approach to care.</w:t>
            </w:r>
          </w:p>
          <w:p w14:paraId="007326AA" w14:textId="77777777" w:rsidR="003F5118" w:rsidRPr="00442BCE" w:rsidRDefault="003F5118" w:rsidP="003F5118">
            <w:pPr>
              <w:rPr>
                <w:rFonts w:ascii="Arial" w:hAnsi="Arial" w:cs="Arial"/>
                <w:sz w:val="20"/>
                <w:szCs w:val="20"/>
              </w:rPr>
            </w:pPr>
          </w:p>
          <w:p w14:paraId="5C9F0AAB" w14:textId="77777777" w:rsidR="003F5118" w:rsidRPr="00442BCE" w:rsidRDefault="003F5118" w:rsidP="003F5118">
            <w:pPr>
              <w:rPr>
                <w:rFonts w:ascii="Arial" w:hAnsi="Arial" w:cs="Arial"/>
                <w:sz w:val="20"/>
                <w:szCs w:val="20"/>
              </w:rPr>
            </w:pPr>
            <w:r w:rsidRPr="00442BCE">
              <w:rPr>
                <w:rFonts w:ascii="Arial" w:hAnsi="Arial" w:cs="Arial"/>
                <w:sz w:val="20"/>
                <w:szCs w:val="20"/>
              </w:rPr>
              <w:t xml:space="preserve">NICE define multimorbidity for the register as the presence of “four or more condition categories”.  However, </w:t>
            </w:r>
            <w:bookmarkStart w:id="38" w:name="_Hlk9244639"/>
            <w:r w:rsidRPr="00442BCE">
              <w:rPr>
                <w:rFonts w:ascii="Arial" w:hAnsi="Arial" w:cs="Arial"/>
                <w:sz w:val="20"/>
                <w:szCs w:val="20"/>
              </w:rPr>
              <w:t>the World Health Organisation (WHO) define multimorbidity as the “coexistence of two or more chronic conditions in the same individual”</w:t>
            </w:r>
            <w:r w:rsidRPr="00442BCE">
              <w:rPr>
                <w:rFonts w:ascii="Arial" w:hAnsi="Arial" w:cs="Arial"/>
                <w:sz w:val="20"/>
                <w:szCs w:val="20"/>
                <w:vertAlign w:val="superscript"/>
              </w:rPr>
              <w:t>1</w:t>
            </w:r>
            <w:r w:rsidRPr="00442BCE">
              <w:rPr>
                <w:rFonts w:ascii="Arial" w:hAnsi="Arial" w:cs="Arial"/>
                <w:sz w:val="20"/>
                <w:szCs w:val="20"/>
              </w:rPr>
              <w:t>.  NICE also define multimorbidity in their “Multimorbidity: clinical assessment and management”</w:t>
            </w:r>
          </w:p>
          <w:p w14:paraId="5C6923D4" w14:textId="77777777" w:rsidR="003F5118" w:rsidRPr="00442BCE" w:rsidRDefault="003F5118" w:rsidP="003F5118">
            <w:pPr>
              <w:rPr>
                <w:rFonts w:ascii="Arial" w:hAnsi="Arial" w:cs="Arial"/>
                <w:sz w:val="20"/>
                <w:szCs w:val="20"/>
              </w:rPr>
            </w:pPr>
            <w:r w:rsidRPr="00442BCE">
              <w:rPr>
                <w:rFonts w:ascii="Arial" w:hAnsi="Arial" w:cs="Arial"/>
                <w:sz w:val="20"/>
                <w:szCs w:val="20"/>
              </w:rPr>
              <w:t xml:space="preserve">NICE guideline [NG56] as “…the presence of 2 or more long-term health conditions”. </w:t>
            </w:r>
            <w:bookmarkEnd w:id="38"/>
          </w:p>
          <w:p w14:paraId="48905BEC" w14:textId="77777777" w:rsidR="003F5118" w:rsidRPr="00442BCE" w:rsidRDefault="003F5118" w:rsidP="003F5118">
            <w:pPr>
              <w:rPr>
                <w:rFonts w:ascii="Arial" w:hAnsi="Arial" w:cs="Arial"/>
                <w:sz w:val="20"/>
                <w:szCs w:val="20"/>
              </w:rPr>
            </w:pPr>
          </w:p>
          <w:p w14:paraId="652359C1" w14:textId="77777777" w:rsidR="003F5118" w:rsidRPr="00442BCE" w:rsidRDefault="003F5118" w:rsidP="003F5118">
            <w:pPr>
              <w:rPr>
                <w:rFonts w:ascii="Arial" w:hAnsi="Arial" w:cs="Arial"/>
                <w:sz w:val="20"/>
                <w:szCs w:val="20"/>
              </w:rPr>
            </w:pPr>
            <w:r w:rsidRPr="00442BCE">
              <w:rPr>
                <w:rFonts w:ascii="Arial" w:hAnsi="Arial" w:cs="Arial"/>
                <w:sz w:val="20"/>
                <w:szCs w:val="20"/>
              </w:rPr>
              <w:t>AstraZeneca propose that the definition of multimorbidity is reduced to the presence of 3 or more conditions to be a more pragmatic reflection of national and international classifications and evidence.</w:t>
            </w:r>
          </w:p>
          <w:p w14:paraId="183725F8" w14:textId="77777777" w:rsidR="003F5118" w:rsidRPr="00442BCE" w:rsidRDefault="003F5118" w:rsidP="003F5118">
            <w:pPr>
              <w:rPr>
                <w:rFonts w:ascii="Arial" w:hAnsi="Arial" w:cs="Arial"/>
                <w:sz w:val="20"/>
                <w:szCs w:val="20"/>
              </w:rPr>
            </w:pPr>
          </w:p>
          <w:p w14:paraId="16B8614E" w14:textId="77777777" w:rsidR="003F5118" w:rsidRPr="00442BCE" w:rsidRDefault="003F5118" w:rsidP="003F5118">
            <w:pPr>
              <w:pStyle w:val="ListParagraph"/>
              <w:numPr>
                <w:ilvl w:val="0"/>
                <w:numId w:val="30"/>
              </w:numPr>
              <w:rPr>
                <w:rFonts w:ascii="Arial" w:hAnsi="Arial" w:cs="Arial"/>
                <w:sz w:val="20"/>
                <w:szCs w:val="20"/>
              </w:rPr>
            </w:pPr>
            <w:r w:rsidRPr="00442BCE">
              <w:rPr>
                <w:rFonts w:ascii="Arial" w:hAnsi="Arial" w:cs="Arial"/>
                <w:sz w:val="20"/>
                <w:szCs w:val="20"/>
              </w:rPr>
              <w:t>Multimorbidity: Technical Series on Safer Primary Care. WHO 216 (</w:t>
            </w:r>
            <w:hyperlink r:id="rId30" w:history="1">
              <w:r w:rsidRPr="00442BCE">
                <w:rPr>
                  <w:rStyle w:val="Hyperlink"/>
                  <w:rFonts w:ascii="Arial" w:hAnsi="Arial" w:cs="Arial"/>
                  <w:color w:val="auto"/>
                  <w:sz w:val="20"/>
                  <w:szCs w:val="20"/>
                </w:rPr>
                <w:t>https://apps.who.int/iris/bitstream/handle/10665/252275/9789241511650-eng.pdf;jsessionid=3A22A47AC8FD22FB52F94DB7FA239491?sequence=1</w:t>
              </w:r>
            </w:hyperlink>
            <w:r w:rsidRPr="00442BCE">
              <w:rPr>
                <w:rFonts w:ascii="Arial" w:hAnsi="Arial" w:cs="Arial"/>
                <w:sz w:val="20"/>
                <w:szCs w:val="20"/>
              </w:rPr>
              <w:t>.  Last accessed May 2019)</w:t>
            </w:r>
          </w:p>
          <w:p w14:paraId="1653E9EB" w14:textId="77777777" w:rsidR="003F5118" w:rsidRPr="00442BCE" w:rsidRDefault="003F5118" w:rsidP="003F5118">
            <w:pPr>
              <w:rPr>
                <w:rFonts w:ascii="Arial" w:hAnsi="Arial" w:cs="Arial"/>
                <w:sz w:val="20"/>
                <w:szCs w:val="20"/>
              </w:rPr>
            </w:pPr>
          </w:p>
        </w:tc>
      </w:tr>
      <w:tr w:rsidR="003F5118" w:rsidRPr="006375EE" w14:paraId="77A54A13" w14:textId="77777777" w:rsidTr="0024650F">
        <w:trPr>
          <w:trHeight w:val="225"/>
        </w:trPr>
        <w:tc>
          <w:tcPr>
            <w:tcW w:w="562" w:type="dxa"/>
          </w:tcPr>
          <w:p w14:paraId="410449E1" w14:textId="519911CE" w:rsidR="003F5118" w:rsidRPr="006658EF" w:rsidRDefault="006658EF" w:rsidP="003F5118">
            <w:pPr>
              <w:pStyle w:val="TableText1"/>
              <w:jc w:val="center"/>
              <w:rPr>
                <w:rFonts w:cs="Arial"/>
                <w:sz w:val="20"/>
                <w:szCs w:val="20"/>
              </w:rPr>
            </w:pPr>
            <w:r w:rsidRPr="006658EF">
              <w:rPr>
                <w:rFonts w:cs="Arial"/>
                <w:sz w:val="20"/>
                <w:szCs w:val="20"/>
              </w:rPr>
              <w:t>29</w:t>
            </w:r>
          </w:p>
        </w:tc>
        <w:tc>
          <w:tcPr>
            <w:tcW w:w="1139" w:type="dxa"/>
          </w:tcPr>
          <w:p w14:paraId="5C931B99" w14:textId="5EE28915" w:rsidR="003F5118" w:rsidRPr="00902CB1" w:rsidRDefault="003F5118" w:rsidP="003F5118">
            <w:pPr>
              <w:pStyle w:val="TableText1"/>
              <w:rPr>
                <w:rFonts w:cs="Arial"/>
                <w:color w:val="000000"/>
                <w:sz w:val="20"/>
                <w:szCs w:val="20"/>
              </w:rPr>
            </w:pPr>
            <w:r w:rsidRPr="00902CB1">
              <w:rPr>
                <w:rFonts w:cs="Arial"/>
                <w:color w:val="000000"/>
                <w:sz w:val="20"/>
                <w:szCs w:val="20"/>
              </w:rPr>
              <w:t>IND1</w:t>
            </w:r>
          </w:p>
        </w:tc>
        <w:tc>
          <w:tcPr>
            <w:tcW w:w="1985" w:type="dxa"/>
          </w:tcPr>
          <w:p w14:paraId="129694C7" w14:textId="3A79A861" w:rsidR="003F5118" w:rsidRPr="00442BCE" w:rsidRDefault="003F5118" w:rsidP="003F5118">
            <w:pPr>
              <w:pStyle w:val="TableText1"/>
              <w:rPr>
                <w:rFonts w:cs="Arial"/>
                <w:b/>
                <w:sz w:val="20"/>
                <w:szCs w:val="20"/>
              </w:rPr>
            </w:pPr>
            <w:r w:rsidRPr="00442BCE">
              <w:rPr>
                <w:rFonts w:cs="Arial"/>
                <w:b/>
                <w:sz w:val="20"/>
                <w:szCs w:val="20"/>
              </w:rPr>
              <w:t>British Medical Association</w:t>
            </w:r>
          </w:p>
        </w:tc>
        <w:tc>
          <w:tcPr>
            <w:tcW w:w="11198" w:type="dxa"/>
          </w:tcPr>
          <w:p w14:paraId="683D702C" w14:textId="77777777" w:rsidR="003F5118" w:rsidRPr="00442BCE" w:rsidRDefault="003F5118" w:rsidP="003F5118">
            <w:pPr>
              <w:rPr>
                <w:rFonts w:ascii="Arial" w:hAnsi="Arial" w:cs="Arial"/>
                <w:sz w:val="20"/>
                <w:szCs w:val="20"/>
              </w:rPr>
            </w:pPr>
            <w:r w:rsidRPr="00442BCE">
              <w:rPr>
                <w:rFonts w:ascii="Arial" w:hAnsi="Arial" w:cs="Arial"/>
                <w:sz w:val="20"/>
                <w:szCs w:val="20"/>
              </w:rPr>
              <w:t>IND1: The practice can produce a register of people with multimorbidity who would benefit from a tailored approach to care.</w:t>
            </w:r>
          </w:p>
          <w:p w14:paraId="18052725" w14:textId="77777777" w:rsidR="003F5118" w:rsidRPr="00442BCE" w:rsidRDefault="003F5118" w:rsidP="003F5118">
            <w:pPr>
              <w:rPr>
                <w:rFonts w:ascii="Arial" w:hAnsi="Arial" w:cs="Arial"/>
                <w:sz w:val="20"/>
                <w:szCs w:val="20"/>
              </w:rPr>
            </w:pPr>
          </w:p>
          <w:p w14:paraId="35D641C1" w14:textId="18BB8425" w:rsidR="003F5118" w:rsidRPr="00442BCE" w:rsidRDefault="003F5118" w:rsidP="003F5118">
            <w:pPr>
              <w:rPr>
                <w:rFonts w:ascii="Arial" w:hAnsi="Arial" w:cs="Arial"/>
                <w:sz w:val="20"/>
                <w:szCs w:val="20"/>
              </w:rPr>
            </w:pPr>
            <w:bookmarkStart w:id="39" w:name="_Hlk9244716"/>
            <w:r w:rsidRPr="0067271D">
              <w:rPr>
                <w:rFonts w:ascii="Arial" w:hAnsi="Arial" w:cs="Arial"/>
                <w:sz w:val="20"/>
                <w:szCs w:val="20"/>
              </w:rPr>
              <w:t xml:space="preserve">We support the aim of identifying patients with multimorbidity but </w:t>
            </w:r>
            <w:proofErr w:type="gramStart"/>
            <w:r w:rsidRPr="0067271D">
              <w:rPr>
                <w:rFonts w:ascii="Arial" w:hAnsi="Arial" w:cs="Arial"/>
                <w:sz w:val="20"/>
                <w:szCs w:val="20"/>
              </w:rPr>
              <w:t>in order for</w:t>
            </w:r>
            <w:proofErr w:type="gramEnd"/>
            <w:r w:rsidRPr="0067271D">
              <w:rPr>
                <w:rFonts w:ascii="Arial" w:hAnsi="Arial" w:cs="Arial"/>
                <w:sz w:val="20"/>
                <w:szCs w:val="20"/>
              </w:rPr>
              <w:t xml:space="preserve"> this to be useful a quality measure there would need to be agreement concerning the IT tools available to populate the register in a reliable manner, and to differentiate between multimorbidity and frailty</w:t>
            </w:r>
            <w:bookmarkEnd w:id="39"/>
            <w:r w:rsidRPr="0067271D">
              <w:rPr>
                <w:rFonts w:ascii="Arial" w:hAnsi="Arial" w:cs="Arial"/>
                <w:sz w:val="20"/>
                <w:szCs w:val="20"/>
              </w:rPr>
              <w:t>.</w:t>
            </w:r>
          </w:p>
        </w:tc>
      </w:tr>
      <w:tr w:rsidR="003F5118" w:rsidRPr="006375EE" w14:paraId="3D6170D4" w14:textId="77777777" w:rsidTr="0024650F">
        <w:trPr>
          <w:trHeight w:val="225"/>
        </w:trPr>
        <w:tc>
          <w:tcPr>
            <w:tcW w:w="562" w:type="dxa"/>
          </w:tcPr>
          <w:p w14:paraId="1444B35E" w14:textId="3C0ACD61" w:rsidR="003F5118" w:rsidRPr="006658EF" w:rsidRDefault="006658EF" w:rsidP="003F5118">
            <w:pPr>
              <w:pStyle w:val="TableText1"/>
              <w:jc w:val="center"/>
              <w:rPr>
                <w:rFonts w:cs="Arial"/>
                <w:sz w:val="20"/>
                <w:szCs w:val="20"/>
              </w:rPr>
            </w:pPr>
            <w:r w:rsidRPr="006658EF">
              <w:rPr>
                <w:rFonts w:cs="Arial"/>
                <w:sz w:val="20"/>
                <w:szCs w:val="20"/>
              </w:rPr>
              <w:t>30</w:t>
            </w:r>
          </w:p>
        </w:tc>
        <w:tc>
          <w:tcPr>
            <w:tcW w:w="1139" w:type="dxa"/>
          </w:tcPr>
          <w:p w14:paraId="2AA1E90D" w14:textId="33B1CD76" w:rsidR="003F5118" w:rsidRPr="00902CB1" w:rsidRDefault="003F5118" w:rsidP="003F5118">
            <w:pPr>
              <w:pStyle w:val="TableText1"/>
              <w:rPr>
                <w:rFonts w:cs="Arial"/>
                <w:color w:val="000000"/>
                <w:sz w:val="20"/>
                <w:szCs w:val="20"/>
              </w:rPr>
            </w:pPr>
            <w:r w:rsidRPr="00902CB1">
              <w:rPr>
                <w:rFonts w:cs="Arial"/>
                <w:color w:val="000000"/>
                <w:sz w:val="20"/>
                <w:szCs w:val="20"/>
              </w:rPr>
              <w:t>IND1</w:t>
            </w:r>
          </w:p>
        </w:tc>
        <w:tc>
          <w:tcPr>
            <w:tcW w:w="1985" w:type="dxa"/>
          </w:tcPr>
          <w:p w14:paraId="207671A4" w14:textId="6CC940C7" w:rsidR="003F5118" w:rsidRPr="00442BCE" w:rsidRDefault="003F5118" w:rsidP="003F5118">
            <w:pPr>
              <w:pStyle w:val="TableText1"/>
              <w:rPr>
                <w:rFonts w:cs="Arial"/>
                <w:b/>
                <w:sz w:val="20"/>
                <w:szCs w:val="20"/>
              </w:rPr>
            </w:pPr>
            <w:r w:rsidRPr="00442BCE">
              <w:rPr>
                <w:rFonts w:cs="Arial"/>
                <w:b/>
                <w:sz w:val="20"/>
                <w:szCs w:val="20"/>
              </w:rPr>
              <w:t>KSS AHSN Respiratory Programme</w:t>
            </w:r>
          </w:p>
        </w:tc>
        <w:tc>
          <w:tcPr>
            <w:tcW w:w="11198" w:type="dxa"/>
          </w:tcPr>
          <w:p w14:paraId="7AF252DA" w14:textId="7FC6FB1D" w:rsidR="003F5118" w:rsidRPr="00442BCE" w:rsidRDefault="003F5118" w:rsidP="003F5118">
            <w:pPr>
              <w:rPr>
                <w:rFonts w:ascii="Arial" w:hAnsi="Arial" w:cs="Arial"/>
                <w:sz w:val="20"/>
                <w:szCs w:val="20"/>
              </w:rPr>
            </w:pPr>
            <w:bookmarkStart w:id="40" w:name="_Hlk9244735"/>
            <w:r w:rsidRPr="0067271D">
              <w:rPr>
                <w:rFonts w:ascii="Arial" w:hAnsi="Arial" w:cs="Arial"/>
                <w:sz w:val="20"/>
                <w:szCs w:val="20"/>
              </w:rPr>
              <w:t xml:space="preserve">This is very welcome and will help support a holistic approach identifying patients who require services supporting multi- morbidity. Agree frailty is missing from these indicators and I would also like to see it added to the indicators </w:t>
            </w:r>
            <w:proofErr w:type="gramStart"/>
            <w:r w:rsidRPr="0067271D">
              <w:rPr>
                <w:rFonts w:ascii="Arial" w:hAnsi="Arial" w:cs="Arial"/>
                <w:sz w:val="20"/>
                <w:szCs w:val="20"/>
              </w:rPr>
              <w:t>in regards to</w:t>
            </w:r>
            <w:proofErr w:type="gramEnd"/>
            <w:r w:rsidRPr="0067271D">
              <w:rPr>
                <w:rFonts w:ascii="Arial" w:hAnsi="Arial" w:cs="Arial"/>
                <w:sz w:val="20"/>
                <w:szCs w:val="20"/>
              </w:rPr>
              <w:t xml:space="preserve"> COPD</w:t>
            </w:r>
            <w:bookmarkEnd w:id="40"/>
          </w:p>
        </w:tc>
      </w:tr>
      <w:tr w:rsidR="003F5118" w:rsidRPr="006375EE" w14:paraId="3FF4CCB4" w14:textId="77777777" w:rsidTr="0024650F">
        <w:trPr>
          <w:trHeight w:val="225"/>
        </w:trPr>
        <w:tc>
          <w:tcPr>
            <w:tcW w:w="562" w:type="dxa"/>
          </w:tcPr>
          <w:p w14:paraId="2C950555" w14:textId="136C5541" w:rsidR="003F5118" w:rsidRPr="006658EF" w:rsidRDefault="006658EF" w:rsidP="003F5118">
            <w:pPr>
              <w:pStyle w:val="TableText1"/>
              <w:jc w:val="center"/>
              <w:rPr>
                <w:rFonts w:cs="Arial"/>
                <w:sz w:val="20"/>
                <w:szCs w:val="20"/>
              </w:rPr>
            </w:pPr>
            <w:r w:rsidRPr="006658EF">
              <w:rPr>
                <w:rFonts w:cs="Arial"/>
                <w:sz w:val="20"/>
                <w:szCs w:val="20"/>
              </w:rPr>
              <w:t>31</w:t>
            </w:r>
          </w:p>
        </w:tc>
        <w:tc>
          <w:tcPr>
            <w:tcW w:w="1139" w:type="dxa"/>
          </w:tcPr>
          <w:p w14:paraId="6BFA4819" w14:textId="4723F1BF" w:rsidR="003F5118" w:rsidRPr="00902CB1" w:rsidRDefault="003F5118" w:rsidP="003F5118">
            <w:pPr>
              <w:pStyle w:val="TableText1"/>
              <w:rPr>
                <w:rFonts w:cs="Arial"/>
                <w:color w:val="000000"/>
                <w:sz w:val="20"/>
                <w:szCs w:val="20"/>
              </w:rPr>
            </w:pPr>
            <w:r w:rsidRPr="00902CB1">
              <w:rPr>
                <w:rFonts w:cs="Arial"/>
                <w:color w:val="000000"/>
                <w:sz w:val="20"/>
                <w:szCs w:val="20"/>
              </w:rPr>
              <w:t>IND1</w:t>
            </w:r>
          </w:p>
        </w:tc>
        <w:tc>
          <w:tcPr>
            <w:tcW w:w="1985" w:type="dxa"/>
          </w:tcPr>
          <w:p w14:paraId="7BACC616" w14:textId="0F9C8C3D" w:rsidR="003F5118" w:rsidRPr="00442BCE" w:rsidRDefault="003F5118" w:rsidP="003F5118">
            <w:pPr>
              <w:pStyle w:val="TableText1"/>
              <w:rPr>
                <w:rFonts w:cs="Arial"/>
                <w:b/>
                <w:sz w:val="20"/>
                <w:szCs w:val="20"/>
              </w:rPr>
            </w:pPr>
            <w:proofErr w:type="spellStart"/>
            <w:r w:rsidRPr="00442BCE">
              <w:rPr>
                <w:rFonts w:cs="Arial"/>
                <w:b/>
                <w:sz w:val="20"/>
                <w:szCs w:val="20"/>
              </w:rPr>
              <w:t>Leadgate</w:t>
            </w:r>
            <w:proofErr w:type="spellEnd"/>
            <w:r w:rsidRPr="00442BCE">
              <w:rPr>
                <w:rFonts w:cs="Arial"/>
                <w:b/>
                <w:sz w:val="20"/>
                <w:szCs w:val="20"/>
              </w:rPr>
              <w:t xml:space="preserve"> Surgery A83636</w:t>
            </w:r>
          </w:p>
        </w:tc>
        <w:tc>
          <w:tcPr>
            <w:tcW w:w="11198" w:type="dxa"/>
          </w:tcPr>
          <w:p w14:paraId="03BCA7A7" w14:textId="77777777" w:rsidR="003F5118" w:rsidRPr="00442BCE" w:rsidRDefault="003F5118" w:rsidP="003F5118">
            <w:pPr>
              <w:rPr>
                <w:rFonts w:ascii="Arial" w:hAnsi="Arial" w:cs="Arial"/>
                <w:sz w:val="20"/>
                <w:szCs w:val="20"/>
              </w:rPr>
            </w:pPr>
            <w:r w:rsidRPr="00442BCE">
              <w:rPr>
                <w:rFonts w:ascii="Arial" w:hAnsi="Arial" w:cs="Arial"/>
                <w:sz w:val="20"/>
                <w:szCs w:val="20"/>
              </w:rPr>
              <w:t xml:space="preserve">Great care needs to be exercised with this indicator.  We need to ensure there is good evidence to support the approach recommended. </w:t>
            </w:r>
            <w:bookmarkStart w:id="41" w:name="_Hlk9244786"/>
            <w:r w:rsidRPr="00442BCE">
              <w:rPr>
                <w:rFonts w:ascii="Arial" w:hAnsi="Arial" w:cs="Arial"/>
                <w:sz w:val="20"/>
                <w:szCs w:val="20"/>
              </w:rPr>
              <w:t>There is a risk that poor implementation of a strategy with very little evidence to support it, will lead to similar problems seen with the disastrous implementation of the frailty elements of the GMS contract – where vast numbers of patients were incorrectly coded with frailty, or incorrect frailty severity.</w:t>
            </w:r>
          </w:p>
          <w:p w14:paraId="77785A93" w14:textId="77777777" w:rsidR="003F5118" w:rsidRPr="00442BCE" w:rsidRDefault="003F5118" w:rsidP="003F5118">
            <w:pPr>
              <w:rPr>
                <w:rFonts w:ascii="Arial" w:hAnsi="Arial" w:cs="Arial"/>
                <w:sz w:val="20"/>
                <w:szCs w:val="20"/>
              </w:rPr>
            </w:pPr>
            <w:r w:rsidRPr="00442BCE">
              <w:rPr>
                <w:rFonts w:ascii="Arial" w:hAnsi="Arial" w:cs="Arial"/>
                <w:sz w:val="20"/>
                <w:szCs w:val="20"/>
              </w:rPr>
              <w:t xml:space="preserve">The proposed ‘scoring system’ would identify extremely large numbers of patients.  In a sample of 160K patients in North Durham, 4.3% of all patients, and 7% of all adults would be identified as having multimorbidity by your scoring system.  We would need </w:t>
            </w:r>
            <w:proofErr w:type="gramStart"/>
            <w:r w:rsidRPr="00442BCE">
              <w:rPr>
                <w:rFonts w:ascii="Arial" w:hAnsi="Arial" w:cs="Arial"/>
                <w:sz w:val="20"/>
                <w:szCs w:val="20"/>
              </w:rPr>
              <w:t>really good</w:t>
            </w:r>
            <w:proofErr w:type="gramEnd"/>
            <w:r w:rsidRPr="00442BCE">
              <w:rPr>
                <w:rFonts w:ascii="Arial" w:hAnsi="Arial" w:cs="Arial"/>
                <w:sz w:val="20"/>
                <w:szCs w:val="20"/>
              </w:rPr>
              <w:t xml:space="preserve"> evidence that the proposed (complex sounding) intervention aimed at such a large proportion of the population was clinically effective, evidence based and cost effective.  It is likely the opportunity cost of this intervention will be very large.</w:t>
            </w:r>
          </w:p>
          <w:p w14:paraId="5F37C059" w14:textId="77777777" w:rsidR="003F5118" w:rsidRPr="00442BCE" w:rsidRDefault="003F5118" w:rsidP="003F5118">
            <w:pPr>
              <w:rPr>
                <w:rFonts w:ascii="Arial" w:hAnsi="Arial" w:cs="Arial"/>
                <w:sz w:val="20"/>
                <w:szCs w:val="20"/>
              </w:rPr>
            </w:pPr>
            <w:r w:rsidRPr="00442BCE">
              <w:rPr>
                <w:rFonts w:ascii="Arial" w:hAnsi="Arial" w:cs="Arial"/>
                <w:sz w:val="20"/>
                <w:szCs w:val="20"/>
              </w:rPr>
              <w:lastRenderedPageBreak/>
              <w:t>It is likely there will be a significant overlap with frailty diagnosis leading to the risk of multiple, overlapping, wasteful interventions and hassle for patients unless careful thought is given to this.  In a smaller sample, 37% of people in the multimorbidity cohort have a diagnosis of frailty.</w:t>
            </w:r>
          </w:p>
          <w:p w14:paraId="2E38467C" w14:textId="78DAF56A" w:rsidR="003F5118" w:rsidRPr="00442BCE" w:rsidRDefault="003F5118" w:rsidP="003F5118">
            <w:pPr>
              <w:rPr>
                <w:rFonts w:ascii="Arial" w:hAnsi="Arial" w:cs="Arial"/>
                <w:sz w:val="20"/>
                <w:szCs w:val="20"/>
              </w:rPr>
            </w:pPr>
            <w:r w:rsidRPr="0067271D">
              <w:rPr>
                <w:rFonts w:ascii="Arial" w:hAnsi="Arial" w:cs="Arial"/>
                <w:sz w:val="20"/>
                <w:szCs w:val="20"/>
              </w:rPr>
              <w:t xml:space="preserve">There are </w:t>
            </w:r>
            <w:proofErr w:type="gramStart"/>
            <w:r w:rsidRPr="0067271D">
              <w:rPr>
                <w:rFonts w:ascii="Arial" w:hAnsi="Arial" w:cs="Arial"/>
                <w:sz w:val="20"/>
                <w:szCs w:val="20"/>
              </w:rPr>
              <w:t>particular problems</w:t>
            </w:r>
            <w:proofErr w:type="gramEnd"/>
            <w:r w:rsidRPr="0067271D">
              <w:rPr>
                <w:rFonts w:ascii="Arial" w:hAnsi="Arial" w:cs="Arial"/>
                <w:sz w:val="20"/>
                <w:szCs w:val="20"/>
              </w:rPr>
              <w:t xml:space="preserve"> with the mental health element of the indicator.  Unlikely most of the indicators, many of the patients with mental health conditions will have had transient health problems, often many decades previously.  This part of the scoring system is likely to identify many patients who do not have a current mental health </w:t>
            </w:r>
            <w:proofErr w:type="gramStart"/>
            <w:r w:rsidRPr="0067271D">
              <w:rPr>
                <w:rFonts w:ascii="Arial" w:hAnsi="Arial" w:cs="Arial"/>
                <w:sz w:val="20"/>
                <w:szCs w:val="20"/>
              </w:rPr>
              <w:t>problems</w:t>
            </w:r>
            <w:proofErr w:type="gramEnd"/>
            <w:r w:rsidRPr="0067271D">
              <w:rPr>
                <w:rFonts w:ascii="Arial" w:hAnsi="Arial" w:cs="Arial"/>
                <w:sz w:val="20"/>
                <w:szCs w:val="20"/>
              </w:rPr>
              <w:t>.</w:t>
            </w:r>
            <w:bookmarkEnd w:id="41"/>
          </w:p>
        </w:tc>
      </w:tr>
      <w:tr w:rsidR="003F5118" w:rsidRPr="006375EE" w14:paraId="6371F03D" w14:textId="77777777" w:rsidTr="0024650F">
        <w:trPr>
          <w:trHeight w:val="225"/>
        </w:trPr>
        <w:tc>
          <w:tcPr>
            <w:tcW w:w="562" w:type="dxa"/>
          </w:tcPr>
          <w:p w14:paraId="0D721840" w14:textId="6DDB41DE" w:rsidR="003F5118" w:rsidRPr="006658EF" w:rsidRDefault="006658EF" w:rsidP="003F5118">
            <w:pPr>
              <w:pStyle w:val="TableText1"/>
              <w:jc w:val="center"/>
              <w:rPr>
                <w:rFonts w:cs="Arial"/>
                <w:sz w:val="20"/>
                <w:szCs w:val="20"/>
              </w:rPr>
            </w:pPr>
            <w:r w:rsidRPr="006658EF">
              <w:rPr>
                <w:rFonts w:cs="Arial"/>
                <w:sz w:val="20"/>
                <w:szCs w:val="20"/>
              </w:rPr>
              <w:lastRenderedPageBreak/>
              <w:t>32</w:t>
            </w:r>
          </w:p>
        </w:tc>
        <w:tc>
          <w:tcPr>
            <w:tcW w:w="1139" w:type="dxa"/>
          </w:tcPr>
          <w:p w14:paraId="6D18F982" w14:textId="48FE09F9" w:rsidR="003F5118" w:rsidRPr="00902CB1" w:rsidRDefault="003F5118" w:rsidP="003F5118">
            <w:pPr>
              <w:pStyle w:val="TableText1"/>
              <w:rPr>
                <w:rFonts w:cs="Arial"/>
                <w:color w:val="000000"/>
                <w:sz w:val="20"/>
                <w:szCs w:val="20"/>
              </w:rPr>
            </w:pPr>
            <w:r w:rsidRPr="00902CB1">
              <w:rPr>
                <w:rFonts w:cs="Arial"/>
                <w:color w:val="000000"/>
                <w:sz w:val="20"/>
                <w:szCs w:val="20"/>
              </w:rPr>
              <w:t>IND1</w:t>
            </w:r>
          </w:p>
        </w:tc>
        <w:tc>
          <w:tcPr>
            <w:tcW w:w="1985" w:type="dxa"/>
          </w:tcPr>
          <w:p w14:paraId="7228DB26" w14:textId="33E4BA42" w:rsidR="003F5118" w:rsidRPr="00442BCE" w:rsidRDefault="003F5118" w:rsidP="003F5118">
            <w:pPr>
              <w:pStyle w:val="TableText1"/>
              <w:rPr>
                <w:rFonts w:cs="Arial"/>
                <w:b/>
                <w:sz w:val="20"/>
                <w:szCs w:val="20"/>
              </w:rPr>
            </w:pPr>
            <w:r w:rsidRPr="00442BCE">
              <w:rPr>
                <w:rFonts w:cs="Arial"/>
                <w:b/>
                <w:sz w:val="20"/>
                <w:szCs w:val="20"/>
              </w:rPr>
              <w:t>National Pharmaceutical Advisers Group (PAG)</w:t>
            </w:r>
          </w:p>
        </w:tc>
        <w:tc>
          <w:tcPr>
            <w:tcW w:w="11198" w:type="dxa"/>
          </w:tcPr>
          <w:p w14:paraId="246C2270" w14:textId="11208FC5" w:rsidR="003F5118" w:rsidRPr="00442BCE" w:rsidRDefault="003F5118" w:rsidP="003F5118">
            <w:pPr>
              <w:rPr>
                <w:rFonts w:ascii="Arial" w:hAnsi="Arial" w:cs="Arial"/>
                <w:sz w:val="20"/>
                <w:szCs w:val="20"/>
              </w:rPr>
            </w:pPr>
            <w:bookmarkStart w:id="42" w:name="_Hlk9245133"/>
            <w:r w:rsidRPr="0067271D">
              <w:rPr>
                <w:rFonts w:ascii="Arial" w:hAnsi="Arial" w:cs="Arial"/>
                <w:sz w:val="20"/>
                <w:szCs w:val="20"/>
              </w:rPr>
              <w:t xml:space="preserve">Agree but consideration to any existing frailty or multimorbidity indicators if they already exist in </w:t>
            </w:r>
            <w:proofErr w:type="spellStart"/>
            <w:r w:rsidRPr="0067271D">
              <w:rPr>
                <w:rFonts w:ascii="Arial" w:hAnsi="Arial" w:cs="Arial"/>
                <w:sz w:val="20"/>
                <w:szCs w:val="20"/>
              </w:rPr>
              <w:t>QoF</w:t>
            </w:r>
            <w:proofErr w:type="spellEnd"/>
            <w:r w:rsidRPr="0067271D">
              <w:rPr>
                <w:rFonts w:ascii="Arial" w:hAnsi="Arial" w:cs="Arial"/>
                <w:sz w:val="20"/>
                <w:szCs w:val="20"/>
              </w:rPr>
              <w:t xml:space="preserve"> however these may be more sensitive than exiting indicators.</w:t>
            </w:r>
            <w:bookmarkEnd w:id="42"/>
          </w:p>
        </w:tc>
      </w:tr>
      <w:tr w:rsidR="003F5118" w:rsidRPr="006375EE" w14:paraId="37039CBD" w14:textId="77777777" w:rsidTr="0024650F">
        <w:trPr>
          <w:trHeight w:val="225"/>
        </w:trPr>
        <w:tc>
          <w:tcPr>
            <w:tcW w:w="562" w:type="dxa"/>
          </w:tcPr>
          <w:p w14:paraId="7B371772" w14:textId="7796412E" w:rsidR="003F5118" w:rsidRPr="006658EF" w:rsidRDefault="006658EF" w:rsidP="003F5118">
            <w:pPr>
              <w:pStyle w:val="TableText1"/>
              <w:jc w:val="center"/>
              <w:rPr>
                <w:rFonts w:cs="Arial"/>
                <w:sz w:val="20"/>
                <w:szCs w:val="20"/>
              </w:rPr>
            </w:pPr>
            <w:r w:rsidRPr="006658EF">
              <w:rPr>
                <w:rFonts w:cs="Arial"/>
                <w:sz w:val="20"/>
                <w:szCs w:val="20"/>
              </w:rPr>
              <w:t>33</w:t>
            </w:r>
          </w:p>
        </w:tc>
        <w:tc>
          <w:tcPr>
            <w:tcW w:w="1139" w:type="dxa"/>
          </w:tcPr>
          <w:p w14:paraId="0B8B6E72" w14:textId="1ADA6A04" w:rsidR="003F5118" w:rsidRPr="00902CB1" w:rsidRDefault="003F5118" w:rsidP="003F5118">
            <w:pPr>
              <w:pStyle w:val="TableText1"/>
              <w:rPr>
                <w:rFonts w:cs="Arial"/>
                <w:color w:val="000000"/>
                <w:sz w:val="20"/>
                <w:szCs w:val="20"/>
              </w:rPr>
            </w:pPr>
            <w:r w:rsidRPr="00902CB1">
              <w:rPr>
                <w:rFonts w:cs="Arial"/>
                <w:color w:val="000000"/>
                <w:sz w:val="20"/>
                <w:szCs w:val="20"/>
              </w:rPr>
              <w:t>IND1</w:t>
            </w:r>
          </w:p>
        </w:tc>
        <w:tc>
          <w:tcPr>
            <w:tcW w:w="1985" w:type="dxa"/>
          </w:tcPr>
          <w:p w14:paraId="7F18D2F8" w14:textId="2C624448" w:rsidR="003F5118" w:rsidRPr="00442BCE" w:rsidRDefault="003F5118" w:rsidP="003F5118">
            <w:pPr>
              <w:pStyle w:val="TableText1"/>
              <w:rPr>
                <w:rFonts w:cs="Arial"/>
                <w:b/>
                <w:sz w:val="20"/>
                <w:szCs w:val="20"/>
              </w:rPr>
            </w:pPr>
            <w:r w:rsidRPr="00442BCE">
              <w:rPr>
                <w:rFonts w:cs="Arial"/>
                <w:b/>
                <w:sz w:val="20"/>
                <w:szCs w:val="20"/>
              </w:rPr>
              <w:t>Parkinson’s UK</w:t>
            </w:r>
          </w:p>
        </w:tc>
        <w:tc>
          <w:tcPr>
            <w:tcW w:w="11198" w:type="dxa"/>
          </w:tcPr>
          <w:p w14:paraId="76625FD6" w14:textId="50E24C9B" w:rsidR="003F5118" w:rsidRPr="00442BCE" w:rsidRDefault="003F5118" w:rsidP="003F5118">
            <w:pPr>
              <w:rPr>
                <w:rFonts w:cs="Arial"/>
                <w:sz w:val="20"/>
                <w:szCs w:val="20"/>
              </w:rPr>
            </w:pPr>
            <w:r w:rsidRPr="00266B6F">
              <w:rPr>
                <w:rFonts w:ascii="Arial" w:hAnsi="Arial" w:cs="Arial"/>
                <w:sz w:val="20"/>
                <w:szCs w:val="20"/>
              </w:rPr>
              <w:t xml:space="preserve">We welcome the addition of a multi-morbidity register as a NICE indicator to the quality outcomes framework. However, it is unclear what a ‘tailored approach to care’ would mean in practice, for example would it mean having a care plan put in place, longer GP appointments for those on the register or more regular reviews etc. We recommend more specificity or guidance on the meaning of ‘a tailored approach to care’ because there is a risk that people placed on this register do not actually experience improvements in care as a result of being on the register.  For </w:t>
            </w:r>
            <w:proofErr w:type="gramStart"/>
            <w:r w:rsidRPr="00266B6F">
              <w:rPr>
                <w:rFonts w:ascii="Arial" w:hAnsi="Arial" w:cs="Arial"/>
                <w:sz w:val="20"/>
                <w:szCs w:val="20"/>
              </w:rPr>
              <w:t>example</w:t>
            </w:r>
            <w:proofErr w:type="gramEnd"/>
            <w:r w:rsidRPr="00266B6F">
              <w:rPr>
                <w:rFonts w:ascii="Arial" w:hAnsi="Arial" w:cs="Arial"/>
                <w:sz w:val="20"/>
                <w:szCs w:val="20"/>
              </w:rPr>
              <w:t xml:space="preserve"> to follow the NICE Multimorbidity: clinical assessment and management (NG56) 1.6.17 agreeing the individualised management plan.</w:t>
            </w:r>
          </w:p>
        </w:tc>
      </w:tr>
      <w:tr w:rsidR="003F5118" w:rsidRPr="006375EE" w14:paraId="427D6443" w14:textId="77777777" w:rsidTr="0024650F">
        <w:trPr>
          <w:trHeight w:val="225"/>
        </w:trPr>
        <w:tc>
          <w:tcPr>
            <w:tcW w:w="562" w:type="dxa"/>
          </w:tcPr>
          <w:p w14:paraId="1902A302" w14:textId="3848D38B" w:rsidR="003F5118" w:rsidRPr="006658EF" w:rsidRDefault="006658EF" w:rsidP="003F5118">
            <w:pPr>
              <w:pStyle w:val="TableText1"/>
              <w:jc w:val="center"/>
              <w:rPr>
                <w:rFonts w:cs="Arial"/>
                <w:sz w:val="20"/>
                <w:szCs w:val="20"/>
              </w:rPr>
            </w:pPr>
            <w:r w:rsidRPr="006658EF">
              <w:rPr>
                <w:rFonts w:cs="Arial"/>
                <w:sz w:val="20"/>
                <w:szCs w:val="20"/>
              </w:rPr>
              <w:t>34</w:t>
            </w:r>
          </w:p>
        </w:tc>
        <w:tc>
          <w:tcPr>
            <w:tcW w:w="1139" w:type="dxa"/>
          </w:tcPr>
          <w:p w14:paraId="15343302" w14:textId="54964BED" w:rsidR="003F5118" w:rsidRPr="00902CB1" w:rsidRDefault="003F5118" w:rsidP="003F5118">
            <w:pPr>
              <w:pStyle w:val="TableText1"/>
              <w:rPr>
                <w:rFonts w:cs="Arial"/>
                <w:color w:val="000000"/>
                <w:sz w:val="20"/>
                <w:szCs w:val="20"/>
              </w:rPr>
            </w:pPr>
            <w:r w:rsidRPr="00902CB1">
              <w:rPr>
                <w:rFonts w:cs="Arial"/>
                <w:color w:val="000000"/>
                <w:sz w:val="20"/>
                <w:szCs w:val="20"/>
              </w:rPr>
              <w:t>IND1</w:t>
            </w:r>
          </w:p>
        </w:tc>
        <w:tc>
          <w:tcPr>
            <w:tcW w:w="1985" w:type="dxa"/>
          </w:tcPr>
          <w:p w14:paraId="0E959ECF" w14:textId="1AF507B6" w:rsidR="003F5118" w:rsidRPr="00442BCE" w:rsidRDefault="003F5118" w:rsidP="003F5118">
            <w:pPr>
              <w:pStyle w:val="TableText1"/>
              <w:rPr>
                <w:rFonts w:cs="Arial"/>
                <w:b/>
                <w:sz w:val="20"/>
                <w:szCs w:val="20"/>
              </w:rPr>
            </w:pPr>
            <w:r w:rsidRPr="00442BCE">
              <w:rPr>
                <w:rFonts w:cs="Arial"/>
                <w:b/>
                <w:sz w:val="20"/>
                <w:szCs w:val="20"/>
              </w:rPr>
              <w:t>Parkinson’s UK</w:t>
            </w:r>
          </w:p>
        </w:tc>
        <w:tc>
          <w:tcPr>
            <w:tcW w:w="11198" w:type="dxa"/>
          </w:tcPr>
          <w:p w14:paraId="45358CC3" w14:textId="77777777" w:rsidR="003F5118" w:rsidRPr="00266B6F" w:rsidRDefault="003F5118" w:rsidP="003F5118">
            <w:pPr>
              <w:rPr>
                <w:rFonts w:ascii="Arial" w:hAnsi="Arial" w:cs="Arial"/>
                <w:sz w:val="20"/>
                <w:szCs w:val="20"/>
              </w:rPr>
            </w:pPr>
            <w:r w:rsidRPr="00266B6F">
              <w:rPr>
                <w:rFonts w:ascii="Arial" w:hAnsi="Arial" w:cs="Arial"/>
                <w:sz w:val="20"/>
                <w:szCs w:val="20"/>
              </w:rPr>
              <w:t>We recommend that when the multi-morbidity register is added to the Quality Outcomes Framework that data on the prevalence of the different conditions are published at GP practice and Clinical Commissioning Group level, so for examples we could see how many people with Parkinson’s also have psychiatric or psychological comorbidities. Improved availability of data would aid the design of services for people with multiple and complex needs (All-Party Parliamentary Group on Parkinson’s (2018) ‘Mental health matters too - Improving mental health services for</w:t>
            </w:r>
          </w:p>
          <w:p w14:paraId="1CFA1ED4" w14:textId="3265DECC" w:rsidR="003F5118" w:rsidRPr="00442BCE" w:rsidRDefault="003F5118" w:rsidP="003F5118">
            <w:pPr>
              <w:rPr>
                <w:rFonts w:cs="Arial"/>
                <w:sz w:val="20"/>
                <w:szCs w:val="20"/>
              </w:rPr>
            </w:pPr>
            <w:r w:rsidRPr="00266B6F">
              <w:rPr>
                <w:rFonts w:ascii="Arial" w:hAnsi="Arial" w:cs="Arial"/>
                <w:sz w:val="20"/>
                <w:szCs w:val="20"/>
              </w:rPr>
              <w:t>people with Parkinson’s who experience anxiety and depression).</w:t>
            </w:r>
          </w:p>
        </w:tc>
      </w:tr>
      <w:tr w:rsidR="003F5118" w:rsidRPr="006375EE" w14:paraId="02E2DACB" w14:textId="77777777" w:rsidTr="0024650F">
        <w:trPr>
          <w:trHeight w:val="225"/>
        </w:trPr>
        <w:tc>
          <w:tcPr>
            <w:tcW w:w="562" w:type="dxa"/>
          </w:tcPr>
          <w:p w14:paraId="2D6CE12C" w14:textId="58F62C37" w:rsidR="003F5118" w:rsidRPr="006658EF" w:rsidRDefault="006658EF" w:rsidP="003F5118">
            <w:pPr>
              <w:pStyle w:val="TableText1"/>
              <w:jc w:val="center"/>
              <w:rPr>
                <w:rFonts w:cs="Arial"/>
                <w:sz w:val="20"/>
                <w:szCs w:val="20"/>
              </w:rPr>
            </w:pPr>
            <w:r w:rsidRPr="006658EF">
              <w:rPr>
                <w:rFonts w:cs="Arial"/>
                <w:sz w:val="20"/>
                <w:szCs w:val="20"/>
              </w:rPr>
              <w:t>35</w:t>
            </w:r>
          </w:p>
        </w:tc>
        <w:tc>
          <w:tcPr>
            <w:tcW w:w="1139" w:type="dxa"/>
          </w:tcPr>
          <w:p w14:paraId="4507102E" w14:textId="54D16A46" w:rsidR="003F5118" w:rsidRPr="00902CB1" w:rsidRDefault="003F5118" w:rsidP="003F5118">
            <w:pPr>
              <w:pStyle w:val="TableText1"/>
              <w:rPr>
                <w:rFonts w:cs="Arial"/>
                <w:color w:val="000000"/>
                <w:sz w:val="20"/>
                <w:szCs w:val="20"/>
              </w:rPr>
            </w:pPr>
            <w:r w:rsidRPr="00902CB1">
              <w:rPr>
                <w:rFonts w:cs="Arial"/>
                <w:color w:val="000000"/>
                <w:sz w:val="20"/>
                <w:szCs w:val="20"/>
              </w:rPr>
              <w:t>IND1</w:t>
            </w:r>
          </w:p>
        </w:tc>
        <w:tc>
          <w:tcPr>
            <w:tcW w:w="1985" w:type="dxa"/>
          </w:tcPr>
          <w:p w14:paraId="3B047B38" w14:textId="29383AA8" w:rsidR="003F5118" w:rsidRPr="00442BCE" w:rsidRDefault="003F5118" w:rsidP="003F5118">
            <w:pPr>
              <w:pStyle w:val="TableText1"/>
              <w:rPr>
                <w:rFonts w:cs="Arial"/>
                <w:b/>
                <w:sz w:val="20"/>
                <w:szCs w:val="20"/>
              </w:rPr>
            </w:pPr>
            <w:proofErr w:type="spellStart"/>
            <w:r w:rsidRPr="00442BCE">
              <w:rPr>
                <w:rFonts w:cs="Arial"/>
                <w:b/>
                <w:sz w:val="20"/>
                <w:szCs w:val="20"/>
              </w:rPr>
              <w:t>Perspectum</w:t>
            </w:r>
            <w:proofErr w:type="spellEnd"/>
            <w:r w:rsidRPr="00442BCE">
              <w:rPr>
                <w:rFonts w:cs="Arial"/>
                <w:b/>
                <w:sz w:val="20"/>
                <w:szCs w:val="20"/>
              </w:rPr>
              <w:t>® Diagnostics</w:t>
            </w:r>
          </w:p>
        </w:tc>
        <w:tc>
          <w:tcPr>
            <w:tcW w:w="11198" w:type="dxa"/>
          </w:tcPr>
          <w:p w14:paraId="6D2F1173" w14:textId="77777777" w:rsidR="003F5118" w:rsidRPr="00442BCE" w:rsidRDefault="003F5118" w:rsidP="003F5118">
            <w:pPr>
              <w:jc w:val="both"/>
              <w:rPr>
                <w:rFonts w:ascii="Arial" w:hAnsi="Arial" w:cs="Arial"/>
                <w:sz w:val="20"/>
                <w:szCs w:val="20"/>
              </w:rPr>
            </w:pPr>
            <w:r w:rsidRPr="00442BCE">
              <w:rPr>
                <w:rFonts w:ascii="Arial" w:eastAsiaTheme="minorHAnsi" w:hAnsi="Arial" w:cs="Arial"/>
                <w:sz w:val="20"/>
                <w:szCs w:val="20"/>
              </w:rPr>
              <w:t>We identify that there is potential for a differential impact of the multimorbidity indicator with respect to age and gender in patients that have comorbidities in cardiovascular and liver conditions. Recent publications based on m</w:t>
            </w:r>
            <w:r w:rsidRPr="00442BCE">
              <w:rPr>
                <w:rFonts w:ascii="Arial" w:hAnsi="Arial" w:cs="Arial"/>
                <w:sz w:val="20"/>
                <w:szCs w:val="20"/>
              </w:rPr>
              <w:t xml:space="preserve">agnetic resonance imaging (MRI) metrics support this. </w:t>
            </w:r>
          </w:p>
          <w:p w14:paraId="41BD617D" w14:textId="77777777" w:rsidR="003F5118" w:rsidRPr="00442BCE" w:rsidRDefault="003F5118" w:rsidP="003F5118">
            <w:pPr>
              <w:jc w:val="both"/>
              <w:rPr>
                <w:rFonts w:ascii="Arial" w:hAnsi="Arial" w:cs="Arial"/>
                <w:sz w:val="20"/>
                <w:szCs w:val="20"/>
                <w:u w:val="single"/>
              </w:rPr>
            </w:pPr>
          </w:p>
          <w:p w14:paraId="1951C3DE" w14:textId="77777777" w:rsidR="003F5118" w:rsidRPr="00442BCE" w:rsidRDefault="003F5118" w:rsidP="003F5118">
            <w:pPr>
              <w:jc w:val="both"/>
              <w:rPr>
                <w:rFonts w:ascii="Arial" w:hAnsi="Arial" w:cs="Arial"/>
                <w:sz w:val="20"/>
                <w:szCs w:val="20"/>
              </w:rPr>
            </w:pPr>
            <w:r w:rsidRPr="00442BCE">
              <w:rPr>
                <w:rFonts w:ascii="Arial" w:hAnsi="Arial" w:cs="Arial"/>
                <w:sz w:val="20"/>
                <w:szCs w:val="20"/>
              </w:rPr>
              <w:t>Arterial wall thickening is an early sign of atherosclerosis</w:t>
            </w:r>
            <w:r w:rsidRPr="00442BCE">
              <w:rPr>
                <w:rFonts w:ascii="Arial" w:hAnsi="Arial" w:cs="Arial"/>
                <w:sz w:val="20"/>
                <w:szCs w:val="20"/>
                <w:vertAlign w:val="superscript"/>
              </w:rPr>
              <w:t xml:space="preserve">1,2 </w:t>
            </w:r>
            <w:r w:rsidRPr="00442BCE">
              <w:rPr>
                <w:rFonts w:ascii="Arial" w:hAnsi="Arial" w:cs="Arial"/>
                <w:sz w:val="20"/>
                <w:szCs w:val="20"/>
              </w:rPr>
              <w:t>and is associated with the prevalence and incidence of cardiovascular disease</w:t>
            </w:r>
            <w:r w:rsidRPr="00442BCE">
              <w:rPr>
                <w:rFonts w:ascii="Arial" w:hAnsi="Arial" w:cs="Arial"/>
                <w:sz w:val="20"/>
                <w:szCs w:val="20"/>
                <w:vertAlign w:val="superscript"/>
              </w:rPr>
              <w:t>3</w:t>
            </w:r>
            <w:r w:rsidRPr="00442BCE">
              <w:rPr>
                <w:rFonts w:ascii="Arial" w:hAnsi="Arial" w:cs="Arial"/>
                <w:sz w:val="20"/>
                <w:szCs w:val="20"/>
              </w:rPr>
              <w:t>. Age-related and gender-related differences in arterial wall thickening have been reported in several cross-sectional community-based studies</w:t>
            </w:r>
            <w:r w:rsidRPr="00442BCE">
              <w:rPr>
                <w:rFonts w:ascii="Arial" w:hAnsi="Arial" w:cs="Arial"/>
                <w:sz w:val="20"/>
                <w:szCs w:val="20"/>
                <w:vertAlign w:val="superscript"/>
              </w:rPr>
              <w:t xml:space="preserve">4-7, </w:t>
            </w:r>
            <w:r w:rsidRPr="00442BCE">
              <w:rPr>
                <w:rFonts w:ascii="Arial" w:hAnsi="Arial" w:cs="Arial"/>
                <w:sz w:val="20"/>
                <w:szCs w:val="20"/>
              </w:rPr>
              <w:t>so that increasing age and female gender is associated with reduced</w:t>
            </w:r>
            <w:r w:rsidRPr="00442BCE">
              <w:rPr>
                <w:rFonts w:ascii="Arial" w:hAnsi="Arial" w:cs="Arial"/>
                <w:sz w:val="20"/>
                <w:szCs w:val="20"/>
                <w:vertAlign w:val="superscript"/>
              </w:rPr>
              <w:t xml:space="preserve"> </w:t>
            </w:r>
            <w:r w:rsidRPr="00442BCE">
              <w:rPr>
                <w:rFonts w:ascii="Arial" w:hAnsi="Arial" w:cs="Arial"/>
                <w:sz w:val="20"/>
                <w:szCs w:val="20"/>
              </w:rPr>
              <w:t>cardiac function. These have been based on cardiac MRI quantitative metrics (arterial wall thickness and pulse wave velocity) as well as clinical outcome and demographic data.</w:t>
            </w:r>
          </w:p>
          <w:p w14:paraId="70D3CBC0" w14:textId="77777777" w:rsidR="003F5118" w:rsidRPr="00442BCE" w:rsidRDefault="003F5118" w:rsidP="003F5118">
            <w:pPr>
              <w:jc w:val="both"/>
              <w:rPr>
                <w:rFonts w:ascii="Arial" w:hAnsi="Arial" w:cs="Arial"/>
                <w:sz w:val="20"/>
                <w:szCs w:val="20"/>
              </w:rPr>
            </w:pPr>
          </w:p>
          <w:p w14:paraId="083C761F" w14:textId="77777777" w:rsidR="003F5118" w:rsidRPr="00442BCE" w:rsidRDefault="003F5118" w:rsidP="003F5118">
            <w:pPr>
              <w:jc w:val="both"/>
              <w:rPr>
                <w:rFonts w:ascii="Arial" w:hAnsi="Arial" w:cs="Arial"/>
                <w:sz w:val="20"/>
                <w:szCs w:val="20"/>
              </w:rPr>
            </w:pPr>
            <w:r w:rsidRPr="00442BCE">
              <w:rPr>
                <w:rFonts w:ascii="Arial" w:hAnsi="Arial" w:cs="Arial"/>
                <w:sz w:val="20"/>
                <w:szCs w:val="20"/>
              </w:rPr>
              <w:t>Increased liver steatosis is associated with increasing age as identified in a large ongoing general based population study in the UK (n= 4775, based on MRI metric PDFF adopted in AASLD guidelines). Females (median 1.76%, IQR 1.14–3.54) had significantly lower liver fat than males (median 2.58%, IQR 1.48–5.47) (one-sided K-S test, p = 10−34)</w:t>
            </w:r>
            <w:r w:rsidRPr="00442BCE">
              <w:rPr>
                <w:rFonts w:ascii="Arial" w:hAnsi="Arial" w:cs="Arial"/>
                <w:sz w:val="20"/>
                <w:szCs w:val="20"/>
                <w:vertAlign w:val="superscript"/>
              </w:rPr>
              <w:t>8</w:t>
            </w:r>
            <w:r w:rsidRPr="00442BCE">
              <w:rPr>
                <w:rFonts w:ascii="Arial" w:hAnsi="Arial" w:cs="Arial"/>
                <w:sz w:val="20"/>
                <w:szCs w:val="20"/>
              </w:rPr>
              <w:t>. There was an increase in liver fat with age, although this was more strongly present in the female participants than the males</w:t>
            </w:r>
            <w:r w:rsidRPr="00442BCE">
              <w:rPr>
                <w:rFonts w:ascii="Arial" w:hAnsi="Arial" w:cs="Arial"/>
                <w:sz w:val="20"/>
                <w:szCs w:val="20"/>
                <w:vertAlign w:val="superscript"/>
              </w:rPr>
              <w:t>8</w:t>
            </w:r>
            <w:r w:rsidRPr="00442BCE">
              <w:rPr>
                <w:rFonts w:ascii="Arial" w:hAnsi="Arial" w:cs="Arial"/>
                <w:sz w:val="20"/>
                <w:szCs w:val="20"/>
              </w:rPr>
              <w:t xml:space="preserve">. In terms of liver </w:t>
            </w:r>
            <w:proofErr w:type="spellStart"/>
            <w:r w:rsidRPr="00442BCE">
              <w:rPr>
                <w:rFonts w:ascii="Arial" w:hAnsi="Arial" w:cs="Arial"/>
                <w:sz w:val="20"/>
                <w:szCs w:val="20"/>
              </w:rPr>
              <w:t>fibroinflammation</w:t>
            </w:r>
            <w:proofErr w:type="spellEnd"/>
            <w:r w:rsidRPr="00442BCE">
              <w:rPr>
                <w:rFonts w:ascii="Arial" w:hAnsi="Arial" w:cs="Arial"/>
                <w:sz w:val="20"/>
                <w:szCs w:val="20"/>
              </w:rPr>
              <w:t xml:space="preserve"> among women, a highly significant, though numerically small difference between the ages of 40–49 years and 60–69 years has been observed, suggesting a lower risk for older women</w:t>
            </w:r>
            <w:r w:rsidRPr="00442BCE">
              <w:rPr>
                <w:rFonts w:ascii="Arial" w:hAnsi="Arial" w:cs="Arial"/>
                <w:sz w:val="20"/>
                <w:szCs w:val="20"/>
                <w:vertAlign w:val="superscript"/>
              </w:rPr>
              <w:t>9</w:t>
            </w:r>
            <w:r w:rsidRPr="00442BCE">
              <w:rPr>
                <w:rFonts w:ascii="Arial" w:hAnsi="Arial" w:cs="Arial"/>
                <w:sz w:val="20"/>
                <w:szCs w:val="20"/>
              </w:rPr>
              <w:t xml:space="preserve">. Elevated liver iron has been shown to be </w:t>
            </w:r>
            <w:r w:rsidRPr="00442BCE">
              <w:rPr>
                <w:rFonts w:ascii="Arial" w:hAnsi="Arial" w:cs="Arial"/>
                <w:sz w:val="20"/>
                <w:szCs w:val="20"/>
              </w:rPr>
              <w:lastRenderedPageBreak/>
              <w:t>related to male sex (p&lt;10−16, r2 = 0.008), increasing age (p&lt;10−16, r2 = 0.013 in the same study (based on MRI metric T2*)</w:t>
            </w:r>
            <w:r w:rsidRPr="00442BCE">
              <w:rPr>
                <w:rFonts w:ascii="Arial" w:hAnsi="Arial" w:cs="Arial"/>
                <w:sz w:val="20"/>
                <w:szCs w:val="20"/>
                <w:vertAlign w:val="superscript"/>
              </w:rPr>
              <w:t>10</w:t>
            </w:r>
            <w:r w:rsidRPr="00442BCE">
              <w:rPr>
                <w:rFonts w:ascii="Arial" w:hAnsi="Arial" w:cs="Arial"/>
                <w:sz w:val="20"/>
                <w:szCs w:val="20"/>
              </w:rPr>
              <w:t xml:space="preserve">. </w:t>
            </w:r>
          </w:p>
          <w:p w14:paraId="128C2FFF" w14:textId="77777777" w:rsidR="003F5118" w:rsidRPr="00442BCE" w:rsidRDefault="003F5118" w:rsidP="003F5118">
            <w:pPr>
              <w:jc w:val="both"/>
              <w:rPr>
                <w:rFonts w:ascii="Arial" w:hAnsi="Arial" w:cs="Arial"/>
                <w:sz w:val="20"/>
                <w:szCs w:val="20"/>
              </w:rPr>
            </w:pPr>
          </w:p>
          <w:p w14:paraId="271A0DF9" w14:textId="77777777" w:rsidR="003F5118" w:rsidRPr="00442BCE" w:rsidRDefault="003F5118" w:rsidP="003F5118">
            <w:pPr>
              <w:jc w:val="both"/>
              <w:rPr>
                <w:rFonts w:ascii="Arial" w:hAnsi="Arial" w:cs="Arial"/>
                <w:sz w:val="20"/>
                <w:szCs w:val="20"/>
              </w:rPr>
            </w:pPr>
            <w:r w:rsidRPr="00442BCE">
              <w:rPr>
                <w:rFonts w:ascii="Arial" w:hAnsi="Arial" w:cs="Arial"/>
                <w:sz w:val="20"/>
                <w:szCs w:val="20"/>
              </w:rPr>
              <w:t xml:space="preserve">Given the above evidence we comment that </w:t>
            </w:r>
            <w:bookmarkStart w:id="43" w:name="_Hlk9245205"/>
            <w:r w:rsidRPr="00442BCE">
              <w:rPr>
                <w:rFonts w:ascii="Arial" w:hAnsi="Arial" w:cs="Arial"/>
                <w:sz w:val="20"/>
                <w:szCs w:val="20"/>
              </w:rPr>
              <w:t>increased multimorbidity will be expected with increasing age and that, additionally, prevalence of individual conditions will vary according to gender within patients presenting multimorbidity. Application of the multimorbidity index will have a positive impact for earlier detection and management of these patient subpopulations.</w:t>
            </w:r>
          </w:p>
          <w:bookmarkEnd w:id="43"/>
          <w:p w14:paraId="2D96D61C" w14:textId="77777777" w:rsidR="003F5118" w:rsidRPr="00442BCE" w:rsidRDefault="003F5118" w:rsidP="003F5118">
            <w:pPr>
              <w:rPr>
                <w:rFonts w:ascii="Arial" w:hAnsi="Arial" w:cs="Arial"/>
                <w:sz w:val="20"/>
                <w:szCs w:val="20"/>
              </w:rPr>
            </w:pPr>
          </w:p>
          <w:p w14:paraId="0EA0C30C" w14:textId="77777777" w:rsidR="003F5118" w:rsidRPr="00442BCE" w:rsidRDefault="003F5118" w:rsidP="003F5118">
            <w:pPr>
              <w:jc w:val="both"/>
              <w:rPr>
                <w:rFonts w:ascii="Arial" w:hAnsi="Arial" w:cs="Arial"/>
                <w:sz w:val="20"/>
                <w:szCs w:val="20"/>
                <w:u w:val="single"/>
              </w:rPr>
            </w:pPr>
            <w:r w:rsidRPr="00442BCE">
              <w:rPr>
                <w:rStyle w:val="normaltextrun"/>
                <w:rFonts w:ascii="Arial" w:hAnsi="Arial" w:cs="Arial"/>
                <w:sz w:val="20"/>
                <w:szCs w:val="20"/>
                <w:u w:val="single"/>
              </w:rPr>
              <w:t>References</w:t>
            </w:r>
          </w:p>
          <w:p w14:paraId="486752CA" w14:textId="77777777" w:rsidR="003F5118" w:rsidRPr="00442BCE" w:rsidRDefault="003F5118" w:rsidP="003F5118">
            <w:pPr>
              <w:jc w:val="both"/>
              <w:rPr>
                <w:rFonts w:ascii="Arial" w:hAnsi="Arial" w:cs="Arial"/>
                <w:sz w:val="20"/>
                <w:szCs w:val="20"/>
                <w:u w:val="single"/>
              </w:rPr>
            </w:pPr>
          </w:p>
          <w:p w14:paraId="3EDFE866" w14:textId="77777777" w:rsidR="003F5118" w:rsidRPr="00442BCE" w:rsidRDefault="003F5118" w:rsidP="003F5118">
            <w:pPr>
              <w:pStyle w:val="ListParagraph"/>
              <w:numPr>
                <w:ilvl w:val="0"/>
                <w:numId w:val="31"/>
              </w:numPr>
              <w:ind w:left="360"/>
              <w:jc w:val="both"/>
              <w:rPr>
                <w:rFonts w:ascii="Arial" w:hAnsi="Arial" w:cs="Arial"/>
                <w:sz w:val="20"/>
                <w:szCs w:val="20"/>
              </w:rPr>
            </w:pPr>
            <w:r w:rsidRPr="00442BCE">
              <w:rPr>
                <w:rFonts w:ascii="Arial" w:hAnsi="Arial" w:cs="Arial"/>
                <w:sz w:val="20"/>
                <w:szCs w:val="20"/>
              </w:rPr>
              <w:t xml:space="preserve">Ludwig M, von </w:t>
            </w:r>
            <w:proofErr w:type="spellStart"/>
            <w:r w:rsidRPr="00442BCE">
              <w:rPr>
                <w:rFonts w:ascii="Arial" w:hAnsi="Arial" w:cs="Arial"/>
                <w:sz w:val="20"/>
                <w:szCs w:val="20"/>
              </w:rPr>
              <w:t>Petzinger-Kruthoff</w:t>
            </w:r>
            <w:proofErr w:type="spellEnd"/>
            <w:r w:rsidRPr="00442BCE">
              <w:rPr>
                <w:rFonts w:ascii="Arial" w:hAnsi="Arial" w:cs="Arial"/>
                <w:sz w:val="20"/>
                <w:szCs w:val="20"/>
              </w:rPr>
              <w:t xml:space="preserve"> A, von </w:t>
            </w:r>
            <w:proofErr w:type="spellStart"/>
            <w:r w:rsidRPr="00442BCE">
              <w:rPr>
                <w:rFonts w:ascii="Arial" w:hAnsi="Arial" w:cs="Arial"/>
                <w:sz w:val="20"/>
                <w:szCs w:val="20"/>
              </w:rPr>
              <w:t>Buquoy</w:t>
            </w:r>
            <w:proofErr w:type="spellEnd"/>
            <w:r w:rsidRPr="00442BCE">
              <w:rPr>
                <w:rFonts w:ascii="Arial" w:hAnsi="Arial" w:cs="Arial"/>
                <w:sz w:val="20"/>
                <w:szCs w:val="20"/>
              </w:rPr>
              <w:t xml:space="preserve"> M, </w:t>
            </w:r>
            <w:proofErr w:type="spellStart"/>
            <w:r w:rsidRPr="00442BCE">
              <w:rPr>
                <w:rFonts w:ascii="Arial" w:hAnsi="Arial" w:cs="Arial"/>
                <w:sz w:val="20"/>
                <w:szCs w:val="20"/>
              </w:rPr>
              <w:t>Stumpe</w:t>
            </w:r>
            <w:proofErr w:type="spellEnd"/>
            <w:r w:rsidRPr="00442BCE">
              <w:rPr>
                <w:rFonts w:ascii="Arial" w:hAnsi="Arial" w:cs="Arial"/>
                <w:sz w:val="20"/>
                <w:szCs w:val="20"/>
              </w:rPr>
              <w:t xml:space="preserve"> KO. [intima media thickness of the carotid arteries: Early pointer to arteriosclerosis and therapeutic endpoint]. </w:t>
            </w:r>
            <w:proofErr w:type="spellStart"/>
            <w:r w:rsidRPr="00442BCE">
              <w:rPr>
                <w:rFonts w:ascii="Arial" w:hAnsi="Arial" w:cs="Arial"/>
                <w:sz w:val="20"/>
                <w:szCs w:val="20"/>
              </w:rPr>
              <w:t>Ultraschall</w:t>
            </w:r>
            <w:proofErr w:type="spellEnd"/>
            <w:r w:rsidRPr="00442BCE">
              <w:rPr>
                <w:rFonts w:ascii="Arial" w:hAnsi="Arial" w:cs="Arial"/>
                <w:sz w:val="20"/>
                <w:szCs w:val="20"/>
              </w:rPr>
              <w:t xml:space="preserve"> Med. 2003; 24:162–174. [PubMed: 12817310]</w:t>
            </w:r>
          </w:p>
          <w:p w14:paraId="2EE362CE" w14:textId="77777777" w:rsidR="003F5118" w:rsidRPr="00442BCE" w:rsidRDefault="003F5118" w:rsidP="003F5118">
            <w:pPr>
              <w:pStyle w:val="ListParagraph"/>
              <w:numPr>
                <w:ilvl w:val="0"/>
                <w:numId w:val="31"/>
              </w:numPr>
              <w:ind w:left="360"/>
              <w:jc w:val="both"/>
              <w:rPr>
                <w:rFonts w:ascii="Arial" w:hAnsi="Arial" w:cs="Arial"/>
                <w:sz w:val="20"/>
                <w:szCs w:val="20"/>
              </w:rPr>
            </w:pPr>
            <w:r w:rsidRPr="00442BCE">
              <w:rPr>
                <w:rFonts w:ascii="Arial" w:hAnsi="Arial" w:cs="Arial"/>
                <w:sz w:val="20"/>
                <w:szCs w:val="20"/>
              </w:rPr>
              <w:t xml:space="preserve">Nakashima Y, Wight TN, </w:t>
            </w:r>
            <w:proofErr w:type="spellStart"/>
            <w:r w:rsidRPr="00442BCE">
              <w:rPr>
                <w:rFonts w:ascii="Arial" w:hAnsi="Arial" w:cs="Arial"/>
                <w:sz w:val="20"/>
                <w:szCs w:val="20"/>
              </w:rPr>
              <w:t>Sueishi</w:t>
            </w:r>
            <w:proofErr w:type="spellEnd"/>
            <w:r w:rsidRPr="00442BCE">
              <w:rPr>
                <w:rFonts w:ascii="Arial" w:hAnsi="Arial" w:cs="Arial"/>
                <w:sz w:val="20"/>
                <w:szCs w:val="20"/>
              </w:rPr>
              <w:t xml:space="preserve"> K. Early atherosclerosis in humans: Role of diffuse intimal thickening and extracellular matrix proteoglycans. Cardiovasc Res. 2008; 79:14–23. [PubMed: 18430750]</w:t>
            </w:r>
          </w:p>
          <w:p w14:paraId="645232D4" w14:textId="77777777" w:rsidR="003F5118" w:rsidRPr="00442BCE" w:rsidRDefault="003F5118" w:rsidP="003F5118">
            <w:pPr>
              <w:pStyle w:val="ListParagraph"/>
              <w:ind w:left="360"/>
              <w:jc w:val="both"/>
              <w:rPr>
                <w:rFonts w:ascii="Arial" w:hAnsi="Arial" w:cs="Arial"/>
                <w:sz w:val="20"/>
                <w:szCs w:val="20"/>
              </w:rPr>
            </w:pPr>
          </w:p>
          <w:p w14:paraId="4074DF7C" w14:textId="77777777" w:rsidR="003F5118" w:rsidRPr="00442BCE" w:rsidRDefault="003F5118" w:rsidP="003F5118">
            <w:pPr>
              <w:pStyle w:val="NormalWeb"/>
              <w:numPr>
                <w:ilvl w:val="0"/>
                <w:numId w:val="31"/>
              </w:numPr>
              <w:spacing w:before="0" w:beforeAutospacing="0" w:after="0" w:afterAutospacing="0"/>
              <w:ind w:left="360"/>
              <w:rPr>
                <w:rFonts w:ascii="Arial" w:hAnsi="Arial" w:cs="Arial"/>
                <w:sz w:val="20"/>
                <w:szCs w:val="20"/>
              </w:rPr>
            </w:pPr>
            <w:r w:rsidRPr="00442BCE">
              <w:rPr>
                <w:rFonts w:ascii="Arial" w:hAnsi="Arial" w:cs="Arial"/>
                <w:sz w:val="20"/>
                <w:szCs w:val="20"/>
              </w:rPr>
              <w:t xml:space="preserve">Burke GL, Evans GW, Riley WA, Sharrett AR, Howard G, Barnes RW, Rosamond W, Crow RS, </w:t>
            </w:r>
            <w:proofErr w:type="spellStart"/>
            <w:r w:rsidRPr="00442BCE">
              <w:rPr>
                <w:rFonts w:ascii="Arial" w:hAnsi="Arial" w:cs="Arial"/>
                <w:sz w:val="20"/>
                <w:szCs w:val="20"/>
              </w:rPr>
              <w:t>Rautaharju</w:t>
            </w:r>
            <w:proofErr w:type="spellEnd"/>
            <w:r w:rsidRPr="00442BCE">
              <w:rPr>
                <w:rFonts w:ascii="Arial" w:hAnsi="Arial" w:cs="Arial"/>
                <w:sz w:val="20"/>
                <w:szCs w:val="20"/>
              </w:rPr>
              <w:t xml:space="preserve"> PM, </w:t>
            </w:r>
            <w:proofErr w:type="spellStart"/>
            <w:r w:rsidRPr="00442BCE">
              <w:rPr>
                <w:rFonts w:ascii="Arial" w:hAnsi="Arial" w:cs="Arial"/>
                <w:sz w:val="20"/>
                <w:szCs w:val="20"/>
              </w:rPr>
              <w:t>Heiss</w:t>
            </w:r>
            <w:proofErr w:type="spellEnd"/>
            <w:r w:rsidRPr="00442BCE">
              <w:rPr>
                <w:rFonts w:ascii="Arial" w:hAnsi="Arial" w:cs="Arial"/>
                <w:sz w:val="20"/>
                <w:szCs w:val="20"/>
              </w:rPr>
              <w:t xml:space="preserve"> G. Arterial wall thickness is associated with prevalent cardiovascular disease in middle-aged adults. The atherosclerosis risk in communities (</w:t>
            </w:r>
            <w:proofErr w:type="spellStart"/>
            <w:r w:rsidRPr="00442BCE">
              <w:rPr>
                <w:rFonts w:ascii="Arial" w:hAnsi="Arial" w:cs="Arial"/>
                <w:sz w:val="20"/>
                <w:szCs w:val="20"/>
              </w:rPr>
              <w:t>aric</w:t>
            </w:r>
            <w:proofErr w:type="spellEnd"/>
            <w:r w:rsidRPr="00442BCE">
              <w:rPr>
                <w:rFonts w:ascii="Arial" w:hAnsi="Arial" w:cs="Arial"/>
                <w:sz w:val="20"/>
                <w:szCs w:val="20"/>
              </w:rPr>
              <w:t>) study. Stroke. 1995; 26:386– 391. [PubMed: 7886711]</w:t>
            </w:r>
          </w:p>
          <w:p w14:paraId="5EAE642C" w14:textId="77777777" w:rsidR="003F5118" w:rsidRPr="00442BCE" w:rsidRDefault="003F5118" w:rsidP="003F5118">
            <w:pPr>
              <w:pStyle w:val="ListParagraph"/>
              <w:numPr>
                <w:ilvl w:val="0"/>
                <w:numId w:val="31"/>
              </w:numPr>
              <w:ind w:left="360"/>
              <w:jc w:val="both"/>
              <w:rPr>
                <w:rFonts w:ascii="Arial" w:hAnsi="Arial" w:cs="Arial"/>
                <w:sz w:val="20"/>
                <w:szCs w:val="20"/>
              </w:rPr>
            </w:pPr>
            <w:proofErr w:type="spellStart"/>
            <w:r w:rsidRPr="00442BCE">
              <w:rPr>
                <w:rFonts w:ascii="Arial" w:hAnsi="Arial" w:cs="Arial"/>
                <w:sz w:val="20"/>
                <w:szCs w:val="20"/>
              </w:rPr>
              <w:t>Rosero</w:t>
            </w:r>
            <w:proofErr w:type="spellEnd"/>
            <w:r w:rsidRPr="00442BCE">
              <w:rPr>
                <w:rFonts w:ascii="Arial" w:hAnsi="Arial" w:cs="Arial"/>
                <w:sz w:val="20"/>
                <w:szCs w:val="20"/>
              </w:rPr>
              <w:t xml:space="preserve"> EB, </w:t>
            </w:r>
            <w:proofErr w:type="spellStart"/>
            <w:r w:rsidRPr="00442BCE">
              <w:rPr>
                <w:rFonts w:ascii="Arial" w:hAnsi="Arial" w:cs="Arial"/>
                <w:sz w:val="20"/>
                <w:szCs w:val="20"/>
              </w:rPr>
              <w:t>Peshock</w:t>
            </w:r>
            <w:proofErr w:type="spellEnd"/>
            <w:r w:rsidRPr="00442BCE">
              <w:rPr>
                <w:rFonts w:ascii="Arial" w:hAnsi="Arial" w:cs="Arial"/>
                <w:sz w:val="20"/>
                <w:szCs w:val="20"/>
              </w:rPr>
              <w:t xml:space="preserve"> RM, </w:t>
            </w:r>
            <w:proofErr w:type="spellStart"/>
            <w:r w:rsidRPr="00442BCE">
              <w:rPr>
                <w:rFonts w:ascii="Arial" w:hAnsi="Arial" w:cs="Arial"/>
                <w:sz w:val="20"/>
                <w:szCs w:val="20"/>
              </w:rPr>
              <w:t>Khera</w:t>
            </w:r>
            <w:proofErr w:type="spellEnd"/>
            <w:r w:rsidRPr="00442BCE">
              <w:rPr>
                <w:rFonts w:ascii="Arial" w:hAnsi="Arial" w:cs="Arial"/>
                <w:sz w:val="20"/>
                <w:szCs w:val="20"/>
              </w:rPr>
              <w:t xml:space="preserve"> A, </w:t>
            </w:r>
            <w:proofErr w:type="spellStart"/>
            <w:r w:rsidRPr="00442BCE">
              <w:rPr>
                <w:rFonts w:ascii="Arial" w:hAnsi="Arial" w:cs="Arial"/>
                <w:sz w:val="20"/>
                <w:szCs w:val="20"/>
              </w:rPr>
              <w:t>Clagett</w:t>
            </w:r>
            <w:proofErr w:type="spellEnd"/>
            <w:r w:rsidRPr="00442BCE">
              <w:rPr>
                <w:rFonts w:ascii="Arial" w:hAnsi="Arial" w:cs="Arial"/>
                <w:sz w:val="20"/>
                <w:szCs w:val="20"/>
              </w:rPr>
              <w:t xml:space="preserve"> P, Lo H, </w:t>
            </w:r>
            <w:proofErr w:type="spellStart"/>
            <w:r w:rsidRPr="00442BCE">
              <w:rPr>
                <w:rFonts w:ascii="Arial" w:hAnsi="Arial" w:cs="Arial"/>
                <w:sz w:val="20"/>
                <w:szCs w:val="20"/>
              </w:rPr>
              <w:t>Timaran</w:t>
            </w:r>
            <w:proofErr w:type="spellEnd"/>
            <w:r w:rsidRPr="00442BCE">
              <w:rPr>
                <w:rFonts w:ascii="Arial" w:hAnsi="Arial" w:cs="Arial"/>
                <w:sz w:val="20"/>
                <w:szCs w:val="20"/>
              </w:rPr>
              <w:t xml:space="preserve"> CH. Sex, race, and age distributions of mean aortic wall thickness in a </w:t>
            </w:r>
            <w:proofErr w:type="spellStart"/>
            <w:r w:rsidRPr="00442BCE">
              <w:rPr>
                <w:rFonts w:ascii="Arial" w:hAnsi="Arial" w:cs="Arial"/>
                <w:sz w:val="20"/>
                <w:szCs w:val="20"/>
              </w:rPr>
              <w:t>multiethnic</w:t>
            </w:r>
            <w:proofErr w:type="spellEnd"/>
            <w:r w:rsidRPr="00442BCE">
              <w:rPr>
                <w:rFonts w:ascii="Arial" w:hAnsi="Arial" w:cs="Arial"/>
                <w:sz w:val="20"/>
                <w:szCs w:val="20"/>
              </w:rPr>
              <w:t xml:space="preserve"> population-based sample. J </w:t>
            </w:r>
            <w:proofErr w:type="spellStart"/>
            <w:r w:rsidRPr="00442BCE">
              <w:rPr>
                <w:rFonts w:ascii="Arial" w:hAnsi="Arial" w:cs="Arial"/>
                <w:sz w:val="20"/>
                <w:szCs w:val="20"/>
              </w:rPr>
              <w:t>Vasc</w:t>
            </w:r>
            <w:proofErr w:type="spellEnd"/>
            <w:r w:rsidRPr="00442BCE">
              <w:rPr>
                <w:rFonts w:ascii="Arial" w:hAnsi="Arial" w:cs="Arial"/>
                <w:sz w:val="20"/>
                <w:szCs w:val="20"/>
              </w:rPr>
              <w:t xml:space="preserve"> Surg. 2011; 53:950– 957. [PubMed: 21211932]</w:t>
            </w:r>
          </w:p>
          <w:p w14:paraId="6345DACD" w14:textId="77777777" w:rsidR="003F5118" w:rsidRPr="00442BCE" w:rsidRDefault="003F5118" w:rsidP="003F5118">
            <w:pPr>
              <w:pStyle w:val="ListParagraph"/>
              <w:numPr>
                <w:ilvl w:val="0"/>
                <w:numId w:val="31"/>
              </w:numPr>
              <w:ind w:left="360"/>
              <w:jc w:val="both"/>
              <w:rPr>
                <w:rFonts w:ascii="Arial" w:hAnsi="Arial" w:cs="Arial"/>
                <w:sz w:val="20"/>
                <w:szCs w:val="20"/>
              </w:rPr>
            </w:pPr>
            <w:r w:rsidRPr="00442BCE">
              <w:rPr>
                <w:rFonts w:ascii="Arial" w:hAnsi="Arial" w:cs="Arial"/>
                <w:sz w:val="20"/>
                <w:szCs w:val="20"/>
              </w:rPr>
              <w:t xml:space="preserve">Stein JH, Douglas PS, Srinivasan SR, Bond MG, Tang R, Li S, Chen W, Berenson GS. Distribution and cross-sectional age-related increases of carotid artery intima-media thickness in young adults: The </w:t>
            </w:r>
            <w:proofErr w:type="spellStart"/>
            <w:r w:rsidRPr="00442BCE">
              <w:rPr>
                <w:rFonts w:ascii="Arial" w:hAnsi="Arial" w:cs="Arial"/>
                <w:sz w:val="20"/>
                <w:szCs w:val="20"/>
              </w:rPr>
              <w:t>bogalusa</w:t>
            </w:r>
            <w:proofErr w:type="spellEnd"/>
            <w:r w:rsidRPr="00442BCE">
              <w:rPr>
                <w:rFonts w:ascii="Arial" w:hAnsi="Arial" w:cs="Arial"/>
                <w:sz w:val="20"/>
                <w:szCs w:val="20"/>
              </w:rPr>
              <w:t xml:space="preserve"> heart study. Stroke. 2004; 35:2782–2787. [PubMed: 15514185</w:t>
            </w:r>
          </w:p>
          <w:p w14:paraId="09E7DD1E" w14:textId="77777777" w:rsidR="003F5118" w:rsidRPr="00442BCE" w:rsidRDefault="003F5118" w:rsidP="003F5118">
            <w:pPr>
              <w:pStyle w:val="ListParagraph"/>
              <w:numPr>
                <w:ilvl w:val="0"/>
                <w:numId w:val="31"/>
              </w:numPr>
              <w:ind w:left="360"/>
              <w:jc w:val="both"/>
              <w:rPr>
                <w:rFonts w:ascii="Arial" w:hAnsi="Arial" w:cs="Arial"/>
                <w:sz w:val="20"/>
                <w:szCs w:val="20"/>
              </w:rPr>
            </w:pPr>
            <w:r w:rsidRPr="00442BCE">
              <w:rPr>
                <w:rFonts w:ascii="Arial" w:hAnsi="Arial" w:cs="Arial"/>
                <w:sz w:val="20"/>
                <w:szCs w:val="20"/>
                <w:shd w:val="clear" w:color="auto" w:fill="FFFFFF"/>
              </w:rPr>
              <w:t xml:space="preserve">Liu CY, Chen D, </w:t>
            </w:r>
            <w:proofErr w:type="spellStart"/>
            <w:r w:rsidRPr="00442BCE">
              <w:rPr>
                <w:rFonts w:ascii="Arial" w:hAnsi="Arial" w:cs="Arial"/>
                <w:sz w:val="20"/>
                <w:szCs w:val="20"/>
                <w:shd w:val="clear" w:color="auto" w:fill="FFFFFF"/>
              </w:rPr>
              <w:t>Bluemke</w:t>
            </w:r>
            <w:proofErr w:type="spellEnd"/>
            <w:r w:rsidRPr="00442BCE">
              <w:rPr>
                <w:rFonts w:ascii="Arial" w:hAnsi="Arial" w:cs="Arial"/>
                <w:sz w:val="20"/>
                <w:szCs w:val="20"/>
                <w:shd w:val="clear" w:color="auto" w:fill="FFFFFF"/>
              </w:rPr>
              <w:t xml:space="preserve"> DA, Wu CO, </w:t>
            </w:r>
            <w:proofErr w:type="spellStart"/>
            <w:r w:rsidRPr="00442BCE">
              <w:rPr>
                <w:rFonts w:ascii="Arial" w:hAnsi="Arial" w:cs="Arial"/>
                <w:sz w:val="20"/>
                <w:szCs w:val="20"/>
                <w:shd w:val="clear" w:color="auto" w:fill="FFFFFF"/>
              </w:rPr>
              <w:t>Teixido</w:t>
            </w:r>
            <w:proofErr w:type="spellEnd"/>
            <w:r w:rsidRPr="00442BCE">
              <w:rPr>
                <w:rFonts w:ascii="Arial" w:hAnsi="Arial" w:cs="Arial"/>
                <w:sz w:val="20"/>
                <w:szCs w:val="20"/>
                <w:shd w:val="clear" w:color="auto" w:fill="FFFFFF"/>
              </w:rPr>
              <w:t xml:space="preserve">-Tura G, </w:t>
            </w:r>
            <w:proofErr w:type="spellStart"/>
            <w:r w:rsidRPr="00442BCE">
              <w:rPr>
                <w:rFonts w:ascii="Arial" w:hAnsi="Arial" w:cs="Arial"/>
                <w:sz w:val="20"/>
                <w:szCs w:val="20"/>
                <w:shd w:val="clear" w:color="auto" w:fill="FFFFFF"/>
              </w:rPr>
              <w:t>Chugh</w:t>
            </w:r>
            <w:proofErr w:type="spellEnd"/>
            <w:r w:rsidRPr="00442BCE">
              <w:rPr>
                <w:rFonts w:ascii="Arial" w:hAnsi="Arial" w:cs="Arial"/>
                <w:sz w:val="20"/>
                <w:szCs w:val="20"/>
                <w:shd w:val="clear" w:color="auto" w:fill="FFFFFF"/>
              </w:rPr>
              <w:t xml:space="preserve"> A, Vasu S, Lima JA, Hundley WG. Evolution of aortic wall thickness and stiffness with atherosclerosis: long-term follow up from the multi-ethnic study of atherosclerosis. </w:t>
            </w:r>
            <w:r w:rsidRPr="00442BCE">
              <w:rPr>
                <w:rFonts w:ascii="Arial" w:hAnsi="Arial" w:cs="Arial"/>
                <w:i/>
                <w:iCs/>
                <w:sz w:val="20"/>
                <w:szCs w:val="20"/>
                <w:shd w:val="clear" w:color="auto" w:fill="FFFFFF"/>
              </w:rPr>
              <w:t>Hypertension</w:t>
            </w:r>
            <w:r w:rsidRPr="00442BCE">
              <w:rPr>
                <w:rFonts w:ascii="Arial" w:hAnsi="Arial" w:cs="Arial"/>
                <w:sz w:val="20"/>
                <w:szCs w:val="20"/>
                <w:shd w:val="clear" w:color="auto" w:fill="FFFFFF"/>
              </w:rPr>
              <w:t>. 2015; 65(5):1015-1019. [PubMed: 25776078]</w:t>
            </w:r>
          </w:p>
          <w:p w14:paraId="1F1A77EE" w14:textId="77777777" w:rsidR="003F5118" w:rsidRPr="00442BCE" w:rsidRDefault="003F5118" w:rsidP="003F5118">
            <w:pPr>
              <w:pStyle w:val="ListParagraph"/>
              <w:numPr>
                <w:ilvl w:val="0"/>
                <w:numId w:val="31"/>
              </w:numPr>
              <w:ind w:left="360"/>
              <w:jc w:val="both"/>
              <w:rPr>
                <w:rFonts w:ascii="Arial" w:hAnsi="Arial" w:cs="Arial"/>
                <w:sz w:val="20"/>
                <w:szCs w:val="20"/>
              </w:rPr>
            </w:pPr>
            <w:proofErr w:type="spellStart"/>
            <w:r w:rsidRPr="00442BCE">
              <w:rPr>
                <w:rFonts w:ascii="Arial" w:hAnsi="Arial" w:cs="Arial"/>
                <w:sz w:val="20"/>
                <w:szCs w:val="20"/>
                <w:shd w:val="clear" w:color="auto" w:fill="FFFFFF"/>
              </w:rPr>
              <w:t>Ohyama</w:t>
            </w:r>
            <w:proofErr w:type="spellEnd"/>
            <w:r w:rsidRPr="00442BCE">
              <w:rPr>
                <w:rFonts w:ascii="Arial" w:hAnsi="Arial" w:cs="Arial"/>
                <w:sz w:val="20"/>
                <w:szCs w:val="20"/>
                <w:shd w:val="clear" w:color="auto" w:fill="FFFFFF"/>
              </w:rPr>
              <w:t xml:space="preserve"> Y, </w:t>
            </w:r>
            <w:proofErr w:type="spellStart"/>
            <w:r w:rsidRPr="00442BCE">
              <w:rPr>
                <w:rFonts w:ascii="Arial" w:hAnsi="Arial" w:cs="Arial"/>
                <w:sz w:val="20"/>
                <w:szCs w:val="20"/>
                <w:shd w:val="clear" w:color="auto" w:fill="FFFFFF"/>
              </w:rPr>
              <w:t>Teixido</w:t>
            </w:r>
            <w:proofErr w:type="spellEnd"/>
            <w:r w:rsidRPr="00442BCE">
              <w:rPr>
                <w:rFonts w:ascii="Arial" w:hAnsi="Arial" w:cs="Arial"/>
                <w:sz w:val="20"/>
                <w:szCs w:val="20"/>
                <w:shd w:val="clear" w:color="auto" w:fill="FFFFFF"/>
              </w:rPr>
              <w:t xml:space="preserve">-Tura G, </w:t>
            </w:r>
            <w:proofErr w:type="spellStart"/>
            <w:r w:rsidRPr="00442BCE">
              <w:rPr>
                <w:rFonts w:ascii="Arial" w:hAnsi="Arial" w:cs="Arial"/>
                <w:sz w:val="20"/>
                <w:szCs w:val="20"/>
                <w:shd w:val="clear" w:color="auto" w:fill="FFFFFF"/>
              </w:rPr>
              <w:t>Ambale</w:t>
            </w:r>
            <w:proofErr w:type="spellEnd"/>
            <w:r w:rsidRPr="00442BCE">
              <w:rPr>
                <w:rFonts w:ascii="Arial" w:hAnsi="Arial" w:cs="Arial"/>
                <w:sz w:val="20"/>
                <w:szCs w:val="20"/>
                <w:shd w:val="clear" w:color="auto" w:fill="FFFFFF"/>
              </w:rPr>
              <w:t xml:space="preserve">-Venkatesh B, Noda C, </w:t>
            </w:r>
            <w:proofErr w:type="spellStart"/>
            <w:r w:rsidRPr="00442BCE">
              <w:rPr>
                <w:rFonts w:ascii="Arial" w:hAnsi="Arial" w:cs="Arial"/>
                <w:sz w:val="20"/>
                <w:szCs w:val="20"/>
                <w:shd w:val="clear" w:color="auto" w:fill="FFFFFF"/>
              </w:rPr>
              <w:t>Chugh</w:t>
            </w:r>
            <w:proofErr w:type="spellEnd"/>
            <w:r w:rsidRPr="00442BCE">
              <w:rPr>
                <w:rFonts w:ascii="Arial" w:hAnsi="Arial" w:cs="Arial"/>
                <w:sz w:val="20"/>
                <w:szCs w:val="20"/>
                <w:shd w:val="clear" w:color="auto" w:fill="FFFFFF"/>
              </w:rPr>
              <w:t xml:space="preserve"> AR, Liu CY, </w:t>
            </w:r>
            <w:proofErr w:type="spellStart"/>
            <w:r w:rsidRPr="00442BCE">
              <w:rPr>
                <w:rFonts w:ascii="Arial" w:hAnsi="Arial" w:cs="Arial"/>
                <w:sz w:val="20"/>
                <w:szCs w:val="20"/>
                <w:shd w:val="clear" w:color="auto" w:fill="FFFFFF"/>
              </w:rPr>
              <w:t>Redheuil</w:t>
            </w:r>
            <w:proofErr w:type="spellEnd"/>
            <w:r w:rsidRPr="00442BCE">
              <w:rPr>
                <w:rFonts w:ascii="Arial" w:hAnsi="Arial" w:cs="Arial"/>
                <w:sz w:val="20"/>
                <w:szCs w:val="20"/>
                <w:shd w:val="clear" w:color="auto" w:fill="FFFFFF"/>
              </w:rPr>
              <w:t xml:space="preserve"> A, Stacey RB, Dietz H, Gomes AS, Prince MR, Evangelista A, Wu CO, Hundley WG, </w:t>
            </w:r>
            <w:proofErr w:type="spellStart"/>
            <w:r w:rsidRPr="00442BCE">
              <w:rPr>
                <w:rFonts w:ascii="Arial" w:hAnsi="Arial" w:cs="Arial"/>
                <w:sz w:val="20"/>
                <w:szCs w:val="20"/>
                <w:shd w:val="clear" w:color="auto" w:fill="FFFFFF"/>
              </w:rPr>
              <w:t>Bluemke</w:t>
            </w:r>
            <w:proofErr w:type="spellEnd"/>
            <w:r w:rsidRPr="00442BCE">
              <w:rPr>
                <w:rFonts w:ascii="Arial" w:hAnsi="Arial" w:cs="Arial"/>
                <w:sz w:val="20"/>
                <w:szCs w:val="20"/>
                <w:shd w:val="clear" w:color="auto" w:fill="FFFFFF"/>
              </w:rPr>
              <w:t xml:space="preserve"> DA, Lima JA. Ten-year longitudinal change in aortic stiffness assessed by cardiac MRI in the second half of the human lifespan: the multi-ethnic study of atherosclerosis. Eur Heart J Cardiovasc Imaging. 2016; (9):1044-1053. </w:t>
            </w:r>
            <w:proofErr w:type="spellStart"/>
            <w:r w:rsidRPr="00442BCE">
              <w:rPr>
                <w:rFonts w:ascii="Arial" w:hAnsi="Arial" w:cs="Arial"/>
                <w:sz w:val="20"/>
                <w:szCs w:val="20"/>
                <w:shd w:val="clear" w:color="auto" w:fill="FFFFFF"/>
              </w:rPr>
              <w:t>doi</w:t>
            </w:r>
            <w:proofErr w:type="spellEnd"/>
            <w:r w:rsidRPr="00442BCE">
              <w:rPr>
                <w:rFonts w:ascii="Arial" w:hAnsi="Arial" w:cs="Arial"/>
                <w:sz w:val="20"/>
                <w:szCs w:val="20"/>
                <w:shd w:val="clear" w:color="auto" w:fill="FFFFFF"/>
              </w:rPr>
              <w:t>: [PubMed: 26758407]</w:t>
            </w:r>
          </w:p>
          <w:p w14:paraId="5577A97F" w14:textId="77777777" w:rsidR="003F5118" w:rsidRPr="00442BCE" w:rsidRDefault="003F5118" w:rsidP="003F5118">
            <w:pPr>
              <w:pStyle w:val="ListParagraph"/>
              <w:numPr>
                <w:ilvl w:val="0"/>
                <w:numId w:val="31"/>
              </w:numPr>
              <w:ind w:left="360"/>
              <w:jc w:val="both"/>
              <w:rPr>
                <w:rFonts w:ascii="Arial" w:hAnsi="Arial" w:cs="Arial"/>
                <w:sz w:val="20"/>
                <w:szCs w:val="20"/>
              </w:rPr>
            </w:pPr>
            <w:proofErr w:type="spellStart"/>
            <w:r w:rsidRPr="00442BCE">
              <w:rPr>
                <w:rFonts w:ascii="Arial" w:hAnsi="Arial" w:cs="Arial"/>
                <w:sz w:val="20"/>
                <w:szCs w:val="20"/>
              </w:rPr>
              <w:t>Wilman</w:t>
            </w:r>
            <w:proofErr w:type="spellEnd"/>
            <w:r w:rsidRPr="00442BCE">
              <w:rPr>
                <w:rFonts w:ascii="Arial" w:hAnsi="Arial" w:cs="Arial"/>
                <w:sz w:val="20"/>
                <w:szCs w:val="20"/>
              </w:rPr>
              <w:t xml:space="preserve"> HR, Kelly M, Garratt S, Matthews PM, </w:t>
            </w:r>
            <w:proofErr w:type="spellStart"/>
            <w:r w:rsidRPr="00442BCE">
              <w:rPr>
                <w:rFonts w:ascii="Arial" w:hAnsi="Arial" w:cs="Arial"/>
                <w:sz w:val="20"/>
                <w:szCs w:val="20"/>
              </w:rPr>
              <w:t>Milanesi</w:t>
            </w:r>
            <w:proofErr w:type="spellEnd"/>
            <w:r w:rsidRPr="00442BCE">
              <w:rPr>
                <w:rFonts w:ascii="Arial" w:hAnsi="Arial" w:cs="Arial"/>
                <w:sz w:val="20"/>
                <w:szCs w:val="20"/>
              </w:rPr>
              <w:t xml:space="preserve"> M, Herlihy A, Gyngell M, Neubauer S, Bell JD, Banerjee R, Thomas EL. Characterisation of liver fat in the UK Biobank cohort. </w:t>
            </w:r>
            <w:proofErr w:type="spellStart"/>
            <w:r w:rsidRPr="00442BCE">
              <w:rPr>
                <w:rFonts w:ascii="Arial" w:hAnsi="Arial" w:cs="Arial"/>
                <w:sz w:val="20"/>
                <w:szCs w:val="20"/>
              </w:rPr>
              <w:t>PLoS</w:t>
            </w:r>
            <w:proofErr w:type="spellEnd"/>
            <w:r w:rsidRPr="00442BCE">
              <w:rPr>
                <w:rFonts w:ascii="Arial" w:hAnsi="Arial" w:cs="Arial"/>
                <w:sz w:val="20"/>
                <w:szCs w:val="20"/>
              </w:rPr>
              <w:t xml:space="preserve"> One. 2017 Feb 27;12(2</w:t>
            </w:r>
            <w:proofErr w:type="gramStart"/>
            <w:r w:rsidRPr="00442BCE">
              <w:rPr>
                <w:rFonts w:ascii="Arial" w:hAnsi="Arial" w:cs="Arial"/>
                <w:sz w:val="20"/>
                <w:szCs w:val="20"/>
              </w:rPr>
              <w:t>):e</w:t>
            </w:r>
            <w:proofErr w:type="gramEnd"/>
            <w:r w:rsidRPr="00442BCE">
              <w:rPr>
                <w:rFonts w:ascii="Arial" w:hAnsi="Arial" w:cs="Arial"/>
                <w:sz w:val="20"/>
                <w:szCs w:val="20"/>
              </w:rPr>
              <w:t xml:space="preserve">0172921. </w:t>
            </w:r>
            <w:proofErr w:type="spellStart"/>
            <w:r w:rsidRPr="00442BCE">
              <w:rPr>
                <w:rFonts w:ascii="Arial" w:hAnsi="Arial" w:cs="Arial"/>
                <w:sz w:val="20"/>
                <w:szCs w:val="20"/>
              </w:rPr>
              <w:t>doi</w:t>
            </w:r>
            <w:proofErr w:type="spellEnd"/>
            <w:r w:rsidRPr="00442BCE">
              <w:rPr>
                <w:rFonts w:ascii="Arial" w:hAnsi="Arial" w:cs="Arial"/>
                <w:sz w:val="20"/>
                <w:szCs w:val="20"/>
              </w:rPr>
              <w:t xml:space="preserve">: 10.1371/journal.pone.0172921. Erratum in: </w:t>
            </w:r>
            <w:proofErr w:type="spellStart"/>
            <w:r w:rsidRPr="00442BCE">
              <w:rPr>
                <w:rFonts w:ascii="Arial" w:hAnsi="Arial" w:cs="Arial"/>
                <w:sz w:val="20"/>
                <w:szCs w:val="20"/>
              </w:rPr>
              <w:t>PLoS</w:t>
            </w:r>
            <w:proofErr w:type="spellEnd"/>
            <w:r w:rsidRPr="00442BCE">
              <w:rPr>
                <w:rFonts w:ascii="Arial" w:hAnsi="Arial" w:cs="Arial"/>
                <w:sz w:val="20"/>
                <w:szCs w:val="20"/>
              </w:rPr>
              <w:t xml:space="preserve"> One. 2017 Apr 26;12 (4</w:t>
            </w:r>
            <w:proofErr w:type="gramStart"/>
            <w:r w:rsidRPr="00442BCE">
              <w:rPr>
                <w:rFonts w:ascii="Arial" w:hAnsi="Arial" w:cs="Arial"/>
                <w:sz w:val="20"/>
                <w:szCs w:val="20"/>
              </w:rPr>
              <w:t>):e</w:t>
            </w:r>
            <w:proofErr w:type="gramEnd"/>
            <w:r w:rsidRPr="00442BCE">
              <w:rPr>
                <w:rFonts w:ascii="Arial" w:hAnsi="Arial" w:cs="Arial"/>
                <w:sz w:val="20"/>
                <w:szCs w:val="20"/>
              </w:rPr>
              <w:t>0176867. PubMed PMID: 28241076.</w:t>
            </w:r>
          </w:p>
          <w:p w14:paraId="6AAE4447" w14:textId="77777777" w:rsidR="003F5118" w:rsidRPr="00442BCE" w:rsidRDefault="003F5118" w:rsidP="003F5118">
            <w:pPr>
              <w:pStyle w:val="ListParagraph"/>
              <w:numPr>
                <w:ilvl w:val="0"/>
                <w:numId w:val="31"/>
              </w:numPr>
              <w:ind w:left="360"/>
              <w:jc w:val="both"/>
              <w:rPr>
                <w:rFonts w:ascii="Arial" w:hAnsi="Arial" w:cs="Arial"/>
                <w:sz w:val="20"/>
                <w:szCs w:val="20"/>
              </w:rPr>
            </w:pPr>
            <w:proofErr w:type="spellStart"/>
            <w:r w:rsidRPr="00442BCE">
              <w:rPr>
                <w:rFonts w:ascii="Arial" w:hAnsi="Arial" w:cs="Arial"/>
                <w:sz w:val="20"/>
                <w:szCs w:val="20"/>
              </w:rPr>
              <w:t>Mojtahed</w:t>
            </w:r>
            <w:proofErr w:type="spellEnd"/>
            <w:r w:rsidRPr="00442BCE">
              <w:rPr>
                <w:rFonts w:ascii="Arial" w:hAnsi="Arial" w:cs="Arial"/>
                <w:sz w:val="20"/>
                <w:szCs w:val="20"/>
              </w:rPr>
              <w:t xml:space="preserve"> A, Kelly CJ, Herlihy AH, Kin S, </w:t>
            </w:r>
            <w:proofErr w:type="spellStart"/>
            <w:r w:rsidRPr="00442BCE">
              <w:rPr>
                <w:rFonts w:ascii="Arial" w:hAnsi="Arial" w:cs="Arial"/>
                <w:sz w:val="20"/>
                <w:szCs w:val="20"/>
              </w:rPr>
              <w:t>Wilman</w:t>
            </w:r>
            <w:proofErr w:type="spellEnd"/>
            <w:r w:rsidRPr="00442BCE">
              <w:rPr>
                <w:rFonts w:ascii="Arial" w:hAnsi="Arial" w:cs="Arial"/>
                <w:sz w:val="20"/>
                <w:szCs w:val="20"/>
              </w:rPr>
              <w:t xml:space="preserve"> HR, McKay A, Kelly M, </w:t>
            </w:r>
            <w:proofErr w:type="spellStart"/>
            <w:r w:rsidRPr="00442BCE">
              <w:rPr>
                <w:rFonts w:ascii="Arial" w:hAnsi="Arial" w:cs="Arial"/>
                <w:sz w:val="20"/>
                <w:szCs w:val="20"/>
              </w:rPr>
              <w:t>Milanesi</w:t>
            </w:r>
            <w:proofErr w:type="spellEnd"/>
            <w:r w:rsidRPr="00442BCE">
              <w:rPr>
                <w:rFonts w:ascii="Arial" w:hAnsi="Arial" w:cs="Arial"/>
                <w:sz w:val="20"/>
                <w:szCs w:val="20"/>
              </w:rPr>
              <w:t xml:space="preserve"> M, Neubauer S, Thomas EL, Bell JD, Banerjee R, </w:t>
            </w:r>
            <w:proofErr w:type="spellStart"/>
            <w:r w:rsidRPr="00442BCE">
              <w:rPr>
                <w:rFonts w:ascii="Arial" w:hAnsi="Arial" w:cs="Arial"/>
                <w:sz w:val="20"/>
                <w:szCs w:val="20"/>
              </w:rPr>
              <w:t>Harisinghani</w:t>
            </w:r>
            <w:proofErr w:type="spellEnd"/>
            <w:r w:rsidRPr="00442BCE">
              <w:rPr>
                <w:rFonts w:ascii="Arial" w:hAnsi="Arial" w:cs="Arial"/>
                <w:sz w:val="20"/>
                <w:szCs w:val="20"/>
              </w:rPr>
              <w:t xml:space="preserve"> M. Reference range of liver corrected T1 values in a population at low risk for fatty liver disease-a UK Biobank sub-study, with an appendix of interesting cases. </w:t>
            </w:r>
            <w:proofErr w:type="spellStart"/>
            <w:r w:rsidRPr="00442BCE">
              <w:rPr>
                <w:rFonts w:ascii="Arial" w:hAnsi="Arial" w:cs="Arial"/>
                <w:sz w:val="20"/>
                <w:szCs w:val="20"/>
              </w:rPr>
              <w:t>Abdom</w:t>
            </w:r>
            <w:proofErr w:type="spellEnd"/>
            <w:r w:rsidRPr="00442BCE">
              <w:rPr>
                <w:rFonts w:ascii="Arial" w:hAnsi="Arial" w:cs="Arial"/>
                <w:sz w:val="20"/>
                <w:szCs w:val="20"/>
              </w:rPr>
              <w:t xml:space="preserve"> </w:t>
            </w:r>
            <w:proofErr w:type="spellStart"/>
            <w:r w:rsidRPr="00442BCE">
              <w:rPr>
                <w:rFonts w:ascii="Arial" w:hAnsi="Arial" w:cs="Arial"/>
                <w:sz w:val="20"/>
                <w:szCs w:val="20"/>
              </w:rPr>
              <w:t>Radiol</w:t>
            </w:r>
            <w:proofErr w:type="spellEnd"/>
            <w:r w:rsidRPr="00442BCE">
              <w:rPr>
                <w:rFonts w:ascii="Arial" w:hAnsi="Arial" w:cs="Arial"/>
                <w:sz w:val="20"/>
                <w:szCs w:val="20"/>
              </w:rPr>
              <w:t xml:space="preserve"> (NY). 2019;44(1):72-84. </w:t>
            </w:r>
            <w:proofErr w:type="spellStart"/>
            <w:r w:rsidRPr="00442BCE">
              <w:rPr>
                <w:rFonts w:ascii="Arial" w:hAnsi="Arial" w:cs="Arial"/>
                <w:sz w:val="20"/>
                <w:szCs w:val="20"/>
              </w:rPr>
              <w:t>doi</w:t>
            </w:r>
            <w:proofErr w:type="spellEnd"/>
            <w:r w:rsidRPr="00442BCE">
              <w:rPr>
                <w:rFonts w:ascii="Arial" w:hAnsi="Arial" w:cs="Arial"/>
                <w:sz w:val="20"/>
                <w:szCs w:val="20"/>
              </w:rPr>
              <w:t xml:space="preserve">: 10.1007/s00261-018-1701-2. </w:t>
            </w:r>
            <w:proofErr w:type="spellStart"/>
            <w:r w:rsidRPr="00442BCE">
              <w:rPr>
                <w:rFonts w:ascii="Arial" w:hAnsi="Arial" w:cs="Arial"/>
                <w:sz w:val="20"/>
                <w:szCs w:val="20"/>
              </w:rPr>
              <w:t>Epub</w:t>
            </w:r>
            <w:proofErr w:type="spellEnd"/>
            <w:r w:rsidRPr="00442BCE">
              <w:rPr>
                <w:rFonts w:ascii="Arial" w:hAnsi="Arial" w:cs="Arial"/>
                <w:sz w:val="20"/>
                <w:szCs w:val="20"/>
              </w:rPr>
              <w:t xml:space="preserve"> 2018 Jul 21. PubMed PMID: 30032383.</w:t>
            </w:r>
          </w:p>
          <w:p w14:paraId="3A7E3B26" w14:textId="77777777" w:rsidR="003F5118" w:rsidRPr="00442BCE" w:rsidRDefault="003F5118" w:rsidP="003F5118">
            <w:pPr>
              <w:pStyle w:val="ListParagraph"/>
              <w:numPr>
                <w:ilvl w:val="0"/>
                <w:numId w:val="31"/>
              </w:numPr>
              <w:ind w:left="360"/>
              <w:jc w:val="both"/>
              <w:rPr>
                <w:rFonts w:ascii="Arial" w:hAnsi="Arial" w:cs="Arial"/>
                <w:sz w:val="20"/>
                <w:szCs w:val="20"/>
              </w:rPr>
            </w:pPr>
            <w:r w:rsidRPr="00442BCE">
              <w:rPr>
                <w:rFonts w:ascii="Arial" w:hAnsi="Arial" w:cs="Arial"/>
                <w:sz w:val="20"/>
                <w:szCs w:val="20"/>
              </w:rPr>
              <w:lastRenderedPageBreak/>
              <w:t xml:space="preserve">McKay A, </w:t>
            </w:r>
            <w:proofErr w:type="spellStart"/>
            <w:r w:rsidRPr="00442BCE">
              <w:rPr>
                <w:rFonts w:ascii="Arial" w:hAnsi="Arial" w:cs="Arial"/>
                <w:sz w:val="20"/>
                <w:szCs w:val="20"/>
              </w:rPr>
              <w:t>Wilman</w:t>
            </w:r>
            <w:proofErr w:type="spellEnd"/>
            <w:r w:rsidRPr="00442BCE">
              <w:rPr>
                <w:rFonts w:ascii="Arial" w:hAnsi="Arial" w:cs="Arial"/>
                <w:sz w:val="20"/>
                <w:szCs w:val="20"/>
              </w:rPr>
              <w:t xml:space="preserve"> HR, Dennis A, Kelly M, Gyngell ML, Neubauer S, Bell JD, Banerjee R, Thomas EL. Measurement of liver iron by magnetic resonance imaging in the UK Biobank population. </w:t>
            </w:r>
            <w:proofErr w:type="spellStart"/>
            <w:r w:rsidRPr="00442BCE">
              <w:rPr>
                <w:rFonts w:ascii="Arial" w:hAnsi="Arial" w:cs="Arial"/>
                <w:sz w:val="20"/>
                <w:szCs w:val="20"/>
              </w:rPr>
              <w:t>PLoS</w:t>
            </w:r>
            <w:proofErr w:type="spellEnd"/>
            <w:r w:rsidRPr="00442BCE">
              <w:rPr>
                <w:rFonts w:ascii="Arial" w:hAnsi="Arial" w:cs="Arial"/>
                <w:sz w:val="20"/>
                <w:szCs w:val="20"/>
              </w:rPr>
              <w:t xml:space="preserve"> One. 2018;13(12</w:t>
            </w:r>
            <w:proofErr w:type="gramStart"/>
            <w:r w:rsidRPr="00442BCE">
              <w:rPr>
                <w:rFonts w:ascii="Arial" w:hAnsi="Arial" w:cs="Arial"/>
                <w:sz w:val="20"/>
                <w:szCs w:val="20"/>
              </w:rPr>
              <w:t>):e</w:t>
            </w:r>
            <w:proofErr w:type="gramEnd"/>
            <w:r w:rsidRPr="00442BCE">
              <w:rPr>
                <w:rFonts w:ascii="Arial" w:hAnsi="Arial" w:cs="Arial"/>
                <w:sz w:val="20"/>
                <w:szCs w:val="20"/>
              </w:rPr>
              <w:t>0209340. [PubMed: 30576354]</w:t>
            </w:r>
          </w:p>
          <w:p w14:paraId="35F7EA43" w14:textId="77777777" w:rsidR="003F5118" w:rsidRPr="00442BCE" w:rsidRDefault="003F5118" w:rsidP="003F5118">
            <w:pPr>
              <w:rPr>
                <w:rFonts w:ascii="Arial" w:hAnsi="Arial" w:cs="Arial"/>
                <w:sz w:val="20"/>
                <w:szCs w:val="20"/>
              </w:rPr>
            </w:pPr>
          </w:p>
        </w:tc>
      </w:tr>
      <w:tr w:rsidR="003F5118" w:rsidRPr="006375EE" w14:paraId="54EFBCC4" w14:textId="77777777" w:rsidTr="0024650F">
        <w:trPr>
          <w:trHeight w:val="225"/>
        </w:trPr>
        <w:tc>
          <w:tcPr>
            <w:tcW w:w="562" w:type="dxa"/>
          </w:tcPr>
          <w:p w14:paraId="1A7E1999" w14:textId="7E9F957C" w:rsidR="003F5118" w:rsidRPr="006658EF" w:rsidRDefault="006658EF" w:rsidP="003F5118">
            <w:pPr>
              <w:pStyle w:val="TableText1"/>
              <w:jc w:val="center"/>
              <w:rPr>
                <w:rFonts w:cs="Arial"/>
                <w:sz w:val="20"/>
                <w:szCs w:val="20"/>
              </w:rPr>
            </w:pPr>
            <w:r w:rsidRPr="006658EF">
              <w:rPr>
                <w:rFonts w:cs="Arial"/>
                <w:sz w:val="20"/>
                <w:szCs w:val="20"/>
              </w:rPr>
              <w:lastRenderedPageBreak/>
              <w:t>36</w:t>
            </w:r>
          </w:p>
        </w:tc>
        <w:tc>
          <w:tcPr>
            <w:tcW w:w="1139" w:type="dxa"/>
          </w:tcPr>
          <w:p w14:paraId="72A8B442" w14:textId="00E6F0F3" w:rsidR="003F5118" w:rsidRPr="00902CB1" w:rsidRDefault="003F5118" w:rsidP="003F5118">
            <w:pPr>
              <w:pStyle w:val="TableText1"/>
              <w:rPr>
                <w:rFonts w:cs="Arial"/>
                <w:color w:val="000000"/>
                <w:sz w:val="20"/>
                <w:szCs w:val="20"/>
              </w:rPr>
            </w:pPr>
            <w:r w:rsidRPr="00902CB1">
              <w:rPr>
                <w:rFonts w:cs="Arial"/>
                <w:color w:val="000000"/>
                <w:sz w:val="20"/>
                <w:szCs w:val="20"/>
              </w:rPr>
              <w:t>IND1</w:t>
            </w:r>
          </w:p>
        </w:tc>
        <w:tc>
          <w:tcPr>
            <w:tcW w:w="1985" w:type="dxa"/>
          </w:tcPr>
          <w:p w14:paraId="4D183239" w14:textId="17AFF51A" w:rsidR="003F5118" w:rsidRPr="00442BCE" w:rsidRDefault="003F5118" w:rsidP="003F5118">
            <w:pPr>
              <w:pStyle w:val="TableText1"/>
              <w:rPr>
                <w:rFonts w:cs="Arial"/>
                <w:b/>
                <w:sz w:val="20"/>
                <w:szCs w:val="20"/>
              </w:rPr>
            </w:pPr>
            <w:proofErr w:type="spellStart"/>
            <w:r w:rsidRPr="00442BCE">
              <w:rPr>
                <w:rFonts w:cs="Arial"/>
                <w:b/>
                <w:sz w:val="20"/>
                <w:szCs w:val="20"/>
              </w:rPr>
              <w:t>Perspectum</w:t>
            </w:r>
            <w:proofErr w:type="spellEnd"/>
            <w:r w:rsidRPr="00442BCE">
              <w:rPr>
                <w:rFonts w:cs="Arial"/>
                <w:b/>
                <w:sz w:val="20"/>
                <w:szCs w:val="20"/>
              </w:rPr>
              <w:t>® Diagnostics</w:t>
            </w:r>
          </w:p>
        </w:tc>
        <w:tc>
          <w:tcPr>
            <w:tcW w:w="11198" w:type="dxa"/>
          </w:tcPr>
          <w:p w14:paraId="545AA72F" w14:textId="77777777" w:rsidR="003F5118" w:rsidRPr="00442BCE" w:rsidRDefault="003F5118" w:rsidP="003F5118">
            <w:pPr>
              <w:jc w:val="both"/>
              <w:rPr>
                <w:rFonts w:ascii="Arial" w:hAnsi="Arial" w:cs="Arial"/>
                <w:sz w:val="20"/>
                <w:szCs w:val="20"/>
              </w:rPr>
            </w:pPr>
            <w:r w:rsidRPr="00442BCE">
              <w:rPr>
                <w:rFonts w:ascii="Arial" w:hAnsi="Arial" w:cs="Arial"/>
                <w:sz w:val="20"/>
                <w:szCs w:val="20"/>
              </w:rPr>
              <w:t xml:space="preserve">We would recommend that the NICE Indicator Advisory Committee </w:t>
            </w:r>
            <w:bookmarkStart w:id="44" w:name="_Hlk9245226"/>
            <w:r w:rsidRPr="00442BCE">
              <w:rPr>
                <w:rFonts w:ascii="Arial" w:hAnsi="Arial" w:cs="Arial"/>
                <w:sz w:val="20"/>
                <w:szCs w:val="20"/>
              </w:rPr>
              <w:t>considers the inclusion of pancreatic disease to the digestive system condition category in the multimorbidity register.</w:t>
            </w:r>
            <w:bookmarkEnd w:id="44"/>
          </w:p>
          <w:p w14:paraId="34CC8D84" w14:textId="77777777" w:rsidR="003F5118" w:rsidRPr="00442BCE" w:rsidRDefault="003F5118" w:rsidP="003F5118">
            <w:pPr>
              <w:jc w:val="both"/>
              <w:rPr>
                <w:rFonts w:ascii="Arial" w:hAnsi="Arial" w:cs="Arial"/>
                <w:sz w:val="20"/>
                <w:szCs w:val="20"/>
              </w:rPr>
            </w:pPr>
          </w:p>
          <w:p w14:paraId="265DD9D2" w14:textId="77777777" w:rsidR="003F5118" w:rsidRPr="00442BCE" w:rsidRDefault="003F5118" w:rsidP="003F5118">
            <w:pPr>
              <w:jc w:val="both"/>
              <w:rPr>
                <w:rFonts w:ascii="Arial" w:hAnsi="Arial" w:cs="Arial"/>
                <w:sz w:val="20"/>
                <w:szCs w:val="20"/>
              </w:rPr>
            </w:pPr>
            <w:r w:rsidRPr="00442BCE">
              <w:rPr>
                <w:rFonts w:ascii="Arial" w:hAnsi="Arial" w:cs="Arial"/>
                <w:sz w:val="20"/>
                <w:szCs w:val="20"/>
              </w:rPr>
              <w:t>The incidence of acute pancreatitis across Europe and the UK ranges from 4.6 to 100 cases per 100,000, respectively, and continues to rise</w:t>
            </w:r>
            <w:r w:rsidRPr="00442BCE">
              <w:rPr>
                <w:rFonts w:ascii="Arial" w:hAnsi="Arial" w:cs="Arial"/>
                <w:sz w:val="20"/>
                <w:szCs w:val="20"/>
                <w:vertAlign w:val="superscript"/>
              </w:rPr>
              <w:t>1</w:t>
            </w:r>
            <w:r w:rsidRPr="00442BCE">
              <w:rPr>
                <w:rFonts w:ascii="Arial" w:hAnsi="Arial" w:cs="Arial"/>
                <w:sz w:val="20"/>
                <w:szCs w:val="20"/>
              </w:rPr>
              <w:t>. 25% of acute pancreatitis cases are associated with kidney and respiratory failure which in severe cases can require prolonged hospital stay that carries a mortality rate of 25% (NICE Guideline on Pancreatitis, published 2018). Furthermore, chronic pancreatitis results in a significant reduction in pancreatic function and a cascade of complications including exocrine (digestive) and endocrine (diabetes) dysfunction, biliary disorders and pancreatic cancer. The development of multi-organ dysfunction is recognised as a major cause of death in acute pancreatitis</w:t>
            </w:r>
            <w:r w:rsidRPr="00442BCE">
              <w:rPr>
                <w:rFonts w:ascii="Arial" w:hAnsi="Arial" w:cs="Arial"/>
                <w:sz w:val="20"/>
                <w:szCs w:val="20"/>
                <w:vertAlign w:val="superscript"/>
              </w:rPr>
              <w:t>3</w:t>
            </w:r>
            <w:r w:rsidRPr="00442BCE">
              <w:rPr>
                <w:rFonts w:ascii="Arial" w:hAnsi="Arial" w:cs="Arial"/>
                <w:sz w:val="20"/>
                <w:szCs w:val="20"/>
              </w:rPr>
              <w:t>. An association between acute pancreatitis and increased systemic inflammation has been reported that results in increased risk of cardiovascular adverse events such as stroke and acute myocardial infarctions</w:t>
            </w:r>
            <w:r w:rsidRPr="00442BCE">
              <w:rPr>
                <w:rFonts w:ascii="Arial" w:hAnsi="Arial" w:cs="Arial"/>
                <w:sz w:val="20"/>
                <w:szCs w:val="20"/>
                <w:vertAlign w:val="superscript"/>
              </w:rPr>
              <w:t>4</w:t>
            </w:r>
            <w:r w:rsidRPr="00442BCE">
              <w:rPr>
                <w:rFonts w:ascii="Arial" w:hAnsi="Arial" w:cs="Arial"/>
                <w:sz w:val="20"/>
                <w:szCs w:val="20"/>
              </w:rPr>
              <w:t>.</w:t>
            </w:r>
          </w:p>
          <w:p w14:paraId="797A1119" w14:textId="77777777" w:rsidR="003F5118" w:rsidRPr="00442BCE" w:rsidRDefault="003F5118" w:rsidP="003F5118">
            <w:pPr>
              <w:jc w:val="both"/>
              <w:rPr>
                <w:rFonts w:ascii="Arial" w:hAnsi="Arial" w:cs="Arial"/>
                <w:sz w:val="20"/>
                <w:szCs w:val="20"/>
              </w:rPr>
            </w:pPr>
          </w:p>
          <w:p w14:paraId="5AEED4AE" w14:textId="77777777" w:rsidR="003F5118" w:rsidRPr="00442BCE" w:rsidRDefault="003F5118" w:rsidP="003F5118">
            <w:pPr>
              <w:jc w:val="both"/>
              <w:rPr>
                <w:rFonts w:ascii="Arial" w:hAnsi="Arial" w:cs="Arial"/>
                <w:sz w:val="20"/>
                <w:szCs w:val="20"/>
              </w:rPr>
            </w:pPr>
            <w:r w:rsidRPr="00442BCE">
              <w:rPr>
                <w:rFonts w:ascii="Arial" w:eastAsia="Arial" w:hAnsi="Arial" w:cs="Arial"/>
                <w:sz w:val="20"/>
                <w:szCs w:val="20"/>
              </w:rPr>
              <w:t xml:space="preserve">Typically referred to as </w:t>
            </w:r>
            <w:proofErr w:type="spellStart"/>
            <w:r w:rsidRPr="00442BCE">
              <w:rPr>
                <w:rFonts w:ascii="Arial" w:eastAsia="Arial" w:hAnsi="Arial" w:cs="Arial"/>
                <w:sz w:val="20"/>
                <w:szCs w:val="20"/>
              </w:rPr>
              <w:t>pancreatogenic</w:t>
            </w:r>
            <w:proofErr w:type="spellEnd"/>
            <w:r w:rsidRPr="00442BCE">
              <w:rPr>
                <w:rFonts w:ascii="Arial" w:eastAsia="Arial" w:hAnsi="Arial" w:cs="Arial"/>
                <w:sz w:val="20"/>
                <w:szCs w:val="20"/>
              </w:rPr>
              <w:t xml:space="preserve"> or type-3c, diabetes secondary to pancreatic disease is prevalent in around 5-10% of all western diabetics in which 80% of cases are attributed to chronic pancreatitis</w:t>
            </w:r>
            <w:r w:rsidRPr="00442BCE">
              <w:rPr>
                <w:rFonts w:ascii="Arial" w:eastAsia="Arial" w:hAnsi="Arial" w:cs="Arial"/>
                <w:sz w:val="20"/>
                <w:szCs w:val="20"/>
                <w:vertAlign w:val="superscript"/>
              </w:rPr>
              <w:t>5</w:t>
            </w:r>
            <w:r w:rsidRPr="00442BCE">
              <w:rPr>
                <w:rFonts w:ascii="Arial" w:eastAsia="Arial" w:hAnsi="Arial" w:cs="Arial"/>
                <w:sz w:val="20"/>
                <w:szCs w:val="20"/>
              </w:rPr>
              <w:t xml:space="preserve">. This means, therefore, that because chronic pancreatitis is not routinely screened for in suspected diabetics many patients are misdiagnosed, leading to a failure to receive appropriate medical therapy and increased short- and long-term health complications. Left untreated, clinical manifestations and secondary complications of type-3c diabetes are </w:t>
            </w:r>
            <w:proofErr w:type="gramStart"/>
            <w:r w:rsidRPr="00442BCE">
              <w:rPr>
                <w:rFonts w:ascii="Arial" w:eastAsia="Arial" w:hAnsi="Arial" w:cs="Arial"/>
                <w:sz w:val="20"/>
                <w:szCs w:val="20"/>
              </w:rPr>
              <w:t>similar to</w:t>
            </w:r>
            <w:proofErr w:type="gramEnd"/>
            <w:r w:rsidRPr="00442BCE">
              <w:rPr>
                <w:rFonts w:ascii="Arial" w:eastAsia="Arial" w:hAnsi="Arial" w:cs="Arial"/>
                <w:sz w:val="20"/>
                <w:szCs w:val="20"/>
              </w:rPr>
              <w:t xml:space="preserve"> those of type-1 and type-2 including retinopathy, nephropathy, neuropathy and cardiovascular disease</w:t>
            </w:r>
            <w:r w:rsidRPr="00442BCE">
              <w:rPr>
                <w:rFonts w:ascii="Arial" w:eastAsia="Arial" w:hAnsi="Arial" w:cs="Arial"/>
                <w:sz w:val="20"/>
                <w:szCs w:val="20"/>
                <w:vertAlign w:val="superscript"/>
              </w:rPr>
              <w:t>6</w:t>
            </w:r>
            <w:r w:rsidRPr="00442BCE">
              <w:rPr>
                <w:rFonts w:ascii="Arial" w:eastAsia="Arial" w:hAnsi="Arial" w:cs="Arial"/>
                <w:sz w:val="20"/>
                <w:szCs w:val="20"/>
              </w:rPr>
              <w:t>. It is reported that up to 90% of patients with chronic pancreatitis will develop type 3c diabetes mellitus</w:t>
            </w:r>
            <w:r w:rsidRPr="00442BCE">
              <w:rPr>
                <w:rFonts w:ascii="Arial" w:eastAsia="Arial" w:hAnsi="Arial" w:cs="Arial"/>
                <w:sz w:val="20"/>
                <w:szCs w:val="20"/>
                <w:vertAlign w:val="superscript"/>
              </w:rPr>
              <w:t>5</w:t>
            </w:r>
            <w:r w:rsidRPr="00442BCE">
              <w:rPr>
                <w:rFonts w:ascii="Arial" w:eastAsia="Arial" w:hAnsi="Arial" w:cs="Arial"/>
                <w:sz w:val="20"/>
                <w:szCs w:val="20"/>
              </w:rPr>
              <w:t>, emphasising the need to recognise pancreatic disease in the scope of multi-organ dysfunction. This will allow the development of specific interventional targets, personalised care and the control of secondary conditions for patients with multi-organ dysfunction.</w:t>
            </w:r>
          </w:p>
          <w:p w14:paraId="176206EF" w14:textId="77777777" w:rsidR="003F5118" w:rsidRPr="00442BCE" w:rsidRDefault="003F5118" w:rsidP="003F5118">
            <w:pPr>
              <w:rPr>
                <w:rFonts w:ascii="Arial" w:hAnsi="Arial" w:cs="Arial"/>
                <w:sz w:val="20"/>
                <w:szCs w:val="20"/>
              </w:rPr>
            </w:pPr>
          </w:p>
          <w:p w14:paraId="26B0ABA2" w14:textId="77777777" w:rsidR="003F5118" w:rsidRPr="00442BCE" w:rsidRDefault="003F5118" w:rsidP="003F5118">
            <w:pPr>
              <w:jc w:val="both"/>
              <w:rPr>
                <w:rFonts w:ascii="Arial" w:hAnsi="Arial" w:cs="Arial"/>
                <w:sz w:val="20"/>
                <w:szCs w:val="20"/>
                <w:u w:val="single"/>
              </w:rPr>
            </w:pPr>
            <w:r w:rsidRPr="00442BCE">
              <w:rPr>
                <w:rFonts w:ascii="Arial" w:hAnsi="Arial" w:cs="Arial"/>
                <w:sz w:val="20"/>
                <w:szCs w:val="20"/>
                <w:u w:val="single"/>
              </w:rPr>
              <w:t>References</w:t>
            </w:r>
          </w:p>
          <w:p w14:paraId="62B53127" w14:textId="77777777" w:rsidR="003F5118" w:rsidRPr="00442BCE" w:rsidRDefault="003F5118" w:rsidP="003F5118">
            <w:pPr>
              <w:pStyle w:val="ListParagraph"/>
              <w:numPr>
                <w:ilvl w:val="0"/>
                <w:numId w:val="32"/>
              </w:numPr>
              <w:spacing w:before="100" w:beforeAutospacing="1" w:after="100" w:afterAutospacing="1"/>
              <w:jc w:val="both"/>
              <w:rPr>
                <w:rFonts w:ascii="Arial" w:hAnsi="Arial" w:cs="Arial"/>
                <w:sz w:val="20"/>
                <w:szCs w:val="20"/>
              </w:rPr>
            </w:pPr>
            <w:r w:rsidRPr="00442BCE">
              <w:rPr>
                <w:rFonts w:ascii="Arial" w:hAnsi="Arial" w:cs="Arial"/>
                <w:sz w:val="20"/>
                <w:szCs w:val="20"/>
                <w:shd w:val="clear" w:color="auto" w:fill="FFFFFF"/>
              </w:rPr>
              <w:t>Roberts, S.E., Morrison-Rees, S., John, A., Williams, J.G., Brown, T.H. and Samuel, D.G., 2017. The incidence and aetiology of acute pancreatitis across Europe. </w:t>
            </w:r>
            <w:proofErr w:type="spellStart"/>
            <w:r w:rsidRPr="00442BCE">
              <w:rPr>
                <w:rFonts w:ascii="Arial" w:hAnsi="Arial" w:cs="Arial"/>
                <w:i/>
                <w:iCs/>
                <w:sz w:val="20"/>
                <w:szCs w:val="20"/>
              </w:rPr>
              <w:t>Pancreatology</w:t>
            </w:r>
            <w:proofErr w:type="spellEnd"/>
            <w:r w:rsidRPr="00442BCE">
              <w:rPr>
                <w:rFonts w:ascii="Arial" w:hAnsi="Arial" w:cs="Arial"/>
                <w:sz w:val="20"/>
                <w:szCs w:val="20"/>
                <w:shd w:val="clear" w:color="auto" w:fill="FFFFFF"/>
              </w:rPr>
              <w:t>, </w:t>
            </w:r>
            <w:r w:rsidRPr="00442BCE">
              <w:rPr>
                <w:rFonts w:ascii="Arial" w:hAnsi="Arial" w:cs="Arial"/>
                <w:i/>
                <w:iCs/>
                <w:sz w:val="20"/>
                <w:szCs w:val="20"/>
              </w:rPr>
              <w:t>17</w:t>
            </w:r>
            <w:r w:rsidRPr="00442BCE">
              <w:rPr>
                <w:rFonts w:ascii="Arial" w:hAnsi="Arial" w:cs="Arial"/>
                <w:sz w:val="20"/>
                <w:szCs w:val="20"/>
                <w:shd w:val="clear" w:color="auto" w:fill="FFFFFF"/>
              </w:rPr>
              <w:t>(2), pp.155-165.</w:t>
            </w:r>
          </w:p>
          <w:p w14:paraId="5C2B940F" w14:textId="77777777" w:rsidR="003F5118" w:rsidRPr="00442BCE" w:rsidRDefault="003F5118" w:rsidP="003F5118">
            <w:pPr>
              <w:pStyle w:val="ListParagraph"/>
              <w:numPr>
                <w:ilvl w:val="0"/>
                <w:numId w:val="32"/>
              </w:numPr>
              <w:spacing w:before="100" w:beforeAutospacing="1" w:after="100" w:afterAutospacing="1"/>
              <w:jc w:val="both"/>
              <w:rPr>
                <w:rFonts w:ascii="Arial" w:hAnsi="Arial" w:cs="Arial"/>
                <w:sz w:val="20"/>
                <w:szCs w:val="20"/>
              </w:rPr>
            </w:pPr>
            <w:r w:rsidRPr="00442BCE">
              <w:rPr>
                <w:rFonts w:ascii="Arial" w:hAnsi="Arial" w:cs="Arial"/>
                <w:sz w:val="20"/>
                <w:szCs w:val="20"/>
              </w:rPr>
              <w:t xml:space="preserve">NICE: Pancreatitis. 2018 </w:t>
            </w:r>
          </w:p>
          <w:p w14:paraId="0EDBFD10" w14:textId="77777777" w:rsidR="003F5118" w:rsidRPr="00442BCE" w:rsidRDefault="003F5118" w:rsidP="003F5118">
            <w:pPr>
              <w:pStyle w:val="ListParagraph"/>
              <w:numPr>
                <w:ilvl w:val="0"/>
                <w:numId w:val="32"/>
              </w:numPr>
              <w:spacing w:before="100" w:beforeAutospacing="1" w:after="100" w:afterAutospacing="1"/>
              <w:jc w:val="both"/>
              <w:rPr>
                <w:rFonts w:ascii="Arial" w:hAnsi="Arial" w:cs="Arial"/>
                <w:sz w:val="20"/>
                <w:szCs w:val="20"/>
              </w:rPr>
            </w:pPr>
            <w:proofErr w:type="spellStart"/>
            <w:r w:rsidRPr="00442BCE">
              <w:rPr>
                <w:rFonts w:ascii="Arial" w:hAnsi="Arial" w:cs="Arial"/>
                <w:sz w:val="20"/>
                <w:szCs w:val="20"/>
                <w:shd w:val="clear" w:color="auto" w:fill="FFFFFF"/>
              </w:rPr>
              <w:t>Kylänpää</w:t>
            </w:r>
            <w:proofErr w:type="spellEnd"/>
            <w:r w:rsidRPr="00442BCE">
              <w:rPr>
                <w:rFonts w:ascii="Arial" w:hAnsi="Arial" w:cs="Arial"/>
                <w:sz w:val="20"/>
                <w:szCs w:val="20"/>
                <w:shd w:val="clear" w:color="auto" w:fill="FFFFFF"/>
              </w:rPr>
              <w:t xml:space="preserve">, M.L., Repo, H. and </w:t>
            </w:r>
            <w:proofErr w:type="spellStart"/>
            <w:r w:rsidRPr="00442BCE">
              <w:rPr>
                <w:rFonts w:ascii="Arial" w:hAnsi="Arial" w:cs="Arial"/>
                <w:sz w:val="20"/>
                <w:szCs w:val="20"/>
                <w:shd w:val="clear" w:color="auto" w:fill="FFFFFF"/>
              </w:rPr>
              <w:t>Puolakkainen</w:t>
            </w:r>
            <w:proofErr w:type="spellEnd"/>
            <w:r w:rsidRPr="00442BCE">
              <w:rPr>
                <w:rFonts w:ascii="Arial" w:hAnsi="Arial" w:cs="Arial"/>
                <w:sz w:val="20"/>
                <w:szCs w:val="20"/>
                <w:shd w:val="clear" w:color="auto" w:fill="FFFFFF"/>
              </w:rPr>
              <w:t>, P.A., 2010. Inflammation and immunosuppression in severe acute pancreatitis. </w:t>
            </w:r>
            <w:r w:rsidRPr="00442BCE">
              <w:rPr>
                <w:rFonts w:ascii="Arial" w:hAnsi="Arial" w:cs="Arial"/>
                <w:i/>
                <w:iCs/>
                <w:sz w:val="20"/>
                <w:szCs w:val="20"/>
              </w:rPr>
              <w:t>World journal of gastroenterology: WJG</w:t>
            </w:r>
            <w:r w:rsidRPr="00442BCE">
              <w:rPr>
                <w:rFonts w:ascii="Arial" w:hAnsi="Arial" w:cs="Arial"/>
                <w:sz w:val="20"/>
                <w:szCs w:val="20"/>
                <w:shd w:val="clear" w:color="auto" w:fill="FFFFFF"/>
              </w:rPr>
              <w:t>, </w:t>
            </w:r>
            <w:r w:rsidRPr="00442BCE">
              <w:rPr>
                <w:rFonts w:ascii="Arial" w:hAnsi="Arial" w:cs="Arial"/>
                <w:i/>
                <w:iCs/>
                <w:sz w:val="20"/>
                <w:szCs w:val="20"/>
              </w:rPr>
              <w:t>16</w:t>
            </w:r>
            <w:r w:rsidRPr="00442BCE">
              <w:rPr>
                <w:rFonts w:ascii="Arial" w:hAnsi="Arial" w:cs="Arial"/>
                <w:sz w:val="20"/>
                <w:szCs w:val="20"/>
                <w:shd w:val="clear" w:color="auto" w:fill="FFFFFF"/>
              </w:rPr>
              <w:t>(23), p.2867.</w:t>
            </w:r>
          </w:p>
          <w:p w14:paraId="2887FAB9" w14:textId="77777777" w:rsidR="003F5118" w:rsidRPr="00442BCE" w:rsidRDefault="003F5118" w:rsidP="003F5118">
            <w:pPr>
              <w:pStyle w:val="ListParagraph"/>
              <w:numPr>
                <w:ilvl w:val="0"/>
                <w:numId w:val="32"/>
              </w:numPr>
              <w:spacing w:before="100" w:beforeAutospacing="1" w:after="100" w:afterAutospacing="1"/>
              <w:jc w:val="both"/>
              <w:rPr>
                <w:rFonts w:ascii="Arial" w:hAnsi="Arial" w:cs="Arial"/>
                <w:sz w:val="20"/>
                <w:szCs w:val="20"/>
                <w:shd w:val="clear" w:color="auto" w:fill="FFFFFF"/>
              </w:rPr>
            </w:pPr>
            <w:proofErr w:type="spellStart"/>
            <w:r w:rsidRPr="00442BCE">
              <w:rPr>
                <w:rFonts w:ascii="Arial" w:hAnsi="Arial" w:cs="Arial"/>
                <w:sz w:val="20"/>
                <w:szCs w:val="20"/>
                <w:shd w:val="clear" w:color="auto" w:fill="FFFFFF"/>
              </w:rPr>
              <w:t>Willerson</w:t>
            </w:r>
            <w:proofErr w:type="spellEnd"/>
            <w:r w:rsidRPr="00442BCE">
              <w:rPr>
                <w:rFonts w:ascii="Arial" w:hAnsi="Arial" w:cs="Arial"/>
                <w:sz w:val="20"/>
                <w:szCs w:val="20"/>
                <w:shd w:val="clear" w:color="auto" w:fill="FFFFFF"/>
              </w:rPr>
              <w:t xml:space="preserve">, J.T. and </w:t>
            </w:r>
            <w:proofErr w:type="spellStart"/>
            <w:r w:rsidRPr="00442BCE">
              <w:rPr>
                <w:rFonts w:ascii="Arial" w:hAnsi="Arial" w:cs="Arial"/>
                <w:sz w:val="20"/>
                <w:szCs w:val="20"/>
                <w:shd w:val="clear" w:color="auto" w:fill="FFFFFF"/>
              </w:rPr>
              <w:t>Ridker</w:t>
            </w:r>
            <w:proofErr w:type="spellEnd"/>
            <w:r w:rsidRPr="00442BCE">
              <w:rPr>
                <w:rFonts w:ascii="Arial" w:hAnsi="Arial" w:cs="Arial"/>
                <w:sz w:val="20"/>
                <w:szCs w:val="20"/>
                <w:shd w:val="clear" w:color="auto" w:fill="FFFFFF"/>
              </w:rPr>
              <w:t>, P.M., 2004. Inflammation as a cardiovascular risk factor. </w:t>
            </w:r>
            <w:r w:rsidRPr="00442BCE">
              <w:rPr>
                <w:rFonts w:ascii="Arial" w:hAnsi="Arial" w:cs="Arial"/>
                <w:i/>
                <w:iCs/>
                <w:sz w:val="20"/>
                <w:szCs w:val="20"/>
              </w:rPr>
              <w:t>Circulation</w:t>
            </w:r>
            <w:r w:rsidRPr="00442BCE">
              <w:rPr>
                <w:rFonts w:ascii="Arial" w:hAnsi="Arial" w:cs="Arial"/>
                <w:sz w:val="20"/>
                <w:szCs w:val="20"/>
                <w:shd w:val="clear" w:color="auto" w:fill="FFFFFF"/>
              </w:rPr>
              <w:t>, </w:t>
            </w:r>
            <w:r w:rsidRPr="00442BCE">
              <w:rPr>
                <w:rFonts w:ascii="Arial" w:hAnsi="Arial" w:cs="Arial"/>
                <w:i/>
                <w:iCs/>
                <w:sz w:val="20"/>
                <w:szCs w:val="20"/>
              </w:rPr>
              <w:t>109</w:t>
            </w:r>
            <w:r w:rsidRPr="00442BCE">
              <w:rPr>
                <w:rFonts w:ascii="Arial" w:hAnsi="Arial" w:cs="Arial"/>
                <w:sz w:val="20"/>
                <w:szCs w:val="20"/>
                <w:shd w:val="clear" w:color="auto" w:fill="FFFFFF"/>
              </w:rPr>
              <w:t xml:space="preserve">(21_suppl_1), </w:t>
            </w:r>
            <w:proofErr w:type="gramStart"/>
            <w:r w:rsidRPr="00442BCE">
              <w:rPr>
                <w:rFonts w:ascii="Arial" w:hAnsi="Arial" w:cs="Arial"/>
                <w:sz w:val="20"/>
                <w:szCs w:val="20"/>
                <w:shd w:val="clear" w:color="auto" w:fill="FFFFFF"/>
              </w:rPr>
              <w:t>pp.II</w:t>
            </w:r>
            <w:proofErr w:type="gramEnd"/>
            <w:r w:rsidRPr="00442BCE">
              <w:rPr>
                <w:rFonts w:ascii="Arial" w:hAnsi="Arial" w:cs="Arial"/>
                <w:sz w:val="20"/>
                <w:szCs w:val="20"/>
                <w:shd w:val="clear" w:color="auto" w:fill="FFFFFF"/>
              </w:rPr>
              <w:t>-2.</w:t>
            </w:r>
          </w:p>
          <w:p w14:paraId="03AA4F9F" w14:textId="77777777" w:rsidR="003F5118" w:rsidRPr="00442BCE" w:rsidRDefault="003F5118" w:rsidP="003F5118">
            <w:pPr>
              <w:pStyle w:val="ListParagraph"/>
              <w:numPr>
                <w:ilvl w:val="0"/>
                <w:numId w:val="32"/>
              </w:numPr>
              <w:spacing w:before="100" w:beforeAutospacing="1" w:after="100" w:afterAutospacing="1"/>
              <w:rPr>
                <w:rFonts w:ascii="Arial" w:hAnsi="Arial" w:cs="Arial"/>
                <w:sz w:val="20"/>
                <w:szCs w:val="20"/>
                <w:shd w:val="clear" w:color="auto" w:fill="FFFFFF"/>
              </w:rPr>
            </w:pPr>
            <w:r w:rsidRPr="00442BCE">
              <w:rPr>
                <w:rFonts w:ascii="Arial" w:hAnsi="Arial" w:cs="Arial"/>
                <w:sz w:val="20"/>
                <w:szCs w:val="20"/>
                <w:shd w:val="clear" w:color="auto" w:fill="FFFFFF"/>
              </w:rPr>
              <w:t>Ewald, N. and Hardt, P.D., 2013. Diagnosis and treatment of diabetes mellitus in chronic pancreatitis.</w:t>
            </w:r>
            <w:r w:rsidRPr="00442BCE">
              <w:rPr>
                <w:rStyle w:val="apple-converted-space"/>
                <w:rFonts w:ascii="Arial" w:hAnsi="Arial" w:cs="Arial"/>
                <w:sz w:val="20"/>
                <w:szCs w:val="20"/>
                <w:shd w:val="clear" w:color="auto" w:fill="FFFFFF"/>
              </w:rPr>
              <w:t> </w:t>
            </w:r>
            <w:r w:rsidRPr="00442BCE">
              <w:rPr>
                <w:rFonts w:ascii="Arial" w:hAnsi="Arial" w:cs="Arial"/>
                <w:i/>
                <w:iCs/>
                <w:sz w:val="20"/>
                <w:szCs w:val="20"/>
              </w:rPr>
              <w:t>World journal of gastroenterology: WJG</w:t>
            </w:r>
            <w:r w:rsidRPr="00442BCE">
              <w:rPr>
                <w:rFonts w:ascii="Arial" w:hAnsi="Arial" w:cs="Arial"/>
                <w:sz w:val="20"/>
                <w:szCs w:val="20"/>
                <w:shd w:val="clear" w:color="auto" w:fill="FFFFFF"/>
              </w:rPr>
              <w:t>,</w:t>
            </w:r>
            <w:r w:rsidRPr="00442BCE">
              <w:rPr>
                <w:rStyle w:val="apple-converted-space"/>
                <w:rFonts w:ascii="Arial" w:hAnsi="Arial" w:cs="Arial"/>
                <w:sz w:val="20"/>
                <w:szCs w:val="20"/>
                <w:shd w:val="clear" w:color="auto" w:fill="FFFFFF"/>
              </w:rPr>
              <w:t> </w:t>
            </w:r>
            <w:r w:rsidRPr="00442BCE">
              <w:rPr>
                <w:rFonts w:ascii="Arial" w:hAnsi="Arial" w:cs="Arial"/>
                <w:i/>
                <w:iCs/>
                <w:sz w:val="20"/>
                <w:szCs w:val="20"/>
              </w:rPr>
              <w:t>19</w:t>
            </w:r>
            <w:r w:rsidRPr="00442BCE">
              <w:rPr>
                <w:rFonts w:ascii="Arial" w:hAnsi="Arial" w:cs="Arial"/>
                <w:sz w:val="20"/>
                <w:szCs w:val="20"/>
                <w:shd w:val="clear" w:color="auto" w:fill="FFFFFF"/>
              </w:rPr>
              <w:t>(42), p.7276.</w:t>
            </w:r>
          </w:p>
          <w:p w14:paraId="344BA46D" w14:textId="37BD3405" w:rsidR="003F5118" w:rsidRPr="00442BCE" w:rsidRDefault="003F5118" w:rsidP="003F5118">
            <w:pPr>
              <w:rPr>
                <w:rFonts w:ascii="Arial" w:hAnsi="Arial" w:cs="Arial"/>
                <w:sz w:val="20"/>
                <w:szCs w:val="20"/>
              </w:rPr>
            </w:pPr>
            <w:proofErr w:type="spellStart"/>
            <w:r w:rsidRPr="00442BCE">
              <w:rPr>
                <w:rFonts w:ascii="Arial" w:eastAsia="Arial" w:hAnsi="Arial" w:cs="Arial"/>
                <w:sz w:val="20"/>
                <w:szCs w:val="20"/>
              </w:rPr>
              <w:lastRenderedPageBreak/>
              <w:t>Choudhuri</w:t>
            </w:r>
            <w:proofErr w:type="spellEnd"/>
            <w:r w:rsidRPr="00442BCE">
              <w:rPr>
                <w:rFonts w:ascii="Arial" w:eastAsia="Arial" w:hAnsi="Arial" w:cs="Arial"/>
                <w:sz w:val="20"/>
                <w:szCs w:val="20"/>
              </w:rPr>
              <w:t>, G., Lakshmi, C.P. and Goel, A., 2009. Pancreatic diabetes</w:t>
            </w:r>
          </w:p>
        </w:tc>
      </w:tr>
      <w:tr w:rsidR="003F5118" w:rsidRPr="006375EE" w14:paraId="40A5245F" w14:textId="77777777" w:rsidTr="0024650F">
        <w:trPr>
          <w:trHeight w:val="225"/>
        </w:trPr>
        <w:tc>
          <w:tcPr>
            <w:tcW w:w="562" w:type="dxa"/>
          </w:tcPr>
          <w:p w14:paraId="5A45C392" w14:textId="0B8A978E" w:rsidR="003F5118" w:rsidRPr="006658EF" w:rsidRDefault="006658EF" w:rsidP="003F5118">
            <w:pPr>
              <w:pStyle w:val="TableText1"/>
              <w:jc w:val="center"/>
              <w:rPr>
                <w:rFonts w:cs="Arial"/>
                <w:sz w:val="20"/>
                <w:szCs w:val="20"/>
              </w:rPr>
            </w:pPr>
            <w:r w:rsidRPr="006658EF">
              <w:rPr>
                <w:rFonts w:cs="Arial"/>
                <w:sz w:val="20"/>
                <w:szCs w:val="20"/>
              </w:rPr>
              <w:lastRenderedPageBreak/>
              <w:t>37</w:t>
            </w:r>
          </w:p>
        </w:tc>
        <w:tc>
          <w:tcPr>
            <w:tcW w:w="1139" w:type="dxa"/>
          </w:tcPr>
          <w:p w14:paraId="416CAC41" w14:textId="36B654DF" w:rsidR="003F5118" w:rsidRPr="00902CB1" w:rsidRDefault="003F5118" w:rsidP="003F5118">
            <w:pPr>
              <w:pStyle w:val="TableText1"/>
              <w:rPr>
                <w:rFonts w:cs="Arial"/>
                <w:color w:val="000000"/>
                <w:sz w:val="20"/>
                <w:szCs w:val="20"/>
              </w:rPr>
            </w:pPr>
            <w:r w:rsidRPr="00902CB1">
              <w:rPr>
                <w:rFonts w:cs="Arial"/>
                <w:color w:val="000000"/>
                <w:sz w:val="20"/>
                <w:szCs w:val="20"/>
              </w:rPr>
              <w:t>IND1</w:t>
            </w:r>
          </w:p>
        </w:tc>
        <w:tc>
          <w:tcPr>
            <w:tcW w:w="1985" w:type="dxa"/>
          </w:tcPr>
          <w:p w14:paraId="011908E4" w14:textId="70817290" w:rsidR="003F5118" w:rsidRPr="00442BCE" w:rsidRDefault="003F5118" w:rsidP="003F5118">
            <w:pPr>
              <w:pStyle w:val="TableText1"/>
              <w:rPr>
                <w:rFonts w:cs="Arial"/>
                <w:b/>
                <w:sz w:val="20"/>
                <w:szCs w:val="20"/>
              </w:rPr>
            </w:pPr>
            <w:proofErr w:type="spellStart"/>
            <w:r w:rsidRPr="00442BCE">
              <w:rPr>
                <w:rFonts w:cs="Arial"/>
                <w:b/>
                <w:sz w:val="20"/>
                <w:szCs w:val="20"/>
              </w:rPr>
              <w:t>Perspectum</w:t>
            </w:r>
            <w:proofErr w:type="spellEnd"/>
            <w:r w:rsidRPr="00442BCE">
              <w:rPr>
                <w:rFonts w:cs="Arial"/>
                <w:b/>
                <w:sz w:val="20"/>
                <w:szCs w:val="20"/>
              </w:rPr>
              <w:t>® Diagnostics</w:t>
            </w:r>
          </w:p>
        </w:tc>
        <w:tc>
          <w:tcPr>
            <w:tcW w:w="11198" w:type="dxa"/>
          </w:tcPr>
          <w:p w14:paraId="3114FAD8" w14:textId="77777777" w:rsidR="003F5118" w:rsidRPr="00442BCE" w:rsidRDefault="003F5118" w:rsidP="003F5118">
            <w:pPr>
              <w:jc w:val="both"/>
              <w:rPr>
                <w:rFonts w:ascii="Arial" w:hAnsi="Arial" w:cs="Arial"/>
                <w:sz w:val="20"/>
                <w:szCs w:val="20"/>
              </w:rPr>
            </w:pPr>
            <w:bookmarkStart w:id="45" w:name="_Hlk9246267"/>
            <w:r w:rsidRPr="00442BCE">
              <w:rPr>
                <w:rFonts w:ascii="Arial" w:hAnsi="Arial" w:cs="Arial"/>
                <w:sz w:val="20"/>
                <w:szCs w:val="20"/>
              </w:rPr>
              <w:t>Unintended consequences for implementing the Multimorbidity Registry may include adoption of new technologies that will stratify disease severity and improve treatment allocation</w:t>
            </w:r>
            <w:bookmarkEnd w:id="45"/>
            <w:r w:rsidRPr="00442BCE">
              <w:rPr>
                <w:rFonts w:ascii="Arial" w:hAnsi="Arial" w:cs="Arial"/>
                <w:sz w:val="20"/>
                <w:szCs w:val="20"/>
              </w:rPr>
              <w:t>.</w:t>
            </w:r>
          </w:p>
          <w:p w14:paraId="0CE8061D" w14:textId="77777777" w:rsidR="003F5118" w:rsidRPr="00442BCE" w:rsidRDefault="003F5118" w:rsidP="003F5118">
            <w:pPr>
              <w:jc w:val="both"/>
              <w:rPr>
                <w:rFonts w:ascii="Arial" w:hAnsi="Arial" w:cs="Arial"/>
                <w:sz w:val="20"/>
                <w:szCs w:val="20"/>
              </w:rPr>
            </w:pPr>
          </w:p>
          <w:p w14:paraId="3C3F519D" w14:textId="77777777" w:rsidR="003F5118" w:rsidRPr="00442BCE" w:rsidRDefault="003F5118" w:rsidP="003F5118">
            <w:pPr>
              <w:jc w:val="both"/>
              <w:rPr>
                <w:rFonts w:ascii="Arial" w:hAnsi="Arial" w:cs="Arial"/>
                <w:sz w:val="20"/>
                <w:szCs w:val="20"/>
              </w:rPr>
            </w:pPr>
            <w:r w:rsidRPr="00442BCE">
              <w:rPr>
                <w:rFonts w:ascii="Arial" w:hAnsi="Arial" w:cs="Arial"/>
                <w:sz w:val="20"/>
                <w:szCs w:val="20"/>
              </w:rPr>
              <w:t>There is a high workload in primary care creating an urgent need to identify and adopt new innovative and non-invasive health technology that will help transform patient management.  By enabling fast and accurate treatment allocation decisions from clinicians</w:t>
            </w:r>
            <w:r w:rsidRPr="00442BCE">
              <w:rPr>
                <w:rStyle w:val="normaltextrun"/>
                <w:rFonts w:ascii="Arial" w:hAnsi="Arial" w:cs="Arial"/>
                <w:sz w:val="20"/>
                <w:szCs w:val="20"/>
                <w:shd w:val="clear" w:color="auto" w:fill="FFFFFF"/>
              </w:rPr>
              <w:t xml:space="preserve"> and by eliminating the need for serial visits to ascertain optimal treatments, new technology has the potential to improve the patient experience and their care with reduced spending.  </w:t>
            </w:r>
            <w:r w:rsidRPr="00442BCE">
              <w:rPr>
                <w:rFonts w:ascii="Arial" w:hAnsi="Arial" w:cs="Arial"/>
                <w:sz w:val="20"/>
                <w:szCs w:val="20"/>
              </w:rPr>
              <w:t xml:space="preserve">This corresponds with NICE Guideline </w:t>
            </w:r>
            <w:hyperlink r:id="rId31" w:history="1">
              <w:r w:rsidRPr="00442BCE">
                <w:rPr>
                  <w:rStyle w:val="Hyperlink"/>
                  <w:rFonts w:ascii="Arial" w:hAnsi="Arial" w:cs="Arial"/>
                  <w:color w:val="auto"/>
                  <w:sz w:val="20"/>
                  <w:szCs w:val="20"/>
                </w:rPr>
                <w:t>multimorbidity: clinical assessment and management</w:t>
              </w:r>
            </w:hyperlink>
            <w:r w:rsidRPr="00442BCE">
              <w:rPr>
                <w:rFonts w:ascii="Arial" w:hAnsi="Arial" w:cs="Arial"/>
                <w:sz w:val="20"/>
                <w:szCs w:val="20"/>
              </w:rPr>
              <w:t xml:space="preserve"> recommendation 1.5.1 which includes ‘when offering an approach to care that takes account of multimorbidity, focus on improvement quality of life by reducing treatment burden, adverse events, and unplanned care.</w:t>
            </w:r>
          </w:p>
          <w:p w14:paraId="642ACE06" w14:textId="77777777" w:rsidR="003F5118" w:rsidRPr="00442BCE" w:rsidRDefault="003F5118" w:rsidP="003F5118">
            <w:pPr>
              <w:jc w:val="both"/>
              <w:rPr>
                <w:rStyle w:val="normaltextrun"/>
                <w:rFonts w:ascii="Arial" w:hAnsi="Arial" w:cs="Arial"/>
                <w:sz w:val="20"/>
                <w:szCs w:val="20"/>
              </w:rPr>
            </w:pPr>
            <w:r w:rsidRPr="00442BCE">
              <w:rPr>
                <w:rFonts w:ascii="Arial" w:hAnsi="Arial" w:cs="Arial"/>
                <w:sz w:val="20"/>
                <w:szCs w:val="20"/>
              </w:rPr>
              <w:br/>
            </w:r>
            <w:r w:rsidRPr="00442BCE">
              <w:rPr>
                <w:rStyle w:val="normaltextrun"/>
                <w:rFonts w:ascii="Arial" w:eastAsia="Arial" w:hAnsi="Arial" w:cs="Arial"/>
                <w:sz w:val="20"/>
                <w:szCs w:val="20"/>
              </w:rPr>
              <w:t>Currently there is a shift in the medical imaging field towards quantitative imaging to better inform clinical decision making.</w:t>
            </w:r>
            <w:r w:rsidRPr="00442BCE">
              <w:rPr>
                <w:rStyle w:val="normaltextrun"/>
                <w:rFonts w:ascii="Arial" w:hAnsi="Arial" w:cs="Arial"/>
                <w:sz w:val="20"/>
                <w:szCs w:val="20"/>
              </w:rPr>
              <w:t xml:space="preserve"> An MRI diagnostic solution has the potential to enable rapid and comprehensive stratification of type 2 diabetes and related diseases (NAFLD, CKD, CVD), arming clinicians with the information needed to personalise treatment. This also has the potential to result in NHS cost savings and improve patient experience, whilst benefiting businesses within and outside of the UK from the clinical adoption of new diagnostics and advanced treatments.</w:t>
            </w:r>
          </w:p>
          <w:p w14:paraId="592E9BC9" w14:textId="77777777" w:rsidR="003F5118" w:rsidRPr="00442BCE" w:rsidRDefault="003F5118" w:rsidP="003F5118">
            <w:pPr>
              <w:spacing w:before="100" w:beforeAutospacing="1" w:after="100" w:afterAutospacing="1"/>
              <w:jc w:val="both"/>
              <w:rPr>
                <w:rFonts w:ascii="Arial" w:hAnsi="Arial" w:cs="Arial"/>
                <w:sz w:val="20"/>
                <w:szCs w:val="20"/>
              </w:rPr>
            </w:pPr>
            <w:r w:rsidRPr="00442BCE">
              <w:rPr>
                <w:rFonts w:ascii="Arial" w:eastAsia="Arial" w:hAnsi="Arial" w:cs="Arial"/>
                <w:sz w:val="20"/>
                <w:szCs w:val="20"/>
              </w:rPr>
              <w:t>Magnetic resonance imaging (MRI) should be considered in the non-invasive assessment of adults with metabolic syndrome pathologies. Ectopic accumulation of hepatic lipids is strongly associated to the development of type-2 diabetes, hepatic insulin resistance and eventual progressive hepatic fibrosis</w:t>
            </w:r>
            <w:r w:rsidRPr="00442BCE">
              <w:rPr>
                <w:rFonts w:ascii="Arial" w:eastAsia="Arial" w:hAnsi="Arial" w:cs="Arial"/>
                <w:sz w:val="20"/>
                <w:szCs w:val="20"/>
                <w:vertAlign w:val="superscript"/>
              </w:rPr>
              <w:t xml:space="preserve"> </w:t>
            </w:r>
            <w:r w:rsidRPr="00442BCE">
              <w:rPr>
                <w:rFonts w:ascii="Arial" w:eastAsia="Arial" w:hAnsi="Arial" w:cs="Arial"/>
                <w:sz w:val="20"/>
                <w:szCs w:val="20"/>
              </w:rPr>
              <w:t>resulting in higher rates of mortality due to cirrhosis</w:t>
            </w:r>
            <w:r w:rsidRPr="00442BCE">
              <w:rPr>
                <w:rFonts w:ascii="Arial" w:eastAsia="Arial" w:hAnsi="Arial" w:cs="Arial"/>
                <w:sz w:val="20"/>
                <w:szCs w:val="20"/>
                <w:vertAlign w:val="superscript"/>
              </w:rPr>
              <w:t>1</w:t>
            </w:r>
            <w:r w:rsidRPr="00442BCE">
              <w:rPr>
                <w:rFonts w:ascii="Arial" w:eastAsia="Arial" w:hAnsi="Arial" w:cs="Arial"/>
                <w:sz w:val="20"/>
                <w:szCs w:val="20"/>
              </w:rPr>
              <w:t>.  Furthermore, an increase in microvascular defects such as retinopathy and chronic kidney disease and a 1.87-fold increase in cardiovascular adverse events associated with NAFLD in the scope of pre-existing type-2 diabetes has been reported</w:t>
            </w:r>
            <w:r w:rsidRPr="00442BCE">
              <w:rPr>
                <w:rFonts w:ascii="Arial" w:eastAsia="Arial" w:hAnsi="Arial" w:cs="Arial"/>
                <w:sz w:val="20"/>
                <w:szCs w:val="20"/>
                <w:vertAlign w:val="superscript"/>
              </w:rPr>
              <w:t>12</w:t>
            </w:r>
            <w:r w:rsidRPr="00442BCE">
              <w:rPr>
                <w:rFonts w:ascii="Arial" w:eastAsia="Arial" w:hAnsi="Arial" w:cs="Arial"/>
                <w:sz w:val="20"/>
                <w:szCs w:val="20"/>
              </w:rPr>
              <w:t>. Adult and paediatric symptoms of NAFLD may include complaints of abdominal pain (45%), vomiting (13.8%) and general fatigue</w:t>
            </w:r>
            <w:r w:rsidRPr="00442BCE">
              <w:rPr>
                <w:rFonts w:ascii="Arial" w:eastAsia="Arial" w:hAnsi="Arial" w:cs="Arial"/>
                <w:sz w:val="20"/>
                <w:szCs w:val="20"/>
                <w:vertAlign w:val="superscript"/>
              </w:rPr>
              <w:t>5</w:t>
            </w:r>
            <w:r w:rsidRPr="00442BCE">
              <w:rPr>
                <w:rFonts w:ascii="Arial" w:eastAsia="Arial" w:hAnsi="Arial" w:cs="Arial"/>
                <w:sz w:val="20"/>
                <w:szCs w:val="20"/>
              </w:rPr>
              <w:t xml:space="preserve"> although &gt;80% of patients may still present with normal liver blood tests (NICE: </w:t>
            </w:r>
            <w:r w:rsidRPr="00442BCE">
              <w:rPr>
                <w:rFonts w:ascii="Arial" w:hAnsi="Arial" w:cs="Arial"/>
                <w:sz w:val="20"/>
                <w:szCs w:val="20"/>
              </w:rPr>
              <w:t xml:space="preserve">Non-alcoholic fatty liver disease (NAFLD): assessment and management. </w:t>
            </w:r>
            <w:r w:rsidRPr="00442BCE">
              <w:rPr>
                <w:rFonts w:ascii="Arial" w:eastAsia="Arial" w:hAnsi="Arial" w:cs="Arial"/>
                <w:sz w:val="20"/>
                <w:szCs w:val="20"/>
              </w:rPr>
              <w:t>2016)</w:t>
            </w:r>
            <w:r w:rsidRPr="00442BCE">
              <w:rPr>
                <w:rFonts w:ascii="Arial" w:eastAsia="Arial" w:hAnsi="Arial" w:cs="Arial"/>
                <w:sz w:val="20"/>
                <w:szCs w:val="20"/>
                <w:vertAlign w:val="superscript"/>
              </w:rPr>
              <w:t>13</w:t>
            </w:r>
            <w:r w:rsidRPr="00442BCE">
              <w:rPr>
                <w:rFonts w:ascii="Arial" w:eastAsia="Arial" w:hAnsi="Arial" w:cs="Arial"/>
                <w:sz w:val="20"/>
                <w:szCs w:val="20"/>
              </w:rPr>
              <w:t xml:space="preserve">. </w:t>
            </w:r>
          </w:p>
          <w:p w14:paraId="6C1B6587" w14:textId="77777777" w:rsidR="003F5118" w:rsidRPr="00442BCE" w:rsidRDefault="003F5118" w:rsidP="003F5118">
            <w:pPr>
              <w:jc w:val="both"/>
              <w:rPr>
                <w:rFonts w:ascii="Arial" w:eastAsia="Arial" w:hAnsi="Arial" w:cs="Arial"/>
                <w:sz w:val="20"/>
                <w:szCs w:val="20"/>
              </w:rPr>
            </w:pPr>
            <w:r w:rsidRPr="00442BCE">
              <w:rPr>
                <w:rFonts w:ascii="Arial" w:eastAsia="Arial" w:hAnsi="Arial" w:cs="Arial"/>
                <w:sz w:val="20"/>
                <w:szCs w:val="20"/>
              </w:rPr>
              <w:t>MRI-proton density fat fraction (PDFF) has emerged as a precise and reproducible measure of liver fat and is reported to correlate well with longitudinal changes in liver histology data</w:t>
            </w:r>
            <w:r w:rsidRPr="00442BCE">
              <w:rPr>
                <w:rFonts w:ascii="Arial" w:eastAsia="Arial" w:hAnsi="Arial" w:cs="Arial"/>
                <w:sz w:val="20"/>
                <w:szCs w:val="20"/>
                <w:vertAlign w:val="superscript"/>
              </w:rPr>
              <w:t>7</w:t>
            </w:r>
            <w:r w:rsidRPr="00442BCE">
              <w:rPr>
                <w:rFonts w:ascii="Arial" w:eastAsia="Arial" w:hAnsi="Arial" w:cs="Arial"/>
                <w:sz w:val="20"/>
                <w:szCs w:val="20"/>
              </w:rPr>
              <w:t>. Furthermore, the AASLD 2018 guidelines (statement 13) recognises MRE as a clinically useful tool for the identification of advanced fibrosis in patients with NAFLD</w:t>
            </w:r>
            <w:r w:rsidRPr="00442BCE">
              <w:rPr>
                <w:rFonts w:ascii="Arial" w:eastAsia="Arial" w:hAnsi="Arial" w:cs="Arial"/>
                <w:sz w:val="20"/>
                <w:szCs w:val="20"/>
                <w:vertAlign w:val="superscript"/>
              </w:rPr>
              <w:t>15</w:t>
            </w:r>
            <w:r w:rsidRPr="00442BCE">
              <w:rPr>
                <w:rFonts w:ascii="Arial" w:eastAsia="Arial" w:hAnsi="Arial" w:cs="Arial"/>
                <w:sz w:val="20"/>
                <w:szCs w:val="20"/>
              </w:rPr>
              <w:t>. MRI-PDFF can track subtle changes in liver PDFF not detectable via liver histology examination</w:t>
            </w:r>
            <w:r w:rsidRPr="00442BCE">
              <w:rPr>
                <w:rFonts w:ascii="Arial" w:eastAsia="Arial" w:hAnsi="Arial" w:cs="Arial"/>
                <w:sz w:val="20"/>
                <w:szCs w:val="20"/>
                <w:vertAlign w:val="superscript"/>
              </w:rPr>
              <w:t>9</w:t>
            </w:r>
            <w:r w:rsidRPr="00442BCE">
              <w:rPr>
                <w:rFonts w:ascii="Arial" w:eastAsia="Arial" w:hAnsi="Arial" w:cs="Arial"/>
                <w:sz w:val="20"/>
                <w:szCs w:val="20"/>
              </w:rPr>
              <w:t>, has been correlated with diabetes in large population-based studies</w:t>
            </w:r>
            <w:r w:rsidRPr="00442BCE">
              <w:rPr>
                <w:rFonts w:ascii="Arial" w:eastAsia="Arial" w:hAnsi="Arial" w:cs="Arial"/>
                <w:sz w:val="20"/>
                <w:szCs w:val="20"/>
                <w:vertAlign w:val="superscript"/>
              </w:rPr>
              <w:t>11</w:t>
            </w:r>
            <w:r w:rsidRPr="00442BCE">
              <w:rPr>
                <w:rFonts w:ascii="Arial" w:eastAsia="Arial" w:hAnsi="Arial" w:cs="Arial"/>
                <w:sz w:val="20"/>
                <w:szCs w:val="20"/>
              </w:rPr>
              <w:t xml:space="preserve"> and demonstrates high intra- and inter-observer repeatability in obese adults and children</w:t>
            </w:r>
            <w:r w:rsidRPr="00442BCE">
              <w:rPr>
                <w:rFonts w:ascii="Arial" w:eastAsia="Arial" w:hAnsi="Arial" w:cs="Arial"/>
                <w:sz w:val="20"/>
                <w:szCs w:val="20"/>
                <w:vertAlign w:val="superscript"/>
              </w:rPr>
              <w:t>9</w:t>
            </w:r>
            <w:r w:rsidRPr="00442BCE">
              <w:rPr>
                <w:rFonts w:ascii="Arial" w:eastAsia="Arial" w:hAnsi="Arial" w:cs="Arial"/>
                <w:sz w:val="20"/>
                <w:szCs w:val="20"/>
              </w:rPr>
              <w:t>. MRI corrected T1 mapping (cT1), whereby the biasing effect of elevated iron on T1 has been mitigated, has been used as a biomarker of fibroinflammatory disease</w:t>
            </w:r>
            <w:r w:rsidRPr="00442BCE">
              <w:rPr>
                <w:rFonts w:ascii="Arial" w:eastAsia="Arial" w:hAnsi="Arial" w:cs="Arial"/>
                <w:sz w:val="20"/>
                <w:szCs w:val="20"/>
                <w:vertAlign w:val="superscript"/>
              </w:rPr>
              <w:t>2</w:t>
            </w:r>
            <w:r w:rsidRPr="00442BCE">
              <w:rPr>
                <w:rFonts w:ascii="Arial" w:eastAsia="Arial" w:hAnsi="Arial" w:cs="Arial"/>
                <w:sz w:val="20"/>
                <w:szCs w:val="20"/>
              </w:rPr>
              <w:t xml:space="preserve"> and is elevated in obese patients with Type 2 Diabetes</w:t>
            </w:r>
            <w:r w:rsidRPr="00442BCE">
              <w:rPr>
                <w:rFonts w:ascii="Arial" w:eastAsia="Arial" w:hAnsi="Arial" w:cs="Arial"/>
                <w:sz w:val="20"/>
                <w:szCs w:val="20"/>
                <w:vertAlign w:val="superscript"/>
              </w:rPr>
              <w:t>10</w:t>
            </w:r>
            <w:r w:rsidRPr="00442BCE">
              <w:rPr>
                <w:rFonts w:ascii="Arial" w:eastAsia="Arial" w:hAnsi="Arial" w:cs="Arial"/>
                <w:sz w:val="20"/>
                <w:szCs w:val="20"/>
              </w:rPr>
              <w:t>. Importantly, cT1 mapping reveals an association between diabetes and hepatic injury even in the absence of obesity</w:t>
            </w:r>
            <w:r w:rsidRPr="00442BCE">
              <w:rPr>
                <w:rFonts w:ascii="Arial" w:eastAsia="Arial" w:hAnsi="Arial" w:cs="Arial"/>
                <w:sz w:val="20"/>
                <w:szCs w:val="20"/>
                <w:vertAlign w:val="superscript"/>
              </w:rPr>
              <w:t>10</w:t>
            </w:r>
            <w:r w:rsidRPr="00442BCE">
              <w:rPr>
                <w:rFonts w:ascii="Arial" w:eastAsia="Arial" w:hAnsi="Arial" w:cs="Arial"/>
                <w:sz w:val="20"/>
                <w:szCs w:val="20"/>
              </w:rPr>
              <w:t>. cT1 has been shown to correlate with liver inflammation and fibrosis</w:t>
            </w:r>
            <w:r w:rsidRPr="00442BCE">
              <w:rPr>
                <w:rFonts w:ascii="Arial" w:eastAsia="Arial" w:hAnsi="Arial" w:cs="Arial"/>
                <w:sz w:val="20"/>
                <w:szCs w:val="20"/>
                <w:vertAlign w:val="superscript"/>
              </w:rPr>
              <w:t>2,3</w:t>
            </w:r>
            <w:r w:rsidRPr="00442BCE">
              <w:rPr>
                <w:rFonts w:ascii="Arial" w:eastAsia="Arial" w:hAnsi="Arial" w:cs="Arial"/>
                <w:sz w:val="20"/>
                <w:szCs w:val="20"/>
              </w:rPr>
              <w:t>, hepatocyte ballooning, predict clinical outcomes such as ascites, encephalopathy, liver-related death and hepatocellular carcinoma with 100 % negative predictive value</w:t>
            </w:r>
            <w:r w:rsidRPr="00442BCE">
              <w:rPr>
                <w:rFonts w:ascii="Arial" w:eastAsia="Arial" w:hAnsi="Arial" w:cs="Arial"/>
                <w:sz w:val="20"/>
                <w:szCs w:val="20"/>
                <w:vertAlign w:val="superscript"/>
              </w:rPr>
              <w:t>5</w:t>
            </w:r>
            <w:r w:rsidRPr="00442BCE">
              <w:rPr>
                <w:rFonts w:ascii="Arial" w:eastAsia="Arial" w:hAnsi="Arial" w:cs="Arial"/>
                <w:sz w:val="20"/>
                <w:szCs w:val="20"/>
              </w:rPr>
              <w:t>, and stage NAFLD/NASH</w:t>
            </w:r>
            <w:r w:rsidRPr="00442BCE">
              <w:rPr>
                <w:rFonts w:ascii="Arial" w:eastAsia="Arial" w:hAnsi="Arial" w:cs="Arial"/>
                <w:sz w:val="20"/>
                <w:szCs w:val="20"/>
                <w:vertAlign w:val="superscript"/>
              </w:rPr>
              <w:t>14</w:t>
            </w:r>
            <w:r w:rsidRPr="00442BCE">
              <w:rPr>
                <w:rFonts w:ascii="Arial" w:eastAsia="Arial" w:hAnsi="Arial" w:cs="Arial"/>
                <w:sz w:val="20"/>
                <w:szCs w:val="20"/>
              </w:rPr>
              <w:t>.</w:t>
            </w:r>
          </w:p>
          <w:p w14:paraId="7212E161" w14:textId="77777777" w:rsidR="003F5118" w:rsidRPr="00442BCE" w:rsidRDefault="003F5118" w:rsidP="003F5118">
            <w:pPr>
              <w:jc w:val="both"/>
              <w:rPr>
                <w:rStyle w:val="normaltextrun"/>
                <w:rFonts w:ascii="Arial" w:eastAsia="Arial" w:hAnsi="Arial" w:cs="Arial"/>
                <w:sz w:val="20"/>
                <w:szCs w:val="20"/>
              </w:rPr>
            </w:pPr>
            <w:r w:rsidRPr="00442BCE">
              <w:rPr>
                <w:rFonts w:ascii="Arial" w:eastAsia="Arial" w:hAnsi="Arial" w:cs="Arial"/>
                <w:sz w:val="20"/>
                <w:szCs w:val="20"/>
              </w:rPr>
              <w:t xml:space="preserve"> </w:t>
            </w:r>
          </w:p>
          <w:p w14:paraId="595D3176" w14:textId="77777777" w:rsidR="003F5118" w:rsidRPr="00442BCE" w:rsidRDefault="003F5118" w:rsidP="003F5118">
            <w:pPr>
              <w:jc w:val="both"/>
              <w:rPr>
                <w:rFonts w:ascii="Arial" w:hAnsi="Arial" w:cs="Arial"/>
                <w:sz w:val="20"/>
                <w:szCs w:val="20"/>
              </w:rPr>
            </w:pPr>
            <w:proofErr w:type="spellStart"/>
            <w:r w:rsidRPr="00442BCE">
              <w:rPr>
                <w:rStyle w:val="spellingerror"/>
                <w:rFonts w:ascii="Arial" w:hAnsi="Arial" w:cs="Arial"/>
                <w:sz w:val="20"/>
                <w:szCs w:val="20"/>
                <w:shd w:val="clear" w:color="auto" w:fill="FFFFFF"/>
              </w:rPr>
              <w:lastRenderedPageBreak/>
              <w:t>Perspectum</w:t>
            </w:r>
            <w:proofErr w:type="spellEnd"/>
            <w:r w:rsidRPr="00442BCE">
              <w:rPr>
                <w:rStyle w:val="spellingerror"/>
                <w:rFonts w:ascii="Arial" w:hAnsi="Arial" w:cs="Arial"/>
                <w:sz w:val="20"/>
                <w:szCs w:val="20"/>
                <w:shd w:val="clear" w:color="auto" w:fill="FFFFFF"/>
              </w:rPr>
              <w:t xml:space="preserve"> Diagnostics </w:t>
            </w:r>
            <w:r w:rsidRPr="00442BCE">
              <w:rPr>
                <w:rStyle w:val="normaltextrun"/>
                <w:rFonts w:ascii="Arial" w:hAnsi="Arial" w:cs="Arial"/>
                <w:sz w:val="20"/>
                <w:szCs w:val="20"/>
                <w:shd w:val="clear" w:color="auto" w:fill="FFFFFF"/>
              </w:rPr>
              <w:t xml:space="preserve"> has developed a quantitative MRI method to detect and stage early liver disease (see </w:t>
            </w:r>
            <w:hyperlink r:id="rId32" w:history="1">
              <w:r w:rsidRPr="00442BCE">
                <w:rPr>
                  <w:rStyle w:val="Hyperlink"/>
                  <w:rFonts w:ascii="Arial" w:hAnsi="Arial" w:cs="Arial"/>
                  <w:color w:val="auto"/>
                  <w:sz w:val="20"/>
                  <w:szCs w:val="20"/>
                  <w:shd w:val="clear" w:color="auto" w:fill="FFFFFF"/>
                </w:rPr>
                <w:t>MIB181 ‘</w:t>
              </w:r>
              <w:proofErr w:type="spellStart"/>
              <w:r w:rsidRPr="00442BCE">
                <w:rPr>
                  <w:rStyle w:val="Hyperlink"/>
                  <w:rFonts w:ascii="Arial" w:hAnsi="Arial" w:cs="Arial"/>
                  <w:color w:val="auto"/>
                  <w:sz w:val="20"/>
                  <w:szCs w:val="20"/>
                  <w:shd w:val="clear" w:color="auto" w:fill="FFFFFF"/>
                </w:rPr>
                <w:t>LiverMultiScan</w:t>
              </w:r>
              <w:proofErr w:type="spellEnd"/>
              <w:r w:rsidRPr="00442BCE">
                <w:rPr>
                  <w:rStyle w:val="Hyperlink"/>
                  <w:rFonts w:ascii="Arial" w:hAnsi="Arial" w:cs="Arial"/>
                  <w:color w:val="auto"/>
                  <w:sz w:val="20"/>
                  <w:szCs w:val="20"/>
                  <w:shd w:val="clear" w:color="auto" w:fill="FFFFFF"/>
                </w:rPr>
                <w:t xml:space="preserve"> for liver disease’</w:t>
              </w:r>
            </w:hyperlink>
            <w:r w:rsidRPr="00442BCE">
              <w:rPr>
                <w:rStyle w:val="normaltextrun"/>
                <w:rFonts w:ascii="Arial" w:hAnsi="Arial" w:cs="Arial"/>
                <w:sz w:val="20"/>
                <w:szCs w:val="20"/>
                <w:shd w:val="clear" w:color="auto" w:fill="FFFFFF"/>
              </w:rPr>
              <w:t xml:space="preserve">, NICE </w:t>
            </w:r>
            <w:proofErr w:type="spellStart"/>
            <w:r w:rsidRPr="00442BCE">
              <w:rPr>
                <w:rStyle w:val="normaltextrun"/>
                <w:rFonts w:ascii="Arial" w:hAnsi="Arial" w:cs="Arial"/>
                <w:sz w:val="20"/>
                <w:szCs w:val="20"/>
                <w:shd w:val="clear" w:color="auto" w:fill="FFFFFF"/>
              </w:rPr>
              <w:t>Medtech</w:t>
            </w:r>
            <w:proofErr w:type="spellEnd"/>
            <w:r w:rsidRPr="00442BCE">
              <w:rPr>
                <w:rStyle w:val="normaltextrun"/>
                <w:rFonts w:ascii="Arial" w:hAnsi="Arial" w:cs="Arial"/>
                <w:sz w:val="20"/>
                <w:szCs w:val="20"/>
                <w:shd w:val="clear" w:color="auto" w:fill="FFFFFF"/>
              </w:rPr>
              <w:t xml:space="preserve"> Innovation Briefing).  This technology is now widely used in clinical trials and is available for clinical use.</w:t>
            </w:r>
            <w:r w:rsidRPr="00442BCE">
              <w:rPr>
                <w:rFonts w:ascii="Arial" w:hAnsi="Arial" w:cs="Arial"/>
                <w:sz w:val="20"/>
                <w:szCs w:val="20"/>
              </w:rPr>
              <w:t xml:space="preserve"> </w:t>
            </w:r>
            <w:r w:rsidRPr="00442BCE">
              <w:rPr>
                <w:rFonts w:ascii="Arial" w:eastAsia="Arial" w:hAnsi="Arial" w:cs="Arial"/>
                <w:sz w:val="20"/>
                <w:szCs w:val="20"/>
              </w:rPr>
              <w:t xml:space="preserve">A significant number of surgical presentations in accident and emergency departments and emergency admissions to secondary care are due to acute biliary diseases. </w:t>
            </w:r>
            <w:proofErr w:type="spellStart"/>
            <w:r w:rsidRPr="00442BCE">
              <w:rPr>
                <w:rFonts w:ascii="Arial" w:eastAsia="Arial" w:hAnsi="Arial" w:cs="Arial"/>
                <w:sz w:val="20"/>
                <w:szCs w:val="20"/>
              </w:rPr>
              <w:t>Perspectum</w:t>
            </w:r>
            <w:proofErr w:type="spellEnd"/>
            <w:r w:rsidRPr="00442BCE">
              <w:rPr>
                <w:rFonts w:ascii="Arial" w:eastAsia="Arial" w:hAnsi="Arial" w:cs="Arial"/>
                <w:sz w:val="20"/>
                <w:szCs w:val="20"/>
              </w:rPr>
              <w:t xml:space="preserve"> Diagnostics has developed a quantitative MRI method, named MRCP+, to detect and analyse biliary tree abnormalities including dilations, stones and strictures. Increasing inpatient access to MRCP technology has reported to increase detection of complications and alternate pathologies, such as malignancy, that resulted in a 22% increase of additional interventions for patients</w:t>
            </w:r>
            <w:r w:rsidRPr="00442BCE">
              <w:rPr>
                <w:rFonts w:ascii="Arial" w:eastAsia="Arial" w:hAnsi="Arial" w:cs="Arial"/>
                <w:sz w:val="20"/>
                <w:szCs w:val="20"/>
                <w:vertAlign w:val="superscript"/>
              </w:rPr>
              <w:t>16</w:t>
            </w:r>
            <w:r w:rsidRPr="00442BCE">
              <w:rPr>
                <w:rFonts w:ascii="Arial" w:eastAsia="Arial" w:hAnsi="Arial" w:cs="Arial"/>
                <w:sz w:val="20"/>
                <w:szCs w:val="20"/>
              </w:rPr>
              <w:t>.</w:t>
            </w:r>
          </w:p>
          <w:p w14:paraId="673F5302" w14:textId="77777777" w:rsidR="003F5118" w:rsidRPr="00442BCE" w:rsidRDefault="003F5118" w:rsidP="003F5118">
            <w:pPr>
              <w:rPr>
                <w:rFonts w:ascii="Arial" w:hAnsi="Arial" w:cs="Arial"/>
                <w:sz w:val="20"/>
                <w:szCs w:val="20"/>
              </w:rPr>
            </w:pPr>
          </w:p>
          <w:p w14:paraId="03605716" w14:textId="77777777" w:rsidR="003F5118" w:rsidRPr="00442BCE" w:rsidRDefault="003F5118" w:rsidP="003F5118">
            <w:pPr>
              <w:jc w:val="both"/>
              <w:rPr>
                <w:rStyle w:val="normaltextrun"/>
                <w:rFonts w:ascii="Arial" w:hAnsi="Arial" w:cs="Arial"/>
                <w:sz w:val="20"/>
                <w:szCs w:val="20"/>
                <w:u w:val="single"/>
              </w:rPr>
            </w:pPr>
            <w:r w:rsidRPr="00442BCE">
              <w:rPr>
                <w:rStyle w:val="normaltextrun"/>
                <w:rFonts w:ascii="Arial" w:hAnsi="Arial" w:cs="Arial"/>
                <w:sz w:val="20"/>
                <w:szCs w:val="20"/>
                <w:u w:val="single"/>
              </w:rPr>
              <w:t>References</w:t>
            </w:r>
          </w:p>
          <w:p w14:paraId="21F994ED" w14:textId="77777777" w:rsidR="003F5118" w:rsidRPr="00442BCE" w:rsidRDefault="003F5118" w:rsidP="003F5118">
            <w:pPr>
              <w:pStyle w:val="ListParagraph"/>
              <w:numPr>
                <w:ilvl w:val="0"/>
                <w:numId w:val="33"/>
              </w:numPr>
              <w:spacing w:before="100" w:beforeAutospacing="1" w:after="100" w:afterAutospacing="1"/>
              <w:jc w:val="both"/>
              <w:rPr>
                <w:rFonts w:ascii="Arial" w:hAnsi="Arial" w:cs="Arial"/>
                <w:sz w:val="20"/>
                <w:szCs w:val="20"/>
              </w:rPr>
            </w:pPr>
            <w:r w:rsidRPr="00442BCE">
              <w:rPr>
                <w:rFonts w:ascii="Arial" w:eastAsia="Arial" w:hAnsi="Arial" w:cs="Arial"/>
                <w:sz w:val="20"/>
                <w:szCs w:val="20"/>
              </w:rPr>
              <w:t>Eddowes, Peter J., Natasha McDonald, N. Davies, S. I. K. Semple, T. J. Kendall, J. Hodson, P. N. Newsome et al. "Utility and cost evaluation of multiparametric magnetic resonance imaging for the assessment of non</w:t>
            </w:r>
            <w:r w:rsidRPr="00442BCE">
              <w:rPr>
                <w:rFonts w:ascii="Cambria Math" w:eastAsia="Arial" w:hAnsi="Cambria Math" w:cs="Cambria Math"/>
                <w:sz w:val="20"/>
                <w:szCs w:val="20"/>
              </w:rPr>
              <w:t>‐</w:t>
            </w:r>
            <w:r w:rsidRPr="00442BCE">
              <w:rPr>
                <w:rFonts w:ascii="Arial" w:eastAsia="Arial" w:hAnsi="Arial" w:cs="Arial"/>
                <w:sz w:val="20"/>
                <w:szCs w:val="20"/>
              </w:rPr>
              <w:t xml:space="preserve">alcoholic fatty liver disease." </w:t>
            </w:r>
            <w:r w:rsidRPr="00442BCE">
              <w:rPr>
                <w:rFonts w:ascii="Arial" w:eastAsia="Arial" w:hAnsi="Arial" w:cs="Arial"/>
                <w:i/>
                <w:iCs/>
                <w:sz w:val="20"/>
                <w:szCs w:val="20"/>
              </w:rPr>
              <w:t>Alimentary pharmacology &amp; therapeutics</w:t>
            </w:r>
            <w:r w:rsidRPr="00442BCE">
              <w:rPr>
                <w:rFonts w:ascii="Arial" w:eastAsia="Arial" w:hAnsi="Arial" w:cs="Arial"/>
                <w:sz w:val="20"/>
                <w:szCs w:val="20"/>
              </w:rPr>
              <w:t xml:space="preserve"> 47, no. 5 (2018): 631-644.</w:t>
            </w:r>
          </w:p>
          <w:p w14:paraId="7ED308D5" w14:textId="77777777" w:rsidR="003F5118" w:rsidRPr="00442BCE" w:rsidRDefault="003F5118" w:rsidP="003F5118">
            <w:pPr>
              <w:pStyle w:val="ListParagraph"/>
              <w:numPr>
                <w:ilvl w:val="0"/>
                <w:numId w:val="33"/>
              </w:numPr>
              <w:spacing w:before="100" w:beforeAutospacing="1" w:after="100" w:afterAutospacing="1"/>
              <w:jc w:val="both"/>
              <w:rPr>
                <w:rFonts w:ascii="Arial" w:hAnsi="Arial" w:cs="Arial"/>
                <w:sz w:val="20"/>
                <w:szCs w:val="20"/>
              </w:rPr>
            </w:pPr>
            <w:r w:rsidRPr="00442BCE">
              <w:rPr>
                <w:rFonts w:ascii="Arial" w:eastAsia="Arial" w:hAnsi="Arial" w:cs="Arial"/>
                <w:sz w:val="20"/>
                <w:szCs w:val="20"/>
                <w:lang w:val="en-US"/>
              </w:rPr>
              <w:t xml:space="preserve">Banerjee R, </w:t>
            </w:r>
            <w:proofErr w:type="spellStart"/>
            <w:r w:rsidRPr="00442BCE">
              <w:rPr>
                <w:rFonts w:ascii="Arial" w:eastAsia="Arial" w:hAnsi="Arial" w:cs="Arial"/>
                <w:sz w:val="20"/>
                <w:szCs w:val="20"/>
                <w:lang w:val="en-US"/>
              </w:rPr>
              <w:t>Pavlides</w:t>
            </w:r>
            <w:proofErr w:type="spellEnd"/>
            <w:r w:rsidRPr="00442BCE">
              <w:rPr>
                <w:rFonts w:ascii="Arial" w:eastAsia="Arial" w:hAnsi="Arial" w:cs="Arial"/>
                <w:sz w:val="20"/>
                <w:szCs w:val="20"/>
                <w:lang w:val="en-US"/>
              </w:rPr>
              <w:t xml:space="preserve"> M, </w:t>
            </w:r>
            <w:proofErr w:type="spellStart"/>
            <w:r w:rsidRPr="00442BCE">
              <w:rPr>
                <w:rFonts w:ascii="Arial" w:eastAsia="Arial" w:hAnsi="Arial" w:cs="Arial"/>
                <w:sz w:val="20"/>
                <w:szCs w:val="20"/>
                <w:lang w:val="en-US"/>
              </w:rPr>
              <w:t>Tunnicliffe</w:t>
            </w:r>
            <w:proofErr w:type="spellEnd"/>
            <w:r w:rsidRPr="00442BCE">
              <w:rPr>
                <w:rFonts w:ascii="Arial" w:eastAsia="Arial" w:hAnsi="Arial" w:cs="Arial"/>
                <w:sz w:val="20"/>
                <w:szCs w:val="20"/>
                <w:lang w:val="en-US"/>
              </w:rPr>
              <w:t xml:space="preserve"> EM, et al.: Multiparametric magnetic resonance for the non-invasive diagnosis of liver disease. </w:t>
            </w:r>
            <w:r w:rsidRPr="00442BCE">
              <w:rPr>
                <w:rFonts w:ascii="Arial" w:eastAsia="Arial" w:hAnsi="Arial" w:cs="Arial"/>
                <w:i/>
                <w:iCs/>
                <w:sz w:val="20"/>
                <w:szCs w:val="20"/>
                <w:lang w:val="en-US"/>
              </w:rPr>
              <w:t xml:space="preserve">J </w:t>
            </w:r>
            <w:proofErr w:type="spellStart"/>
            <w:r w:rsidRPr="00442BCE">
              <w:rPr>
                <w:rFonts w:ascii="Arial" w:eastAsia="Arial" w:hAnsi="Arial" w:cs="Arial"/>
                <w:i/>
                <w:iCs/>
                <w:sz w:val="20"/>
                <w:szCs w:val="20"/>
                <w:lang w:val="en-US"/>
              </w:rPr>
              <w:t>Hepatol</w:t>
            </w:r>
            <w:proofErr w:type="spellEnd"/>
            <w:r w:rsidRPr="00442BCE">
              <w:rPr>
                <w:rFonts w:ascii="Arial" w:eastAsia="Arial" w:hAnsi="Arial" w:cs="Arial"/>
                <w:sz w:val="20"/>
                <w:szCs w:val="20"/>
                <w:lang w:val="en-US"/>
              </w:rPr>
              <w:t xml:space="preserve"> 2014; 60:69–77.</w:t>
            </w:r>
          </w:p>
          <w:p w14:paraId="0106D130" w14:textId="77777777" w:rsidR="003F5118" w:rsidRPr="00442BCE" w:rsidRDefault="003F5118" w:rsidP="003F5118">
            <w:pPr>
              <w:pStyle w:val="ListParagraph"/>
              <w:numPr>
                <w:ilvl w:val="0"/>
                <w:numId w:val="33"/>
              </w:numPr>
              <w:spacing w:before="100" w:beforeAutospacing="1" w:after="100" w:afterAutospacing="1"/>
              <w:jc w:val="both"/>
              <w:rPr>
                <w:rFonts w:ascii="Arial" w:hAnsi="Arial" w:cs="Arial"/>
                <w:sz w:val="20"/>
                <w:szCs w:val="20"/>
              </w:rPr>
            </w:pPr>
            <w:r w:rsidRPr="00442BCE">
              <w:rPr>
                <w:rFonts w:ascii="Arial" w:eastAsia="Arial" w:hAnsi="Arial" w:cs="Arial"/>
                <w:sz w:val="20"/>
                <w:szCs w:val="20"/>
                <w:lang w:val="en-US"/>
              </w:rPr>
              <w:t>McDonald N, Eddowes P, Hodson J, et al.: Multiparametric magnetic resonance imaging for quantitation of liver disease: a two-</w:t>
            </w:r>
            <w:proofErr w:type="spellStart"/>
            <w:r w:rsidRPr="00442BCE">
              <w:rPr>
                <w:rFonts w:ascii="Arial" w:eastAsia="Arial" w:hAnsi="Arial" w:cs="Arial"/>
                <w:sz w:val="20"/>
                <w:szCs w:val="20"/>
                <w:lang w:val="en-US"/>
              </w:rPr>
              <w:t>centre</w:t>
            </w:r>
            <w:proofErr w:type="spellEnd"/>
            <w:r w:rsidRPr="00442BCE">
              <w:rPr>
                <w:rFonts w:ascii="Arial" w:eastAsia="Arial" w:hAnsi="Arial" w:cs="Arial"/>
                <w:sz w:val="20"/>
                <w:szCs w:val="20"/>
                <w:lang w:val="en-US"/>
              </w:rPr>
              <w:t xml:space="preserve"> cross-sectional observational study. </w:t>
            </w:r>
            <w:r w:rsidRPr="00442BCE">
              <w:rPr>
                <w:rFonts w:ascii="Arial" w:eastAsia="Arial" w:hAnsi="Arial" w:cs="Arial"/>
                <w:i/>
                <w:iCs/>
                <w:sz w:val="20"/>
                <w:szCs w:val="20"/>
                <w:lang w:val="en-US"/>
              </w:rPr>
              <w:t>Sci Rep</w:t>
            </w:r>
            <w:r w:rsidRPr="00442BCE">
              <w:rPr>
                <w:rFonts w:ascii="Arial" w:eastAsia="Arial" w:hAnsi="Arial" w:cs="Arial"/>
                <w:sz w:val="20"/>
                <w:szCs w:val="20"/>
                <w:lang w:val="en-US"/>
              </w:rPr>
              <w:t xml:space="preserve"> 2018; 8:9189.</w:t>
            </w:r>
          </w:p>
          <w:p w14:paraId="7D93D103" w14:textId="77777777" w:rsidR="003F5118" w:rsidRPr="00442BCE" w:rsidRDefault="003F5118" w:rsidP="003F5118">
            <w:pPr>
              <w:pStyle w:val="ListParagraph"/>
              <w:numPr>
                <w:ilvl w:val="0"/>
                <w:numId w:val="33"/>
              </w:numPr>
              <w:spacing w:before="100" w:beforeAutospacing="1" w:after="100" w:afterAutospacing="1"/>
              <w:jc w:val="both"/>
              <w:rPr>
                <w:rFonts w:ascii="Arial" w:hAnsi="Arial" w:cs="Arial"/>
                <w:sz w:val="20"/>
                <w:szCs w:val="20"/>
              </w:rPr>
            </w:pPr>
            <w:proofErr w:type="spellStart"/>
            <w:r w:rsidRPr="00442BCE">
              <w:rPr>
                <w:rFonts w:ascii="Arial" w:eastAsia="Arial" w:hAnsi="Arial" w:cs="Arial"/>
                <w:sz w:val="20"/>
                <w:szCs w:val="20"/>
                <w:lang w:val="en-US"/>
              </w:rPr>
              <w:t>Pavlides</w:t>
            </w:r>
            <w:proofErr w:type="spellEnd"/>
            <w:r w:rsidRPr="00442BCE">
              <w:rPr>
                <w:rFonts w:ascii="Arial" w:eastAsia="Arial" w:hAnsi="Arial" w:cs="Arial"/>
                <w:sz w:val="20"/>
                <w:szCs w:val="20"/>
                <w:lang w:val="en-US"/>
              </w:rPr>
              <w:t xml:space="preserve"> M, Banerjee R, </w:t>
            </w:r>
            <w:proofErr w:type="spellStart"/>
            <w:r w:rsidRPr="00442BCE">
              <w:rPr>
                <w:rFonts w:ascii="Arial" w:eastAsia="Arial" w:hAnsi="Arial" w:cs="Arial"/>
                <w:sz w:val="20"/>
                <w:szCs w:val="20"/>
                <w:lang w:val="en-US"/>
              </w:rPr>
              <w:t>Sellwood</w:t>
            </w:r>
            <w:proofErr w:type="spellEnd"/>
            <w:r w:rsidRPr="00442BCE">
              <w:rPr>
                <w:rFonts w:ascii="Arial" w:eastAsia="Arial" w:hAnsi="Arial" w:cs="Arial"/>
                <w:sz w:val="20"/>
                <w:szCs w:val="20"/>
                <w:lang w:val="en-US"/>
              </w:rPr>
              <w:t xml:space="preserve"> J, et al.: Multiparametric magnetic resonance imaging predicts clinical outcomes in patients with chronic liver disease. </w:t>
            </w:r>
            <w:r w:rsidRPr="00442BCE">
              <w:rPr>
                <w:rFonts w:ascii="Arial" w:eastAsia="Arial" w:hAnsi="Arial" w:cs="Arial"/>
                <w:i/>
                <w:iCs/>
                <w:sz w:val="20"/>
                <w:szCs w:val="20"/>
                <w:lang w:val="en-US"/>
              </w:rPr>
              <w:t xml:space="preserve">J </w:t>
            </w:r>
            <w:proofErr w:type="spellStart"/>
            <w:r w:rsidRPr="00442BCE">
              <w:rPr>
                <w:rFonts w:ascii="Arial" w:eastAsia="Arial" w:hAnsi="Arial" w:cs="Arial"/>
                <w:i/>
                <w:iCs/>
                <w:sz w:val="20"/>
                <w:szCs w:val="20"/>
                <w:lang w:val="en-US"/>
              </w:rPr>
              <w:t>Hepatol</w:t>
            </w:r>
            <w:proofErr w:type="spellEnd"/>
            <w:r w:rsidRPr="00442BCE">
              <w:rPr>
                <w:rFonts w:ascii="Arial" w:eastAsia="Arial" w:hAnsi="Arial" w:cs="Arial"/>
                <w:sz w:val="20"/>
                <w:szCs w:val="20"/>
                <w:lang w:val="en-US"/>
              </w:rPr>
              <w:t xml:space="preserve"> 2016; 64:308–315.</w:t>
            </w:r>
            <w:r w:rsidRPr="00442BCE">
              <w:rPr>
                <w:rFonts w:ascii="Arial" w:eastAsia="Arial" w:hAnsi="Arial" w:cs="Arial"/>
                <w:sz w:val="20"/>
                <w:szCs w:val="20"/>
              </w:rPr>
              <w:t xml:space="preserve">Zubair, R., Mirza, M., Iftikhar, J. and Saeed, N., 2018. Frequency of incidental fatty liver on ultrasound and its association with diabetes mellitus and hypertension. </w:t>
            </w:r>
            <w:r w:rsidRPr="00442BCE">
              <w:rPr>
                <w:rFonts w:ascii="Arial" w:eastAsia="Arial" w:hAnsi="Arial" w:cs="Arial"/>
                <w:i/>
                <w:iCs/>
                <w:sz w:val="20"/>
                <w:szCs w:val="20"/>
              </w:rPr>
              <w:t>Pakistan journal of medical sciences</w:t>
            </w:r>
            <w:r w:rsidRPr="00442BCE">
              <w:rPr>
                <w:rFonts w:ascii="Arial" w:eastAsia="Arial" w:hAnsi="Arial" w:cs="Arial"/>
                <w:sz w:val="20"/>
                <w:szCs w:val="20"/>
              </w:rPr>
              <w:t xml:space="preserve">, </w:t>
            </w:r>
            <w:r w:rsidRPr="00442BCE">
              <w:rPr>
                <w:rFonts w:ascii="Arial" w:eastAsia="Arial" w:hAnsi="Arial" w:cs="Arial"/>
                <w:i/>
                <w:iCs/>
                <w:sz w:val="20"/>
                <w:szCs w:val="20"/>
              </w:rPr>
              <w:t>34</w:t>
            </w:r>
            <w:r w:rsidRPr="00442BCE">
              <w:rPr>
                <w:rFonts w:ascii="Arial" w:eastAsia="Arial" w:hAnsi="Arial" w:cs="Arial"/>
                <w:sz w:val="20"/>
                <w:szCs w:val="20"/>
              </w:rPr>
              <w:t>(5), p.1137.</w:t>
            </w:r>
          </w:p>
          <w:p w14:paraId="2AC6513C" w14:textId="77777777" w:rsidR="003F5118" w:rsidRPr="00442BCE" w:rsidRDefault="003F5118" w:rsidP="003F5118">
            <w:pPr>
              <w:pStyle w:val="ListParagraph"/>
              <w:numPr>
                <w:ilvl w:val="0"/>
                <w:numId w:val="33"/>
              </w:numPr>
              <w:spacing w:before="100" w:beforeAutospacing="1" w:after="100" w:afterAutospacing="1"/>
              <w:jc w:val="both"/>
              <w:rPr>
                <w:rFonts w:ascii="Arial" w:hAnsi="Arial" w:cs="Arial"/>
                <w:sz w:val="20"/>
                <w:szCs w:val="20"/>
              </w:rPr>
            </w:pPr>
            <w:r w:rsidRPr="00442BCE">
              <w:rPr>
                <w:rFonts w:ascii="Arial" w:eastAsia="Arial" w:hAnsi="Arial" w:cs="Arial"/>
                <w:sz w:val="20"/>
                <w:szCs w:val="20"/>
              </w:rPr>
              <w:t xml:space="preserve">Bamberg, F., </w:t>
            </w:r>
            <w:proofErr w:type="spellStart"/>
            <w:r w:rsidRPr="00442BCE">
              <w:rPr>
                <w:rFonts w:ascii="Arial" w:eastAsia="Arial" w:hAnsi="Arial" w:cs="Arial"/>
                <w:sz w:val="20"/>
                <w:szCs w:val="20"/>
              </w:rPr>
              <w:t>Hetterich</w:t>
            </w:r>
            <w:proofErr w:type="spellEnd"/>
            <w:r w:rsidRPr="00442BCE">
              <w:rPr>
                <w:rFonts w:ascii="Arial" w:eastAsia="Arial" w:hAnsi="Arial" w:cs="Arial"/>
                <w:sz w:val="20"/>
                <w:szCs w:val="20"/>
              </w:rPr>
              <w:t xml:space="preserve">, H., </w:t>
            </w:r>
            <w:proofErr w:type="spellStart"/>
            <w:r w:rsidRPr="00442BCE">
              <w:rPr>
                <w:rFonts w:ascii="Arial" w:eastAsia="Arial" w:hAnsi="Arial" w:cs="Arial"/>
                <w:sz w:val="20"/>
                <w:szCs w:val="20"/>
              </w:rPr>
              <w:t>Rospleszcz</w:t>
            </w:r>
            <w:proofErr w:type="spellEnd"/>
            <w:r w:rsidRPr="00442BCE">
              <w:rPr>
                <w:rFonts w:ascii="Arial" w:eastAsia="Arial" w:hAnsi="Arial" w:cs="Arial"/>
                <w:sz w:val="20"/>
                <w:szCs w:val="20"/>
              </w:rPr>
              <w:t xml:space="preserve">, S., </w:t>
            </w:r>
            <w:proofErr w:type="spellStart"/>
            <w:r w:rsidRPr="00442BCE">
              <w:rPr>
                <w:rFonts w:ascii="Arial" w:eastAsia="Arial" w:hAnsi="Arial" w:cs="Arial"/>
                <w:sz w:val="20"/>
                <w:szCs w:val="20"/>
              </w:rPr>
              <w:t>Lorbeer</w:t>
            </w:r>
            <w:proofErr w:type="spellEnd"/>
            <w:r w:rsidRPr="00442BCE">
              <w:rPr>
                <w:rFonts w:ascii="Arial" w:eastAsia="Arial" w:hAnsi="Arial" w:cs="Arial"/>
                <w:sz w:val="20"/>
                <w:szCs w:val="20"/>
              </w:rPr>
              <w:t xml:space="preserve">, R., </w:t>
            </w:r>
            <w:proofErr w:type="spellStart"/>
            <w:r w:rsidRPr="00442BCE">
              <w:rPr>
                <w:rFonts w:ascii="Arial" w:eastAsia="Arial" w:hAnsi="Arial" w:cs="Arial"/>
                <w:sz w:val="20"/>
                <w:szCs w:val="20"/>
              </w:rPr>
              <w:t>Auweter</w:t>
            </w:r>
            <w:proofErr w:type="spellEnd"/>
            <w:r w:rsidRPr="00442BCE">
              <w:rPr>
                <w:rFonts w:ascii="Arial" w:eastAsia="Arial" w:hAnsi="Arial" w:cs="Arial"/>
                <w:sz w:val="20"/>
                <w:szCs w:val="20"/>
              </w:rPr>
              <w:t xml:space="preserve">, S.D., </w:t>
            </w:r>
            <w:proofErr w:type="spellStart"/>
            <w:r w:rsidRPr="00442BCE">
              <w:rPr>
                <w:rFonts w:ascii="Arial" w:eastAsia="Arial" w:hAnsi="Arial" w:cs="Arial"/>
                <w:sz w:val="20"/>
                <w:szCs w:val="20"/>
              </w:rPr>
              <w:t>Schlett</w:t>
            </w:r>
            <w:proofErr w:type="spellEnd"/>
            <w:r w:rsidRPr="00442BCE">
              <w:rPr>
                <w:rFonts w:ascii="Arial" w:eastAsia="Arial" w:hAnsi="Arial" w:cs="Arial"/>
                <w:sz w:val="20"/>
                <w:szCs w:val="20"/>
              </w:rPr>
              <w:t xml:space="preserve">, C.L., </w:t>
            </w:r>
            <w:proofErr w:type="spellStart"/>
            <w:r w:rsidRPr="00442BCE">
              <w:rPr>
                <w:rFonts w:ascii="Arial" w:eastAsia="Arial" w:hAnsi="Arial" w:cs="Arial"/>
                <w:sz w:val="20"/>
                <w:szCs w:val="20"/>
              </w:rPr>
              <w:t>Schafnitzel</w:t>
            </w:r>
            <w:proofErr w:type="spellEnd"/>
            <w:r w:rsidRPr="00442BCE">
              <w:rPr>
                <w:rFonts w:ascii="Arial" w:eastAsia="Arial" w:hAnsi="Arial" w:cs="Arial"/>
                <w:sz w:val="20"/>
                <w:szCs w:val="20"/>
              </w:rPr>
              <w:t xml:space="preserve">, A., </w:t>
            </w:r>
            <w:proofErr w:type="spellStart"/>
            <w:r w:rsidRPr="00442BCE">
              <w:rPr>
                <w:rFonts w:ascii="Arial" w:eastAsia="Arial" w:hAnsi="Arial" w:cs="Arial"/>
                <w:sz w:val="20"/>
                <w:szCs w:val="20"/>
              </w:rPr>
              <w:t>Bayerl</w:t>
            </w:r>
            <w:proofErr w:type="spellEnd"/>
            <w:r w:rsidRPr="00442BCE">
              <w:rPr>
                <w:rFonts w:ascii="Arial" w:eastAsia="Arial" w:hAnsi="Arial" w:cs="Arial"/>
                <w:sz w:val="20"/>
                <w:szCs w:val="20"/>
              </w:rPr>
              <w:t xml:space="preserve">, C., Schindler, A., </w:t>
            </w:r>
            <w:proofErr w:type="spellStart"/>
            <w:r w:rsidRPr="00442BCE">
              <w:rPr>
                <w:rFonts w:ascii="Arial" w:eastAsia="Arial" w:hAnsi="Arial" w:cs="Arial"/>
                <w:sz w:val="20"/>
                <w:szCs w:val="20"/>
              </w:rPr>
              <w:t>Saam</w:t>
            </w:r>
            <w:proofErr w:type="spellEnd"/>
            <w:r w:rsidRPr="00442BCE">
              <w:rPr>
                <w:rFonts w:ascii="Arial" w:eastAsia="Arial" w:hAnsi="Arial" w:cs="Arial"/>
                <w:sz w:val="20"/>
                <w:szCs w:val="20"/>
              </w:rPr>
              <w:t>, T. and Müller-</w:t>
            </w:r>
            <w:proofErr w:type="spellStart"/>
            <w:r w:rsidRPr="00442BCE">
              <w:rPr>
                <w:rFonts w:ascii="Arial" w:eastAsia="Arial" w:hAnsi="Arial" w:cs="Arial"/>
                <w:sz w:val="20"/>
                <w:szCs w:val="20"/>
              </w:rPr>
              <w:t>Peltzer</w:t>
            </w:r>
            <w:proofErr w:type="spellEnd"/>
            <w:r w:rsidRPr="00442BCE">
              <w:rPr>
                <w:rFonts w:ascii="Arial" w:eastAsia="Arial" w:hAnsi="Arial" w:cs="Arial"/>
                <w:sz w:val="20"/>
                <w:szCs w:val="20"/>
              </w:rPr>
              <w:t xml:space="preserve">, K., 2017. Subclinical disease burden as assessed by whole-body MRI in subjects with prediabetes, subjects with diabetes, and normal control subjects from the general population: the KORA-MRI study. </w:t>
            </w:r>
            <w:r w:rsidRPr="00442BCE">
              <w:rPr>
                <w:rFonts w:ascii="Arial" w:eastAsia="Arial" w:hAnsi="Arial" w:cs="Arial"/>
                <w:i/>
                <w:iCs/>
                <w:sz w:val="20"/>
                <w:szCs w:val="20"/>
              </w:rPr>
              <w:t>Diabetes</w:t>
            </w:r>
            <w:r w:rsidRPr="00442BCE">
              <w:rPr>
                <w:rFonts w:ascii="Arial" w:eastAsia="Arial" w:hAnsi="Arial" w:cs="Arial"/>
                <w:sz w:val="20"/>
                <w:szCs w:val="20"/>
              </w:rPr>
              <w:t xml:space="preserve">, </w:t>
            </w:r>
            <w:r w:rsidRPr="00442BCE">
              <w:rPr>
                <w:rFonts w:ascii="Arial" w:eastAsia="Arial" w:hAnsi="Arial" w:cs="Arial"/>
                <w:i/>
                <w:iCs/>
                <w:sz w:val="20"/>
                <w:szCs w:val="20"/>
              </w:rPr>
              <w:t>66</w:t>
            </w:r>
            <w:r w:rsidRPr="00442BCE">
              <w:rPr>
                <w:rFonts w:ascii="Arial" w:eastAsia="Arial" w:hAnsi="Arial" w:cs="Arial"/>
                <w:sz w:val="20"/>
                <w:szCs w:val="20"/>
              </w:rPr>
              <w:t>(1), pp.158-169.</w:t>
            </w:r>
          </w:p>
          <w:p w14:paraId="15273474" w14:textId="77777777" w:rsidR="003F5118" w:rsidRPr="00442BCE" w:rsidRDefault="003F5118" w:rsidP="003F5118">
            <w:pPr>
              <w:pStyle w:val="ListParagraph"/>
              <w:numPr>
                <w:ilvl w:val="0"/>
                <w:numId w:val="33"/>
              </w:numPr>
              <w:spacing w:before="100" w:beforeAutospacing="1" w:after="100" w:afterAutospacing="1"/>
              <w:jc w:val="both"/>
              <w:rPr>
                <w:rFonts w:ascii="Arial" w:hAnsi="Arial" w:cs="Arial"/>
                <w:sz w:val="20"/>
                <w:szCs w:val="20"/>
              </w:rPr>
            </w:pPr>
            <w:r w:rsidRPr="00442BCE">
              <w:rPr>
                <w:rFonts w:ascii="Arial" w:eastAsia="Arial" w:hAnsi="Arial" w:cs="Arial"/>
                <w:sz w:val="20"/>
                <w:szCs w:val="20"/>
              </w:rPr>
              <w:t xml:space="preserve">Patel, J., Bettencourt, R., Cui, J., </w:t>
            </w:r>
            <w:proofErr w:type="spellStart"/>
            <w:r w:rsidRPr="00442BCE">
              <w:rPr>
                <w:rFonts w:ascii="Arial" w:eastAsia="Arial" w:hAnsi="Arial" w:cs="Arial"/>
                <w:sz w:val="20"/>
                <w:szCs w:val="20"/>
              </w:rPr>
              <w:t>Salotti</w:t>
            </w:r>
            <w:proofErr w:type="spellEnd"/>
            <w:r w:rsidRPr="00442BCE">
              <w:rPr>
                <w:rFonts w:ascii="Arial" w:eastAsia="Arial" w:hAnsi="Arial" w:cs="Arial"/>
                <w:sz w:val="20"/>
                <w:szCs w:val="20"/>
              </w:rPr>
              <w:t xml:space="preserve">, J., Hooker, J., Bhatt, A., Hernandez, C., Nguyen, P., </w:t>
            </w:r>
            <w:proofErr w:type="spellStart"/>
            <w:r w:rsidRPr="00442BCE">
              <w:rPr>
                <w:rFonts w:ascii="Arial" w:eastAsia="Arial" w:hAnsi="Arial" w:cs="Arial"/>
                <w:sz w:val="20"/>
                <w:szCs w:val="20"/>
              </w:rPr>
              <w:t>Aryafar</w:t>
            </w:r>
            <w:proofErr w:type="spellEnd"/>
            <w:r w:rsidRPr="00442BCE">
              <w:rPr>
                <w:rFonts w:ascii="Arial" w:eastAsia="Arial" w:hAnsi="Arial" w:cs="Arial"/>
                <w:sz w:val="20"/>
                <w:szCs w:val="20"/>
              </w:rPr>
              <w:t xml:space="preserve">, H., </w:t>
            </w:r>
            <w:proofErr w:type="spellStart"/>
            <w:r w:rsidRPr="00442BCE">
              <w:rPr>
                <w:rFonts w:ascii="Arial" w:eastAsia="Arial" w:hAnsi="Arial" w:cs="Arial"/>
                <w:sz w:val="20"/>
                <w:szCs w:val="20"/>
              </w:rPr>
              <w:t>Valasek</w:t>
            </w:r>
            <w:proofErr w:type="spellEnd"/>
            <w:r w:rsidRPr="00442BCE">
              <w:rPr>
                <w:rFonts w:ascii="Arial" w:eastAsia="Arial" w:hAnsi="Arial" w:cs="Arial"/>
                <w:sz w:val="20"/>
                <w:szCs w:val="20"/>
              </w:rPr>
              <w:t xml:space="preserve">, M. and </w:t>
            </w:r>
            <w:proofErr w:type="spellStart"/>
            <w:r w:rsidRPr="00442BCE">
              <w:rPr>
                <w:rFonts w:ascii="Arial" w:eastAsia="Arial" w:hAnsi="Arial" w:cs="Arial"/>
                <w:sz w:val="20"/>
                <w:szCs w:val="20"/>
              </w:rPr>
              <w:t>Haufe</w:t>
            </w:r>
            <w:proofErr w:type="spellEnd"/>
            <w:r w:rsidRPr="00442BCE">
              <w:rPr>
                <w:rFonts w:ascii="Arial" w:eastAsia="Arial" w:hAnsi="Arial" w:cs="Arial"/>
                <w:sz w:val="20"/>
                <w:szCs w:val="20"/>
              </w:rPr>
              <w:t xml:space="preserve">, W., 2016. Association of </w:t>
            </w:r>
            <w:proofErr w:type="spellStart"/>
            <w:r w:rsidRPr="00442BCE">
              <w:rPr>
                <w:rFonts w:ascii="Arial" w:eastAsia="Arial" w:hAnsi="Arial" w:cs="Arial"/>
                <w:sz w:val="20"/>
                <w:szCs w:val="20"/>
              </w:rPr>
              <w:t>noninvasive</w:t>
            </w:r>
            <w:proofErr w:type="spellEnd"/>
            <w:r w:rsidRPr="00442BCE">
              <w:rPr>
                <w:rFonts w:ascii="Arial" w:eastAsia="Arial" w:hAnsi="Arial" w:cs="Arial"/>
                <w:sz w:val="20"/>
                <w:szCs w:val="20"/>
              </w:rPr>
              <w:t xml:space="preserve"> quantitative decline in liver fat content on MRI with histologic response in </w:t>
            </w:r>
            <w:proofErr w:type="spellStart"/>
            <w:r w:rsidRPr="00442BCE">
              <w:rPr>
                <w:rFonts w:ascii="Arial" w:eastAsia="Arial" w:hAnsi="Arial" w:cs="Arial"/>
                <w:sz w:val="20"/>
                <w:szCs w:val="20"/>
              </w:rPr>
              <w:t>nonalcoholic</w:t>
            </w:r>
            <w:proofErr w:type="spellEnd"/>
            <w:r w:rsidRPr="00442BCE">
              <w:rPr>
                <w:rFonts w:ascii="Arial" w:eastAsia="Arial" w:hAnsi="Arial" w:cs="Arial"/>
                <w:sz w:val="20"/>
                <w:szCs w:val="20"/>
              </w:rPr>
              <w:t xml:space="preserve"> steatohepatitis. </w:t>
            </w:r>
            <w:r w:rsidRPr="00442BCE">
              <w:rPr>
                <w:rFonts w:ascii="Arial" w:eastAsia="Arial" w:hAnsi="Arial" w:cs="Arial"/>
                <w:i/>
                <w:iCs/>
                <w:sz w:val="20"/>
                <w:szCs w:val="20"/>
              </w:rPr>
              <w:t>Therapeutic advances in gastroenterology</w:t>
            </w:r>
            <w:r w:rsidRPr="00442BCE">
              <w:rPr>
                <w:rFonts w:ascii="Arial" w:eastAsia="Arial" w:hAnsi="Arial" w:cs="Arial"/>
                <w:sz w:val="20"/>
                <w:szCs w:val="20"/>
              </w:rPr>
              <w:t xml:space="preserve">, </w:t>
            </w:r>
            <w:r w:rsidRPr="00442BCE">
              <w:rPr>
                <w:rFonts w:ascii="Arial" w:eastAsia="Arial" w:hAnsi="Arial" w:cs="Arial"/>
                <w:i/>
                <w:iCs/>
                <w:sz w:val="20"/>
                <w:szCs w:val="20"/>
              </w:rPr>
              <w:t>9</w:t>
            </w:r>
            <w:r w:rsidRPr="00442BCE">
              <w:rPr>
                <w:rFonts w:ascii="Arial" w:eastAsia="Arial" w:hAnsi="Arial" w:cs="Arial"/>
                <w:sz w:val="20"/>
                <w:szCs w:val="20"/>
              </w:rPr>
              <w:t>(5), pp.692-701.</w:t>
            </w:r>
          </w:p>
          <w:p w14:paraId="1C140ED3" w14:textId="77777777" w:rsidR="003F5118" w:rsidRPr="00442BCE" w:rsidRDefault="003F5118" w:rsidP="003F5118">
            <w:pPr>
              <w:pStyle w:val="ListParagraph"/>
              <w:numPr>
                <w:ilvl w:val="0"/>
                <w:numId w:val="33"/>
              </w:numPr>
              <w:spacing w:before="100" w:beforeAutospacing="1" w:after="100" w:afterAutospacing="1"/>
              <w:jc w:val="both"/>
              <w:rPr>
                <w:rFonts w:ascii="Arial" w:hAnsi="Arial" w:cs="Arial"/>
                <w:sz w:val="20"/>
                <w:szCs w:val="20"/>
              </w:rPr>
            </w:pPr>
            <w:r w:rsidRPr="00442BCE">
              <w:rPr>
                <w:rFonts w:ascii="Arial" w:eastAsia="Arial" w:hAnsi="Arial" w:cs="Arial"/>
                <w:sz w:val="20"/>
                <w:szCs w:val="20"/>
              </w:rPr>
              <w:t>Le, Thuy</w:t>
            </w:r>
            <w:r w:rsidRPr="00442BCE">
              <w:rPr>
                <w:rFonts w:ascii="Cambria Math" w:eastAsia="Arial" w:hAnsi="Cambria Math" w:cs="Cambria Math"/>
                <w:sz w:val="20"/>
                <w:szCs w:val="20"/>
              </w:rPr>
              <w:t>‐</w:t>
            </w:r>
            <w:r w:rsidRPr="00442BCE">
              <w:rPr>
                <w:rFonts w:ascii="Arial" w:eastAsia="Arial" w:hAnsi="Arial" w:cs="Arial"/>
                <w:sz w:val="20"/>
                <w:szCs w:val="20"/>
              </w:rPr>
              <w:t xml:space="preserve">Anh, Joshua Chen, Christopher </w:t>
            </w:r>
            <w:proofErr w:type="spellStart"/>
            <w:r w:rsidRPr="00442BCE">
              <w:rPr>
                <w:rFonts w:ascii="Arial" w:eastAsia="Arial" w:hAnsi="Arial" w:cs="Arial"/>
                <w:sz w:val="20"/>
                <w:szCs w:val="20"/>
              </w:rPr>
              <w:t>Changchien</w:t>
            </w:r>
            <w:proofErr w:type="spellEnd"/>
            <w:r w:rsidRPr="00442BCE">
              <w:rPr>
                <w:rFonts w:ascii="Arial" w:eastAsia="Arial" w:hAnsi="Arial" w:cs="Arial"/>
                <w:sz w:val="20"/>
                <w:szCs w:val="20"/>
              </w:rPr>
              <w:t xml:space="preserve">, Michael R. Peterson, Yuko </w:t>
            </w:r>
            <w:proofErr w:type="spellStart"/>
            <w:r w:rsidRPr="00442BCE">
              <w:rPr>
                <w:rFonts w:ascii="Arial" w:eastAsia="Arial" w:hAnsi="Arial" w:cs="Arial"/>
                <w:sz w:val="20"/>
                <w:szCs w:val="20"/>
              </w:rPr>
              <w:t>Kono</w:t>
            </w:r>
            <w:proofErr w:type="spellEnd"/>
            <w:r w:rsidRPr="00442BCE">
              <w:rPr>
                <w:rFonts w:ascii="Arial" w:eastAsia="Arial" w:hAnsi="Arial" w:cs="Arial"/>
                <w:sz w:val="20"/>
                <w:szCs w:val="20"/>
              </w:rPr>
              <w:t xml:space="preserve">, Heather Patton, Benjamin L. Cohen et al. "Effect of </w:t>
            </w:r>
            <w:proofErr w:type="spellStart"/>
            <w:r w:rsidRPr="00442BCE">
              <w:rPr>
                <w:rFonts w:ascii="Arial" w:eastAsia="Arial" w:hAnsi="Arial" w:cs="Arial"/>
                <w:sz w:val="20"/>
                <w:szCs w:val="20"/>
              </w:rPr>
              <w:t>colesevelam</w:t>
            </w:r>
            <w:proofErr w:type="spellEnd"/>
            <w:r w:rsidRPr="00442BCE">
              <w:rPr>
                <w:rFonts w:ascii="Arial" w:eastAsia="Arial" w:hAnsi="Arial" w:cs="Arial"/>
                <w:sz w:val="20"/>
                <w:szCs w:val="20"/>
              </w:rPr>
              <w:t xml:space="preserve"> on liver fat quantified by magnetic resonance in </w:t>
            </w:r>
            <w:proofErr w:type="spellStart"/>
            <w:r w:rsidRPr="00442BCE">
              <w:rPr>
                <w:rFonts w:ascii="Arial" w:eastAsia="Arial" w:hAnsi="Arial" w:cs="Arial"/>
                <w:sz w:val="20"/>
                <w:szCs w:val="20"/>
              </w:rPr>
              <w:t>nonalcoholic</w:t>
            </w:r>
            <w:proofErr w:type="spellEnd"/>
            <w:r w:rsidRPr="00442BCE">
              <w:rPr>
                <w:rFonts w:ascii="Arial" w:eastAsia="Arial" w:hAnsi="Arial" w:cs="Arial"/>
                <w:sz w:val="20"/>
                <w:szCs w:val="20"/>
              </w:rPr>
              <w:t xml:space="preserve"> steatohepatitis: a randomized controlled trial." </w:t>
            </w:r>
            <w:r w:rsidRPr="00442BCE">
              <w:rPr>
                <w:rFonts w:ascii="Arial" w:eastAsia="Arial" w:hAnsi="Arial" w:cs="Arial"/>
                <w:i/>
                <w:iCs/>
                <w:sz w:val="20"/>
                <w:szCs w:val="20"/>
              </w:rPr>
              <w:t>Hepatology</w:t>
            </w:r>
            <w:r w:rsidRPr="00442BCE">
              <w:rPr>
                <w:rFonts w:ascii="Arial" w:eastAsia="Arial" w:hAnsi="Arial" w:cs="Arial"/>
                <w:sz w:val="20"/>
                <w:szCs w:val="20"/>
              </w:rPr>
              <w:t xml:space="preserve"> 56, no. 3 (2012): 922-932.</w:t>
            </w:r>
          </w:p>
          <w:p w14:paraId="48896F79" w14:textId="77777777" w:rsidR="003F5118" w:rsidRPr="00442BCE" w:rsidRDefault="003F5118" w:rsidP="003F5118">
            <w:pPr>
              <w:pStyle w:val="ListParagraph"/>
              <w:numPr>
                <w:ilvl w:val="0"/>
                <w:numId w:val="33"/>
              </w:numPr>
              <w:spacing w:before="100" w:beforeAutospacing="1" w:after="100" w:afterAutospacing="1"/>
              <w:jc w:val="both"/>
              <w:rPr>
                <w:rFonts w:ascii="Arial" w:hAnsi="Arial" w:cs="Arial"/>
                <w:sz w:val="20"/>
                <w:szCs w:val="20"/>
              </w:rPr>
            </w:pPr>
            <w:r w:rsidRPr="00442BCE">
              <w:rPr>
                <w:rFonts w:ascii="Arial" w:eastAsia="Arial" w:hAnsi="Arial" w:cs="Arial"/>
                <w:sz w:val="20"/>
                <w:szCs w:val="20"/>
              </w:rPr>
              <w:t xml:space="preserve">Tyagi, A., Yeganeh, O., Levin, Y., Hooker, J.C., Hamilton, G.C., Wolfson, T., </w:t>
            </w:r>
            <w:proofErr w:type="spellStart"/>
            <w:r w:rsidRPr="00442BCE">
              <w:rPr>
                <w:rFonts w:ascii="Arial" w:eastAsia="Arial" w:hAnsi="Arial" w:cs="Arial"/>
                <w:sz w:val="20"/>
                <w:szCs w:val="20"/>
              </w:rPr>
              <w:t>Gamst</w:t>
            </w:r>
            <w:proofErr w:type="spellEnd"/>
            <w:r w:rsidRPr="00442BCE">
              <w:rPr>
                <w:rFonts w:ascii="Arial" w:eastAsia="Arial" w:hAnsi="Arial" w:cs="Arial"/>
                <w:sz w:val="20"/>
                <w:szCs w:val="20"/>
              </w:rPr>
              <w:t xml:space="preserve">, A., </w:t>
            </w:r>
            <w:proofErr w:type="spellStart"/>
            <w:r w:rsidRPr="00442BCE">
              <w:rPr>
                <w:rFonts w:ascii="Arial" w:eastAsia="Arial" w:hAnsi="Arial" w:cs="Arial"/>
                <w:sz w:val="20"/>
                <w:szCs w:val="20"/>
              </w:rPr>
              <w:t>Zand</w:t>
            </w:r>
            <w:proofErr w:type="spellEnd"/>
            <w:r w:rsidRPr="00442BCE">
              <w:rPr>
                <w:rFonts w:ascii="Arial" w:eastAsia="Arial" w:hAnsi="Arial" w:cs="Arial"/>
                <w:sz w:val="20"/>
                <w:szCs w:val="20"/>
              </w:rPr>
              <w:t xml:space="preserve">, A.K., </w:t>
            </w:r>
            <w:proofErr w:type="spellStart"/>
            <w:r w:rsidRPr="00442BCE">
              <w:rPr>
                <w:rFonts w:ascii="Arial" w:eastAsia="Arial" w:hAnsi="Arial" w:cs="Arial"/>
                <w:sz w:val="20"/>
                <w:szCs w:val="20"/>
              </w:rPr>
              <w:t>Heba</w:t>
            </w:r>
            <w:proofErr w:type="spellEnd"/>
            <w:r w:rsidRPr="00442BCE">
              <w:rPr>
                <w:rFonts w:ascii="Arial" w:eastAsia="Arial" w:hAnsi="Arial" w:cs="Arial"/>
                <w:sz w:val="20"/>
                <w:szCs w:val="20"/>
              </w:rPr>
              <w:t xml:space="preserve">, E., Loomba, R. and Schwimmer, J., 2015. Intra-and inter-examination repeatability of magnetic resonance spectroscopy, magnitude-based MRI, and complex-based MRI for estimation of hepatic proton density fat fraction in overweight and obese children and adults. </w:t>
            </w:r>
            <w:r w:rsidRPr="00442BCE">
              <w:rPr>
                <w:rFonts w:ascii="Arial" w:eastAsia="Arial" w:hAnsi="Arial" w:cs="Arial"/>
                <w:i/>
                <w:iCs/>
                <w:sz w:val="20"/>
                <w:szCs w:val="20"/>
              </w:rPr>
              <w:t>Abdominal imaging</w:t>
            </w:r>
            <w:r w:rsidRPr="00442BCE">
              <w:rPr>
                <w:rFonts w:ascii="Arial" w:eastAsia="Arial" w:hAnsi="Arial" w:cs="Arial"/>
                <w:sz w:val="20"/>
                <w:szCs w:val="20"/>
              </w:rPr>
              <w:t xml:space="preserve">, </w:t>
            </w:r>
            <w:r w:rsidRPr="00442BCE">
              <w:rPr>
                <w:rFonts w:ascii="Arial" w:eastAsia="Arial" w:hAnsi="Arial" w:cs="Arial"/>
                <w:i/>
                <w:iCs/>
                <w:sz w:val="20"/>
                <w:szCs w:val="20"/>
              </w:rPr>
              <w:t>40</w:t>
            </w:r>
            <w:r w:rsidRPr="00442BCE">
              <w:rPr>
                <w:rFonts w:ascii="Arial" w:eastAsia="Arial" w:hAnsi="Arial" w:cs="Arial"/>
                <w:sz w:val="20"/>
                <w:szCs w:val="20"/>
              </w:rPr>
              <w:t>(8), pp.3070-3077.</w:t>
            </w:r>
          </w:p>
          <w:p w14:paraId="5B863EFC" w14:textId="77777777" w:rsidR="003F5118" w:rsidRPr="00442BCE" w:rsidRDefault="003F5118" w:rsidP="003F5118">
            <w:pPr>
              <w:pStyle w:val="ListParagraph"/>
              <w:numPr>
                <w:ilvl w:val="0"/>
                <w:numId w:val="33"/>
              </w:numPr>
              <w:spacing w:before="100" w:beforeAutospacing="1" w:after="100" w:afterAutospacing="1"/>
              <w:jc w:val="both"/>
              <w:rPr>
                <w:rFonts w:ascii="Arial" w:hAnsi="Arial" w:cs="Arial"/>
                <w:sz w:val="20"/>
                <w:szCs w:val="20"/>
              </w:rPr>
            </w:pPr>
            <w:proofErr w:type="spellStart"/>
            <w:r w:rsidRPr="00442BCE">
              <w:rPr>
                <w:rFonts w:ascii="Arial" w:eastAsia="Arial" w:hAnsi="Arial" w:cs="Arial"/>
                <w:sz w:val="20"/>
                <w:szCs w:val="20"/>
              </w:rPr>
              <w:t>Levelt</w:t>
            </w:r>
            <w:proofErr w:type="spellEnd"/>
            <w:r w:rsidRPr="00442BCE">
              <w:rPr>
                <w:rFonts w:ascii="Arial" w:eastAsia="Arial" w:hAnsi="Arial" w:cs="Arial"/>
                <w:sz w:val="20"/>
                <w:szCs w:val="20"/>
              </w:rPr>
              <w:t xml:space="preserve">, E., </w:t>
            </w:r>
            <w:proofErr w:type="spellStart"/>
            <w:r w:rsidRPr="00442BCE">
              <w:rPr>
                <w:rFonts w:ascii="Arial" w:eastAsia="Arial" w:hAnsi="Arial" w:cs="Arial"/>
                <w:sz w:val="20"/>
                <w:szCs w:val="20"/>
              </w:rPr>
              <w:t>Pavlides</w:t>
            </w:r>
            <w:proofErr w:type="spellEnd"/>
            <w:r w:rsidRPr="00442BCE">
              <w:rPr>
                <w:rFonts w:ascii="Arial" w:eastAsia="Arial" w:hAnsi="Arial" w:cs="Arial"/>
                <w:sz w:val="20"/>
                <w:szCs w:val="20"/>
              </w:rPr>
              <w:t xml:space="preserve">, M., Banerjee, R., </w:t>
            </w:r>
            <w:proofErr w:type="spellStart"/>
            <w:r w:rsidRPr="00442BCE">
              <w:rPr>
                <w:rFonts w:ascii="Arial" w:eastAsia="Arial" w:hAnsi="Arial" w:cs="Arial"/>
                <w:sz w:val="20"/>
                <w:szCs w:val="20"/>
              </w:rPr>
              <w:t>Mahmod</w:t>
            </w:r>
            <w:proofErr w:type="spellEnd"/>
            <w:r w:rsidRPr="00442BCE">
              <w:rPr>
                <w:rFonts w:ascii="Arial" w:eastAsia="Arial" w:hAnsi="Arial" w:cs="Arial"/>
                <w:sz w:val="20"/>
                <w:szCs w:val="20"/>
              </w:rPr>
              <w:t xml:space="preserve">, M., Kelly, C., </w:t>
            </w:r>
            <w:proofErr w:type="spellStart"/>
            <w:r w:rsidRPr="00442BCE">
              <w:rPr>
                <w:rFonts w:ascii="Arial" w:eastAsia="Arial" w:hAnsi="Arial" w:cs="Arial"/>
                <w:sz w:val="20"/>
                <w:szCs w:val="20"/>
              </w:rPr>
              <w:t>Sellwood</w:t>
            </w:r>
            <w:proofErr w:type="spellEnd"/>
            <w:r w:rsidRPr="00442BCE">
              <w:rPr>
                <w:rFonts w:ascii="Arial" w:eastAsia="Arial" w:hAnsi="Arial" w:cs="Arial"/>
                <w:sz w:val="20"/>
                <w:szCs w:val="20"/>
              </w:rPr>
              <w:t xml:space="preserve">, J., </w:t>
            </w:r>
            <w:proofErr w:type="spellStart"/>
            <w:r w:rsidRPr="00442BCE">
              <w:rPr>
                <w:rFonts w:ascii="Arial" w:eastAsia="Arial" w:hAnsi="Arial" w:cs="Arial"/>
                <w:sz w:val="20"/>
                <w:szCs w:val="20"/>
              </w:rPr>
              <w:t>Ariga</w:t>
            </w:r>
            <w:proofErr w:type="spellEnd"/>
            <w:r w:rsidRPr="00442BCE">
              <w:rPr>
                <w:rFonts w:ascii="Arial" w:eastAsia="Arial" w:hAnsi="Arial" w:cs="Arial"/>
                <w:sz w:val="20"/>
                <w:szCs w:val="20"/>
              </w:rPr>
              <w:t xml:space="preserve">, R., Thomas, S., Francis, J., Rodgers, C. and Clarke, W., 2016. Ectopic and visceral fat deposition in lean and obese patients with type 2 diabetes. </w:t>
            </w:r>
            <w:r w:rsidRPr="00442BCE">
              <w:rPr>
                <w:rFonts w:ascii="Arial" w:eastAsia="Arial" w:hAnsi="Arial" w:cs="Arial"/>
                <w:i/>
                <w:iCs/>
                <w:sz w:val="20"/>
                <w:szCs w:val="20"/>
              </w:rPr>
              <w:t>Journal of the American College of Cardiology</w:t>
            </w:r>
            <w:r w:rsidRPr="00442BCE">
              <w:rPr>
                <w:rFonts w:ascii="Arial" w:eastAsia="Arial" w:hAnsi="Arial" w:cs="Arial"/>
                <w:sz w:val="20"/>
                <w:szCs w:val="20"/>
              </w:rPr>
              <w:t xml:space="preserve">, </w:t>
            </w:r>
            <w:r w:rsidRPr="00442BCE">
              <w:rPr>
                <w:rFonts w:ascii="Arial" w:eastAsia="Arial" w:hAnsi="Arial" w:cs="Arial"/>
                <w:i/>
                <w:iCs/>
                <w:sz w:val="20"/>
                <w:szCs w:val="20"/>
              </w:rPr>
              <w:t>68</w:t>
            </w:r>
            <w:r w:rsidRPr="00442BCE">
              <w:rPr>
                <w:rFonts w:ascii="Arial" w:eastAsia="Arial" w:hAnsi="Arial" w:cs="Arial"/>
                <w:sz w:val="20"/>
                <w:szCs w:val="20"/>
              </w:rPr>
              <w:t>(1), pp.53-63.</w:t>
            </w:r>
          </w:p>
          <w:p w14:paraId="482B3512" w14:textId="77777777" w:rsidR="003F5118" w:rsidRPr="00442BCE" w:rsidRDefault="003F5118" w:rsidP="003F5118">
            <w:pPr>
              <w:pStyle w:val="ListParagraph"/>
              <w:numPr>
                <w:ilvl w:val="0"/>
                <w:numId w:val="33"/>
              </w:numPr>
              <w:spacing w:before="100" w:beforeAutospacing="1" w:after="100" w:afterAutospacing="1"/>
              <w:jc w:val="both"/>
              <w:rPr>
                <w:rFonts w:ascii="Arial" w:hAnsi="Arial" w:cs="Arial"/>
                <w:sz w:val="20"/>
                <w:szCs w:val="20"/>
              </w:rPr>
            </w:pPr>
            <w:proofErr w:type="spellStart"/>
            <w:r w:rsidRPr="00442BCE">
              <w:rPr>
                <w:rFonts w:ascii="Arial" w:eastAsia="Arial" w:hAnsi="Arial" w:cs="Arial"/>
                <w:sz w:val="20"/>
                <w:szCs w:val="20"/>
              </w:rPr>
              <w:lastRenderedPageBreak/>
              <w:t>Wilman</w:t>
            </w:r>
            <w:proofErr w:type="spellEnd"/>
            <w:r w:rsidRPr="00442BCE">
              <w:rPr>
                <w:rFonts w:ascii="Arial" w:eastAsia="Arial" w:hAnsi="Arial" w:cs="Arial"/>
                <w:sz w:val="20"/>
                <w:szCs w:val="20"/>
              </w:rPr>
              <w:t xml:space="preserve">, H.R., Kelly, M., Garratt, S., Matthews, P.M., </w:t>
            </w:r>
            <w:proofErr w:type="spellStart"/>
            <w:r w:rsidRPr="00442BCE">
              <w:rPr>
                <w:rFonts w:ascii="Arial" w:eastAsia="Arial" w:hAnsi="Arial" w:cs="Arial"/>
                <w:sz w:val="20"/>
                <w:szCs w:val="20"/>
              </w:rPr>
              <w:t>Milanesi</w:t>
            </w:r>
            <w:proofErr w:type="spellEnd"/>
            <w:r w:rsidRPr="00442BCE">
              <w:rPr>
                <w:rFonts w:ascii="Arial" w:eastAsia="Arial" w:hAnsi="Arial" w:cs="Arial"/>
                <w:sz w:val="20"/>
                <w:szCs w:val="20"/>
              </w:rPr>
              <w:t xml:space="preserve">, M., Herlihy, A., Gyngell, M., Neubauer, S., Bell, J.D., Banerjee, R. and Thomas, E.L., 2017. Characterisation of liver fat in the UK Biobank cohort. </w:t>
            </w:r>
            <w:proofErr w:type="spellStart"/>
            <w:r w:rsidRPr="00442BCE">
              <w:rPr>
                <w:rFonts w:ascii="Arial" w:eastAsia="Arial" w:hAnsi="Arial" w:cs="Arial"/>
                <w:i/>
                <w:iCs/>
                <w:sz w:val="20"/>
                <w:szCs w:val="20"/>
              </w:rPr>
              <w:t>PloS</w:t>
            </w:r>
            <w:proofErr w:type="spellEnd"/>
            <w:r w:rsidRPr="00442BCE">
              <w:rPr>
                <w:rFonts w:ascii="Arial" w:eastAsia="Arial" w:hAnsi="Arial" w:cs="Arial"/>
                <w:i/>
                <w:iCs/>
                <w:sz w:val="20"/>
                <w:szCs w:val="20"/>
              </w:rPr>
              <w:t xml:space="preserve"> one</w:t>
            </w:r>
            <w:r w:rsidRPr="00442BCE">
              <w:rPr>
                <w:rFonts w:ascii="Arial" w:eastAsia="Arial" w:hAnsi="Arial" w:cs="Arial"/>
                <w:sz w:val="20"/>
                <w:szCs w:val="20"/>
              </w:rPr>
              <w:t xml:space="preserve">, </w:t>
            </w:r>
            <w:r w:rsidRPr="00442BCE">
              <w:rPr>
                <w:rFonts w:ascii="Arial" w:eastAsia="Arial" w:hAnsi="Arial" w:cs="Arial"/>
                <w:i/>
                <w:iCs/>
                <w:sz w:val="20"/>
                <w:szCs w:val="20"/>
              </w:rPr>
              <w:t>12</w:t>
            </w:r>
            <w:r w:rsidRPr="00442BCE">
              <w:rPr>
                <w:rFonts w:ascii="Arial" w:eastAsia="Arial" w:hAnsi="Arial" w:cs="Arial"/>
                <w:sz w:val="20"/>
                <w:szCs w:val="20"/>
              </w:rPr>
              <w:t>(2), p.e0172921.</w:t>
            </w:r>
          </w:p>
          <w:p w14:paraId="3C9FC01E" w14:textId="77777777" w:rsidR="003F5118" w:rsidRPr="00442BCE" w:rsidRDefault="003F5118" w:rsidP="003F5118">
            <w:pPr>
              <w:pStyle w:val="ListParagraph"/>
              <w:numPr>
                <w:ilvl w:val="0"/>
                <w:numId w:val="33"/>
              </w:numPr>
              <w:spacing w:before="100" w:beforeAutospacing="1" w:after="100" w:afterAutospacing="1"/>
              <w:jc w:val="both"/>
              <w:rPr>
                <w:rFonts w:ascii="Arial" w:hAnsi="Arial" w:cs="Arial"/>
                <w:sz w:val="20"/>
                <w:szCs w:val="20"/>
              </w:rPr>
            </w:pPr>
            <w:proofErr w:type="spellStart"/>
            <w:r w:rsidRPr="00442BCE">
              <w:rPr>
                <w:rFonts w:ascii="Arial" w:eastAsia="Arial" w:hAnsi="Arial" w:cs="Arial"/>
                <w:sz w:val="20"/>
                <w:szCs w:val="20"/>
              </w:rPr>
              <w:t>Dharmalingam</w:t>
            </w:r>
            <w:proofErr w:type="spellEnd"/>
            <w:r w:rsidRPr="00442BCE">
              <w:rPr>
                <w:rFonts w:ascii="Arial" w:eastAsia="Arial" w:hAnsi="Arial" w:cs="Arial"/>
                <w:sz w:val="20"/>
                <w:szCs w:val="20"/>
              </w:rPr>
              <w:t xml:space="preserve">, M. and </w:t>
            </w:r>
            <w:proofErr w:type="spellStart"/>
            <w:r w:rsidRPr="00442BCE">
              <w:rPr>
                <w:rFonts w:ascii="Arial" w:eastAsia="Arial" w:hAnsi="Arial" w:cs="Arial"/>
                <w:sz w:val="20"/>
                <w:szCs w:val="20"/>
              </w:rPr>
              <w:t>Yamasandhi</w:t>
            </w:r>
            <w:proofErr w:type="spellEnd"/>
            <w:r w:rsidRPr="00442BCE">
              <w:rPr>
                <w:rFonts w:ascii="Arial" w:eastAsia="Arial" w:hAnsi="Arial" w:cs="Arial"/>
                <w:sz w:val="20"/>
                <w:szCs w:val="20"/>
              </w:rPr>
              <w:t xml:space="preserve">, P.G., 2018. </w:t>
            </w:r>
            <w:proofErr w:type="spellStart"/>
            <w:r w:rsidRPr="00442BCE">
              <w:rPr>
                <w:rFonts w:ascii="Arial" w:eastAsia="Arial" w:hAnsi="Arial" w:cs="Arial"/>
                <w:sz w:val="20"/>
                <w:szCs w:val="20"/>
              </w:rPr>
              <w:t>Nonalcoholic</w:t>
            </w:r>
            <w:proofErr w:type="spellEnd"/>
            <w:r w:rsidRPr="00442BCE">
              <w:rPr>
                <w:rFonts w:ascii="Arial" w:eastAsia="Arial" w:hAnsi="Arial" w:cs="Arial"/>
                <w:sz w:val="20"/>
                <w:szCs w:val="20"/>
              </w:rPr>
              <w:t xml:space="preserve"> fatty liver disease and Type 2 diabetes mellitus. </w:t>
            </w:r>
            <w:r w:rsidRPr="00442BCE">
              <w:rPr>
                <w:rFonts w:ascii="Arial" w:eastAsia="Arial" w:hAnsi="Arial" w:cs="Arial"/>
                <w:i/>
                <w:iCs/>
                <w:sz w:val="20"/>
                <w:szCs w:val="20"/>
              </w:rPr>
              <w:t>Indian journal of endocrinology and metabolism</w:t>
            </w:r>
            <w:r w:rsidRPr="00442BCE">
              <w:rPr>
                <w:rFonts w:ascii="Arial" w:eastAsia="Arial" w:hAnsi="Arial" w:cs="Arial"/>
                <w:sz w:val="20"/>
                <w:szCs w:val="20"/>
              </w:rPr>
              <w:t xml:space="preserve">, </w:t>
            </w:r>
            <w:r w:rsidRPr="00442BCE">
              <w:rPr>
                <w:rFonts w:ascii="Arial" w:eastAsia="Arial" w:hAnsi="Arial" w:cs="Arial"/>
                <w:i/>
                <w:iCs/>
                <w:sz w:val="20"/>
                <w:szCs w:val="20"/>
              </w:rPr>
              <w:t>22</w:t>
            </w:r>
            <w:r w:rsidRPr="00442BCE">
              <w:rPr>
                <w:rFonts w:ascii="Arial" w:eastAsia="Arial" w:hAnsi="Arial" w:cs="Arial"/>
                <w:sz w:val="20"/>
                <w:szCs w:val="20"/>
              </w:rPr>
              <w:t>(3), p.421.</w:t>
            </w:r>
          </w:p>
          <w:p w14:paraId="579A0ACD" w14:textId="77777777" w:rsidR="003F5118" w:rsidRPr="00442BCE" w:rsidRDefault="003F5118" w:rsidP="003F5118">
            <w:pPr>
              <w:pStyle w:val="ListParagraph"/>
              <w:numPr>
                <w:ilvl w:val="0"/>
                <w:numId w:val="33"/>
              </w:numPr>
              <w:spacing w:before="100" w:beforeAutospacing="1" w:after="100" w:afterAutospacing="1"/>
              <w:jc w:val="both"/>
              <w:rPr>
                <w:rFonts w:ascii="Arial" w:hAnsi="Arial" w:cs="Arial"/>
                <w:sz w:val="20"/>
                <w:szCs w:val="20"/>
              </w:rPr>
            </w:pPr>
            <w:proofErr w:type="spellStart"/>
            <w:r w:rsidRPr="00442BCE">
              <w:rPr>
                <w:rFonts w:ascii="Arial" w:eastAsia="Arial" w:hAnsi="Arial" w:cs="Arial"/>
                <w:sz w:val="20"/>
                <w:szCs w:val="20"/>
              </w:rPr>
              <w:t>Targher</w:t>
            </w:r>
            <w:proofErr w:type="spellEnd"/>
            <w:r w:rsidRPr="00442BCE">
              <w:rPr>
                <w:rFonts w:ascii="Arial" w:eastAsia="Arial" w:hAnsi="Arial" w:cs="Arial"/>
                <w:sz w:val="20"/>
                <w:szCs w:val="20"/>
              </w:rPr>
              <w:t xml:space="preserve">, G., </w:t>
            </w:r>
            <w:proofErr w:type="spellStart"/>
            <w:r w:rsidRPr="00442BCE">
              <w:rPr>
                <w:rFonts w:ascii="Arial" w:eastAsia="Arial" w:hAnsi="Arial" w:cs="Arial"/>
                <w:sz w:val="20"/>
                <w:szCs w:val="20"/>
              </w:rPr>
              <w:t>Lonardo</w:t>
            </w:r>
            <w:proofErr w:type="spellEnd"/>
            <w:r w:rsidRPr="00442BCE">
              <w:rPr>
                <w:rFonts w:ascii="Arial" w:eastAsia="Arial" w:hAnsi="Arial" w:cs="Arial"/>
                <w:sz w:val="20"/>
                <w:szCs w:val="20"/>
              </w:rPr>
              <w:t xml:space="preserve">, A. and Byrne, C.D., 2018. </w:t>
            </w:r>
            <w:proofErr w:type="spellStart"/>
            <w:r w:rsidRPr="00442BCE">
              <w:rPr>
                <w:rFonts w:ascii="Arial" w:eastAsia="Arial" w:hAnsi="Arial" w:cs="Arial"/>
                <w:sz w:val="20"/>
                <w:szCs w:val="20"/>
              </w:rPr>
              <w:t>Nonalcoholic</w:t>
            </w:r>
            <w:proofErr w:type="spellEnd"/>
            <w:r w:rsidRPr="00442BCE">
              <w:rPr>
                <w:rFonts w:ascii="Arial" w:eastAsia="Arial" w:hAnsi="Arial" w:cs="Arial"/>
                <w:sz w:val="20"/>
                <w:szCs w:val="20"/>
              </w:rPr>
              <w:t xml:space="preserve"> fatty liver disease and chronic vascular complications of diabetes mellitus. </w:t>
            </w:r>
            <w:r w:rsidRPr="00442BCE">
              <w:rPr>
                <w:rFonts w:ascii="Arial" w:eastAsia="Arial" w:hAnsi="Arial" w:cs="Arial"/>
                <w:i/>
                <w:iCs/>
                <w:sz w:val="20"/>
                <w:szCs w:val="20"/>
              </w:rPr>
              <w:t>Nature Reviews Endocrinology</w:t>
            </w:r>
            <w:r w:rsidRPr="00442BCE">
              <w:rPr>
                <w:rFonts w:ascii="Arial" w:eastAsia="Arial" w:hAnsi="Arial" w:cs="Arial"/>
                <w:sz w:val="20"/>
                <w:szCs w:val="20"/>
              </w:rPr>
              <w:t xml:space="preserve">, </w:t>
            </w:r>
            <w:r w:rsidRPr="00442BCE">
              <w:rPr>
                <w:rFonts w:ascii="Arial" w:eastAsia="Arial" w:hAnsi="Arial" w:cs="Arial"/>
                <w:i/>
                <w:iCs/>
                <w:sz w:val="20"/>
                <w:szCs w:val="20"/>
              </w:rPr>
              <w:t>14</w:t>
            </w:r>
            <w:r w:rsidRPr="00442BCE">
              <w:rPr>
                <w:rFonts w:ascii="Arial" w:eastAsia="Arial" w:hAnsi="Arial" w:cs="Arial"/>
                <w:sz w:val="20"/>
                <w:szCs w:val="20"/>
              </w:rPr>
              <w:t>(2), p.99.</w:t>
            </w:r>
          </w:p>
          <w:p w14:paraId="4B9D3463" w14:textId="77777777" w:rsidR="003F5118" w:rsidRPr="00442BCE" w:rsidRDefault="003F5118" w:rsidP="003F5118">
            <w:pPr>
              <w:pStyle w:val="ListParagraph"/>
              <w:numPr>
                <w:ilvl w:val="0"/>
                <w:numId w:val="33"/>
              </w:numPr>
              <w:spacing w:before="100" w:beforeAutospacing="1" w:after="100" w:afterAutospacing="1"/>
              <w:jc w:val="both"/>
              <w:rPr>
                <w:rFonts w:ascii="Arial" w:hAnsi="Arial" w:cs="Arial"/>
                <w:sz w:val="20"/>
                <w:szCs w:val="20"/>
              </w:rPr>
            </w:pPr>
            <w:r w:rsidRPr="00442BCE">
              <w:rPr>
                <w:rFonts w:ascii="Arial" w:hAnsi="Arial" w:cs="Arial"/>
                <w:sz w:val="20"/>
                <w:szCs w:val="20"/>
              </w:rPr>
              <w:t xml:space="preserve">NICE: Non-alcoholic fatty liver disease (NAFLD): assessment and management. </w:t>
            </w:r>
            <w:r w:rsidRPr="00442BCE">
              <w:rPr>
                <w:rFonts w:ascii="Arial" w:eastAsia="Arial" w:hAnsi="Arial" w:cs="Arial"/>
                <w:sz w:val="20"/>
                <w:szCs w:val="20"/>
              </w:rPr>
              <w:t>2016</w:t>
            </w:r>
          </w:p>
          <w:p w14:paraId="68EF929A" w14:textId="77777777" w:rsidR="003F5118" w:rsidRPr="00442BCE" w:rsidRDefault="003F5118" w:rsidP="003F5118">
            <w:pPr>
              <w:pStyle w:val="ListParagraph"/>
              <w:numPr>
                <w:ilvl w:val="0"/>
                <w:numId w:val="33"/>
              </w:numPr>
              <w:spacing w:before="100" w:beforeAutospacing="1" w:after="100" w:afterAutospacing="1"/>
              <w:jc w:val="both"/>
              <w:rPr>
                <w:rFonts w:ascii="Arial" w:hAnsi="Arial" w:cs="Arial"/>
                <w:sz w:val="20"/>
                <w:szCs w:val="20"/>
              </w:rPr>
            </w:pPr>
            <w:proofErr w:type="spellStart"/>
            <w:r w:rsidRPr="00442BCE">
              <w:rPr>
                <w:rFonts w:ascii="Arial" w:eastAsia="Arial" w:hAnsi="Arial" w:cs="Arial"/>
                <w:sz w:val="20"/>
                <w:szCs w:val="20"/>
                <w:lang w:val="en-US"/>
              </w:rPr>
              <w:t>Pavlides</w:t>
            </w:r>
            <w:proofErr w:type="spellEnd"/>
            <w:r w:rsidRPr="00442BCE">
              <w:rPr>
                <w:rFonts w:ascii="Arial" w:eastAsia="Arial" w:hAnsi="Arial" w:cs="Arial"/>
                <w:sz w:val="20"/>
                <w:szCs w:val="20"/>
                <w:lang w:val="en-US"/>
              </w:rPr>
              <w:t xml:space="preserve"> M, Banerjee R, </w:t>
            </w:r>
            <w:proofErr w:type="spellStart"/>
            <w:r w:rsidRPr="00442BCE">
              <w:rPr>
                <w:rFonts w:ascii="Arial" w:eastAsia="Arial" w:hAnsi="Arial" w:cs="Arial"/>
                <w:sz w:val="20"/>
                <w:szCs w:val="20"/>
                <w:lang w:val="en-US"/>
              </w:rPr>
              <w:t>Tunnicliffe</w:t>
            </w:r>
            <w:proofErr w:type="spellEnd"/>
            <w:r w:rsidRPr="00442BCE">
              <w:rPr>
                <w:rFonts w:ascii="Arial" w:eastAsia="Arial" w:hAnsi="Arial" w:cs="Arial"/>
                <w:sz w:val="20"/>
                <w:szCs w:val="20"/>
                <w:lang w:val="en-US"/>
              </w:rPr>
              <w:t xml:space="preserve"> EM, et al.: Multiparametric magnetic resonance imaging for the assessment of non</w:t>
            </w:r>
            <w:r w:rsidRPr="00442BCE">
              <w:rPr>
                <w:rFonts w:ascii="Cambria Math" w:eastAsia="Arial" w:hAnsi="Cambria Math" w:cs="Cambria Math"/>
                <w:sz w:val="20"/>
                <w:szCs w:val="20"/>
                <w:lang w:val="en-US"/>
              </w:rPr>
              <w:t>‐</w:t>
            </w:r>
            <w:r w:rsidRPr="00442BCE">
              <w:rPr>
                <w:rFonts w:ascii="Arial" w:eastAsia="Arial" w:hAnsi="Arial" w:cs="Arial"/>
                <w:sz w:val="20"/>
                <w:szCs w:val="20"/>
                <w:lang w:val="en-US"/>
              </w:rPr>
              <w:t xml:space="preserve">alcoholic fatty liver disease severity. </w:t>
            </w:r>
            <w:r w:rsidRPr="00442BCE">
              <w:rPr>
                <w:rFonts w:ascii="Arial" w:eastAsia="Arial" w:hAnsi="Arial" w:cs="Arial"/>
                <w:i/>
                <w:iCs/>
                <w:sz w:val="20"/>
                <w:szCs w:val="20"/>
                <w:lang w:val="en-US"/>
              </w:rPr>
              <w:t>Liver Int</w:t>
            </w:r>
            <w:r w:rsidRPr="00442BCE">
              <w:rPr>
                <w:rFonts w:ascii="Arial" w:eastAsia="Arial" w:hAnsi="Arial" w:cs="Arial"/>
                <w:sz w:val="20"/>
                <w:szCs w:val="20"/>
                <w:lang w:val="en-US"/>
              </w:rPr>
              <w:t xml:space="preserve"> 2017; 37:1065–1073.</w:t>
            </w:r>
          </w:p>
          <w:p w14:paraId="49D81994" w14:textId="77777777" w:rsidR="003F5118" w:rsidRPr="00442BCE" w:rsidRDefault="003F5118" w:rsidP="003F5118">
            <w:pPr>
              <w:pStyle w:val="ListParagraph"/>
              <w:numPr>
                <w:ilvl w:val="0"/>
                <w:numId w:val="33"/>
              </w:numPr>
              <w:spacing w:before="100" w:beforeAutospacing="1" w:after="100" w:afterAutospacing="1"/>
              <w:jc w:val="both"/>
              <w:rPr>
                <w:rFonts w:ascii="Arial" w:eastAsia="Arial" w:hAnsi="Arial" w:cs="Arial"/>
                <w:sz w:val="20"/>
                <w:szCs w:val="20"/>
              </w:rPr>
            </w:pPr>
            <w:proofErr w:type="spellStart"/>
            <w:r w:rsidRPr="00442BCE">
              <w:rPr>
                <w:rFonts w:ascii="Arial" w:eastAsia="Arial" w:hAnsi="Arial" w:cs="Arial"/>
                <w:sz w:val="20"/>
                <w:szCs w:val="20"/>
              </w:rPr>
              <w:t>Chalasani</w:t>
            </w:r>
            <w:proofErr w:type="spellEnd"/>
            <w:r w:rsidRPr="00442BCE">
              <w:rPr>
                <w:rFonts w:ascii="Arial" w:eastAsia="Arial" w:hAnsi="Arial" w:cs="Arial"/>
                <w:sz w:val="20"/>
                <w:szCs w:val="20"/>
              </w:rPr>
              <w:t xml:space="preserve">, N., </w:t>
            </w:r>
            <w:proofErr w:type="spellStart"/>
            <w:r w:rsidRPr="00442BCE">
              <w:rPr>
                <w:rFonts w:ascii="Arial" w:eastAsia="Arial" w:hAnsi="Arial" w:cs="Arial"/>
                <w:sz w:val="20"/>
                <w:szCs w:val="20"/>
              </w:rPr>
              <w:t>Younossi</w:t>
            </w:r>
            <w:proofErr w:type="spellEnd"/>
            <w:r w:rsidRPr="00442BCE">
              <w:rPr>
                <w:rFonts w:ascii="Arial" w:eastAsia="Arial" w:hAnsi="Arial" w:cs="Arial"/>
                <w:sz w:val="20"/>
                <w:szCs w:val="20"/>
              </w:rPr>
              <w:t xml:space="preserve">, Z., Lavine, J.E., Charlton, M., </w:t>
            </w:r>
            <w:proofErr w:type="spellStart"/>
            <w:r w:rsidRPr="00442BCE">
              <w:rPr>
                <w:rFonts w:ascii="Arial" w:eastAsia="Arial" w:hAnsi="Arial" w:cs="Arial"/>
                <w:sz w:val="20"/>
                <w:szCs w:val="20"/>
              </w:rPr>
              <w:t>Cusi</w:t>
            </w:r>
            <w:proofErr w:type="spellEnd"/>
            <w:r w:rsidRPr="00442BCE">
              <w:rPr>
                <w:rFonts w:ascii="Arial" w:eastAsia="Arial" w:hAnsi="Arial" w:cs="Arial"/>
                <w:sz w:val="20"/>
                <w:szCs w:val="20"/>
              </w:rPr>
              <w:t xml:space="preserve">, K., Rinella, M., Harrison, S.A., Brunt, E.M. and </w:t>
            </w:r>
            <w:proofErr w:type="spellStart"/>
            <w:r w:rsidRPr="00442BCE">
              <w:rPr>
                <w:rFonts w:ascii="Arial" w:eastAsia="Arial" w:hAnsi="Arial" w:cs="Arial"/>
                <w:sz w:val="20"/>
                <w:szCs w:val="20"/>
              </w:rPr>
              <w:t>Sanyal</w:t>
            </w:r>
            <w:proofErr w:type="spellEnd"/>
            <w:r w:rsidRPr="00442BCE">
              <w:rPr>
                <w:rFonts w:ascii="Arial" w:eastAsia="Arial" w:hAnsi="Arial" w:cs="Arial"/>
                <w:sz w:val="20"/>
                <w:szCs w:val="20"/>
              </w:rPr>
              <w:t xml:space="preserve">, A.J., 2018. The diagnosis and management of </w:t>
            </w:r>
            <w:proofErr w:type="spellStart"/>
            <w:r w:rsidRPr="00442BCE">
              <w:rPr>
                <w:rFonts w:ascii="Arial" w:eastAsia="Arial" w:hAnsi="Arial" w:cs="Arial"/>
                <w:sz w:val="20"/>
                <w:szCs w:val="20"/>
              </w:rPr>
              <w:t>nonalcoholic</w:t>
            </w:r>
            <w:proofErr w:type="spellEnd"/>
            <w:r w:rsidRPr="00442BCE">
              <w:rPr>
                <w:rFonts w:ascii="Arial" w:eastAsia="Arial" w:hAnsi="Arial" w:cs="Arial"/>
                <w:sz w:val="20"/>
                <w:szCs w:val="20"/>
              </w:rPr>
              <w:t xml:space="preserve"> fatty liver disease: practice guidance from the American Association for the Study of Liver Diseases. </w:t>
            </w:r>
            <w:r w:rsidRPr="00442BCE">
              <w:rPr>
                <w:rFonts w:ascii="Arial" w:eastAsia="Arial" w:hAnsi="Arial" w:cs="Arial"/>
                <w:i/>
                <w:iCs/>
                <w:sz w:val="20"/>
                <w:szCs w:val="20"/>
              </w:rPr>
              <w:t>Hepatology</w:t>
            </w:r>
            <w:r w:rsidRPr="00442BCE">
              <w:rPr>
                <w:rFonts w:ascii="Arial" w:eastAsia="Arial" w:hAnsi="Arial" w:cs="Arial"/>
                <w:sz w:val="20"/>
                <w:szCs w:val="20"/>
              </w:rPr>
              <w:t xml:space="preserve">, </w:t>
            </w:r>
            <w:r w:rsidRPr="00442BCE">
              <w:rPr>
                <w:rFonts w:ascii="Arial" w:eastAsia="Arial" w:hAnsi="Arial" w:cs="Arial"/>
                <w:i/>
                <w:iCs/>
                <w:sz w:val="20"/>
                <w:szCs w:val="20"/>
              </w:rPr>
              <w:t>67</w:t>
            </w:r>
            <w:r w:rsidRPr="00442BCE">
              <w:rPr>
                <w:rFonts w:ascii="Arial" w:eastAsia="Arial" w:hAnsi="Arial" w:cs="Arial"/>
                <w:sz w:val="20"/>
                <w:szCs w:val="20"/>
              </w:rPr>
              <w:t>(1), pp.328-357.</w:t>
            </w:r>
          </w:p>
          <w:p w14:paraId="3876CD0C" w14:textId="025A115F" w:rsidR="003F5118" w:rsidRPr="00442BCE" w:rsidRDefault="003F5118" w:rsidP="003F5118">
            <w:pPr>
              <w:rPr>
                <w:rFonts w:ascii="Arial" w:hAnsi="Arial" w:cs="Arial"/>
                <w:sz w:val="20"/>
                <w:szCs w:val="20"/>
              </w:rPr>
            </w:pPr>
            <w:r w:rsidRPr="00442BCE">
              <w:rPr>
                <w:rFonts w:ascii="Arial" w:eastAsia="Calibri" w:hAnsi="Arial" w:cs="Arial"/>
                <w:sz w:val="20"/>
                <w:szCs w:val="20"/>
              </w:rPr>
              <w:t xml:space="preserve">Milburn JA, Bailey JA, Dunn W, Cameron IC, Gomez DS. Inpatient magnetic resonance cholangiopancreatography: does it increase the efficiency in emergency </w:t>
            </w:r>
            <w:proofErr w:type="spellStart"/>
            <w:r w:rsidRPr="00442BCE">
              <w:rPr>
                <w:rFonts w:ascii="Arial" w:eastAsia="Calibri" w:hAnsi="Arial" w:cs="Arial"/>
                <w:sz w:val="20"/>
                <w:szCs w:val="20"/>
              </w:rPr>
              <w:t>hepatopancreaticobiliary</w:t>
            </w:r>
            <w:proofErr w:type="spellEnd"/>
            <w:r w:rsidRPr="00442BCE">
              <w:rPr>
                <w:rFonts w:ascii="Arial" w:eastAsia="Calibri" w:hAnsi="Arial" w:cs="Arial"/>
                <w:sz w:val="20"/>
                <w:szCs w:val="20"/>
              </w:rPr>
              <w:t xml:space="preserve"> surgery services? </w:t>
            </w:r>
            <w:r w:rsidRPr="00442BCE">
              <w:rPr>
                <w:rFonts w:ascii="Arial" w:eastAsia="Calibri" w:hAnsi="Arial" w:cs="Arial"/>
                <w:i/>
                <w:iCs/>
                <w:sz w:val="20"/>
                <w:szCs w:val="20"/>
              </w:rPr>
              <w:t xml:space="preserve">Ann R Coll </w:t>
            </w:r>
            <w:proofErr w:type="spellStart"/>
            <w:r w:rsidRPr="00442BCE">
              <w:rPr>
                <w:rFonts w:ascii="Arial" w:eastAsia="Calibri" w:hAnsi="Arial" w:cs="Arial"/>
                <w:i/>
                <w:iCs/>
                <w:sz w:val="20"/>
                <w:szCs w:val="20"/>
              </w:rPr>
              <w:t>Surg</w:t>
            </w:r>
            <w:proofErr w:type="spellEnd"/>
            <w:r w:rsidRPr="00442BCE">
              <w:rPr>
                <w:rFonts w:ascii="Arial" w:eastAsia="Calibri" w:hAnsi="Arial" w:cs="Arial"/>
                <w:i/>
                <w:iCs/>
                <w:sz w:val="20"/>
                <w:szCs w:val="20"/>
              </w:rPr>
              <w:t xml:space="preserve"> Engl. </w:t>
            </w:r>
            <w:r w:rsidRPr="00442BCE">
              <w:rPr>
                <w:rFonts w:ascii="Arial" w:eastAsia="Calibri" w:hAnsi="Arial" w:cs="Arial"/>
                <w:sz w:val="20"/>
                <w:szCs w:val="20"/>
              </w:rPr>
              <w:t>2017;99(4):289-294.</w:t>
            </w:r>
          </w:p>
        </w:tc>
      </w:tr>
      <w:tr w:rsidR="003F5118" w:rsidRPr="006375EE" w14:paraId="62899D28" w14:textId="77777777" w:rsidTr="0024650F">
        <w:trPr>
          <w:trHeight w:val="225"/>
        </w:trPr>
        <w:tc>
          <w:tcPr>
            <w:tcW w:w="562" w:type="dxa"/>
          </w:tcPr>
          <w:p w14:paraId="779EF49C" w14:textId="0B7F1ACA" w:rsidR="003F5118" w:rsidRPr="006658EF" w:rsidRDefault="006658EF" w:rsidP="003F5118">
            <w:pPr>
              <w:pStyle w:val="TableText1"/>
              <w:jc w:val="center"/>
              <w:rPr>
                <w:rFonts w:cs="Arial"/>
                <w:sz w:val="20"/>
                <w:szCs w:val="20"/>
              </w:rPr>
            </w:pPr>
            <w:r w:rsidRPr="006658EF">
              <w:rPr>
                <w:rFonts w:cs="Arial"/>
                <w:sz w:val="20"/>
                <w:szCs w:val="20"/>
              </w:rPr>
              <w:lastRenderedPageBreak/>
              <w:t>38</w:t>
            </w:r>
          </w:p>
        </w:tc>
        <w:tc>
          <w:tcPr>
            <w:tcW w:w="1139" w:type="dxa"/>
          </w:tcPr>
          <w:p w14:paraId="281AEF39" w14:textId="0BE2CA81" w:rsidR="003F5118" w:rsidRPr="00902CB1" w:rsidRDefault="003F5118" w:rsidP="003F5118">
            <w:pPr>
              <w:pStyle w:val="TableText1"/>
              <w:rPr>
                <w:rFonts w:cs="Arial"/>
                <w:color w:val="000000"/>
                <w:sz w:val="20"/>
                <w:szCs w:val="20"/>
              </w:rPr>
            </w:pPr>
            <w:r w:rsidRPr="00902CB1">
              <w:rPr>
                <w:rFonts w:cs="Arial"/>
                <w:color w:val="000000"/>
                <w:sz w:val="20"/>
                <w:szCs w:val="20"/>
              </w:rPr>
              <w:t>IND1</w:t>
            </w:r>
          </w:p>
        </w:tc>
        <w:tc>
          <w:tcPr>
            <w:tcW w:w="1985" w:type="dxa"/>
          </w:tcPr>
          <w:p w14:paraId="2C581C93" w14:textId="54590B61" w:rsidR="003F5118" w:rsidRPr="00442BCE" w:rsidRDefault="003F5118" w:rsidP="003F5118">
            <w:pPr>
              <w:pStyle w:val="TableText1"/>
              <w:rPr>
                <w:rFonts w:cs="Arial"/>
                <w:b/>
                <w:sz w:val="20"/>
                <w:szCs w:val="20"/>
              </w:rPr>
            </w:pPr>
            <w:r w:rsidRPr="00442BCE">
              <w:rPr>
                <w:rFonts w:cs="Arial"/>
                <w:b/>
                <w:sz w:val="20"/>
                <w:szCs w:val="20"/>
              </w:rPr>
              <w:t>Pfizer</w:t>
            </w:r>
          </w:p>
        </w:tc>
        <w:tc>
          <w:tcPr>
            <w:tcW w:w="11198" w:type="dxa"/>
          </w:tcPr>
          <w:p w14:paraId="4B4CF617" w14:textId="771665F9" w:rsidR="003F5118" w:rsidRPr="00D30DE0" w:rsidRDefault="003F5118" w:rsidP="003F5118">
            <w:pPr>
              <w:rPr>
                <w:rFonts w:ascii="Arial" w:hAnsi="Arial" w:cs="Arial"/>
                <w:sz w:val="20"/>
                <w:szCs w:val="20"/>
              </w:rPr>
            </w:pPr>
            <w:bookmarkStart w:id="46" w:name="_Hlk9246295"/>
            <w:r w:rsidRPr="00D30DE0">
              <w:rPr>
                <w:rFonts w:ascii="Arial" w:hAnsi="Arial" w:cs="Arial"/>
                <w:sz w:val="20"/>
                <w:szCs w:val="20"/>
              </w:rPr>
              <w:t>We would like to propose that osteoarthritis be included in the descriptor of musculoskeletal conditions for this indicator on the ground of links with frailty, obesity and mental health.</w:t>
            </w:r>
            <w:bookmarkEnd w:id="46"/>
          </w:p>
        </w:tc>
      </w:tr>
      <w:tr w:rsidR="003F5118" w:rsidRPr="006375EE" w14:paraId="56051060" w14:textId="77777777" w:rsidTr="0024650F">
        <w:trPr>
          <w:trHeight w:val="225"/>
        </w:trPr>
        <w:tc>
          <w:tcPr>
            <w:tcW w:w="562" w:type="dxa"/>
          </w:tcPr>
          <w:p w14:paraId="2B7F1D47" w14:textId="1FD9119A" w:rsidR="003F5118" w:rsidRPr="006658EF" w:rsidRDefault="006658EF" w:rsidP="003F5118">
            <w:pPr>
              <w:pStyle w:val="TableText1"/>
              <w:jc w:val="center"/>
              <w:rPr>
                <w:rFonts w:cs="Arial"/>
                <w:sz w:val="20"/>
                <w:szCs w:val="20"/>
              </w:rPr>
            </w:pPr>
            <w:r w:rsidRPr="006658EF">
              <w:rPr>
                <w:rFonts w:cs="Arial"/>
                <w:sz w:val="20"/>
                <w:szCs w:val="20"/>
              </w:rPr>
              <w:t>39</w:t>
            </w:r>
          </w:p>
        </w:tc>
        <w:tc>
          <w:tcPr>
            <w:tcW w:w="1139" w:type="dxa"/>
          </w:tcPr>
          <w:p w14:paraId="4692FC24" w14:textId="167F6D7D" w:rsidR="003F5118" w:rsidRPr="00902CB1" w:rsidRDefault="003F5118" w:rsidP="003F5118">
            <w:pPr>
              <w:pStyle w:val="TableText1"/>
              <w:rPr>
                <w:rFonts w:cs="Arial"/>
                <w:color w:val="000000"/>
                <w:sz w:val="20"/>
                <w:szCs w:val="20"/>
              </w:rPr>
            </w:pPr>
            <w:r w:rsidRPr="00902CB1">
              <w:rPr>
                <w:rFonts w:cs="Arial"/>
                <w:color w:val="000000"/>
                <w:sz w:val="20"/>
                <w:szCs w:val="20"/>
              </w:rPr>
              <w:t>IND1</w:t>
            </w:r>
          </w:p>
        </w:tc>
        <w:tc>
          <w:tcPr>
            <w:tcW w:w="1985" w:type="dxa"/>
          </w:tcPr>
          <w:p w14:paraId="0FDFD8A2" w14:textId="3152FB37" w:rsidR="003F5118" w:rsidRPr="00442BCE" w:rsidRDefault="003F5118" w:rsidP="003F5118">
            <w:pPr>
              <w:pStyle w:val="TableText1"/>
              <w:rPr>
                <w:rFonts w:cs="Arial"/>
                <w:b/>
                <w:sz w:val="20"/>
                <w:szCs w:val="20"/>
              </w:rPr>
            </w:pPr>
            <w:r w:rsidRPr="00442BCE">
              <w:rPr>
                <w:rFonts w:cs="Arial"/>
                <w:b/>
                <w:sz w:val="20"/>
                <w:szCs w:val="20"/>
              </w:rPr>
              <w:t>Pfizer</w:t>
            </w:r>
          </w:p>
        </w:tc>
        <w:tc>
          <w:tcPr>
            <w:tcW w:w="11198" w:type="dxa"/>
          </w:tcPr>
          <w:p w14:paraId="19867361" w14:textId="577C4D43" w:rsidR="003F5118" w:rsidRPr="00D30DE0" w:rsidRDefault="003F5118" w:rsidP="003F5118">
            <w:pPr>
              <w:rPr>
                <w:rFonts w:ascii="Arial" w:hAnsi="Arial" w:cs="Arial"/>
                <w:sz w:val="20"/>
                <w:szCs w:val="20"/>
              </w:rPr>
            </w:pPr>
            <w:r w:rsidRPr="00D30DE0">
              <w:rPr>
                <w:rFonts w:ascii="Arial" w:hAnsi="Arial" w:cs="Arial"/>
                <w:sz w:val="20"/>
                <w:szCs w:val="20"/>
              </w:rPr>
              <w:t>We would like to propose that lower back pain be included in the descriptor of musculoskeletal conditions for this indicator on the ground of links with frailty, obesity and mental health.</w:t>
            </w:r>
          </w:p>
        </w:tc>
      </w:tr>
      <w:tr w:rsidR="003F5118" w:rsidRPr="006375EE" w14:paraId="57EEB63E" w14:textId="77777777" w:rsidTr="0024650F">
        <w:trPr>
          <w:trHeight w:val="225"/>
        </w:trPr>
        <w:tc>
          <w:tcPr>
            <w:tcW w:w="562" w:type="dxa"/>
          </w:tcPr>
          <w:p w14:paraId="485207BC" w14:textId="3AE92AA7" w:rsidR="003F5118" w:rsidRPr="006658EF" w:rsidRDefault="006658EF" w:rsidP="003F5118">
            <w:pPr>
              <w:pStyle w:val="TableText1"/>
              <w:jc w:val="center"/>
              <w:rPr>
                <w:rFonts w:cs="Arial"/>
                <w:sz w:val="20"/>
                <w:szCs w:val="20"/>
              </w:rPr>
            </w:pPr>
            <w:r w:rsidRPr="006658EF">
              <w:rPr>
                <w:rFonts w:cs="Arial"/>
                <w:sz w:val="20"/>
                <w:szCs w:val="20"/>
              </w:rPr>
              <w:t>40</w:t>
            </w:r>
          </w:p>
        </w:tc>
        <w:tc>
          <w:tcPr>
            <w:tcW w:w="1139" w:type="dxa"/>
          </w:tcPr>
          <w:p w14:paraId="0DFF9004" w14:textId="2448A04E" w:rsidR="003F5118" w:rsidRPr="00E10833" w:rsidRDefault="003F5118" w:rsidP="003F5118">
            <w:pPr>
              <w:pStyle w:val="TableText1"/>
              <w:rPr>
                <w:rFonts w:cs="Arial"/>
                <w:color w:val="000000"/>
                <w:sz w:val="20"/>
                <w:szCs w:val="20"/>
              </w:rPr>
            </w:pPr>
            <w:r w:rsidRPr="00E10833">
              <w:rPr>
                <w:rFonts w:cs="Arial"/>
                <w:color w:val="000000"/>
                <w:sz w:val="20"/>
                <w:szCs w:val="20"/>
              </w:rPr>
              <w:t>IND1</w:t>
            </w:r>
          </w:p>
        </w:tc>
        <w:tc>
          <w:tcPr>
            <w:tcW w:w="1985" w:type="dxa"/>
          </w:tcPr>
          <w:p w14:paraId="20449F54" w14:textId="4F79ABC7" w:rsidR="003F5118" w:rsidRPr="00E10833" w:rsidRDefault="003F5118" w:rsidP="003F5118">
            <w:pPr>
              <w:pStyle w:val="TableText1"/>
              <w:rPr>
                <w:rFonts w:cs="Arial"/>
                <w:b/>
                <w:sz w:val="20"/>
                <w:szCs w:val="20"/>
              </w:rPr>
            </w:pPr>
            <w:r w:rsidRPr="00E10833">
              <w:rPr>
                <w:rFonts w:cs="Arial"/>
                <w:b/>
                <w:sz w:val="20"/>
                <w:szCs w:val="20"/>
              </w:rPr>
              <w:t>Public Health England</w:t>
            </w:r>
          </w:p>
        </w:tc>
        <w:tc>
          <w:tcPr>
            <w:tcW w:w="11198" w:type="dxa"/>
          </w:tcPr>
          <w:p w14:paraId="6DFB6291" w14:textId="77777777" w:rsidR="003F5118" w:rsidRPr="00E10833" w:rsidRDefault="003F5118" w:rsidP="003F5118">
            <w:pPr>
              <w:rPr>
                <w:rFonts w:ascii="Arial" w:hAnsi="Arial" w:cs="Arial"/>
                <w:sz w:val="20"/>
                <w:szCs w:val="20"/>
              </w:rPr>
            </w:pPr>
            <w:r w:rsidRPr="00E10833">
              <w:rPr>
                <w:rFonts w:ascii="Arial" w:hAnsi="Arial" w:cs="Arial"/>
                <w:sz w:val="20"/>
                <w:szCs w:val="20"/>
              </w:rPr>
              <w:t xml:space="preserve">Given the impact of multimorbidity on quality of life, mortality risk and service use, a focus on this area is to be welcomed. </w:t>
            </w:r>
          </w:p>
          <w:p w14:paraId="60013DE0" w14:textId="77777777" w:rsidR="003F5118" w:rsidRPr="00E10833" w:rsidRDefault="003F5118" w:rsidP="003F5118">
            <w:pPr>
              <w:rPr>
                <w:rFonts w:ascii="Arial" w:hAnsi="Arial" w:cs="Arial"/>
                <w:sz w:val="20"/>
                <w:szCs w:val="20"/>
              </w:rPr>
            </w:pPr>
          </w:p>
          <w:p w14:paraId="2AAF951D" w14:textId="77777777" w:rsidR="003F5118" w:rsidRPr="00E10833" w:rsidRDefault="003F5118" w:rsidP="003F5118">
            <w:pPr>
              <w:rPr>
                <w:rFonts w:ascii="Arial" w:hAnsi="Arial" w:cs="Arial"/>
                <w:sz w:val="20"/>
                <w:szCs w:val="20"/>
              </w:rPr>
            </w:pPr>
            <w:r w:rsidRPr="00E10833">
              <w:rPr>
                <w:rFonts w:ascii="Arial" w:hAnsi="Arial" w:cs="Arial"/>
                <w:sz w:val="20"/>
                <w:szCs w:val="20"/>
              </w:rPr>
              <w:t xml:space="preserve">However General Practitioners (GPs) are already mandated to use the electronic frailty index (see comment on falls prevention below) which is based on the presence / absence of 32 deficits including long-term conditions and physical, cognitive, or sensory impairments, and so already identifies multiple conditions (though a different set from the list defining multimorbidity). This raises a question about multiple stratification / diagnoses that is what the benefit to a patient in is being identified with both severe frailty and multimorbidity. As there is work ongoing elsewhere on risk stratification with NHS England such as in support of the development of Integrated Care Systems (ICSs) it would be useful to ensure alignment of approach if appropriate </w:t>
            </w:r>
          </w:p>
          <w:p w14:paraId="2CF8521A" w14:textId="77777777" w:rsidR="003F5118" w:rsidRPr="00E10833" w:rsidRDefault="003F5118" w:rsidP="003F5118">
            <w:pPr>
              <w:rPr>
                <w:rFonts w:ascii="Arial" w:hAnsi="Arial" w:cs="Arial"/>
                <w:sz w:val="20"/>
                <w:szCs w:val="20"/>
              </w:rPr>
            </w:pPr>
          </w:p>
          <w:p w14:paraId="4D727DBF" w14:textId="77777777" w:rsidR="003F5118" w:rsidRPr="00E10833" w:rsidRDefault="003F5118" w:rsidP="003F5118">
            <w:pPr>
              <w:rPr>
                <w:rFonts w:ascii="Arial" w:hAnsi="Arial" w:cs="Arial"/>
                <w:sz w:val="20"/>
                <w:szCs w:val="20"/>
              </w:rPr>
            </w:pPr>
            <w:r w:rsidRPr="00E10833">
              <w:rPr>
                <w:rFonts w:ascii="Arial" w:hAnsi="Arial" w:cs="Arial"/>
                <w:sz w:val="20"/>
                <w:szCs w:val="20"/>
              </w:rPr>
              <w:t>In addition to this, NICE recommendations regarding an approach that considers multimorbidity state that patients identified with multimorbidity should have an individualised management plan – this indicator should be explicit about this given the additional documentation and workload that this will entail. At the same time, using NICE’s recommended approach to care to improve quality of life by, for example, looking at stopping treatment of limited benefit, considering non-pharmacological alternative treatments is to be welcomed.</w:t>
            </w:r>
          </w:p>
          <w:p w14:paraId="3C4EDB1C" w14:textId="77777777" w:rsidR="003F5118" w:rsidRPr="00E10833" w:rsidRDefault="003F5118" w:rsidP="003F5118">
            <w:pPr>
              <w:rPr>
                <w:rFonts w:ascii="Arial" w:hAnsi="Arial" w:cs="Arial"/>
                <w:sz w:val="20"/>
                <w:szCs w:val="20"/>
              </w:rPr>
            </w:pPr>
          </w:p>
          <w:p w14:paraId="03A12400" w14:textId="78506A11" w:rsidR="003F5118" w:rsidRPr="00E10833" w:rsidRDefault="003F5118" w:rsidP="003F5118">
            <w:pPr>
              <w:rPr>
                <w:rFonts w:ascii="Arial" w:hAnsi="Arial" w:cs="Arial"/>
                <w:sz w:val="20"/>
                <w:szCs w:val="20"/>
              </w:rPr>
            </w:pPr>
            <w:r w:rsidRPr="00E10833">
              <w:rPr>
                <w:rFonts w:ascii="Arial" w:hAnsi="Arial" w:cs="Arial"/>
                <w:sz w:val="20"/>
                <w:szCs w:val="20"/>
              </w:rPr>
              <w:t>The ability to interrogate this data by age and condition will be important, to support and monitor interventions to address multi-morbidity.</w:t>
            </w:r>
          </w:p>
        </w:tc>
      </w:tr>
      <w:tr w:rsidR="003F5118" w:rsidRPr="006375EE" w14:paraId="1D51D835" w14:textId="77777777" w:rsidTr="0024650F">
        <w:trPr>
          <w:trHeight w:val="225"/>
        </w:trPr>
        <w:tc>
          <w:tcPr>
            <w:tcW w:w="562" w:type="dxa"/>
          </w:tcPr>
          <w:p w14:paraId="1B261AE7" w14:textId="5341FADF" w:rsidR="003F5118" w:rsidRPr="006658EF" w:rsidRDefault="006658EF" w:rsidP="003F5118">
            <w:pPr>
              <w:pStyle w:val="TableText1"/>
              <w:jc w:val="center"/>
              <w:rPr>
                <w:rFonts w:cs="Arial"/>
                <w:sz w:val="20"/>
                <w:szCs w:val="20"/>
              </w:rPr>
            </w:pPr>
            <w:r w:rsidRPr="006658EF">
              <w:rPr>
                <w:rFonts w:cs="Arial"/>
                <w:sz w:val="20"/>
                <w:szCs w:val="20"/>
              </w:rPr>
              <w:lastRenderedPageBreak/>
              <w:t>41</w:t>
            </w:r>
          </w:p>
        </w:tc>
        <w:tc>
          <w:tcPr>
            <w:tcW w:w="1139" w:type="dxa"/>
          </w:tcPr>
          <w:p w14:paraId="1FE2BED3" w14:textId="319817D9" w:rsidR="003F5118" w:rsidRPr="00902CB1" w:rsidRDefault="003F5118" w:rsidP="003F5118">
            <w:pPr>
              <w:pStyle w:val="TableText1"/>
              <w:rPr>
                <w:rFonts w:cs="Arial"/>
                <w:color w:val="000000"/>
                <w:sz w:val="20"/>
                <w:szCs w:val="20"/>
              </w:rPr>
            </w:pPr>
            <w:r w:rsidRPr="00902CB1">
              <w:rPr>
                <w:rFonts w:cs="Arial"/>
                <w:color w:val="000000"/>
                <w:sz w:val="20"/>
                <w:szCs w:val="20"/>
              </w:rPr>
              <w:t>IND1</w:t>
            </w:r>
          </w:p>
        </w:tc>
        <w:tc>
          <w:tcPr>
            <w:tcW w:w="1985" w:type="dxa"/>
          </w:tcPr>
          <w:p w14:paraId="58BF7340" w14:textId="56ACECD6" w:rsidR="003F5118" w:rsidRPr="00442BCE" w:rsidRDefault="003F5118" w:rsidP="003F5118">
            <w:pPr>
              <w:pStyle w:val="TableText1"/>
              <w:rPr>
                <w:rFonts w:cs="Arial"/>
                <w:b/>
                <w:sz w:val="20"/>
                <w:szCs w:val="20"/>
              </w:rPr>
            </w:pPr>
            <w:r w:rsidRPr="00442BCE">
              <w:rPr>
                <w:rFonts w:cs="Arial"/>
                <w:b/>
                <w:sz w:val="20"/>
                <w:szCs w:val="20"/>
              </w:rPr>
              <w:t>Royal College of General Practitioners</w:t>
            </w:r>
          </w:p>
        </w:tc>
        <w:tc>
          <w:tcPr>
            <w:tcW w:w="11198" w:type="dxa"/>
          </w:tcPr>
          <w:p w14:paraId="4306C45B" w14:textId="77777777" w:rsidR="003F5118" w:rsidRPr="00D30DE0" w:rsidRDefault="003F5118" w:rsidP="003F5118">
            <w:pPr>
              <w:rPr>
                <w:rFonts w:ascii="Arial" w:hAnsi="Arial" w:cs="Arial"/>
                <w:b/>
                <w:sz w:val="20"/>
                <w:szCs w:val="20"/>
                <w:lang w:eastAsia="en-GB"/>
              </w:rPr>
            </w:pPr>
            <w:r w:rsidRPr="00D30DE0">
              <w:rPr>
                <w:rFonts w:ascii="Arial" w:hAnsi="Arial" w:cs="Arial"/>
                <w:sz w:val="20"/>
                <w:szCs w:val="20"/>
                <w:lang w:eastAsia="en-GB"/>
              </w:rPr>
              <w:t xml:space="preserve">IND1: The practice can produce a register of people with multimorbidity who would benefit from a tailored approach to care. </w:t>
            </w:r>
            <w:r w:rsidRPr="00D30DE0">
              <w:rPr>
                <w:rFonts w:ascii="Arial" w:hAnsi="Arial" w:cs="Arial"/>
                <w:b/>
                <w:sz w:val="20"/>
                <w:szCs w:val="20"/>
                <w:lang w:eastAsia="en-GB"/>
              </w:rPr>
              <w:t>New</w:t>
            </w:r>
          </w:p>
          <w:p w14:paraId="75A79F23" w14:textId="77777777" w:rsidR="003F5118" w:rsidRPr="00D30DE0" w:rsidRDefault="003F5118" w:rsidP="003F5118">
            <w:pPr>
              <w:rPr>
                <w:rFonts w:ascii="Arial" w:hAnsi="Arial" w:cs="Arial"/>
                <w:b/>
                <w:sz w:val="20"/>
                <w:szCs w:val="20"/>
                <w:lang w:eastAsia="en-GB"/>
              </w:rPr>
            </w:pPr>
          </w:p>
          <w:p w14:paraId="3A90F7E1" w14:textId="77777777" w:rsidR="003F5118" w:rsidRPr="00D30DE0" w:rsidRDefault="003F5118" w:rsidP="003F5118">
            <w:pPr>
              <w:rPr>
                <w:rFonts w:ascii="Arial" w:hAnsi="Arial" w:cs="Arial"/>
                <w:sz w:val="20"/>
                <w:szCs w:val="20"/>
                <w:lang w:eastAsia="en-GB"/>
              </w:rPr>
            </w:pPr>
            <w:bookmarkStart w:id="47" w:name="_Hlk9246351"/>
            <w:r w:rsidRPr="00D30DE0">
              <w:rPr>
                <w:rFonts w:ascii="Arial" w:hAnsi="Arial" w:cs="Arial"/>
                <w:b/>
                <w:sz w:val="20"/>
                <w:szCs w:val="20"/>
                <w:lang w:eastAsia="en-GB"/>
              </w:rPr>
              <w:t xml:space="preserve">We support this indicator.  </w:t>
            </w:r>
            <w:r w:rsidRPr="00D30DE0">
              <w:rPr>
                <w:rFonts w:ascii="Arial" w:hAnsi="Arial" w:cs="Arial"/>
                <w:sz w:val="20"/>
                <w:szCs w:val="20"/>
                <w:lang w:eastAsia="en-GB"/>
              </w:rPr>
              <w:t xml:space="preserve">However, it is vital that this register is implemented using the correct tools to properly capture this information, including linking to patient’s registration on the frailty register </w:t>
            </w:r>
            <w:bookmarkEnd w:id="47"/>
            <w:r w:rsidRPr="00D30DE0">
              <w:rPr>
                <w:rFonts w:ascii="Arial" w:hAnsi="Arial" w:cs="Arial"/>
                <w:sz w:val="20"/>
                <w:szCs w:val="20"/>
                <w:lang w:eastAsia="en-GB"/>
              </w:rPr>
              <w:t>below.</w:t>
            </w:r>
          </w:p>
          <w:p w14:paraId="43B54CD8" w14:textId="77777777" w:rsidR="003F5118" w:rsidRPr="00D30DE0" w:rsidRDefault="003F5118" w:rsidP="003F5118">
            <w:pPr>
              <w:rPr>
                <w:rFonts w:ascii="Arial" w:hAnsi="Arial" w:cs="Arial"/>
                <w:sz w:val="20"/>
                <w:szCs w:val="20"/>
              </w:rPr>
            </w:pPr>
          </w:p>
        </w:tc>
      </w:tr>
      <w:tr w:rsidR="003F5118" w:rsidRPr="006375EE" w14:paraId="4519ACE5" w14:textId="77777777" w:rsidTr="0024650F">
        <w:trPr>
          <w:trHeight w:val="225"/>
        </w:trPr>
        <w:tc>
          <w:tcPr>
            <w:tcW w:w="562" w:type="dxa"/>
          </w:tcPr>
          <w:p w14:paraId="6EF1B6E0" w14:textId="73709AFE" w:rsidR="003F5118" w:rsidRPr="006658EF" w:rsidRDefault="006658EF" w:rsidP="003F5118">
            <w:pPr>
              <w:pStyle w:val="TableText1"/>
              <w:jc w:val="center"/>
              <w:rPr>
                <w:rFonts w:cs="Arial"/>
                <w:sz w:val="20"/>
                <w:szCs w:val="20"/>
              </w:rPr>
            </w:pPr>
            <w:r w:rsidRPr="006658EF">
              <w:rPr>
                <w:rFonts w:cs="Arial"/>
                <w:sz w:val="20"/>
                <w:szCs w:val="20"/>
              </w:rPr>
              <w:t>42</w:t>
            </w:r>
          </w:p>
        </w:tc>
        <w:tc>
          <w:tcPr>
            <w:tcW w:w="1139" w:type="dxa"/>
          </w:tcPr>
          <w:p w14:paraId="4A01AD2E" w14:textId="32D7A597" w:rsidR="003F5118" w:rsidRPr="00902CB1" w:rsidRDefault="003F5118" w:rsidP="003F5118">
            <w:pPr>
              <w:pStyle w:val="TableText1"/>
              <w:rPr>
                <w:rFonts w:cs="Arial"/>
                <w:color w:val="000000"/>
                <w:sz w:val="20"/>
                <w:szCs w:val="20"/>
              </w:rPr>
            </w:pPr>
            <w:r w:rsidRPr="00902CB1">
              <w:rPr>
                <w:rFonts w:cs="Arial"/>
                <w:color w:val="000000"/>
                <w:sz w:val="20"/>
                <w:szCs w:val="20"/>
              </w:rPr>
              <w:t>IND1</w:t>
            </w:r>
          </w:p>
        </w:tc>
        <w:tc>
          <w:tcPr>
            <w:tcW w:w="1985" w:type="dxa"/>
          </w:tcPr>
          <w:p w14:paraId="3D5D96A7" w14:textId="66823772" w:rsidR="003F5118" w:rsidRPr="00442BCE" w:rsidRDefault="003F5118" w:rsidP="003F5118">
            <w:pPr>
              <w:pStyle w:val="TableText1"/>
              <w:rPr>
                <w:rFonts w:cs="Arial"/>
                <w:b/>
                <w:sz w:val="20"/>
                <w:szCs w:val="20"/>
              </w:rPr>
            </w:pPr>
            <w:r w:rsidRPr="00442BCE">
              <w:rPr>
                <w:rFonts w:cs="Arial"/>
                <w:b/>
                <w:iCs/>
                <w:sz w:val="20"/>
                <w:szCs w:val="20"/>
              </w:rPr>
              <w:t>Taskforce on Multiple Conditions</w:t>
            </w:r>
          </w:p>
        </w:tc>
        <w:tc>
          <w:tcPr>
            <w:tcW w:w="11198" w:type="dxa"/>
          </w:tcPr>
          <w:p w14:paraId="11874BEA" w14:textId="77777777" w:rsidR="003F5118" w:rsidRPr="00D30DE0" w:rsidRDefault="003F5118" w:rsidP="003F5118">
            <w:pPr>
              <w:rPr>
                <w:rFonts w:ascii="Arial" w:hAnsi="Arial" w:cs="Arial"/>
                <w:sz w:val="20"/>
                <w:szCs w:val="20"/>
                <w:lang w:val="en-US"/>
              </w:rPr>
            </w:pPr>
            <w:r w:rsidRPr="00D30DE0">
              <w:rPr>
                <w:rFonts w:ascii="Arial" w:hAnsi="Arial" w:cs="Arial"/>
                <w:bCs/>
                <w:iCs/>
                <w:sz w:val="20"/>
                <w:szCs w:val="20"/>
                <w:lang w:val="en-US"/>
              </w:rPr>
              <w:t>We</w:t>
            </w:r>
            <w:r w:rsidRPr="00D30DE0">
              <w:rPr>
                <w:rFonts w:ascii="Arial" w:hAnsi="Arial" w:cs="Arial"/>
                <w:b/>
                <w:bCs/>
                <w:i/>
                <w:iCs/>
                <w:sz w:val="20"/>
                <w:szCs w:val="20"/>
                <w:lang w:val="en-US"/>
              </w:rPr>
              <w:t xml:space="preserve"> </w:t>
            </w:r>
            <w:r w:rsidRPr="00D30DE0">
              <w:rPr>
                <w:rFonts w:ascii="Arial" w:hAnsi="Arial" w:cs="Arial"/>
                <w:sz w:val="20"/>
                <w:szCs w:val="20"/>
                <w:lang w:val="en-US"/>
              </w:rPr>
              <w:t>are broadly supportive of the idea that each practice can produce a register of people with MMB who would benefit from a tailored approach to care. The ability to intelligently segment the population is an essential first step to providing more tailored support. However, the criteria described risks excluding people who don’t meet the 4-condition threshold but may have higher support needs that those who do:</w:t>
            </w:r>
          </w:p>
          <w:p w14:paraId="0E780150" w14:textId="77777777" w:rsidR="003F5118" w:rsidRPr="00D30DE0" w:rsidRDefault="003F5118" w:rsidP="003F5118">
            <w:pPr>
              <w:pStyle w:val="Default"/>
              <w:numPr>
                <w:ilvl w:val="0"/>
                <w:numId w:val="27"/>
              </w:numPr>
              <w:adjustRightInd/>
              <w:spacing w:after="277"/>
              <w:rPr>
                <w:rFonts w:ascii="Arial" w:hAnsi="Arial" w:cs="Arial"/>
                <w:bCs/>
                <w:color w:val="auto"/>
                <w:sz w:val="20"/>
                <w:szCs w:val="20"/>
                <w:lang w:val="en-US"/>
              </w:rPr>
            </w:pPr>
            <w:r w:rsidRPr="00D30DE0">
              <w:rPr>
                <w:rFonts w:ascii="Arial" w:hAnsi="Arial" w:cs="Arial"/>
                <w:b/>
                <w:i/>
                <w:iCs/>
                <w:color w:val="auto"/>
                <w:sz w:val="20"/>
                <w:szCs w:val="20"/>
                <w:lang w:val="en-US"/>
              </w:rPr>
              <w:t>Potential barriers:</w:t>
            </w:r>
            <w:r w:rsidRPr="00D30DE0">
              <w:rPr>
                <w:rFonts w:ascii="Arial" w:hAnsi="Arial" w:cs="Arial"/>
                <w:i/>
                <w:iCs/>
                <w:color w:val="auto"/>
                <w:sz w:val="20"/>
                <w:szCs w:val="20"/>
                <w:lang w:val="en-US"/>
              </w:rPr>
              <w:t xml:space="preserve"> </w:t>
            </w:r>
            <w:r w:rsidRPr="00D30DE0">
              <w:rPr>
                <w:rFonts w:ascii="Arial" w:hAnsi="Arial" w:cs="Arial"/>
                <w:color w:val="auto"/>
                <w:sz w:val="20"/>
                <w:szCs w:val="20"/>
                <w:lang w:val="en-US"/>
              </w:rPr>
              <w:t>at present there isn’t an easy way for practices to identify people with multimorbidity, but we presume the intention is for GP software suppliers to create tools to identify people who fulfil the criteria defined. Similarly, re IND14</w:t>
            </w:r>
            <w:bookmarkStart w:id="48" w:name="_Hlk9246495"/>
            <w:r w:rsidRPr="00D30DE0">
              <w:rPr>
                <w:rFonts w:ascii="Arial" w:hAnsi="Arial" w:cs="Arial"/>
                <w:color w:val="auto"/>
                <w:sz w:val="20"/>
                <w:szCs w:val="20"/>
                <w:lang w:val="en-US"/>
              </w:rPr>
              <w:t>, there will need to be software developments to enable practices to record this</w:t>
            </w:r>
            <w:bookmarkEnd w:id="48"/>
            <w:r w:rsidRPr="00D30DE0">
              <w:rPr>
                <w:rFonts w:ascii="Arial" w:hAnsi="Arial" w:cs="Arial"/>
                <w:color w:val="auto"/>
                <w:sz w:val="20"/>
                <w:szCs w:val="20"/>
                <w:lang w:val="en-US"/>
              </w:rPr>
              <w:t xml:space="preserve">. </w:t>
            </w:r>
            <w:bookmarkStart w:id="49" w:name="_Hlk7605541"/>
            <w:r w:rsidRPr="00D30DE0">
              <w:rPr>
                <w:rFonts w:ascii="Arial" w:hAnsi="Arial" w:cs="Arial"/>
                <w:color w:val="auto"/>
                <w:sz w:val="20"/>
                <w:szCs w:val="20"/>
                <w:lang w:val="en-US"/>
              </w:rPr>
              <w:t>T</w:t>
            </w:r>
            <w:r w:rsidRPr="00D30DE0">
              <w:rPr>
                <w:rFonts w:ascii="Arial" w:hAnsi="Arial" w:cs="Arial"/>
                <w:bCs/>
                <w:color w:val="auto"/>
                <w:sz w:val="20"/>
                <w:szCs w:val="20"/>
                <w:lang w:val="en-US"/>
              </w:rPr>
              <w:t>o mitigate duplication of resource and cost to produce at individual practice or CCG/PCN level – we would advocate for a template to be shared for adaptation</w:t>
            </w:r>
            <w:bookmarkEnd w:id="49"/>
            <w:r w:rsidRPr="00D30DE0">
              <w:rPr>
                <w:rFonts w:ascii="Arial" w:hAnsi="Arial" w:cs="Arial"/>
                <w:bCs/>
                <w:color w:val="auto"/>
                <w:sz w:val="20"/>
                <w:szCs w:val="20"/>
                <w:lang w:val="en-US"/>
              </w:rPr>
              <w:t xml:space="preserve"> by one of the footprints already doing this type of segmentation. </w:t>
            </w:r>
            <w:r w:rsidRPr="00D30DE0">
              <w:rPr>
                <w:rFonts w:ascii="Arial" w:hAnsi="Arial" w:cs="Arial"/>
                <w:iCs/>
                <w:color w:val="auto"/>
                <w:sz w:val="20"/>
                <w:szCs w:val="20"/>
                <w:lang w:val="en-US"/>
              </w:rPr>
              <w:t>For example, t</w:t>
            </w:r>
            <w:r w:rsidRPr="00D30DE0">
              <w:rPr>
                <w:rFonts w:ascii="Arial" w:hAnsi="Arial" w:cs="Arial"/>
                <w:color w:val="auto"/>
                <w:sz w:val="20"/>
                <w:szCs w:val="20"/>
                <w:lang w:val="en-US"/>
              </w:rPr>
              <w:t xml:space="preserve">he 3D trial at the University of Bristol developed a template to identify people with multimorbidity in practices that use the EMIS system and this resource is available online: </w:t>
            </w:r>
            <w:hyperlink r:id="rId33" w:history="1">
              <w:r w:rsidRPr="00D30DE0">
                <w:rPr>
                  <w:rStyle w:val="Hyperlink"/>
                  <w:rFonts w:ascii="Arial" w:hAnsi="Arial" w:cs="Arial"/>
                  <w:color w:val="auto"/>
                  <w:sz w:val="20"/>
                  <w:szCs w:val="20"/>
                  <w:lang w:val="en-US"/>
                </w:rPr>
                <w:t>http://www.bristol.ac.uk/primaryhealthcare/resources/multimorbidity-tool/</w:t>
              </w:r>
            </w:hyperlink>
          </w:p>
          <w:p w14:paraId="2CD72178" w14:textId="77777777" w:rsidR="003F5118" w:rsidRPr="00D30DE0" w:rsidRDefault="003F5118" w:rsidP="003F5118">
            <w:pPr>
              <w:pStyle w:val="Default"/>
              <w:numPr>
                <w:ilvl w:val="0"/>
                <w:numId w:val="27"/>
              </w:numPr>
              <w:adjustRightInd/>
              <w:spacing w:after="277"/>
              <w:rPr>
                <w:rFonts w:ascii="Arial" w:hAnsi="Arial" w:cs="Arial"/>
                <w:b/>
                <w:bCs/>
                <w:color w:val="auto"/>
                <w:sz w:val="20"/>
                <w:szCs w:val="20"/>
                <w:lang w:val="en-US"/>
              </w:rPr>
            </w:pPr>
            <w:r w:rsidRPr="00D30DE0">
              <w:rPr>
                <w:rFonts w:ascii="Arial" w:hAnsi="Arial" w:cs="Arial"/>
                <w:b/>
                <w:i/>
                <w:iCs/>
                <w:color w:val="auto"/>
                <w:sz w:val="20"/>
                <w:szCs w:val="20"/>
                <w:lang w:val="en-US"/>
              </w:rPr>
              <w:t>Potential unintended consequences:</w:t>
            </w:r>
            <w:r w:rsidRPr="00D30DE0">
              <w:rPr>
                <w:rFonts w:ascii="Arial" w:hAnsi="Arial" w:cs="Arial"/>
                <w:i/>
                <w:iCs/>
                <w:color w:val="auto"/>
                <w:sz w:val="20"/>
                <w:szCs w:val="20"/>
                <w:lang w:val="en-US"/>
              </w:rPr>
              <w:t xml:space="preserve"> </w:t>
            </w:r>
            <w:r w:rsidRPr="00D30DE0">
              <w:rPr>
                <w:rFonts w:ascii="Arial" w:hAnsi="Arial" w:cs="Arial"/>
                <w:color w:val="auto"/>
                <w:sz w:val="20"/>
                <w:szCs w:val="20"/>
                <w:lang w:val="en-US"/>
              </w:rPr>
              <w:t xml:space="preserve">the approach of selecting patients in 4 or more of the designated groups is attempting to </w:t>
            </w:r>
            <w:proofErr w:type="spellStart"/>
            <w:r w:rsidRPr="00D30DE0">
              <w:rPr>
                <w:rFonts w:ascii="Arial" w:hAnsi="Arial" w:cs="Arial"/>
                <w:color w:val="auto"/>
                <w:sz w:val="20"/>
                <w:szCs w:val="20"/>
                <w:lang w:val="en-US"/>
              </w:rPr>
              <w:t>categorise</w:t>
            </w:r>
            <w:proofErr w:type="spellEnd"/>
            <w:r w:rsidRPr="00D30DE0">
              <w:rPr>
                <w:rFonts w:ascii="Arial" w:hAnsi="Arial" w:cs="Arial"/>
                <w:color w:val="auto"/>
                <w:sz w:val="20"/>
                <w:szCs w:val="20"/>
                <w:lang w:val="en-US"/>
              </w:rPr>
              <w:t xml:space="preserve"> and oversimplify a problem which is inevitably </w:t>
            </w:r>
            <w:proofErr w:type="gramStart"/>
            <w:r w:rsidRPr="00D30DE0">
              <w:rPr>
                <w:rFonts w:ascii="Arial" w:hAnsi="Arial" w:cs="Arial"/>
                <w:color w:val="auto"/>
                <w:sz w:val="20"/>
                <w:szCs w:val="20"/>
                <w:lang w:val="en-US"/>
              </w:rPr>
              <w:t>complex</w:t>
            </w:r>
            <w:proofErr w:type="gramEnd"/>
            <w:r w:rsidRPr="00D30DE0">
              <w:rPr>
                <w:rFonts w:ascii="Arial" w:hAnsi="Arial" w:cs="Arial"/>
                <w:color w:val="auto"/>
                <w:sz w:val="20"/>
                <w:szCs w:val="20"/>
                <w:lang w:val="en-US"/>
              </w:rPr>
              <w:t xml:space="preserve"> and this could lead to an inappropriate tick box mentality. </w:t>
            </w:r>
            <w:r w:rsidRPr="00D30DE0">
              <w:rPr>
                <w:rFonts w:ascii="Arial" w:hAnsi="Arial" w:cs="Arial"/>
                <w:iCs/>
                <w:color w:val="auto"/>
                <w:sz w:val="20"/>
                <w:szCs w:val="20"/>
                <w:lang w:val="en-US"/>
              </w:rPr>
              <w:t>For example, having</w:t>
            </w:r>
            <w:r w:rsidRPr="00D30DE0">
              <w:rPr>
                <w:rFonts w:ascii="Arial" w:hAnsi="Arial" w:cs="Arial"/>
                <w:color w:val="auto"/>
                <w:sz w:val="20"/>
                <w:szCs w:val="20"/>
                <w:lang w:val="en-US"/>
              </w:rPr>
              <w:t xml:space="preserve"> a long-term condition doubles your risk of having a mental health problem. Some patients meeting the defined criteria won’t need any particularly tailored approach to care; conversely there will be many other patients with multimorbidity but not fulfilling the criteria who would benefit from a tailored approach to care e.g. someone with cancer, depression, and heart failure.  This indicator could mean that the latter group get less attention than they need. We think it would be better to allow GPs more discretion e.g. develop a less restrictive tool which picks up people who are quite likely to benefit from a tailored approach (e.g. people within 3 of these categories) with GPs identifying those within this list who they think would benefit. </w:t>
            </w:r>
          </w:p>
          <w:p w14:paraId="542BD667" w14:textId="77777777" w:rsidR="003F5118" w:rsidRPr="00D30DE0" w:rsidRDefault="003F5118" w:rsidP="003F5118">
            <w:pPr>
              <w:pStyle w:val="Default"/>
              <w:spacing w:after="277"/>
              <w:ind w:left="360"/>
              <w:rPr>
                <w:rFonts w:ascii="Arial" w:hAnsi="Arial" w:cs="Arial"/>
                <w:bCs/>
                <w:color w:val="auto"/>
                <w:sz w:val="20"/>
                <w:szCs w:val="20"/>
                <w:lang w:val="en-US"/>
              </w:rPr>
            </w:pPr>
            <w:r w:rsidRPr="00D30DE0">
              <w:rPr>
                <w:rFonts w:ascii="Arial" w:hAnsi="Arial" w:cs="Arial"/>
                <w:bCs/>
                <w:color w:val="auto"/>
                <w:sz w:val="20"/>
                <w:szCs w:val="20"/>
                <w:lang w:val="en-US"/>
              </w:rPr>
              <w:t xml:space="preserve">From the Taskforce’s own </w:t>
            </w:r>
            <w:hyperlink r:id="rId34" w:history="1">
              <w:r w:rsidRPr="00D30DE0">
                <w:rPr>
                  <w:rStyle w:val="Hyperlink"/>
                  <w:rFonts w:ascii="Arial" w:hAnsi="Arial" w:cs="Arial"/>
                  <w:color w:val="auto"/>
                  <w:sz w:val="20"/>
                  <w:szCs w:val="20"/>
                  <w:lang w:val="en-US"/>
                </w:rPr>
                <w:t>ethnographic research</w:t>
              </w:r>
            </w:hyperlink>
            <w:r w:rsidRPr="00D30DE0">
              <w:rPr>
                <w:rFonts w:ascii="Arial" w:hAnsi="Arial" w:cs="Arial"/>
                <w:bCs/>
                <w:color w:val="auto"/>
                <w:sz w:val="20"/>
                <w:szCs w:val="20"/>
                <w:lang w:val="en-US"/>
              </w:rPr>
              <w:t>, we have seen that many of the challenges described by people living with multiple long term conditions are for non-clinical issues. For example, mobility, housing, finance and emotional wellbeing. A biomedical list risks missing many who don’t meet the threshold (</w:t>
            </w:r>
            <w:r w:rsidRPr="00D30DE0">
              <w:rPr>
                <w:rFonts w:ascii="Arial" w:hAnsi="Arial" w:cs="Arial"/>
                <w:iCs/>
                <w:color w:val="auto"/>
                <w:sz w:val="20"/>
                <w:szCs w:val="20"/>
                <w:lang w:val="en-US"/>
              </w:rPr>
              <w:t>with less than 4 conditions/ conditions not included in the list</w:t>
            </w:r>
            <w:r w:rsidRPr="00D30DE0">
              <w:rPr>
                <w:rFonts w:ascii="Arial" w:hAnsi="Arial" w:cs="Arial"/>
                <w:bCs/>
                <w:color w:val="auto"/>
                <w:sz w:val="20"/>
                <w:szCs w:val="20"/>
                <w:lang w:val="en-US"/>
              </w:rPr>
              <w:t>) but whose daily lives are severely impacted by multiple conditions. How can we include non-clinical criteria to identify unmet need –for things like mobility, patient reported QoL etc</w:t>
            </w:r>
            <w:bookmarkStart w:id="50" w:name="_Hlk7605684"/>
            <w:r w:rsidRPr="00D30DE0">
              <w:rPr>
                <w:rFonts w:ascii="Arial" w:hAnsi="Arial" w:cs="Arial"/>
                <w:bCs/>
                <w:color w:val="auto"/>
                <w:sz w:val="20"/>
                <w:szCs w:val="20"/>
                <w:lang w:val="en-US"/>
              </w:rPr>
              <w:t>.</w:t>
            </w:r>
          </w:p>
          <w:p w14:paraId="30CD1725" w14:textId="77777777" w:rsidR="003F5118" w:rsidRPr="00D30DE0" w:rsidRDefault="003F5118" w:rsidP="003F5118">
            <w:pPr>
              <w:pStyle w:val="Default"/>
              <w:spacing w:after="277"/>
              <w:ind w:left="360"/>
              <w:rPr>
                <w:rFonts w:ascii="Arial" w:hAnsi="Arial" w:cs="Arial"/>
                <w:color w:val="auto"/>
                <w:sz w:val="20"/>
                <w:szCs w:val="20"/>
                <w:lang w:val="en-US"/>
              </w:rPr>
            </w:pPr>
            <w:r w:rsidRPr="00D30DE0">
              <w:rPr>
                <w:rFonts w:ascii="Arial" w:hAnsi="Arial" w:cs="Arial"/>
                <w:bCs/>
                <w:color w:val="auto"/>
                <w:sz w:val="20"/>
                <w:szCs w:val="20"/>
                <w:lang w:val="en-US"/>
              </w:rPr>
              <w:t xml:space="preserve">We accept that the challenge is that such an approach is not possible using automated searches of medical records by existing codes. Requiring GPs to code everyone with these additional fields would be significant amount of work which may undermine the indicator. </w:t>
            </w:r>
            <w:r w:rsidRPr="00D30DE0">
              <w:rPr>
                <w:rFonts w:ascii="Arial" w:hAnsi="Arial" w:cs="Arial"/>
                <w:color w:val="auto"/>
                <w:sz w:val="20"/>
                <w:szCs w:val="20"/>
                <w:lang w:val="en-US"/>
              </w:rPr>
              <w:t xml:space="preserve">One possibility is to use medical records as a screening step to identify people who might be at risk and then send these at-risk people a short questionnaire (perhaps online) to identify people who do have </w:t>
            </w:r>
            <w:r w:rsidRPr="00D30DE0">
              <w:rPr>
                <w:rFonts w:ascii="Arial" w:hAnsi="Arial" w:cs="Arial"/>
                <w:color w:val="auto"/>
                <w:sz w:val="20"/>
                <w:szCs w:val="20"/>
                <w:lang w:val="en-US"/>
              </w:rPr>
              <w:lastRenderedPageBreak/>
              <w:t>these types of problems, and then those above a certain score become the at-risk group. But again, that’s a lot of extra work and there are challenges with differential impact. Allowing GPs discretion over who they include in the target group seems to be the pragmatic solution as a first step.</w:t>
            </w:r>
          </w:p>
          <w:p w14:paraId="46FDA53B" w14:textId="77777777" w:rsidR="003F5118" w:rsidRPr="00D30DE0" w:rsidRDefault="003F5118" w:rsidP="003F5118">
            <w:pPr>
              <w:pStyle w:val="Default"/>
              <w:numPr>
                <w:ilvl w:val="0"/>
                <w:numId w:val="27"/>
              </w:numPr>
              <w:adjustRightInd/>
              <w:rPr>
                <w:rFonts w:ascii="Arial" w:hAnsi="Arial" w:cs="Arial"/>
                <w:bCs/>
                <w:color w:val="auto"/>
                <w:sz w:val="20"/>
                <w:szCs w:val="20"/>
                <w:lang w:val="en-US"/>
              </w:rPr>
            </w:pPr>
            <w:r w:rsidRPr="00D30DE0">
              <w:rPr>
                <w:rFonts w:ascii="Arial" w:hAnsi="Arial" w:cs="Arial"/>
                <w:b/>
                <w:iCs/>
                <w:color w:val="auto"/>
                <w:sz w:val="20"/>
                <w:szCs w:val="20"/>
                <w:lang w:val="en-US"/>
              </w:rPr>
              <w:t>Differential impact:</w:t>
            </w:r>
            <w:r w:rsidRPr="00D30DE0">
              <w:rPr>
                <w:rFonts w:ascii="Arial" w:hAnsi="Arial" w:cs="Arial"/>
                <w:color w:val="auto"/>
                <w:sz w:val="20"/>
                <w:szCs w:val="20"/>
                <w:lang w:val="en-US"/>
              </w:rPr>
              <w:t xml:space="preserve"> As above. </w:t>
            </w:r>
            <w:proofErr w:type="gramStart"/>
            <w:r w:rsidRPr="00D30DE0">
              <w:rPr>
                <w:rFonts w:ascii="Arial" w:hAnsi="Arial" w:cs="Arial"/>
                <w:color w:val="auto"/>
                <w:sz w:val="20"/>
                <w:szCs w:val="20"/>
                <w:lang w:val="en-US"/>
              </w:rPr>
              <w:t>In particular, some</w:t>
            </w:r>
            <w:proofErr w:type="gramEnd"/>
            <w:r w:rsidRPr="00D30DE0">
              <w:rPr>
                <w:rFonts w:ascii="Arial" w:hAnsi="Arial" w:cs="Arial"/>
                <w:color w:val="auto"/>
                <w:sz w:val="20"/>
                <w:szCs w:val="20"/>
                <w:lang w:val="en-US"/>
              </w:rPr>
              <w:t xml:space="preserve"> young people with multimorbidity due to only two or three conditions describe worse health and greater treatment burden than older people with more conditions. </w:t>
            </w:r>
            <w:bookmarkStart w:id="51" w:name="_Hlk7605942"/>
            <w:r w:rsidRPr="00D30DE0">
              <w:rPr>
                <w:rFonts w:ascii="Arial" w:hAnsi="Arial" w:cs="Arial"/>
                <w:color w:val="auto"/>
                <w:sz w:val="20"/>
                <w:szCs w:val="20"/>
                <w:lang w:val="en-US"/>
              </w:rPr>
              <w:t>Similarly, for people</w:t>
            </w:r>
            <w:r w:rsidRPr="00D30DE0">
              <w:rPr>
                <w:rFonts w:ascii="Arial" w:hAnsi="Arial" w:cs="Arial"/>
                <w:iCs/>
                <w:color w:val="auto"/>
                <w:sz w:val="20"/>
                <w:szCs w:val="20"/>
                <w:lang w:val="en-US"/>
              </w:rPr>
              <w:t xml:space="preserve"> with a disability or who are pregnant, for example, the impact of MMB may be greater, and therefore it is worth considering specific inclusion criteria for these groups. </w:t>
            </w:r>
            <w:bookmarkStart w:id="52" w:name="_Hlk7606063"/>
            <w:bookmarkEnd w:id="50"/>
            <w:bookmarkEnd w:id="51"/>
            <w:r w:rsidRPr="00D30DE0">
              <w:rPr>
                <w:rFonts w:ascii="Arial" w:hAnsi="Arial" w:cs="Arial"/>
                <w:bCs/>
                <w:color w:val="auto"/>
                <w:sz w:val="20"/>
                <w:szCs w:val="20"/>
                <w:lang w:val="en-US"/>
              </w:rPr>
              <w:t xml:space="preserve">The criteria for chronic pain </w:t>
            </w:r>
            <w:proofErr w:type="gramStart"/>
            <w:r w:rsidRPr="00D30DE0">
              <w:rPr>
                <w:rFonts w:ascii="Arial" w:hAnsi="Arial" w:cs="Arial"/>
                <w:bCs/>
                <w:color w:val="auto"/>
                <w:sz w:val="20"/>
                <w:szCs w:val="20"/>
                <w:lang w:val="en-US"/>
              </w:rPr>
              <w:t>is</w:t>
            </w:r>
            <w:proofErr w:type="gramEnd"/>
            <w:r w:rsidRPr="00D30DE0">
              <w:rPr>
                <w:rFonts w:ascii="Arial" w:hAnsi="Arial" w:cs="Arial"/>
                <w:bCs/>
                <w:color w:val="auto"/>
                <w:sz w:val="20"/>
                <w:szCs w:val="20"/>
                <w:lang w:val="en-US"/>
              </w:rPr>
              <w:t xml:space="preserve"> prescribed analgesia. However, for many people living with chronic pain, they may not be taking prescribed pain medication, but are in chronic pain. However, balanced against this, there is a risk that in letting patients self-identify we inadvertently increase inequalities because younger more affluent patients are likely to report greater needs than older poorer patients. </w:t>
            </w:r>
            <w:r w:rsidRPr="00D30DE0">
              <w:rPr>
                <w:rFonts w:ascii="Arial" w:hAnsi="Arial" w:cs="Arial"/>
                <w:color w:val="auto"/>
                <w:sz w:val="20"/>
                <w:szCs w:val="20"/>
                <w:lang w:val="en-US"/>
              </w:rPr>
              <w:t xml:space="preserve">These are all reasons we would advocate for GPs to have more flexibility over who they </w:t>
            </w:r>
            <w:proofErr w:type="spellStart"/>
            <w:r w:rsidRPr="00D30DE0">
              <w:rPr>
                <w:rFonts w:ascii="Arial" w:hAnsi="Arial" w:cs="Arial"/>
                <w:color w:val="auto"/>
                <w:sz w:val="20"/>
                <w:szCs w:val="20"/>
                <w:lang w:val="en-US"/>
              </w:rPr>
              <w:t>prioritise</w:t>
            </w:r>
            <w:proofErr w:type="spellEnd"/>
            <w:r w:rsidRPr="00D30DE0">
              <w:rPr>
                <w:rFonts w:ascii="Arial" w:hAnsi="Arial" w:cs="Arial"/>
                <w:color w:val="auto"/>
                <w:sz w:val="20"/>
                <w:szCs w:val="20"/>
                <w:lang w:val="en-US"/>
              </w:rPr>
              <w:t xml:space="preserve"> for tailored care, via discussions with their patients based on the principles of shared decision-making. </w:t>
            </w:r>
          </w:p>
          <w:p w14:paraId="0BB8AA85" w14:textId="77777777" w:rsidR="003F5118" w:rsidRPr="00D30DE0" w:rsidRDefault="003F5118" w:rsidP="003F5118">
            <w:pPr>
              <w:pStyle w:val="Default"/>
              <w:ind w:left="360"/>
              <w:rPr>
                <w:rFonts w:ascii="Arial" w:hAnsi="Arial" w:cs="Arial"/>
                <w:b/>
                <w:bCs/>
                <w:color w:val="auto"/>
                <w:sz w:val="20"/>
                <w:szCs w:val="20"/>
                <w:lang w:val="en-US"/>
              </w:rPr>
            </w:pPr>
          </w:p>
          <w:p w14:paraId="4A694F72" w14:textId="46725AE0" w:rsidR="003F5118" w:rsidRPr="00D30DE0" w:rsidRDefault="003F5118" w:rsidP="003F5118">
            <w:pPr>
              <w:rPr>
                <w:rFonts w:ascii="Arial" w:hAnsi="Arial" w:cs="Arial"/>
                <w:sz w:val="20"/>
                <w:szCs w:val="20"/>
              </w:rPr>
            </w:pPr>
            <w:r w:rsidRPr="00D30DE0">
              <w:rPr>
                <w:rFonts w:ascii="Arial" w:hAnsi="Arial" w:cs="Arial"/>
                <w:b/>
                <w:iCs/>
                <w:sz w:val="20"/>
                <w:szCs w:val="20"/>
                <w:lang w:val="en-US"/>
              </w:rPr>
              <w:t>Adverse impact in different groups in the community:</w:t>
            </w:r>
            <w:r w:rsidRPr="00D30DE0">
              <w:rPr>
                <w:rFonts w:ascii="Arial" w:hAnsi="Arial" w:cs="Arial"/>
                <w:iCs/>
                <w:sz w:val="20"/>
                <w:szCs w:val="20"/>
                <w:lang w:val="en-US"/>
              </w:rPr>
              <w:t xml:space="preserve"> See above. We know that MMB, social inequalities and deprivation are strongly correlated. </w:t>
            </w:r>
            <w:bookmarkEnd w:id="52"/>
            <w:r w:rsidRPr="00D30DE0">
              <w:rPr>
                <w:rFonts w:ascii="Arial" w:hAnsi="Arial" w:cs="Arial"/>
                <w:iCs/>
                <w:sz w:val="20"/>
                <w:szCs w:val="20"/>
                <w:lang w:val="en-US"/>
              </w:rPr>
              <w:t xml:space="preserve">Using the </w:t>
            </w:r>
            <w:r w:rsidRPr="00D30DE0">
              <w:rPr>
                <w:rFonts w:ascii="Arial" w:hAnsi="Arial" w:cs="Arial"/>
                <w:bCs/>
                <w:sz w:val="20"/>
                <w:szCs w:val="20"/>
                <w:lang w:val="en-US"/>
              </w:rPr>
              <w:t>index of multiple of deprivation within an automated screening tool to identify people who might be at risk would allow GPs discretion to pick the patients who most need more help and/or send these at risk patients a questionnaire to collect more info to identify the final target group.</w:t>
            </w:r>
          </w:p>
        </w:tc>
      </w:tr>
      <w:tr w:rsidR="003F5118" w:rsidRPr="006375EE" w14:paraId="06558228" w14:textId="77777777" w:rsidTr="0024650F">
        <w:trPr>
          <w:trHeight w:val="225"/>
        </w:trPr>
        <w:tc>
          <w:tcPr>
            <w:tcW w:w="562" w:type="dxa"/>
          </w:tcPr>
          <w:p w14:paraId="09AC2E97" w14:textId="3CB3ADA8" w:rsidR="003F5118" w:rsidRPr="006658EF" w:rsidRDefault="006658EF" w:rsidP="003F5118">
            <w:pPr>
              <w:pStyle w:val="TableText1"/>
              <w:jc w:val="center"/>
              <w:rPr>
                <w:rFonts w:cs="Arial"/>
                <w:sz w:val="20"/>
                <w:szCs w:val="20"/>
              </w:rPr>
            </w:pPr>
            <w:r w:rsidRPr="006658EF">
              <w:rPr>
                <w:rFonts w:cs="Arial"/>
                <w:sz w:val="20"/>
                <w:szCs w:val="20"/>
              </w:rPr>
              <w:lastRenderedPageBreak/>
              <w:t>43</w:t>
            </w:r>
          </w:p>
        </w:tc>
        <w:tc>
          <w:tcPr>
            <w:tcW w:w="1139" w:type="dxa"/>
          </w:tcPr>
          <w:p w14:paraId="2D83FC9F" w14:textId="15F86FD2" w:rsidR="003F5118" w:rsidRPr="00902CB1" w:rsidRDefault="003F5118" w:rsidP="003F5118">
            <w:pPr>
              <w:pStyle w:val="TableText1"/>
              <w:rPr>
                <w:rFonts w:cs="Arial"/>
                <w:color w:val="000000"/>
                <w:sz w:val="20"/>
                <w:szCs w:val="20"/>
              </w:rPr>
            </w:pPr>
            <w:r w:rsidRPr="00902CB1">
              <w:rPr>
                <w:rFonts w:cs="Arial"/>
                <w:color w:val="000000"/>
                <w:sz w:val="20"/>
                <w:szCs w:val="20"/>
              </w:rPr>
              <w:t>IND1</w:t>
            </w:r>
          </w:p>
        </w:tc>
        <w:tc>
          <w:tcPr>
            <w:tcW w:w="1985" w:type="dxa"/>
          </w:tcPr>
          <w:p w14:paraId="3B7F2838" w14:textId="420B8D46" w:rsidR="003F5118" w:rsidRPr="00442BCE" w:rsidRDefault="003F5118" w:rsidP="003F5118">
            <w:pPr>
              <w:pStyle w:val="TableText1"/>
              <w:rPr>
                <w:rFonts w:cs="Arial"/>
                <w:b/>
                <w:sz w:val="20"/>
                <w:szCs w:val="20"/>
              </w:rPr>
            </w:pPr>
            <w:proofErr w:type="spellStart"/>
            <w:r w:rsidRPr="00442BCE">
              <w:rPr>
                <w:rFonts w:cs="Arial"/>
                <w:b/>
                <w:sz w:val="20"/>
                <w:szCs w:val="20"/>
              </w:rPr>
              <w:t>Perspectum</w:t>
            </w:r>
            <w:proofErr w:type="spellEnd"/>
            <w:r w:rsidRPr="00442BCE">
              <w:rPr>
                <w:rFonts w:cs="Arial"/>
                <w:b/>
                <w:sz w:val="20"/>
                <w:szCs w:val="20"/>
              </w:rPr>
              <w:t>® Diagnostics</w:t>
            </w:r>
          </w:p>
        </w:tc>
        <w:tc>
          <w:tcPr>
            <w:tcW w:w="11198" w:type="dxa"/>
          </w:tcPr>
          <w:p w14:paraId="6CEED4B2" w14:textId="77777777" w:rsidR="003F5118" w:rsidRPr="00D30DE0" w:rsidRDefault="003F5118" w:rsidP="003F5118">
            <w:pPr>
              <w:jc w:val="both"/>
              <w:rPr>
                <w:rFonts w:ascii="Arial" w:hAnsi="Arial" w:cs="Arial"/>
                <w:sz w:val="20"/>
                <w:szCs w:val="20"/>
              </w:rPr>
            </w:pPr>
            <w:r w:rsidRPr="00D30DE0">
              <w:rPr>
                <w:rFonts w:ascii="Arial" w:hAnsi="Arial" w:cs="Arial"/>
                <w:sz w:val="20"/>
                <w:szCs w:val="20"/>
              </w:rPr>
              <w:t xml:space="preserve">We </w:t>
            </w:r>
            <w:bookmarkStart w:id="53" w:name="_Hlk9246550"/>
            <w:r w:rsidRPr="00D30DE0">
              <w:rPr>
                <w:rFonts w:ascii="Arial" w:hAnsi="Arial" w:cs="Arial"/>
                <w:sz w:val="20"/>
                <w:szCs w:val="20"/>
              </w:rPr>
              <w:t>agree with the NICE recommendation to create a multimorbidity indicator [IND1] for general practice and support the inclusion of hypertension, stroke or TIA, diabetes, chronic liver disease and chronic kidney disease as conditions in the multimorbidity register, amongst others</w:t>
            </w:r>
            <w:bookmarkEnd w:id="53"/>
            <w:r w:rsidRPr="00D30DE0">
              <w:rPr>
                <w:rFonts w:ascii="Arial" w:hAnsi="Arial" w:cs="Arial"/>
                <w:sz w:val="20"/>
                <w:szCs w:val="20"/>
              </w:rPr>
              <w:t>.</w:t>
            </w:r>
          </w:p>
          <w:p w14:paraId="2162AD6C" w14:textId="77777777" w:rsidR="003F5118" w:rsidRPr="00D30DE0" w:rsidRDefault="003F5118" w:rsidP="003F5118">
            <w:pPr>
              <w:jc w:val="both"/>
              <w:rPr>
                <w:rStyle w:val="normaltextrun"/>
                <w:rFonts w:ascii="Arial" w:hAnsi="Arial" w:cs="Arial"/>
                <w:sz w:val="20"/>
                <w:szCs w:val="20"/>
                <w:shd w:val="clear" w:color="auto" w:fill="FFFFFF"/>
              </w:rPr>
            </w:pPr>
          </w:p>
          <w:p w14:paraId="61A3CC58" w14:textId="77777777" w:rsidR="003F5118" w:rsidRPr="00D30DE0" w:rsidRDefault="003F5118" w:rsidP="003F5118">
            <w:pPr>
              <w:jc w:val="both"/>
              <w:rPr>
                <w:rStyle w:val="normaltextrun"/>
                <w:rFonts w:ascii="Arial" w:hAnsi="Arial" w:cs="Arial"/>
                <w:sz w:val="20"/>
                <w:szCs w:val="20"/>
                <w:shd w:val="clear" w:color="auto" w:fill="FFFFFF"/>
              </w:rPr>
            </w:pPr>
            <w:r w:rsidRPr="00D30DE0">
              <w:rPr>
                <w:rStyle w:val="normaltextrun"/>
                <w:rFonts w:ascii="Arial" w:hAnsi="Arial" w:cs="Arial"/>
                <w:sz w:val="20"/>
                <w:szCs w:val="20"/>
                <w:shd w:val="clear" w:color="auto" w:fill="FFFFFF"/>
              </w:rPr>
              <w:t>A current healthcare challenge is dealing with the huge increase in incidence of the metabolic syndrome (</w:t>
            </w:r>
            <w:proofErr w:type="spellStart"/>
            <w:r w:rsidRPr="00D30DE0">
              <w:rPr>
                <w:rStyle w:val="normaltextrun"/>
                <w:rFonts w:ascii="Arial" w:hAnsi="Arial" w:cs="Arial"/>
                <w:sz w:val="20"/>
                <w:szCs w:val="20"/>
                <w:shd w:val="clear" w:color="auto" w:fill="FFFFFF"/>
              </w:rPr>
              <w:t>MetS</w:t>
            </w:r>
            <w:proofErr w:type="spellEnd"/>
            <w:r w:rsidRPr="00D30DE0">
              <w:rPr>
                <w:rStyle w:val="normaltextrun"/>
                <w:rFonts w:ascii="Arial" w:hAnsi="Arial" w:cs="Arial"/>
                <w:sz w:val="20"/>
                <w:szCs w:val="20"/>
                <w:shd w:val="clear" w:color="auto" w:fill="FFFFFF"/>
              </w:rPr>
              <w:t>) pathologies: Type-2 diabetes (T2DM), fatty liver disease, steatohepatitis, heart disease and stroke. </w:t>
            </w:r>
            <w:r w:rsidRPr="00D30DE0">
              <w:rPr>
                <w:rStyle w:val="normaltextrun"/>
                <w:rFonts w:ascii="Arial" w:hAnsi="Arial" w:cs="Arial"/>
                <w:sz w:val="20"/>
                <w:szCs w:val="20"/>
              </w:rPr>
              <w:t xml:space="preserve"> Fuelled by an increase in the prevalence of obesity and related metabolic disorders, </w:t>
            </w:r>
            <w:r w:rsidRPr="00D30DE0">
              <w:rPr>
                <w:rStyle w:val="normaltextrun"/>
                <w:rFonts w:ascii="Arial" w:hAnsi="Arial" w:cs="Arial"/>
                <w:sz w:val="20"/>
                <w:szCs w:val="20"/>
                <w:shd w:val="clear" w:color="auto" w:fill="FFFFFF"/>
              </w:rPr>
              <w:t>it is approximated that over one third of the UK population will have fatty liver disease and over 12 million people are at an increased risk of developing T2DM [NHS Digital]</w:t>
            </w:r>
            <w:r w:rsidRPr="00D30DE0">
              <w:rPr>
                <w:rStyle w:val="normaltextrun"/>
                <w:rFonts w:ascii="Arial" w:hAnsi="Arial" w:cs="Arial"/>
                <w:sz w:val="20"/>
                <w:szCs w:val="20"/>
                <w:shd w:val="clear" w:color="auto" w:fill="FFFFFF" w:themeFill="background1"/>
              </w:rPr>
              <w:t>. T</w:t>
            </w:r>
            <w:r w:rsidRPr="00D30DE0">
              <w:rPr>
                <w:rFonts w:ascii="Arial" w:hAnsi="Arial" w:cs="Arial"/>
                <w:sz w:val="20"/>
                <w:szCs w:val="20"/>
                <w:shd w:val="clear" w:color="auto" w:fill="FFFFFF" w:themeFill="background1"/>
              </w:rPr>
              <w:t>he</w:t>
            </w:r>
            <w:r w:rsidRPr="00D30DE0">
              <w:rPr>
                <w:rFonts w:ascii="Arial" w:hAnsi="Arial" w:cs="Arial"/>
                <w:sz w:val="20"/>
                <w:szCs w:val="20"/>
              </w:rPr>
              <w:t xml:space="preserve"> estimated UK prevalence of type-2 diabetes, which constitutes 90% of diabetes cases in Europe and USA, is 5.26%</w:t>
            </w:r>
            <w:r w:rsidRPr="00D30DE0">
              <w:rPr>
                <w:rStyle w:val="FootnoteReference"/>
                <w:rFonts w:ascii="Arial" w:hAnsi="Arial" w:cs="Arial"/>
                <w:sz w:val="20"/>
                <w:szCs w:val="20"/>
              </w:rPr>
              <w:footnoteReference w:customMarkFollows="1" w:id="5"/>
              <w:t>16</w:t>
            </w:r>
            <w:r w:rsidRPr="00D30DE0">
              <w:rPr>
                <w:rFonts w:ascii="Arial" w:hAnsi="Arial" w:cs="Arial"/>
                <w:sz w:val="20"/>
                <w:szCs w:val="20"/>
              </w:rPr>
              <w:t xml:space="preserve"> and costs £8.8 billion annually, of which £7.04 billion are for associated complications</w:t>
            </w:r>
            <w:r w:rsidRPr="00D30DE0">
              <w:rPr>
                <w:rStyle w:val="FootnoteReference"/>
                <w:rFonts w:ascii="Arial" w:hAnsi="Arial" w:cs="Arial"/>
                <w:sz w:val="20"/>
                <w:szCs w:val="20"/>
              </w:rPr>
              <w:t>5,14</w:t>
            </w:r>
            <w:r w:rsidRPr="00D30DE0">
              <w:rPr>
                <w:rFonts w:ascii="Arial" w:hAnsi="Arial" w:cs="Arial"/>
                <w:sz w:val="20"/>
                <w:szCs w:val="20"/>
              </w:rPr>
              <w:t xml:space="preserve">. There is a growing healthcare challenge </w:t>
            </w:r>
            <w:r w:rsidRPr="00D30DE0">
              <w:rPr>
                <w:rStyle w:val="normaltextrun"/>
                <w:rFonts w:ascii="Arial" w:hAnsi="Arial" w:cs="Arial"/>
                <w:sz w:val="20"/>
                <w:szCs w:val="20"/>
                <w:shd w:val="clear" w:color="auto" w:fill="FFFFFF"/>
              </w:rPr>
              <w:t xml:space="preserve">to deal with the growing costs and resource needs of multi-organ dysfunction. This is specifically important for those with the </w:t>
            </w:r>
            <w:proofErr w:type="spellStart"/>
            <w:r w:rsidRPr="00D30DE0">
              <w:rPr>
                <w:rStyle w:val="normaltextrun"/>
                <w:rFonts w:ascii="Arial" w:hAnsi="Arial" w:cs="Arial"/>
                <w:sz w:val="20"/>
                <w:szCs w:val="20"/>
                <w:shd w:val="clear" w:color="auto" w:fill="FFFFFF"/>
              </w:rPr>
              <w:t>MetS</w:t>
            </w:r>
            <w:proofErr w:type="spellEnd"/>
            <w:r w:rsidRPr="00D30DE0">
              <w:rPr>
                <w:rStyle w:val="normaltextrun"/>
                <w:rFonts w:ascii="Arial" w:hAnsi="Arial" w:cs="Arial"/>
                <w:sz w:val="20"/>
                <w:szCs w:val="20"/>
                <w:shd w:val="clear" w:color="auto" w:fill="FFFFFF"/>
              </w:rPr>
              <w:t xml:space="preserve"> that is typically characterised by obesity and defective insulin sensitivity and is associated with serious adverse events such as stroke and heart disease.</w:t>
            </w:r>
          </w:p>
          <w:p w14:paraId="63E32A14" w14:textId="77777777" w:rsidR="003F5118" w:rsidRPr="00D30DE0" w:rsidRDefault="003F5118" w:rsidP="003F5118">
            <w:pPr>
              <w:jc w:val="both"/>
              <w:rPr>
                <w:rStyle w:val="normaltextrun"/>
                <w:rFonts w:ascii="Arial" w:hAnsi="Arial" w:cs="Arial"/>
                <w:sz w:val="20"/>
                <w:szCs w:val="20"/>
              </w:rPr>
            </w:pPr>
          </w:p>
          <w:p w14:paraId="1CD22081" w14:textId="77777777" w:rsidR="003F5118" w:rsidRPr="00D30DE0" w:rsidRDefault="003F5118" w:rsidP="003F5118">
            <w:pPr>
              <w:jc w:val="both"/>
              <w:rPr>
                <w:rStyle w:val="normaltextrun"/>
                <w:rFonts w:ascii="Arial" w:eastAsia="Arial" w:hAnsi="Arial" w:cs="Arial"/>
                <w:sz w:val="20"/>
                <w:szCs w:val="20"/>
              </w:rPr>
            </w:pPr>
            <w:r w:rsidRPr="00D30DE0">
              <w:rPr>
                <w:rFonts w:ascii="Arial" w:eastAsia="Arial" w:hAnsi="Arial" w:cs="Arial"/>
                <w:sz w:val="20"/>
                <w:szCs w:val="20"/>
              </w:rPr>
              <w:t xml:space="preserve">90% of patients in Europe and USA with </w:t>
            </w:r>
            <w:proofErr w:type="spellStart"/>
            <w:r w:rsidRPr="00D30DE0">
              <w:rPr>
                <w:rFonts w:ascii="Arial" w:eastAsia="Arial" w:hAnsi="Arial" w:cs="Arial"/>
                <w:sz w:val="20"/>
                <w:szCs w:val="20"/>
              </w:rPr>
              <w:t>MetS</w:t>
            </w:r>
            <w:proofErr w:type="spellEnd"/>
            <w:r w:rsidRPr="00D30DE0">
              <w:rPr>
                <w:rFonts w:ascii="Arial" w:eastAsia="Arial" w:hAnsi="Arial" w:cs="Arial"/>
                <w:sz w:val="20"/>
                <w:szCs w:val="20"/>
              </w:rPr>
              <w:t xml:space="preserve"> are reported to present with T2DM</w:t>
            </w:r>
            <w:r w:rsidRPr="00D30DE0">
              <w:rPr>
                <w:rFonts w:ascii="Arial" w:eastAsia="Arial" w:hAnsi="Arial" w:cs="Arial"/>
                <w:sz w:val="20"/>
                <w:szCs w:val="20"/>
                <w:vertAlign w:val="superscript"/>
              </w:rPr>
              <w:t>6,7</w:t>
            </w:r>
            <w:r w:rsidRPr="00D30DE0">
              <w:rPr>
                <w:rFonts w:ascii="Arial" w:eastAsia="Arial" w:hAnsi="Arial" w:cs="Arial"/>
                <w:sz w:val="20"/>
                <w:szCs w:val="20"/>
              </w:rPr>
              <w:t xml:space="preserve">, a condition frequently associated with a </w:t>
            </w:r>
            <w:r w:rsidRPr="00D30DE0">
              <w:rPr>
                <w:rStyle w:val="normaltextrun"/>
                <w:rFonts w:ascii="Arial" w:eastAsia="Arial" w:hAnsi="Arial" w:cs="Arial"/>
                <w:sz w:val="20"/>
                <w:szCs w:val="20"/>
                <w:shd w:val="clear" w:color="auto" w:fill="FFFFFF"/>
              </w:rPr>
              <w:t>higher incidence of non-alcoholic fatty liver disease (NAFLD [60%])</w:t>
            </w:r>
            <w:r w:rsidRPr="00D30DE0">
              <w:rPr>
                <w:rStyle w:val="FootnoteReference"/>
                <w:rFonts w:ascii="Arial" w:eastAsia="Arial" w:hAnsi="Arial" w:cs="Arial"/>
                <w:sz w:val="20"/>
                <w:szCs w:val="20"/>
                <w:shd w:val="clear" w:color="auto" w:fill="FFFFFF"/>
              </w:rPr>
              <w:footnoteReference w:customMarkFollows="1" w:id="6"/>
              <w:t>1,2</w:t>
            </w:r>
            <w:r w:rsidRPr="00D30DE0">
              <w:rPr>
                <w:rStyle w:val="normaltextrun"/>
                <w:rFonts w:ascii="Arial" w:eastAsia="Arial" w:hAnsi="Arial" w:cs="Arial"/>
                <w:sz w:val="20"/>
                <w:szCs w:val="20"/>
                <w:shd w:val="clear" w:color="auto" w:fill="FFFFFF"/>
              </w:rPr>
              <w:t>; chronic kidney disease</w:t>
            </w:r>
            <w:r w:rsidRPr="00D30DE0">
              <w:rPr>
                <w:rStyle w:val="FootnoteReference"/>
                <w:rFonts w:ascii="Arial" w:eastAsia="Arial" w:hAnsi="Arial" w:cs="Arial"/>
                <w:sz w:val="20"/>
                <w:szCs w:val="20"/>
                <w:shd w:val="clear" w:color="auto" w:fill="FFFFFF"/>
              </w:rPr>
              <w:t>3</w:t>
            </w:r>
            <w:r w:rsidRPr="00D30DE0">
              <w:rPr>
                <w:rStyle w:val="normaltextrun"/>
                <w:rFonts w:ascii="Arial" w:eastAsia="Arial" w:hAnsi="Arial" w:cs="Arial"/>
                <w:sz w:val="20"/>
                <w:szCs w:val="20"/>
                <w:shd w:val="clear" w:color="auto" w:fill="FFFFFF"/>
              </w:rPr>
              <w:t xml:space="preserve"> (CKD [34.2-50.7%]); and cardiovascular disease (CVD [32.2%])</w:t>
            </w:r>
            <w:r w:rsidRPr="00D30DE0">
              <w:rPr>
                <w:rStyle w:val="FootnoteReference"/>
                <w:rFonts w:ascii="Arial" w:eastAsia="Arial" w:hAnsi="Arial" w:cs="Arial"/>
                <w:sz w:val="20"/>
                <w:szCs w:val="20"/>
                <w:shd w:val="clear" w:color="auto" w:fill="FFFFFF"/>
              </w:rPr>
              <w:t>4</w:t>
            </w:r>
            <w:r w:rsidRPr="00D30DE0">
              <w:rPr>
                <w:rStyle w:val="normaltextrun"/>
                <w:rFonts w:ascii="Arial" w:eastAsia="Arial" w:hAnsi="Arial" w:cs="Arial"/>
                <w:sz w:val="20"/>
                <w:szCs w:val="20"/>
                <w:shd w:val="clear" w:color="auto" w:fill="FFFFFF"/>
              </w:rPr>
              <w:t xml:space="preserve">.  Furthermore, 50% of patients with hypertension have NAFLD that is associated with </w:t>
            </w:r>
            <w:r w:rsidRPr="00D30DE0">
              <w:rPr>
                <w:rStyle w:val="normaltextrun"/>
                <w:rFonts w:ascii="Arial" w:eastAsia="Arial" w:hAnsi="Arial" w:cs="Arial"/>
                <w:sz w:val="20"/>
                <w:szCs w:val="20"/>
                <w:shd w:val="clear" w:color="auto" w:fill="FFFFFF"/>
              </w:rPr>
              <w:lastRenderedPageBreak/>
              <w:t>deleterious changes in arterial stiffness, myocardial remodelling, kidney disease and heart failure</w:t>
            </w:r>
            <w:r w:rsidRPr="00D30DE0">
              <w:rPr>
                <w:rStyle w:val="FootnoteReference"/>
                <w:rFonts w:ascii="Arial" w:eastAsia="Arial" w:hAnsi="Arial" w:cs="Arial"/>
                <w:sz w:val="20"/>
                <w:szCs w:val="20"/>
                <w:shd w:val="clear" w:color="auto" w:fill="FFFFFF"/>
              </w:rPr>
              <w:t>5</w:t>
            </w:r>
            <w:r w:rsidRPr="00D30DE0">
              <w:rPr>
                <w:rStyle w:val="normaltextrun"/>
                <w:rFonts w:ascii="Arial" w:eastAsia="Arial" w:hAnsi="Arial" w:cs="Arial"/>
                <w:sz w:val="20"/>
                <w:szCs w:val="20"/>
                <w:shd w:val="clear" w:color="auto" w:fill="FFFFFF"/>
              </w:rPr>
              <w:t xml:space="preserve">. </w:t>
            </w:r>
            <w:r w:rsidRPr="00D30DE0">
              <w:rPr>
                <w:rFonts w:ascii="Arial" w:hAnsi="Arial" w:cs="Arial"/>
                <w:sz w:val="20"/>
                <w:szCs w:val="20"/>
                <w:shd w:val="clear" w:color="auto" w:fill="FFFFFF"/>
              </w:rPr>
              <w:t>The American Diabetes Association (ADA) 2019 guidelines already recommend that ‘Patients with type 2 diabetes or prediabetes and elevated liver enzymes (alanine aminotransferase) or fatty liver on ultrasound should be evaluated for presence of non-alcoholic steatohepatitis and liver fibrosis’</w:t>
            </w:r>
            <w:r w:rsidRPr="00D30DE0">
              <w:rPr>
                <w:rStyle w:val="FootnoteReference"/>
                <w:rFonts w:ascii="Arial" w:hAnsi="Arial" w:cs="Arial"/>
                <w:sz w:val="20"/>
                <w:szCs w:val="20"/>
                <w:shd w:val="clear" w:color="auto" w:fill="FFFFFF"/>
              </w:rPr>
              <w:t>12</w:t>
            </w:r>
            <w:r w:rsidRPr="00D30DE0">
              <w:rPr>
                <w:rFonts w:ascii="Arial" w:hAnsi="Arial" w:cs="Arial"/>
                <w:sz w:val="20"/>
                <w:szCs w:val="20"/>
                <w:shd w:val="clear" w:color="auto" w:fill="FFFFFF"/>
              </w:rPr>
              <w:t xml:space="preserve">. </w:t>
            </w:r>
            <w:r w:rsidRPr="00D30DE0">
              <w:rPr>
                <w:rFonts w:ascii="Arial" w:eastAsia="Arial" w:hAnsi="Arial" w:cs="Arial"/>
                <w:sz w:val="20"/>
                <w:szCs w:val="20"/>
              </w:rPr>
              <w:t>Furthermore, the AASLD 2018 guidelines (statement 13) recognises MRE as a clinically useful tool for the identification of advanced fibrosis in patients with NAFLD</w:t>
            </w:r>
            <w:r w:rsidRPr="00D30DE0">
              <w:rPr>
                <w:rFonts w:ascii="Arial" w:eastAsia="Arial" w:hAnsi="Arial" w:cs="Arial"/>
                <w:sz w:val="20"/>
                <w:szCs w:val="20"/>
                <w:vertAlign w:val="superscript"/>
              </w:rPr>
              <w:t>15</w:t>
            </w:r>
          </w:p>
          <w:p w14:paraId="4435A32B" w14:textId="77777777" w:rsidR="003F5118" w:rsidRPr="00D30DE0" w:rsidRDefault="003F5118" w:rsidP="003F5118">
            <w:pPr>
              <w:jc w:val="both"/>
              <w:rPr>
                <w:rStyle w:val="normaltextrun"/>
                <w:rFonts w:ascii="Arial" w:eastAsia="Arial" w:hAnsi="Arial" w:cs="Arial"/>
                <w:sz w:val="20"/>
                <w:szCs w:val="20"/>
              </w:rPr>
            </w:pPr>
          </w:p>
          <w:p w14:paraId="58C18C33" w14:textId="77777777" w:rsidR="003F5118" w:rsidRPr="00D30DE0" w:rsidRDefault="003F5118" w:rsidP="003F5118">
            <w:pPr>
              <w:pStyle w:val="li1"/>
              <w:spacing w:before="0" w:beforeAutospacing="0" w:after="0" w:afterAutospacing="0"/>
              <w:jc w:val="both"/>
              <w:rPr>
                <w:rFonts w:ascii="Arial" w:eastAsia="Arial" w:hAnsi="Arial" w:cs="Arial"/>
                <w:sz w:val="20"/>
                <w:szCs w:val="20"/>
              </w:rPr>
            </w:pPr>
            <w:r w:rsidRPr="00D30DE0">
              <w:rPr>
                <w:rStyle w:val="normaltextrun"/>
                <w:rFonts w:ascii="Arial" w:eastAsia="Arial" w:hAnsi="Arial" w:cs="Arial"/>
                <w:sz w:val="20"/>
                <w:szCs w:val="20"/>
                <w:shd w:val="clear" w:color="auto" w:fill="FFFFFF"/>
              </w:rPr>
              <w:t>T2DM costs the NHS £8.8bn each year, mainly due to secondary complications such as kidney failure, stroke and amputation</w:t>
            </w:r>
            <w:r w:rsidRPr="00D30DE0">
              <w:rPr>
                <w:rStyle w:val="FootnoteReference"/>
                <w:rFonts w:ascii="Arial" w:eastAsia="Arial" w:hAnsi="Arial" w:cs="Arial"/>
                <w:sz w:val="20"/>
                <w:szCs w:val="20"/>
                <w:shd w:val="clear" w:color="auto" w:fill="FFFFFF"/>
              </w:rPr>
              <w:t>14</w:t>
            </w:r>
            <w:r w:rsidRPr="00D30DE0">
              <w:rPr>
                <w:rStyle w:val="normaltextrun"/>
                <w:rFonts w:ascii="Arial" w:eastAsia="Arial" w:hAnsi="Arial" w:cs="Arial"/>
                <w:sz w:val="20"/>
                <w:szCs w:val="20"/>
                <w:shd w:val="clear" w:color="auto" w:fill="FFFFFF"/>
              </w:rPr>
              <w:t xml:space="preserve">.  </w:t>
            </w:r>
            <w:r w:rsidRPr="00D30DE0">
              <w:rPr>
                <w:rFonts w:ascii="Arial" w:eastAsia="Arial" w:hAnsi="Arial" w:cs="Arial"/>
                <w:sz w:val="20"/>
                <w:szCs w:val="20"/>
              </w:rPr>
              <w:t xml:space="preserve">Currently, T2DM is detected using circulating biomarkers that are not organ-specific and do not assess multi-organ dysfunction.  </w:t>
            </w:r>
            <w:r w:rsidRPr="00D30DE0">
              <w:rPr>
                <w:rStyle w:val="normaltextrun"/>
                <w:rFonts w:ascii="Arial" w:hAnsi="Arial" w:cs="Arial"/>
                <w:sz w:val="20"/>
                <w:szCs w:val="20"/>
              </w:rPr>
              <w:t xml:space="preserve">We agree that there is a healthcare need to improve patient stratification and to </w:t>
            </w:r>
            <w:r w:rsidRPr="00D30DE0">
              <w:rPr>
                <w:rStyle w:val="normaltextrun"/>
                <w:rFonts w:ascii="Arial" w:hAnsi="Arial" w:cs="Arial"/>
                <w:sz w:val="20"/>
                <w:szCs w:val="20"/>
                <w:shd w:val="clear" w:color="auto" w:fill="FFFFFF"/>
              </w:rPr>
              <w:t xml:space="preserve">support </w:t>
            </w:r>
            <w:r w:rsidRPr="00D30DE0">
              <w:rPr>
                <w:rStyle w:val="normaltextrun"/>
                <w:rFonts w:ascii="Arial" w:hAnsi="Arial" w:cs="Arial"/>
                <w:sz w:val="20"/>
                <w:szCs w:val="20"/>
              </w:rPr>
              <w:t xml:space="preserve">the accurate identification of people with multimorbidity within the primary care setting. </w:t>
            </w:r>
            <w:r w:rsidRPr="00D30DE0">
              <w:rPr>
                <w:rStyle w:val="normaltextrun"/>
                <w:rFonts w:ascii="Arial" w:hAnsi="Arial" w:cs="Arial"/>
                <w:sz w:val="20"/>
                <w:szCs w:val="20"/>
                <w:shd w:val="clear" w:color="auto" w:fill="FFFFFF"/>
              </w:rPr>
              <w:t xml:space="preserve"> </w:t>
            </w:r>
            <w:r w:rsidRPr="00D30DE0">
              <w:rPr>
                <w:rFonts w:ascii="Arial" w:hAnsi="Arial" w:cs="Arial"/>
                <w:sz w:val="20"/>
                <w:szCs w:val="20"/>
              </w:rPr>
              <w:t>As a Stakeholder, we support the development of pathways that incorporate recent advances in diagnostic tools to facilitate the rapid</w:t>
            </w:r>
            <w:r w:rsidRPr="00D30DE0">
              <w:rPr>
                <w:rStyle w:val="apple-converted-space"/>
                <w:rFonts w:ascii="Arial" w:hAnsi="Arial" w:cs="Arial"/>
                <w:sz w:val="20"/>
                <w:szCs w:val="20"/>
              </w:rPr>
              <w:t> </w:t>
            </w:r>
            <w:r w:rsidRPr="00D30DE0">
              <w:rPr>
                <w:rFonts w:ascii="Arial" w:hAnsi="Arial" w:cs="Arial"/>
                <w:sz w:val="20"/>
                <w:szCs w:val="20"/>
              </w:rPr>
              <w:t xml:space="preserve">assessment and characterisation of the multimorbidity patient to enable their allocation to the most appropriate healthcare management. </w:t>
            </w:r>
            <w:r w:rsidRPr="00D30DE0">
              <w:rPr>
                <w:rStyle w:val="normaltextrun"/>
                <w:rFonts w:ascii="Arial" w:hAnsi="Arial" w:cs="Arial"/>
                <w:sz w:val="20"/>
                <w:szCs w:val="20"/>
                <w:shd w:val="clear" w:color="auto" w:fill="FFFFFF"/>
              </w:rPr>
              <w:t xml:space="preserve"> New technology that provides decision support for clinicians, combining information from images and biomarkers from multiple organs, would support recommendations for a multimorbidity approach to care. </w:t>
            </w:r>
            <w:r w:rsidRPr="00D30DE0">
              <w:rPr>
                <w:rFonts w:ascii="Arial" w:eastAsia="Arial" w:hAnsi="Arial" w:cs="Arial"/>
                <w:sz w:val="20"/>
                <w:szCs w:val="20"/>
              </w:rPr>
              <w:t>Non-invasive MRI imaging is a promising diagnostic tool to quantify multi organ-dysfunction and has already proven able to predict future adverse outcomes between healthy controls and patients with cirrhosis</w:t>
            </w:r>
            <w:r w:rsidRPr="00D30DE0">
              <w:rPr>
                <w:rFonts w:ascii="Arial" w:eastAsia="Arial" w:hAnsi="Arial" w:cs="Arial"/>
                <w:sz w:val="20"/>
                <w:szCs w:val="20"/>
                <w:vertAlign w:val="superscript"/>
              </w:rPr>
              <w:t>6</w:t>
            </w:r>
            <w:r w:rsidRPr="00D30DE0">
              <w:rPr>
                <w:rFonts w:ascii="Arial" w:eastAsia="Arial" w:hAnsi="Arial" w:cs="Arial"/>
                <w:sz w:val="20"/>
                <w:szCs w:val="20"/>
              </w:rPr>
              <w:t xml:space="preserve"> and predict clinical outcomes in patients with chronic liver disease</w:t>
            </w:r>
            <w:r w:rsidRPr="00D30DE0">
              <w:rPr>
                <w:rFonts w:ascii="Arial" w:eastAsia="Arial" w:hAnsi="Arial" w:cs="Arial"/>
                <w:sz w:val="20"/>
                <w:szCs w:val="20"/>
                <w:vertAlign w:val="superscript"/>
              </w:rPr>
              <w:t>13</w:t>
            </w:r>
            <w:r w:rsidRPr="00D30DE0">
              <w:rPr>
                <w:rFonts w:ascii="Arial" w:eastAsia="Arial" w:hAnsi="Arial" w:cs="Arial"/>
                <w:sz w:val="20"/>
                <w:szCs w:val="20"/>
              </w:rPr>
              <w:t xml:space="preserve">. </w:t>
            </w:r>
          </w:p>
          <w:p w14:paraId="142C69BB" w14:textId="77777777" w:rsidR="003F5118" w:rsidRPr="00D30DE0" w:rsidRDefault="003F5118" w:rsidP="003F5118">
            <w:pPr>
              <w:jc w:val="both"/>
              <w:rPr>
                <w:rStyle w:val="normaltextrun"/>
                <w:rFonts w:ascii="Arial" w:hAnsi="Arial" w:cs="Arial"/>
                <w:sz w:val="20"/>
                <w:szCs w:val="20"/>
              </w:rPr>
            </w:pPr>
          </w:p>
          <w:p w14:paraId="06E0DF50" w14:textId="77777777" w:rsidR="003F5118" w:rsidRPr="00D30DE0" w:rsidRDefault="003F5118" w:rsidP="003F5118">
            <w:pPr>
              <w:jc w:val="both"/>
              <w:rPr>
                <w:rStyle w:val="normaltextrun"/>
                <w:rFonts w:ascii="Arial" w:eastAsia="Arial" w:hAnsi="Arial" w:cs="Arial"/>
                <w:sz w:val="20"/>
                <w:szCs w:val="20"/>
              </w:rPr>
            </w:pPr>
            <w:r w:rsidRPr="00D30DE0">
              <w:rPr>
                <w:rFonts w:ascii="Arial" w:eastAsia="Arial" w:hAnsi="Arial" w:cs="Arial"/>
                <w:sz w:val="20"/>
                <w:szCs w:val="20"/>
              </w:rPr>
              <w:t>Detecting multi-organ dysfunction can allow the development of patient-specific treatment strategies therefore reducing the burden and costs of secondary complications such as amputation, for which 80% are preventable</w:t>
            </w:r>
            <w:r w:rsidRPr="00D30DE0">
              <w:rPr>
                <w:rFonts w:ascii="Arial" w:eastAsia="Arial" w:hAnsi="Arial" w:cs="Arial"/>
                <w:sz w:val="20"/>
                <w:szCs w:val="20"/>
                <w:vertAlign w:val="superscript"/>
              </w:rPr>
              <w:t>7</w:t>
            </w:r>
            <w:r w:rsidRPr="00D30DE0">
              <w:rPr>
                <w:rFonts w:ascii="Arial" w:eastAsia="Arial" w:hAnsi="Arial" w:cs="Arial"/>
                <w:sz w:val="20"/>
                <w:szCs w:val="20"/>
              </w:rPr>
              <w:t xml:space="preserve">. </w:t>
            </w:r>
            <w:r w:rsidRPr="00D30DE0">
              <w:rPr>
                <w:rStyle w:val="normaltextrun"/>
                <w:rFonts w:ascii="Arial" w:eastAsia="Arial" w:hAnsi="Arial" w:cs="Arial"/>
                <w:sz w:val="20"/>
                <w:szCs w:val="20"/>
              </w:rPr>
              <w:t xml:space="preserve">MRI technology can also enable the synthesis of multiple NICE clinical pathways, opening the possibility of more efficiently managing these overlapping clinical indications. </w:t>
            </w:r>
          </w:p>
          <w:p w14:paraId="7BE3B243" w14:textId="77777777" w:rsidR="003F5118" w:rsidRPr="00D30DE0" w:rsidRDefault="003F5118" w:rsidP="003F5118">
            <w:pPr>
              <w:jc w:val="both"/>
              <w:rPr>
                <w:rFonts w:ascii="Arial" w:eastAsia="Arial" w:hAnsi="Arial" w:cs="Arial"/>
                <w:sz w:val="20"/>
                <w:szCs w:val="20"/>
              </w:rPr>
            </w:pPr>
            <w:r w:rsidRPr="00D30DE0">
              <w:rPr>
                <w:rFonts w:ascii="Arial" w:eastAsia="Arial" w:hAnsi="Arial" w:cs="Arial"/>
                <w:sz w:val="20"/>
                <w:szCs w:val="20"/>
              </w:rPr>
              <w:t xml:space="preserve"> </w:t>
            </w:r>
          </w:p>
          <w:p w14:paraId="693AA900" w14:textId="77777777" w:rsidR="003F5118" w:rsidRPr="00D30DE0" w:rsidRDefault="003F5118" w:rsidP="003F5118">
            <w:pPr>
              <w:jc w:val="both"/>
              <w:rPr>
                <w:rFonts w:ascii="Arial" w:hAnsi="Arial" w:cs="Arial"/>
                <w:sz w:val="20"/>
                <w:szCs w:val="20"/>
              </w:rPr>
            </w:pPr>
            <w:r w:rsidRPr="00D30DE0">
              <w:rPr>
                <w:rFonts w:ascii="Arial" w:hAnsi="Arial" w:cs="Arial"/>
                <w:sz w:val="20"/>
                <w:szCs w:val="20"/>
              </w:rPr>
              <w:t xml:space="preserve">Good patient understanding and experiences can be linked to better patient outcomes. For patients who have a multimorbidity that include metabolic syndrome, a non-invasive magnetic resonance imaging scan can form part of an agreed individualised management plan with the patient (recommendation 1.6.17 of the </w:t>
            </w:r>
            <w:hyperlink r:id="rId35" w:history="1">
              <w:r w:rsidRPr="00D30DE0">
                <w:rPr>
                  <w:rStyle w:val="Hyperlink"/>
                  <w:rFonts w:ascii="Arial" w:hAnsi="Arial" w:cs="Arial"/>
                  <w:color w:val="auto"/>
                  <w:sz w:val="20"/>
                  <w:szCs w:val="20"/>
                </w:rPr>
                <w:t>multimorbidity: clinical assessment and management</w:t>
              </w:r>
            </w:hyperlink>
            <w:r w:rsidRPr="00D30DE0">
              <w:rPr>
                <w:rFonts w:ascii="Arial" w:hAnsi="Arial" w:cs="Arial"/>
                <w:sz w:val="20"/>
                <w:szCs w:val="20"/>
              </w:rPr>
              <w:t xml:space="preserve"> NICE guideline) as a means to monitor disease and intervention outcomes.</w:t>
            </w:r>
          </w:p>
          <w:p w14:paraId="0A725E2A" w14:textId="77777777" w:rsidR="003F5118" w:rsidRPr="00D30DE0" w:rsidRDefault="003F5118" w:rsidP="003F5118">
            <w:pPr>
              <w:jc w:val="both"/>
              <w:rPr>
                <w:rFonts w:ascii="Arial" w:hAnsi="Arial" w:cs="Arial"/>
                <w:sz w:val="20"/>
                <w:szCs w:val="20"/>
              </w:rPr>
            </w:pPr>
          </w:p>
          <w:p w14:paraId="609319B8" w14:textId="77777777" w:rsidR="003F5118" w:rsidRPr="00D30DE0" w:rsidRDefault="003F5118" w:rsidP="003F5118">
            <w:pPr>
              <w:jc w:val="both"/>
              <w:rPr>
                <w:rFonts w:ascii="Arial" w:hAnsi="Arial" w:cs="Arial"/>
                <w:sz w:val="20"/>
                <w:szCs w:val="20"/>
              </w:rPr>
            </w:pPr>
            <w:bookmarkStart w:id="54" w:name="_Hlk9246633"/>
            <w:r w:rsidRPr="00D30DE0">
              <w:rPr>
                <w:rFonts w:ascii="Arial" w:hAnsi="Arial" w:cs="Arial"/>
                <w:sz w:val="20"/>
                <w:szCs w:val="20"/>
              </w:rPr>
              <w:t>Encouraging patients with multimorbidity to take responsibility of their health by having their personal data (from MRI, circulating biomarkers and any future new metrics) reported in a portable format that they own for life, akin to the blue notes for pregnancy or red book for children, will promote shared decision making, patient self-determination</w:t>
            </w:r>
            <w:r w:rsidRPr="00D30DE0">
              <w:rPr>
                <w:rStyle w:val="FootnoteReference"/>
                <w:rFonts w:ascii="Arial" w:hAnsi="Arial" w:cs="Arial"/>
                <w:sz w:val="20"/>
                <w:szCs w:val="20"/>
              </w:rPr>
              <w:t>8</w:t>
            </w:r>
            <w:r w:rsidRPr="00D30DE0">
              <w:rPr>
                <w:rFonts w:ascii="Arial" w:hAnsi="Arial" w:cs="Arial"/>
                <w:sz w:val="20"/>
                <w:szCs w:val="20"/>
              </w:rPr>
              <w:t xml:space="preserve"> and behaviour change.  </w:t>
            </w:r>
            <w:bookmarkEnd w:id="54"/>
            <w:r w:rsidRPr="00D30DE0">
              <w:rPr>
                <w:rFonts w:ascii="Arial" w:hAnsi="Arial" w:cs="Arial"/>
                <w:sz w:val="20"/>
                <w:szCs w:val="20"/>
              </w:rPr>
              <w:t xml:space="preserve">This harmonises with recommendations 1.6.6 to 1.6.8 of the </w:t>
            </w:r>
            <w:hyperlink r:id="rId36" w:history="1">
              <w:r w:rsidRPr="00D30DE0">
                <w:rPr>
                  <w:rStyle w:val="Hyperlink"/>
                  <w:rFonts w:ascii="Arial" w:hAnsi="Arial" w:cs="Arial"/>
                  <w:color w:val="auto"/>
                  <w:sz w:val="20"/>
                  <w:szCs w:val="20"/>
                </w:rPr>
                <w:t>multimorbidity: clinical assessment and management</w:t>
              </w:r>
            </w:hyperlink>
            <w:r w:rsidRPr="00D30DE0">
              <w:rPr>
                <w:rFonts w:ascii="Arial" w:hAnsi="Arial" w:cs="Arial"/>
                <w:sz w:val="20"/>
                <w:szCs w:val="20"/>
              </w:rPr>
              <w:t xml:space="preserve"> NICE guideline, which asks people with multimorbidity to clarify what is important to them, including personal goals, values and priorities.</w:t>
            </w:r>
          </w:p>
          <w:p w14:paraId="064E84FC" w14:textId="77777777" w:rsidR="003F5118" w:rsidRPr="00D30DE0" w:rsidRDefault="003F5118" w:rsidP="003F5118">
            <w:pPr>
              <w:jc w:val="both"/>
              <w:rPr>
                <w:rStyle w:val="normaltextrun"/>
                <w:rFonts w:ascii="Arial" w:hAnsi="Arial" w:cs="Arial"/>
                <w:sz w:val="20"/>
                <w:szCs w:val="20"/>
              </w:rPr>
            </w:pPr>
          </w:p>
          <w:p w14:paraId="0D50628F" w14:textId="77777777" w:rsidR="003F5118" w:rsidRPr="00D30DE0" w:rsidRDefault="003F5118" w:rsidP="003F5118">
            <w:pPr>
              <w:jc w:val="both"/>
              <w:rPr>
                <w:rFonts w:ascii="Arial" w:eastAsia="Arial" w:hAnsi="Arial" w:cs="Arial"/>
                <w:sz w:val="20"/>
                <w:szCs w:val="20"/>
              </w:rPr>
            </w:pPr>
            <w:r w:rsidRPr="00D30DE0">
              <w:rPr>
                <w:rFonts w:ascii="Arial" w:eastAsia="Arial" w:hAnsi="Arial" w:cs="Arial"/>
                <w:sz w:val="20"/>
                <w:szCs w:val="20"/>
              </w:rPr>
              <w:t>Whilst liver biopsy remains the ‘gold standard’ method for diagnosing liver disease, it is invasive, costly and only examines 0.002% of the liver leading to significant intra-and inter-observer variability in histological interpretation</w:t>
            </w:r>
            <w:r w:rsidRPr="00D30DE0">
              <w:rPr>
                <w:rFonts w:ascii="Arial" w:eastAsia="Arial" w:hAnsi="Arial" w:cs="Arial"/>
                <w:sz w:val="20"/>
                <w:szCs w:val="20"/>
                <w:vertAlign w:val="superscript"/>
              </w:rPr>
              <w:t>9</w:t>
            </w:r>
            <w:r w:rsidRPr="00D30DE0">
              <w:rPr>
                <w:rFonts w:ascii="Arial" w:eastAsia="Arial" w:hAnsi="Arial" w:cs="Arial"/>
                <w:sz w:val="20"/>
                <w:szCs w:val="20"/>
              </w:rPr>
              <w:t>. Use of MRI examinations can reduce biopsy requirement by 16%, saving £150,218 per 1,000 patients and does not suffer from the same limitations as ultrasound such as poor acoustic windows in obese patients</w:t>
            </w:r>
            <w:r w:rsidRPr="00D30DE0">
              <w:rPr>
                <w:rFonts w:ascii="Arial" w:eastAsia="Arial" w:hAnsi="Arial" w:cs="Arial"/>
                <w:sz w:val="20"/>
                <w:szCs w:val="20"/>
                <w:vertAlign w:val="superscript"/>
              </w:rPr>
              <w:t>10</w:t>
            </w:r>
            <w:r w:rsidRPr="00D30DE0">
              <w:rPr>
                <w:rFonts w:ascii="Arial" w:eastAsia="Arial" w:hAnsi="Arial" w:cs="Arial"/>
                <w:sz w:val="20"/>
                <w:szCs w:val="20"/>
              </w:rPr>
              <w:t xml:space="preserve">. Furthermore, MRI analysis can detect changes in hepatic lipids, proton density fat fraction (PDFF), left-ventricular function, myocardial mass and carotid plaque between </w:t>
            </w:r>
            <w:r w:rsidRPr="00D30DE0">
              <w:rPr>
                <w:rFonts w:ascii="Arial" w:eastAsia="Arial" w:hAnsi="Arial" w:cs="Arial"/>
                <w:sz w:val="20"/>
                <w:szCs w:val="20"/>
              </w:rPr>
              <w:lastRenderedPageBreak/>
              <w:t>prediabetic, diabetic and healthy population allowing the stratification of high-risk patients</w:t>
            </w:r>
            <w:r w:rsidRPr="00D30DE0">
              <w:rPr>
                <w:rFonts w:ascii="Arial" w:eastAsia="Arial" w:hAnsi="Arial" w:cs="Arial"/>
                <w:sz w:val="20"/>
                <w:szCs w:val="20"/>
                <w:vertAlign w:val="superscript"/>
              </w:rPr>
              <w:t>11</w:t>
            </w:r>
            <w:r w:rsidRPr="00D30DE0">
              <w:rPr>
                <w:rFonts w:ascii="Arial" w:eastAsia="Arial" w:hAnsi="Arial" w:cs="Arial"/>
                <w:sz w:val="20"/>
                <w:szCs w:val="20"/>
              </w:rPr>
              <w:t>. MRI does not require the use of ionising radiation and is therefore more suitable than other imaging modalities, such as computed tomography (CT).</w:t>
            </w:r>
          </w:p>
          <w:p w14:paraId="5FE1C577" w14:textId="77777777" w:rsidR="003F5118" w:rsidRPr="00D30DE0" w:rsidRDefault="003F5118" w:rsidP="003F5118">
            <w:pPr>
              <w:jc w:val="both"/>
              <w:rPr>
                <w:rFonts w:ascii="Arial" w:hAnsi="Arial" w:cs="Arial"/>
                <w:sz w:val="20"/>
                <w:szCs w:val="20"/>
              </w:rPr>
            </w:pPr>
          </w:p>
          <w:p w14:paraId="736144F0" w14:textId="77777777" w:rsidR="003F5118" w:rsidRPr="00D30DE0" w:rsidRDefault="003F5118" w:rsidP="003F5118">
            <w:pPr>
              <w:jc w:val="both"/>
              <w:rPr>
                <w:rFonts w:ascii="Arial" w:hAnsi="Arial" w:cs="Arial"/>
                <w:sz w:val="20"/>
                <w:szCs w:val="20"/>
                <w:u w:val="single"/>
              </w:rPr>
            </w:pPr>
            <w:r w:rsidRPr="00D30DE0">
              <w:rPr>
                <w:rFonts w:ascii="Arial" w:hAnsi="Arial" w:cs="Arial"/>
                <w:sz w:val="20"/>
                <w:szCs w:val="20"/>
                <w:u w:val="single"/>
              </w:rPr>
              <w:t>References</w:t>
            </w:r>
          </w:p>
          <w:p w14:paraId="759E9BCD" w14:textId="77777777" w:rsidR="003F5118" w:rsidRPr="00D30DE0" w:rsidRDefault="003F5118" w:rsidP="003F5118">
            <w:pPr>
              <w:pStyle w:val="ListParagraph"/>
              <w:numPr>
                <w:ilvl w:val="0"/>
                <w:numId w:val="34"/>
              </w:numPr>
              <w:shd w:val="clear" w:color="auto" w:fill="FFFFFF" w:themeFill="background1"/>
              <w:spacing w:before="100" w:beforeAutospacing="1" w:after="100" w:afterAutospacing="1"/>
              <w:rPr>
                <w:rFonts w:ascii="Arial" w:hAnsi="Arial" w:cs="Arial"/>
                <w:sz w:val="20"/>
                <w:szCs w:val="20"/>
              </w:rPr>
            </w:pPr>
            <w:r w:rsidRPr="00D30DE0">
              <w:rPr>
                <w:rFonts w:ascii="Arial" w:hAnsi="Arial" w:cs="Arial"/>
                <w:sz w:val="20"/>
                <w:szCs w:val="20"/>
              </w:rPr>
              <w:t xml:space="preserve">Dai W, Ye L, Liu A, et al.: Prevalence of </w:t>
            </w:r>
            <w:proofErr w:type="spellStart"/>
            <w:r w:rsidRPr="00D30DE0">
              <w:rPr>
                <w:rFonts w:ascii="Arial" w:hAnsi="Arial" w:cs="Arial"/>
                <w:sz w:val="20"/>
                <w:szCs w:val="20"/>
              </w:rPr>
              <w:t>nonalcoholic</w:t>
            </w:r>
            <w:proofErr w:type="spellEnd"/>
            <w:r w:rsidRPr="00D30DE0">
              <w:rPr>
                <w:rFonts w:ascii="Arial" w:hAnsi="Arial" w:cs="Arial"/>
                <w:sz w:val="20"/>
                <w:szCs w:val="20"/>
              </w:rPr>
              <w:t xml:space="preserve"> fatty liver disease in patients with type 2 diabetes mellitus: A meta-analysis. </w:t>
            </w:r>
            <w:r w:rsidRPr="00D30DE0">
              <w:rPr>
                <w:rFonts w:ascii="Arial" w:hAnsi="Arial" w:cs="Arial"/>
                <w:i/>
                <w:iCs/>
                <w:sz w:val="20"/>
                <w:szCs w:val="20"/>
              </w:rPr>
              <w:t>Med 2017;</w:t>
            </w:r>
            <w:r w:rsidRPr="00D30DE0">
              <w:rPr>
                <w:rFonts w:ascii="Arial" w:hAnsi="Arial" w:cs="Arial"/>
                <w:sz w:val="20"/>
                <w:szCs w:val="20"/>
              </w:rPr>
              <w:t xml:space="preserve"> </w:t>
            </w:r>
            <w:proofErr w:type="gramStart"/>
            <w:r w:rsidRPr="00D30DE0">
              <w:rPr>
                <w:rFonts w:ascii="Arial" w:hAnsi="Arial" w:cs="Arial"/>
                <w:sz w:val="20"/>
                <w:szCs w:val="20"/>
              </w:rPr>
              <w:t>96:e</w:t>
            </w:r>
            <w:proofErr w:type="gramEnd"/>
            <w:r w:rsidRPr="00D30DE0">
              <w:rPr>
                <w:rFonts w:ascii="Arial" w:hAnsi="Arial" w:cs="Arial"/>
                <w:sz w:val="20"/>
                <w:szCs w:val="20"/>
              </w:rPr>
              <w:t>8179-e817</w:t>
            </w:r>
          </w:p>
          <w:p w14:paraId="60CC07F9" w14:textId="77777777" w:rsidR="003F5118" w:rsidRPr="00D30DE0" w:rsidRDefault="003F5118" w:rsidP="003F5118">
            <w:pPr>
              <w:pStyle w:val="ListParagraph"/>
              <w:numPr>
                <w:ilvl w:val="0"/>
                <w:numId w:val="34"/>
              </w:numPr>
              <w:shd w:val="clear" w:color="auto" w:fill="FFFFFF" w:themeFill="background1"/>
              <w:spacing w:before="100" w:beforeAutospacing="1" w:after="100" w:afterAutospacing="1"/>
              <w:rPr>
                <w:rFonts w:ascii="Arial" w:hAnsi="Arial" w:cs="Arial"/>
                <w:sz w:val="20"/>
                <w:szCs w:val="20"/>
              </w:rPr>
            </w:pPr>
            <w:r w:rsidRPr="00D30DE0">
              <w:rPr>
                <w:rFonts w:ascii="Arial" w:hAnsi="Arial" w:cs="Arial"/>
                <w:sz w:val="20"/>
                <w:szCs w:val="20"/>
              </w:rPr>
              <w:t xml:space="preserve">Friedman S, </w:t>
            </w:r>
            <w:proofErr w:type="spellStart"/>
            <w:r w:rsidRPr="00D30DE0">
              <w:rPr>
                <w:rFonts w:ascii="Arial" w:hAnsi="Arial" w:cs="Arial"/>
                <w:sz w:val="20"/>
                <w:szCs w:val="20"/>
              </w:rPr>
              <w:t>Neuschwander-Tetri</w:t>
            </w:r>
            <w:proofErr w:type="spellEnd"/>
            <w:r w:rsidRPr="00D30DE0">
              <w:rPr>
                <w:rFonts w:ascii="Arial" w:hAnsi="Arial" w:cs="Arial"/>
                <w:sz w:val="20"/>
                <w:szCs w:val="20"/>
              </w:rPr>
              <w:t xml:space="preserve"> B, Rinella M, </w:t>
            </w:r>
            <w:proofErr w:type="spellStart"/>
            <w:r w:rsidRPr="00D30DE0">
              <w:rPr>
                <w:rFonts w:ascii="Arial" w:hAnsi="Arial" w:cs="Arial"/>
                <w:sz w:val="20"/>
                <w:szCs w:val="20"/>
              </w:rPr>
              <w:t>Sanyal</w:t>
            </w:r>
            <w:proofErr w:type="spellEnd"/>
            <w:r w:rsidRPr="00D30DE0">
              <w:rPr>
                <w:rFonts w:ascii="Arial" w:hAnsi="Arial" w:cs="Arial"/>
                <w:sz w:val="20"/>
                <w:szCs w:val="20"/>
              </w:rPr>
              <w:t xml:space="preserve"> A: Mechanisms of NAFLD development and therapeutics strategies. </w:t>
            </w:r>
            <w:r w:rsidRPr="00D30DE0">
              <w:rPr>
                <w:rFonts w:ascii="Arial" w:hAnsi="Arial" w:cs="Arial"/>
                <w:i/>
                <w:iCs/>
                <w:sz w:val="20"/>
                <w:szCs w:val="20"/>
              </w:rPr>
              <w:t>Nat Med</w:t>
            </w:r>
            <w:r w:rsidRPr="00D30DE0">
              <w:rPr>
                <w:rFonts w:ascii="Arial" w:hAnsi="Arial" w:cs="Arial"/>
                <w:sz w:val="20"/>
                <w:szCs w:val="20"/>
              </w:rPr>
              <w:t xml:space="preserve"> 2018; 24:908-922</w:t>
            </w:r>
          </w:p>
          <w:p w14:paraId="0E5AC915" w14:textId="77777777" w:rsidR="003F5118" w:rsidRPr="00D30DE0" w:rsidRDefault="003F5118" w:rsidP="003F5118">
            <w:pPr>
              <w:pStyle w:val="ListParagraph"/>
              <w:numPr>
                <w:ilvl w:val="0"/>
                <w:numId w:val="34"/>
              </w:numPr>
              <w:shd w:val="clear" w:color="auto" w:fill="FFFFFF" w:themeFill="background1"/>
              <w:spacing w:before="100" w:beforeAutospacing="1" w:after="100" w:afterAutospacing="1"/>
              <w:rPr>
                <w:rFonts w:ascii="Arial" w:hAnsi="Arial" w:cs="Arial"/>
                <w:sz w:val="20"/>
                <w:szCs w:val="20"/>
              </w:rPr>
            </w:pPr>
            <w:r w:rsidRPr="00D30DE0">
              <w:rPr>
                <w:rFonts w:ascii="Arial" w:hAnsi="Arial" w:cs="Arial"/>
                <w:sz w:val="20"/>
                <w:szCs w:val="20"/>
              </w:rPr>
              <w:t xml:space="preserve">Lou </w:t>
            </w:r>
            <w:proofErr w:type="spellStart"/>
            <w:r w:rsidRPr="00D30DE0">
              <w:rPr>
                <w:rFonts w:ascii="Arial" w:hAnsi="Arial" w:cs="Arial"/>
                <w:sz w:val="20"/>
                <w:szCs w:val="20"/>
              </w:rPr>
              <w:t>Arnal</w:t>
            </w:r>
            <w:proofErr w:type="spellEnd"/>
            <w:r w:rsidRPr="00D30DE0">
              <w:rPr>
                <w:rFonts w:ascii="Arial" w:hAnsi="Arial" w:cs="Arial"/>
                <w:sz w:val="20"/>
                <w:szCs w:val="20"/>
              </w:rPr>
              <w:t xml:space="preserve"> L, Campos Gutiérrez B, </w:t>
            </w:r>
            <w:proofErr w:type="spellStart"/>
            <w:r w:rsidRPr="00D30DE0">
              <w:rPr>
                <w:rFonts w:ascii="Arial" w:hAnsi="Arial" w:cs="Arial"/>
                <w:sz w:val="20"/>
                <w:szCs w:val="20"/>
              </w:rPr>
              <w:t>Cuberes</w:t>
            </w:r>
            <w:proofErr w:type="spellEnd"/>
            <w:r w:rsidRPr="00D30DE0">
              <w:rPr>
                <w:rFonts w:ascii="Arial" w:hAnsi="Arial" w:cs="Arial"/>
                <w:sz w:val="20"/>
                <w:szCs w:val="20"/>
              </w:rPr>
              <w:t xml:space="preserve"> </w:t>
            </w:r>
            <w:proofErr w:type="spellStart"/>
            <w:r w:rsidRPr="00D30DE0">
              <w:rPr>
                <w:rFonts w:ascii="Arial" w:hAnsi="Arial" w:cs="Arial"/>
                <w:sz w:val="20"/>
                <w:szCs w:val="20"/>
              </w:rPr>
              <w:t>Izquierdo</w:t>
            </w:r>
            <w:proofErr w:type="spellEnd"/>
            <w:r w:rsidRPr="00D30DE0">
              <w:rPr>
                <w:rFonts w:ascii="Arial" w:hAnsi="Arial" w:cs="Arial"/>
                <w:sz w:val="20"/>
                <w:szCs w:val="20"/>
              </w:rPr>
              <w:t xml:space="preserve"> M, et al.: Prevalence of chronic kidney disease in patients with type 2 diabetes mellitus treated in primary care. </w:t>
            </w:r>
            <w:proofErr w:type="spellStart"/>
            <w:r w:rsidRPr="00D30DE0">
              <w:rPr>
                <w:rFonts w:ascii="Arial" w:hAnsi="Arial" w:cs="Arial"/>
                <w:i/>
                <w:iCs/>
                <w:sz w:val="20"/>
                <w:szCs w:val="20"/>
              </w:rPr>
              <w:t>Nefrologia</w:t>
            </w:r>
            <w:proofErr w:type="spellEnd"/>
            <w:r w:rsidRPr="00D30DE0">
              <w:rPr>
                <w:rFonts w:ascii="Arial" w:hAnsi="Arial" w:cs="Arial"/>
                <w:sz w:val="20"/>
                <w:szCs w:val="20"/>
              </w:rPr>
              <w:t xml:space="preserve"> 2010; 30:552-556</w:t>
            </w:r>
          </w:p>
          <w:p w14:paraId="4BE0D424" w14:textId="77777777" w:rsidR="003F5118" w:rsidRPr="00D30DE0" w:rsidRDefault="003F5118" w:rsidP="003F5118">
            <w:pPr>
              <w:pStyle w:val="ListParagraph"/>
              <w:numPr>
                <w:ilvl w:val="0"/>
                <w:numId w:val="34"/>
              </w:numPr>
              <w:shd w:val="clear" w:color="auto" w:fill="FFFFFF" w:themeFill="background1"/>
              <w:spacing w:before="100" w:beforeAutospacing="1" w:after="100" w:afterAutospacing="1"/>
              <w:rPr>
                <w:rFonts w:ascii="Arial" w:hAnsi="Arial" w:cs="Arial"/>
                <w:sz w:val="20"/>
                <w:szCs w:val="20"/>
              </w:rPr>
            </w:pPr>
            <w:proofErr w:type="spellStart"/>
            <w:r w:rsidRPr="00D30DE0">
              <w:rPr>
                <w:rFonts w:ascii="Arial" w:hAnsi="Arial" w:cs="Arial"/>
                <w:sz w:val="20"/>
                <w:szCs w:val="20"/>
              </w:rPr>
              <w:t>Einarson</w:t>
            </w:r>
            <w:proofErr w:type="spellEnd"/>
            <w:r w:rsidRPr="00D30DE0">
              <w:rPr>
                <w:rFonts w:ascii="Arial" w:hAnsi="Arial" w:cs="Arial"/>
                <w:sz w:val="20"/>
                <w:szCs w:val="20"/>
              </w:rPr>
              <w:t xml:space="preserve"> TR, </w:t>
            </w:r>
            <w:proofErr w:type="spellStart"/>
            <w:r w:rsidRPr="00D30DE0">
              <w:rPr>
                <w:rFonts w:ascii="Arial" w:hAnsi="Arial" w:cs="Arial"/>
                <w:sz w:val="20"/>
                <w:szCs w:val="20"/>
              </w:rPr>
              <w:t>Acs</w:t>
            </w:r>
            <w:proofErr w:type="spellEnd"/>
            <w:r w:rsidRPr="00D30DE0">
              <w:rPr>
                <w:rFonts w:ascii="Arial" w:hAnsi="Arial" w:cs="Arial"/>
                <w:sz w:val="20"/>
                <w:szCs w:val="20"/>
              </w:rPr>
              <w:t xml:space="preserve"> A, Ludwig C, Panton UH: Prevalence of cardiovascular disease in type 2 diabetes: a systematic literature review of scientific evidence from across the world in 2007-2017. </w:t>
            </w:r>
            <w:r w:rsidRPr="00D30DE0">
              <w:rPr>
                <w:rFonts w:ascii="Arial" w:hAnsi="Arial" w:cs="Arial"/>
                <w:i/>
                <w:iCs/>
                <w:sz w:val="20"/>
                <w:szCs w:val="20"/>
              </w:rPr>
              <w:t xml:space="preserve">Cardiovasc </w:t>
            </w:r>
            <w:proofErr w:type="spellStart"/>
            <w:r w:rsidRPr="00D30DE0">
              <w:rPr>
                <w:rFonts w:ascii="Arial" w:hAnsi="Arial" w:cs="Arial"/>
                <w:i/>
                <w:iCs/>
                <w:sz w:val="20"/>
                <w:szCs w:val="20"/>
              </w:rPr>
              <w:t>Diabetol</w:t>
            </w:r>
            <w:proofErr w:type="spellEnd"/>
            <w:r w:rsidRPr="00D30DE0">
              <w:rPr>
                <w:rFonts w:ascii="Arial" w:hAnsi="Arial" w:cs="Arial"/>
                <w:sz w:val="20"/>
                <w:szCs w:val="20"/>
              </w:rPr>
              <w:t xml:space="preserve"> 2018; 17:83</w:t>
            </w:r>
          </w:p>
          <w:p w14:paraId="0B3734AF" w14:textId="77777777" w:rsidR="003F5118" w:rsidRPr="00D30DE0" w:rsidRDefault="003F5118" w:rsidP="003F5118">
            <w:pPr>
              <w:pStyle w:val="ListParagraph"/>
              <w:numPr>
                <w:ilvl w:val="0"/>
                <w:numId w:val="34"/>
              </w:numPr>
              <w:spacing w:before="100" w:beforeAutospacing="1" w:after="100" w:afterAutospacing="1"/>
              <w:rPr>
                <w:rFonts w:ascii="Arial" w:eastAsia="Arial" w:hAnsi="Arial" w:cs="Arial"/>
                <w:sz w:val="20"/>
                <w:szCs w:val="20"/>
              </w:rPr>
            </w:pPr>
            <w:proofErr w:type="spellStart"/>
            <w:proofErr w:type="gramStart"/>
            <w:r w:rsidRPr="00D30DE0">
              <w:rPr>
                <w:rFonts w:ascii="Arial" w:eastAsia="Arial" w:hAnsi="Arial" w:cs="Arial"/>
                <w:sz w:val="20"/>
                <w:szCs w:val="20"/>
              </w:rPr>
              <w:t>Gershell</w:t>
            </w:r>
            <w:proofErr w:type="spellEnd"/>
            <w:r w:rsidRPr="00D30DE0">
              <w:rPr>
                <w:rFonts w:ascii="Arial" w:eastAsia="Arial" w:hAnsi="Arial" w:cs="Arial"/>
                <w:sz w:val="20"/>
                <w:szCs w:val="20"/>
              </w:rPr>
              <w:t>  L</w:t>
            </w:r>
            <w:proofErr w:type="gramEnd"/>
            <w:r w:rsidRPr="00D30DE0">
              <w:rPr>
                <w:rFonts w:ascii="Arial" w:eastAsia="Arial" w:hAnsi="Arial" w:cs="Arial"/>
                <w:sz w:val="20"/>
                <w:szCs w:val="20"/>
              </w:rPr>
              <w:t xml:space="preserve">, Nature Review Drug Discovery. 2005; 4(5): 367-368. </w:t>
            </w:r>
          </w:p>
          <w:p w14:paraId="5FECDB9D" w14:textId="77777777" w:rsidR="003F5118" w:rsidRPr="00D30DE0" w:rsidRDefault="003F5118" w:rsidP="003F5118">
            <w:pPr>
              <w:pStyle w:val="ListParagraph"/>
              <w:numPr>
                <w:ilvl w:val="0"/>
                <w:numId w:val="34"/>
              </w:numPr>
              <w:spacing w:before="100" w:beforeAutospacing="1" w:after="100" w:afterAutospacing="1"/>
              <w:jc w:val="both"/>
              <w:rPr>
                <w:rFonts w:ascii="Arial" w:eastAsia="Arial" w:hAnsi="Arial" w:cs="Arial"/>
                <w:sz w:val="20"/>
                <w:szCs w:val="20"/>
              </w:rPr>
            </w:pPr>
            <w:r w:rsidRPr="00D30DE0">
              <w:rPr>
                <w:rFonts w:ascii="Arial" w:eastAsia="Arial" w:hAnsi="Arial" w:cs="Arial"/>
                <w:sz w:val="20"/>
                <w:szCs w:val="20"/>
              </w:rPr>
              <w:t xml:space="preserve">Bradley, C.R., Cox, E.F., Scott, R.A., James, M.W., Kaye, P., </w:t>
            </w:r>
            <w:proofErr w:type="spellStart"/>
            <w:r w:rsidRPr="00D30DE0">
              <w:rPr>
                <w:rFonts w:ascii="Arial" w:eastAsia="Arial" w:hAnsi="Arial" w:cs="Arial"/>
                <w:sz w:val="20"/>
                <w:szCs w:val="20"/>
              </w:rPr>
              <w:t>Aithal</w:t>
            </w:r>
            <w:proofErr w:type="spellEnd"/>
            <w:r w:rsidRPr="00D30DE0">
              <w:rPr>
                <w:rFonts w:ascii="Arial" w:eastAsia="Arial" w:hAnsi="Arial" w:cs="Arial"/>
                <w:sz w:val="20"/>
                <w:szCs w:val="20"/>
              </w:rPr>
              <w:t>, G.P., Francis, S.T. and Guha, I.N., 2018. Multi-organ assessment of compensated cirrhosis patients using quantitative magnetic resonance imaging. Journal of hepatology, 69(5), pp.1015-1024.</w:t>
            </w:r>
          </w:p>
          <w:p w14:paraId="1CB1FF29" w14:textId="77777777" w:rsidR="003F5118" w:rsidRPr="00D30DE0" w:rsidRDefault="003F5118" w:rsidP="003F5118">
            <w:pPr>
              <w:pStyle w:val="ListParagraph"/>
              <w:numPr>
                <w:ilvl w:val="0"/>
                <w:numId w:val="34"/>
              </w:numPr>
              <w:spacing w:before="100" w:beforeAutospacing="1" w:after="100" w:afterAutospacing="1"/>
              <w:jc w:val="both"/>
              <w:rPr>
                <w:rFonts w:ascii="Arial" w:eastAsia="Arial" w:hAnsi="Arial" w:cs="Arial"/>
                <w:sz w:val="20"/>
                <w:szCs w:val="20"/>
              </w:rPr>
            </w:pPr>
            <w:r w:rsidRPr="00D30DE0">
              <w:rPr>
                <w:rFonts w:ascii="Arial" w:eastAsia="Arial" w:hAnsi="Arial" w:cs="Arial"/>
                <w:sz w:val="20"/>
                <w:szCs w:val="20"/>
              </w:rPr>
              <w:t xml:space="preserve">7 N. Holman &amp; R. J. Young &amp; W. J. </w:t>
            </w:r>
            <w:proofErr w:type="spellStart"/>
            <w:r w:rsidRPr="00D30DE0">
              <w:rPr>
                <w:rFonts w:ascii="Arial" w:eastAsia="Arial" w:hAnsi="Arial" w:cs="Arial"/>
                <w:sz w:val="20"/>
                <w:szCs w:val="20"/>
              </w:rPr>
              <w:t>Jeffcoate</w:t>
            </w:r>
            <w:proofErr w:type="spellEnd"/>
            <w:r w:rsidRPr="00D30DE0">
              <w:rPr>
                <w:rFonts w:ascii="Arial" w:eastAsia="Arial" w:hAnsi="Arial" w:cs="Arial"/>
                <w:sz w:val="20"/>
                <w:szCs w:val="20"/>
              </w:rPr>
              <w:t xml:space="preserve"> (2012); Variation in the recorded incidence of amputation of the lower limb in England. </w:t>
            </w:r>
            <w:proofErr w:type="spellStart"/>
            <w:r w:rsidRPr="00D30DE0">
              <w:rPr>
                <w:rFonts w:ascii="Arial" w:eastAsia="Arial" w:hAnsi="Arial" w:cs="Arial"/>
                <w:sz w:val="20"/>
                <w:szCs w:val="20"/>
              </w:rPr>
              <w:t>Diabetologia</w:t>
            </w:r>
            <w:proofErr w:type="spellEnd"/>
            <w:r w:rsidRPr="00D30DE0">
              <w:rPr>
                <w:rFonts w:ascii="Arial" w:eastAsia="Arial" w:hAnsi="Arial" w:cs="Arial"/>
                <w:sz w:val="20"/>
                <w:szCs w:val="20"/>
              </w:rPr>
              <w:t>: 55:1919–1925.</w:t>
            </w:r>
          </w:p>
          <w:p w14:paraId="73969BA9" w14:textId="77777777" w:rsidR="003F5118" w:rsidRPr="00D30DE0" w:rsidRDefault="0024650F" w:rsidP="003F5118">
            <w:pPr>
              <w:pStyle w:val="ListParagraph"/>
              <w:numPr>
                <w:ilvl w:val="0"/>
                <w:numId w:val="34"/>
              </w:numPr>
              <w:spacing w:before="100" w:beforeAutospacing="1" w:after="100" w:afterAutospacing="1"/>
              <w:jc w:val="both"/>
              <w:rPr>
                <w:rFonts w:ascii="Arial" w:eastAsia="Arial" w:hAnsi="Arial" w:cs="Arial"/>
                <w:sz w:val="20"/>
                <w:szCs w:val="20"/>
              </w:rPr>
            </w:pPr>
            <w:hyperlink r:id="rId37" w:history="1">
              <w:r w:rsidR="003F5118" w:rsidRPr="00D30DE0">
                <w:rPr>
                  <w:rStyle w:val="Hyperlink"/>
                  <w:rFonts w:ascii="Arial" w:eastAsia="Arial" w:hAnsi="Arial" w:cs="Arial"/>
                  <w:color w:val="auto"/>
                  <w:sz w:val="20"/>
                  <w:szCs w:val="20"/>
                </w:rPr>
                <w:t>Shared Decision Making: A model for clinical practice</w:t>
              </w:r>
            </w:hyperlink>
            <w:r w:rsidR="003F5118" w:rsidRPr="00D30DE0">
              <w:rPr>
                <w:rFonts w:ascii="Arial" w:eastAsia="Arial" w:hAnsi="Arial" w:cs="Arial"/>
                <w:sz w:val="20"/>
                <w:szCs w:val="20"/>
              </w:rPr>
              <w:t>, J Gen Intern Med. 2012 Oct; 27(10): 1361-1367, published online 2012 May 23</w:t>
            </w:r>
          </w:p>
          <w:p w14:paraId="73DEA571" w14:textId="77777777" w:rsidR="003F5118" w:rsidRPr="00D30DE0" w:rsidRDefault="003F5118" w:rsidP="003F5118">
            <w:pPr>
              <w:pStyle w:val="ListParagraph"/>
              <w:numPr>
                <w:ilvl w:val="0"/>
                <w:numId w:val="34"/>
              </w:numPr>
              <w:spacing w:before="100" w:beforeAutospacing="1" w:after="100" w:afterAutospacing="1"/>
              <w:jc w:val="both"/>
              <w:rPr>
                <w:rFonts w:ascii="Arial" w:eastAsia="Arial" w:hAnsi="Arial" w:cs="Arial"/>
                <w:sz w:val="20"/>
                <w:szCs w:val="20"/>
              </w:rPr>
            </w:pPr>
            <w:r w:rsidRPr="00D30DE0">
              <w:rPr>
                <w:rFonts w:ascii="Arial" w:eastAsia="Arial" w:hAnsi="Arial" w:cs="Arial"/>
                <w:sz w:val="20"/>
                <w:szCs w:val="20"/>
              </w:rPr>
              <w:t>Banerjee, R., 2013. The effects of excess body weight on the heart and liver.</w:t>
            </w:r>
          </w:p>
          <w:p w14:paraId="3F7DD46A" w14:textId="77777777" w:rsidR="003F5118" w:rsidRPr="00D30DE0" w:rsidRDefault="003F5118" w:rsidP="003F5118">
            <w:pPr>
              <w:pStyle w:val="ListParagraph"/>
              <w:numPr>
                <w:ilvl w:val="0"/>
                <w:numId w:val="34"/>
              </w:numPr>
              <w:spacing w:before="100" w:beforeAutospacing="1" w:after="100" w:afterAutospacing="1"/>
              <w:jc w:val="both"/>
              <w:rPr>
                <w:rFonts w:ascii="Arial" w:eastAsia="Arial" w:hAnsi="Arial" w:cs="Arial"/>
                <w:sz w:val="20"/>
                <w:szCs w:val="20"/>
              </w:rPr>
            </w:pPr>
            <w:r w:rsidRPr="00D30DE0">
              <w:rPr>
                <w:rFonts w:ascii="Arial" w:eastAsia="Arial" w:hAnsi="Arial" w:cs="Arial"/>
                <w:sz w:val="20"/>
                <w:szCs w:val="20"/>
              </w:rPr>
              <w:t>Eddowes, Peter J., Natasha McDonald, N. Davies, S. I. K. Semple, T. J. Kendall, J. Hodson, P. N. Newsome et al. "Utility and cost evaluation of multiparametric magnetic resonance imaging for the assessment of non</w:t>
            </w:r>
            <w:r w:rsidRPr="00D30DE0">
              <w:rPr>
                <w:rFonts w:ascii="Cambria Math" w:eastAsia="Arial" w:hAnsi="Cambria Math" w:cs="Cambria Math"/>
                <w:sz w:val="20"/>
                <w:szCs w:val="20"/>
              </w:rPr>
              <w:t>‐</w:t>
            </w:r>
            <w:r w:rsidRPr="00D30DE0">
              <w:rPr>
                <w:rFonts w:ascii="Arial" w:eastAsia="Arial" w:hAnsi="Arial" w:cs="Arial"/>
                <w:sz w:val="20"/>
                <w:szCs w:val="20"/>
              </w:rPr>
              <w:t>alcoholic fatty liver disease." Alimentary pharmacology &amp; therapeutics 47, no. 5 (2018): 631-644.</w:t>
            </w:r>
          </w:p>
          <w:p w14:paraId="594AC3CB" w14:textId="77777777" w:rsidR="003F5118" w:rsidRPr="00D30DE0" w:rsidRDefault="003F5118" w:rsidP="003F5118">
            <w:pPr>
              <w:pStyle w:val="ListParagraph"/>
              <w:numPr>
                <w:ilvl w:val="0"/>
                <w:numId w:val="34"/>
              </w:numPr>
              <w:spacing w:before="100" w:beforeAutospacing="1" w:after="100" w:afterAutospacing="1"/>
              <w:jc w:val="both"/>
              <w:rPr>
                <w:rFonts w:ascii="Arial" w:hAnsi="Arial" w:cs="Arial"/>
                <w:sz w:val="20"/>
                <w:szCs w:val="20"/>
              </w:rPr>
            </w:pPr>
            <w:r w:rsidRPr="00D30DE0">
              <w:rPr>
                <w:rFonts w:ascii="Arial" w:hAnsi="Arial" w:cs="Arial"/>
                <w:sz w:val="20"/>
                <w:szCs w:val="20"/>
                <w:shd w:val="clear" w:color="auto" w:fill="FFFFFF"/>
              </w:rPr>
              <w:t xml:space="preserve">Patel, J., Bettencourt, R., Cui, J., </w:t>
            </w:r>
            <w:proofErr w:type="spellStart"/>
            <w:r w:rsidRPr="00D30DE0">
              <w:rPr>
                <w:rFonts w:ascii="Arial" w:hAnsi="Arial" w:cs="Arial"/>
                <w:sz w:val="20"/>
                <w:szCs w:val="20"/>
                <w:shd w:val="clear" w:color="auto" w:fill="FFFFFF"/>
              </w:rPr>
              <w:t>Salotti</w:t>
            </w:r>
            <w:proofErr w:type="spellEnd"/>
            <w:r w:rsidRPr="00D30DE0">
              <w:rPr>
                <w:rFonts w:ascii="Arial" w:hAnsi="Arial" w:cs="Arial"/>
                <w:sz w:val="20"/>
                <w:szCs w:val="20"/>
                <w:shd w:val="clear" w:color="auto" w:fill="FFFFFF"/>
              </w:rPr>
              <w:t>, J., Hooker, J., Bhatt, A., Hernandez, C., Nguyen, P., </w:t>
            </w:r>
            <w:proofErr w:type="spellStart"/>
            <w:r w:rsidRPr="00D30DE0">
              <w:rPr>
                <w:rFonts w:ascii="Arial" w:hAnsi="Arial" w:cs="Arial"/>
                <w:sz w:val="20"/>
                <w:szCs w:val="20"/>
                <w:shd w:val="clear" w:color="auto" w:fill="FFFFFF"/>
              </w:rPr>
              <w:t>Aryafar</w:t>
            </w:r>
            <w:proofErr w:type="spellEnd"/>
            <w:r w:rsidRPr="00D30DE0">
              <w:rPr>
                <w:rFonts w:ascii="Arial" w:hAnsi="Arial" w:cs="Arial"/>
                <w:sz w:val="20"/>
                <w:szCs w:val="20"/>
                <w:shd w:val="clear" w:color="auto" w:fill="FFFFFF"/>
              </w:rPr>
              <w:t xml:space="preserve">, H., </w:t>
            </w:r>
            <w:proofErr w:type="spellStart"/>
            <w:r w:rsidRPr="00D30DE0">
              <w:rPr>
                <w:rFonts w:ascii="Arial" w:hAnsi="Arial" w:cs="Arial"/>
                <w:sz w:val="20"/>
                <w:szCs w:val="20"/>
                <w:shd w:val="clear" w:color="auto" w:fill="FFFFFF"/>
              </w:rPr>
              <w:t>Valasek</w:t>
            </w:r>
            <w:proofErr w:type="spellEnd"/>
            <w:r w:rsidRPr="00D30DE0">
              <w:rPr>
                <w:rFonts w:ascii="Arial" w:hAnsi="Arial" w:cs="Arial"/>
                <w:sz w:val="20"/>
                <w:szCs w:val="20"/>
                <w:shd w:val="clear" w:color="auto" w:fill="FFFFFF"/>
              </w:rPr>
              <w:t>, M. and </w:t>
            </w:r>
            <w:proofErr w:type="spellStart"/>
            <w:r w:rsidRPr="00D30DE0">
              <w:rPr>
                <w:rFonts w:ascii="Arial" w:hAnsi="Arial" w:cs="Arial"/>
                <w:sz w:val="20"/>
                <w:szCs w:val="20"/>
                <w:shd w:val="clear" w:color="auto" w:fill="FFFFFF"/>
              </w:rPr>
              <w:t>Haufe</w:t>
            </w:r>
            <w:proofErr w:type="spellEnd"/>
            <w:r w:rsidRPr="00D30DE0">
              <w:rPr>
                <w:rFonts w:ascii="Arial" w:hAnsi="Arial" w:cs="Arial"/>
                <w:sz w:val="20"/>
                <w:szCs w:val="20"/>
                <w:shd w:val="clear" w:color="auto" w:fill="FFFFFF"/>
              </w:rPr>
              <w:t>, W., 2016. Association of </w:t>
            </w:r>
            <w:proofErr w:type="spellStart"/>
            <w:r w:rsidRPr="00D30DE0">
              <w:rPr>
                <w:rFonts w:ascii="Arial" w:hAnsi="Arial" w:cs="Arial"/>
                <w:sz w:val="20"/>
                <w:szCs w:val="20"/>
                <w:shd w:val="clear" w:color="auto" w:fill="FFFFFF"/>
              </w:rPr>
              <w:t>noninvasive</w:t>
            </w:r>
            <w:proofErr w:type="spellEnd"/>
            <w:r w:rsidRPr="00D30DE0">
              <w:rPr>
                <w:rFonts w:ascii="Arial" w:hAnsi="Arial" w:cs="Arial"/>
                <w:sz w:val="20"/>
                <w:szCs w:val="20"/>
                <w:shd w:val="clear" w:color="auto" w:fill="FFFFFF"/>
              </w:rPr>
              <w:t> quantitative decline in liver fat content on MRI with histologic response in </w:t>
            </w:r>
            <w:proofErr w:type="spellStart"/>
            <w:r w:rsidRPr="00D30DE0">
              <w:rPr>
                <w:rFonts w:ascii="Arial" w:hAnsi="Arial" w:cs="Arial"/>
                <w:sz w:val="20"/>
                <w:szCs w:val="20"/>
                <w:shd w:val="clear" w:color="auto" w:fill="FFFFFF"/>
              </w:rPr>
              <w:t>nonalcoholic</w:t>
            </w:r>
            <w:proofErr w:type="spellEnd"/>
            <w:r w:rsidRPr="00D30DE0">
              <w:rPr>
                <w:rFonts w:ascii="Arial" w:hAnsi="Arial" w:cs="Arial"/>
                <w:sz w:val="20"/>
                <w:szCs w:val="20"/>
                <w:shd w:val="clear" w:color="auto" w:fill="FFFFFF"/>
              </w:rPr>
              <w:t> steatohepatitis. </w:t>
            </w:r>
            <w:r w:rsidRPr="00D30DE0">
              <w:rPr>
                <w:rFonts w:ascii="Arial" w:hAnsi="Arial" w:cs="Arial"/>
                <w:i/>
                <w:iCs/>
                <w:sz w:val="20"/>
                <w:szCs w:val="20"/>
                <w:shd w:val="clear" w:color="auto" w:fill="FFFFFF"/>
              </w:rPr>
              <w:t>Therapeutic advances in gastroenterology</w:t>
            </w:r>
            <w:r w:rsidRPr="00D30DE0">
              <w:rPr>
                <w:rFonts w:ascii="Arial" w:hAnsi="Arial" w:cs="Arial"/>
                <w:sz w:val="20"/>
                <w:szCs w:val="20"/>
                <w:shd w:val="clear" w:color="auto" w:fill="FFFFFF"/>
              </w:rPr>
              <w:t>, </w:t>
            </w:r>
            <w:r w:rsidRPr="00D30DE0">
              <w:rPr>
                <w:rFonts w:ascii="Arial" w:hAnsi="Arial" w:cs="Arial"/>
                <w:i/>
                <w:iCs/>
                <w:sz w:val="20"/>
                <w:szCs w:val="20"/>
                <w:shd w:val="clear" w:color="auto" w:fill="FFFFFF"/>
              </w:rPr>
              <w:t>9</w:t>
            </w:r>
            <w:r w:rsidRPr="00D30DE0">
              <w:rPr>
                <w:rFonts w:ascii="Arial" w:hAnsi="Arial" w:cs="Arial"/>
                <w:sz w:val="20"/>
                <w:szCs w:val="20"/>
                <w:shd w:val="clear" w:color="auto" w:fill="FFFFFF"/>
              </w:rPr>
              <w:t>(5), pp.692-701. </w:t>
            </w:r>
          </w:p>
          <w:p w14:paraId="2446220F" w14:textId="77777777" w:rsidR="003F5118" w:rsidRPr="00D30DE0" w:rsidRDefault="003F5118" w:rsidP="003F5118">
            <w:pPr>
              <w:pStyle w:val="ListParagraph"/>
              <w:numPr>
                <w:ilvl w:val="0"/>
                <w:numId w:val="34"/>
              </w:numPr>
              <w:spacing w:before="100" w:beforeAutospacing="1" w:after="100" w:afterAutospacing="1"/>
              <w:jc w:val="both"/>
              <w:rPr>
                <w:rFonts w:ascii="Arial" w:hAnsi="Arial" w:cs="Arial"/>
                <w:sz w:val="20"/>
                <w:szCs w:val="20"/>
              </w:rPr>
            </w:pPr>
            <w:r w:rsidRPr="00D30DE0">
              <w:rPr>
                <w:rFonts w:ascii="Arial" w:hAnsi="Arial" w:cs="Arial"/>
                <w:sz w:val="20"/>
                <w:szCs w:val="20"/>
                <w:shd w:val="clear" w:color="auto" w:fill="FFFFFF"/>
              </w:rPr>
              <w:t>Care, D., 2019. Standards of Medical Care in Diabetes 2019. </w:t>
            </w:r>
            <w:r w:rsidRPr="00D30DE0">
              <w:rPr>
                <w:rFonts w:ascii="Arial" w:hAnsi="Arial" w:cs="Arial"/>
                <w:i/>
                <w:iCs/>
                <w:sz w:val="20"/>
                <w:szCs w:val="20"/>
                <w:shd w:val="clear" w:color="auto" w:fill="FFFFFF"/>
              </w:rPr>
              <w:t>Diabetes Care</w:t>
            </w:r>
            <w:r w:rsidRPr="00D30DE0">
              <w:rPr>
                <w:rFonts w:ascii="Arial" w:hAnsi="Arial" w:cs="Arial"/>
                <w:sz w:val="20"/>
                <w:szCs w:val="20"/>
                <w:shd w:val="clear" w:color="auto" w:fill="FFFFFF"/>
              </w:rPr>
              <w:t>, </w:t>
            </w:r>
            <w:r w:rsidRPr="00D30DE0">
              <w:rPr>
                <w:rFonts w:ascii="Arial" w:hAnsi="Arial" w:cs="Arial"/>
                <w:i/>
                <w:iCs/>
                <w:sz w:val="20"/>
                <w:szCs w:val="20"/>
                <w:shd w:val="clear" w:color="auto" w:fill="FFFFFF"/>
              </w:rPr>
              <w:t>42</w:t>
            </w:r>
            <w:r w:rsidRPr="00D30DE0">
              <w:rPr>
                <w:rFonts w:ascii="Arial" w:hAnsi="Arial" w:cs="Arial"/>
                <w:sz w:val="20"/>
                <w:szCs w:val="20"/>
                <w:shd w:val="clear" w:color="auto" w:fill="FFFFFF"/>
              </w:rPr>
              <w:t>, p.S81.</w:t>
            </w:r>
          </w:p>
          <w:p w14:paraId="31954EB9" w14:textId="77777777" w:rsidR="003F5118" w:rsidRPr="00D30DE0" w:rsidRDefault="003F5118" w:rsidP="003F5118">
            <w:pPr>
              <w:pStyle w:val="ListParagraph"/>
              <w:numPr>
                <w:ilvl w:val="0"/>
                <w:numId w:val="34"/>
              </w:numPr>
              <w:shd w:val="clear" w:color="auto" w:fill="FFFFFF" w:themeFill="background1"/>
              <w:spacing w:before="100" w:beforeAutospacing="1" w:after="100" w:afterAutospacing="1"/>
              <w:jc w:val="both"/>
              <w:rPr>
                <w:rFonts w:ascii="Arial" w:hAnsi="Arial" w:cs="Arial"/>
                <w:sz w:val="20"/>
                <w:szCs w:val="20"/>
              </w:rPr>
            </w:pPr>
            <w:proofErr w:type="spellStart"/>
            <w:r w:rsidRPr="00D30DE0">
              <w:rPr>
                <w:rFonts w:ascii="Arial" w:hAnsi="Arial" w:cs="Arial"/>
                <w:sz w:val="20"/>
                <w:szCs w:val="20"/>
                <w:shd w:val="clear" w:color="auto" w:fill="FFFFFF"/>
              </w:rPr>
              <w:t>Pavlides</w:t>
            </w:r>
            <w:proofErr w:type="spellEnd"/>
            <w:r w:rsidRPr="00D30DE0">
              <w:rPr>
                <w:rFonts w:ascii="Arial" w:hAnsi="Arial" w:cs="Arial"/>
                <w:sz w:val="20"/>
                <w:szCs w:val="20"/>
                <w:shd w:val="clear" w:color="auto" w:fill="FFFFFF"/>
              </w:rPr>
              <w:t xml:space="preserve">, M., Banerjee, R., </w:t>
            </w:r>
            <w:proofErr w:type="spellStart"/>
            <w:r w:rsidRPr="00D30DE0">
              <w:rPr>
                <w:rFonts w:ascii="Arial" w:hAnsi="Arial" w:cs="Arial"/>
                <w:sz w:val="20"/>
                <w:szCs w:val="20"/>
                <w:shd w:val="clear" w:color="auto" w:fill="FFFFFF"/>
              </w:rPr>
              <w:t>Sellwood</w:t>
            </w:r>
            <w:proofErr w:type="spellEnd"/>
            <w:r w:rsidRPr="00D30DE0">
              <w:rPr>
                <w:rFonts w:ascii="Arial" w:hAnsi="Arial" w:cs="Arial"/>
                <w:sz w:val="20"/>
                <w:szCs w:val="20"/>
                <w:shd w:val="clear" w:color="auto" w:fill="FFFFFF"/>
              </w:rPr>
              <w:t>, J., Kelly, C.J., Robson, M.D., Booth, J.C., Collier, J., Neubauer, S. and Barnes, E., 2016. Multiparametric magnetic resonance imaging predicts clinical outcomes in patients with chronic liver disease. </w:t>
            </w:r>
            <w:r w:rsidRPr="00D30DE0">
              <w:rPr>
                <w:rFonts w:ascii="Arial" w:hAnsi="Arial" w:cs="Arial"/>
                <w:i/>
                <w:iCs/>
                <w:sz w:val="20"/>
                <w:szCs w:val="20"/>
              </w:rPr>
              <w:t>Journal of hepatology</w:t>
            </w:r>
            <w:r w:rsidRPr="00D30DE0">
              <w:rPr>
                <w:rFonts w:ascii="Arial" w:hAnsi="Arial" w:cs="Arial"/>
                <w:sz w:val="20"/>
                <w:szCs w:val="20"/>
                <w:shd w:val="clear" w:color="auto" w:fill="FFFFFF"/>
              </w:rPr>
              <w:t>, </w:t>
            </w:r>
            <w:r w:rsidRPr="00D30DE0">
              <w:rPr>
                <w:rFonts w:ascii="Arial" w:hAnsi="Arial" w:cs="Arial"/>
                <w:i/>
                <w:iCs/>
                <w:sz w:val="20"/>
                <w:szCs w:val="20"/>
              </w:rPr>
              <w:t>64</w:t>
            </w:r>
            <w:r w:rsidRPr="00D30DE0">
              <w:rPr>
                <w:rFonts w:ascii="Arial" w:hAnsi="Arial" w:cs="Arial"/>
                <w:sz w:val="20"/>
                <w:szCs w:val="20"/>
                <w:shd w:val="clear" w:color="auto" w:fill="FFFFFF"/>
              </w:rPr>
              <w:t>(2), pp.308-315.</w:t>
            </w:r>
          </w:p>
          <w:p w14:paraId="47F9EEAA" w14:textId="77777777" w:rsidR="003F5118" w:rsidRPr="00D30DE0" w:rsidRDefault="003F5118" w:rsidP="003F5118">
            <w:pPr>
              <w:pStyle w:val="ListParagraph"/>
              <w:numPr>
                <w:ilvl w:val="0"/>
                <w:numId w:val="34"/>
              </w:numPr>
              <w:shd w:val="clear" w:color="auto" w:fill="FFFFFF" w:themeFill="background1"/>
              <w:spacing w:before="100" w:beforeAutospacing="1" w:after="100" w:afterAutospacing="1"/>
              <w:jc w:val="both"/>
              <w:rPr>
                <w:rFonts w:ascii="Arial" w:hAnsi="Arial" w:cs="Arial"/>
                <w:sz w:val="20"/>
                <w:szCs w:val="20"/>
              </w:rPr>
            </w:pPr>
            <w:r w:rsidRPr="00D30DE0">
              <w:rPr>
                <w:rFonts w:ascii="Arial" w:hAnsi="Arial" w:cs="Arial"/>
                <w:sz w:val="20"/>
                <w:szCs w:val="20"/>
                <w:shd w:val="clear" w:color="auto" w:fill="FFFFFF"/>
              </w:rPr>
              <w:t xml:space="preserve">Hex N, Bartlett C, Wright D, Taylor M, Varley D: Estimating the current and future costs of Type 1 and Type 2 diabetes in the UK, including direct health costs and indirect societal and productivity costs. </w:t>
            </w:r>
            <w:proofErr w:type="spellStart"/>
            <w:r w:rsidRPr="00D30DE0">
              <w:rPr>
                <w:rFonts w:ascii="Arial" w:hAnsi="Arial" w:cs="Arial"/>
                <w:i/>
                <w:iCs/>
                <w:sz w:val="20"/>
                <w:szCs w:val="20"/>
                <w:shd w:val="clear" w:color="auto" w:fill="FFFFFF"/>
              </w:rPr>
              <w:t>Diabet</w:t>
            </w:r>
            <w:proofErr w:type="spellEnd"/>
            <w:r w:rsidRPr="00D30DE0">
              <w:rPr>
                <w:rFonts w:ascii="Arial" w:hAnsi="Arial" w:cs="Arial"/>
                <w:i/>
                <w:iCs/>
                <w:sz w:val="20"/>
                <w:szCs w:val="20"/>
                <w:shd w:val="clear" w:color="auto" w:fill="FFFFFF"/>
              </w:rPr>
              <w:t xml:space="preserve"> Med</w:t>
            </w:r>
            <w:r w:rsidRPr="00D30DE0">
              <w:rPr>
                <w:rFonts w:ascii="Arial" w:hAnsi="Arial" w:cs="Arial"/>
                <w:sz w:val="20"/>
                <w:szCs w:val="20"/>
                <w:shd w:val="clear" w:color="auto" w:fill="FFFFFF"/>
              </w:rPr>
              <w:t xml:space="preserve"> 2012; 29:855-862</w:t>
            </w:r>
          </w:p>
          <w:p w14:paraId="5A45D955" w14:textId="77777777" w:rsidR="003F5118" w:rsidRPr="00D30DE0" w:rsidRDefault="003F5118" w:rsidP="003F5118">
            <w:pPr>
              <w:pStyle w:val="ListParagraph"/>
              <w:numPr>
                <w:ilvl w:val="0"/>
                <w:numId w:val="34"/>
              </w:numPr>
              <w:shd w:val="clear" w:color="auto" w:fill="FFFFFF" w:themeFill="background1"/>
              <w:spacing w:before="100" w:beforeAutospacing="1" w:after="100" w:afterAutospacing="1"/>
              <w:jc w:val="both"/>
              <w:rPr>
                <w:rFonts w:ascii="Arial" w:eastAsia="Arial" w:hAnsi="Arial" w:cs="Arial"/>
                <w:sz w:val="20"/>
                <w:szCs w:val="20"/>
              </w:rPr>
            </w:pPr>
            <w:proofErr w:type="spellStart"/>
            <w:r w:rsidRPr="00D30DE0">
              <w:rPr>
                <w:rFonts w:ascii="Arial" w:eastAsia="Arial" w:hAnsi="Arial" w:cs="Arial"/>
                <w:sz w:val="20"/>
                <w:szCs w:val="20"/>
              </w:rPr>
              <w:t>Chalasani</w:t>
            </w:r>
            <w:proofErr w:type="spellEnd"/>
            <w:r w:rsidRPr="00D30DE0">
              <w:rPr>
                <w:rFonts w:ascii="Arial" w:eastAsia="Arial" w:hAnsi="Arial" w:cs="Arial"/>
                <w:sz w:val="20"/>
                <w:szCs w:val="20"/>
              </w:rPr>
              <w:t xml:space="preserve">, N., </w:t>
            </w:r>
            <w:proofErr w:type="spellStart"/>
            <w:r w:rsidRPr="00D30DE0">
              <w:rPr>
                <w:rFonts w:ascii="Arial" w:eastAsia="Arial" w:hAnsi="Arial" w:cs="Arial"/>
                <w:sz w:val="20"/>
                <w:szCs w:val="20"/>
              </w:rPr>
              <w:t>Younossi</w:t>
            </w:r>
            <w:proofErr w:type="spellEnd"/>
            <w:r w:rsidRPr="00D30DE0">
              <w:rPr>
                <w:rFonts w:ascii="Arial" w:eastAsia="Arial" w:hAnsi="Arial" w:cs="Arial"/>
                <w:sz w:val="20"/>
                <w:szCs w:val="20"/>
              </w:rPr>
              <w:t xml:space="preserve">, Z., Lavine, J.E., Charlton, M., </w:t>
            </w:r>
            <w:proofErr w:type="spellStart"/>
            <w:r w:rsidRPr="00D30DE0">
              <w:rPr>
                <w:rFonts w:ascii="Arial" w:eastAsia="Arial" w:hAnsi="Arial" w:cs="Arial"/>
                <w:sz w:val="20"/>
                <w:szCs w:val="20"/>
              </w:rPr>
              <w:t>Cusi</w:t>
            </w:r>
            <w:proofErr w:type="spellEnd"/>
            <w:r w:rsidRPr="00D30DE0">
              <w:rPr>
                <w:rFonts w:ascii="Arial" w:eastAsia="Arial" w:hAnsi="Arial" w:cs="Arial"/>
                <w:sz w:val="20"/>
                <w:szCs w:val="20"/>
              </w:rPr>
              <w:t xml:space="preserve">, K., Rinella, M., Harrison, S.A., Brunt, E.M. and </w:t>
            </w:r>
            <w:proofErr w:type="spellStart"/>
            <w:r w:rsidRPr="00D30DE0">
              <w:rPr>
                <w:rFonts w:ascii="Arial" w:eastAsia="Arial" w:hAnsi="Arial" w:cs="Arial"/>
                <w:sz w:val="20"/>
                <w:szCs w:val="20"/>
              </w:rPr>
              <w:t>Sanyal</w:t>
            </w:r>
            <w:proofErr w:type="spellEnd"/>
            <w:r w:rsidRPr="00D30DE0">
              <w:rPr>
                <w:rFonts w:ascii="Arial" w:eastAsia="Arial" w:hAnsi="Arial" w:cs="Arial"/>
                <w:sz w:val="20"/>
                <w:szCs w:val="20"/>
              </w:rPr>
              <w:t xml:space="preserve">, A.J., 2018. The diagnosis and management of </w:t>
            </w:r>
            <w:proofErr w:type="spellStart"/>
            <w:r w:rsidRPr="00D30DE0">
              <w:rPr>
                <w:rFonts w:ascii="Arial" w:eastAsia="Arial" w:hAnsi="Arial" w:cs="Arial"/>
                <w:sz w:val="20"/>
                <w:szCs w:val="20"/>
              </w:rPr>
              <w:t>nonalcoholic</w:t>
            </w:r>
            <w:proofErr w:type="spellEnd"/>
            <w:r w:rsidRPr="00D30DE0">
              <w:rPr>
                <w:rFonts w:ascii="Arial" w:eastAsia="Arial" w:hAnsi="Arial" w:cs="Arial"/>
                <w:sz w:val="20"/>
                <w:szCs w:val="20"/>
              </w:rPr>
              <w:t xml:space="preserve"> fatty liver disease: practice guidance from the American Association for the Study of Liver Diseases. </w:t>
            </w:r>
            <w:r w:rsidRPr="00D30DE0">
              <w:rPr>
                <w:rFonts w:ascii="Arial" w:eastAsia="Arial" w:hAnsi="Arial" w:cs="Arial"/>
                <w:i/>
                <w:iCs/>
                <w:sz w:val="20"/>
                <w:szCs w:val="20"/>
              </w:rPr>
              <w:t>Hepatology</w:t>
            </w:r>
            <w:r w:rsidRPr="00D30DE0">
              <w:rPr>
                <w:rFonts w:ascii="Arial" w:eastAsia="Arial" w:hAnsi="Arial" w:cs="Arial"/>
                <w:sz w:val="20"/>
                <w:szCs w:val="20"/>
              </w:rPr>
              <w:t xml:space="preserve">, </w:t>
            </w:r>
            <w:r w:rsidRPr="00D30DE0">
              <w:rPr>
                <w:rFonts w:ascii="Arial" w:eastAsia="Arial" w:hAnsi="Arial" w:cs="Arial"/>
                <w:i/>
                <w:iCs/>
                <w:sz w:val="20"/>
                <w:szCs w:val="20"/>
              </w:rPr>
              <w:t>67</w:t>
            </w:r>
            <w:r w:rsidRPr="00D30DE0">
              <w:rPr>
                <w:rFonts w:ascii="Arial" w:eastAsia="Arial" w:hAnsi="Arial" w:cs="Arial"/>
                <w:sz w:val="20"/>
                <w:szCs w:val="20"/>
              </w:rPr>
              <w:t>(1), pp.328-357.</w:t>
            </w:r>
          </w:p>
          <w:p w14:paraId="1836B8A0" w14:textId="44AF6918" w:rsidR="003F5118" w:rsidRPr="00D30DE0" w:rsidRDefault="003F5118" w:rsidP="003F5118">
            <w:pPr>
              <w:rPr>
                <w:rFonts w:ascii="Arial" w:hAnsi="Arial" w:cs="Arial"/>
                <w:sz w:val="20"/>
                <w:szCs w:val="20"/>
              </w:rPr>
            </w:pPr>
            <w:r w:rsidRPr="00D30DE0">
              <w:rPr>
                <w:rFonts w:ascii="Arial" w:hAnsi="Arial" w:cs="Arial"/>
                <w:sz w:val="20"/>
                <w:szCs w:val="20"/>
              </w:rPr>
              <w:lastRenderedPageBreak/>
              <w:t>NCD Risk Factor Collaboration (NCD-</w:t>
            </w:r>
            <w:proofErr w:type="spellStart"/>
            <w:r w:rsidRPr="00D30DE0">
              <w:rPr>
                <w:rFonts w:ascii="Arial" w:hAnsi="Arial" w:cs="Arial"/>
                <w:sz w:val="20"/>
                <w:szCs w:val="20"/>
              </w:rPr>
              <w:t>RisC</w:t>
            </w:r>
            <w:proofErr w:type="spellEnd"/>
            <w:r w:rsidRPr="00D30DE0">
              <w:rPr>
                <w:rFonts w:ascii="Arial" w:hAnsi="Arial" w:cs="Arial"/>
                <w:sz w:val="20"/>
                <w:szCs w:val="20"/>
              </w:rPr>
              <w:t>): Worldwide trends in diabetes since 1980: a pooled analysis of 751 population-based studies with 4.4 participants. Lancet 2016; 387:1513-1530.</w:t>
            </w:r>
          </w:p>
        </w:tc>
      </w:tr>
      <w:tr w:rsidR="003F5118" w:rsidRPr="006375EE" w14:paraId="6B7300AC" w14:textId="77777777" w:rsidTr="0024650F">
        <w:tc>
          <w:tcPr>
            <w:tcW w:w="562" w:type="dxa"/>
          </w:tcPr>
          <w:p w14:paraId="4655E14B" w14:textId="7E18F1EA" w:rsidR="003F5118" w:rsidRPr="006658EF" w:rsidRDefault="006658EF" w:rsidP="003F5118">
            <w:pPr>
              <w:pStyle w:val="TableText1"/>
              <w:jc w:val="center"/>
              <w:rPr>
                <w:rFonts w:cs="Arial"/>
                <w:sz w:val="20"/>
                <w:szCs w:val="20"/>
              </w:rPr>
            </w:pPr>
            <w:r w:rsidRPr="006658EF">
              <w:rPr>
                <w:rFonts w:cs="Arial"/>
                <w:sz w:val="20"/>
                <w:szCs w:val="20"/>
              </w:rPr>
              <w:lastRenderedPageBreak/>
              <w:t>44</w:t>
            </w:r>
          </w:p>
        </w:tc>
        <w:tc>
          <w:tcPr>
            <w:tcW w:w="1139" w:type="dxa"/>
          </w:tcPr>
          <w:p w14:paraId="67B0E025" w14:textId="17E47744" w:rsidR="003F5118" w:rsidRPr="00902CB1" w:rsidRDefault="003F5118" w:rsidP="003F5118">
            <w:pPr>
              <w:pStyle w:val="TableText1"/>
              <w:rPr>
                <w:rFonts w:cs="Arial"/>
                <w:color w:val="000000"/>
                <w:sz w:val="20"/>
                <w:szCs w:val="20"/>
              </w:rPr>
            </w:pPr>
            <w:r w:rsidRPr="00902CB1">
              <w:rPr>
                <w:rFonts w:cs="Arial"/>
                <w:color w:val="000000"/>
                <w:sz w:val="20"/>
                <w:szCs w:val="20"/>
              </w:rPr>
              <w:t>IND2</w:t>
            </w:r>
          </w:p>
        </w:tc>
        <w:tc>
          <w:tcPr>
            <w:tcW w:w="1985" w:type="dxa"/>
          </w:tcPr>
          <w:p w14:paraId="0793ECD9" w14:textId="7E3EB23F" w:rsidR="003F5118" w:rsidRPr="006375EE" w:rsidRDefault="003F5118" w:rsidP="003F5118">
            <w:pPr>
              <w:pStyle w:val="TableText1"/>
              <w:rPr>
                <w:rFonts w:cs="Arial"/>
                <w:szCs w:val="20"/>
                <w:highlight w:val="yellow"/>
              </w:rPr>
            </w:pPr>
            <w:r w:rsidRPr="00442BCE">
              <w:rPr>
                <w:rFonts w:cs="Arial"/>
                <w:b/>
                <w:sz w:val="20"/>
                <w:szCs w:val="20"/>
              </w:rPr>
              <w:t>Alzheimer’s Research UK</w:t>
            </w:r>
          </w:p>
        </w:tc>
        <w:tc>
          <w:tcPr>
            <w:tcW w:w="11198" w:type="dxa"/>
          </w:tcPr>
          <w:p w14:paraId="464928F3" w14:textId="77777777" w:rsidR="003F5118" w:rsidRPr="00442BCE" w:rsidRDefault="003F5118" w:rsidP="003F5118">
            <w:pPr>
              <w:rPr>
                <w:rFonts w:ascii="Arial" w:hAnsi="Arial" w:cs="Arial"/>
                <w:sz w:val="20"/>
                <w:szCs w:val="20"/>
              </w:rPr>
            </w:pPr>
            <w:r w:rsidRPr="00442BCE">
              <w:rPr>
                <w:rFonts w:ascii="Arial" w:hAnsi="Arial" w:cs="Arial"/>
                <w:sz w:val="20"/>
                <w:szCs w:val="20"/>
              </w:rPr>
              <w:t xml:space="preserve">We would support this approach. </w:t>
            </w:r>
          </w:p>
          <w:p w14:paraId="7FB4DB19" w14:textId="77777777" w:rsidR="003F5118" w:rsidRPr="00442BCE" w:rsidRDefault="003F5118" w:rsidP="003F5118">
            <w:pPr>
              <w:rPr>
                <w:rFonts w:ascii="Arial" w:hAnsi="Arial" w:cs="Arial"/>
                <w:sz w:val="20"/>
                <w:szCs w:val="20"/>
              </w:rPr>
            </w:pPr>
          </w:p>
          <w:p w14:paraId="50F1E88B" w14:textId="584652B4" w:rsidR="003F5118" w:rsidRPr="006375EE" w:rsidRDefault="003F5118" w:rsidP="003F5118">
            <w:pPr>
              <w:pStyle w:val="TableText1"/>
              <w:rPr>
                <w:rFonts w:cs="Arial"/>
                <w:b/>
                <w:bCs/>
                <w:color w:val="000000"/>
                <w:sz w:val="20"/>
                <w:szCs w:val="20"/>
                <w:highlight w:val="yellow"/>
              </w:rPr>
            </w:pPr>
            <w:bookmarkStart w:id="55" w:name="_Hlk9237386"/>
            <w:r w:rsidRPr="00442BCE">
              <w:rPr>
                <w:rFonts w:cs="Arial"/>
                <w:sz w:val="20"/>
                <w:szCs w:val="20"/>
              </w:rPr>
              <w:t>Four of the five most common comorbidities people living with dementia are admitted to hospital for in the UK are preventable conditions, such as a fall, fractured hip or hip replacement</w:t>
            </w:r>
            <w:bookmarkEnd w:id="55"/>
            <w:r w:rsidRPr="00442BCE">
              <w:rPr>
                <w:rFonts w:cs="Arial"/>
                <w:sz w:val="20"/>
                <w:szCs w:val="20"/>
              </w:rPr>
              <w:t>.</w:t>
            </w:r>
          </w:p>
        </w:tc>
      </w:tr>
      <w:tr w:rsidR="003F5118" w:rsidRPr="006375EE" w14:paraId="104B7DD1" w14:textId="77777777" w:rsidTr="0024650F">
        <w:tc>
          <w:tcPr>
            <w:tcW w:w="562" w:type="dxa"/>
          </w:tcPr>
          <w:p w14:paraId="502D1368" w14:textId="5959A65D" w:rsidR="003F5118" w:rsidRPr="006658EF" w:rsidRDefault="006658EF" w:rsidP="003F5118">
            <w:pPr>
              <w:pStyle w:val="TableText1"/>
              <w:jc w:val="center"/>
              <w:rPr>
                <w:rFonts w:cs="Arial"/>
                <w:sz w:val="20"/>
                <w:szCs w:val="20"/>
              </w:rPr>
            </w:pPr>
            <w:r w:rsidRPr="006658EF">
              <w:rPr>
                <w:rFonts w:cs="Arial"/>
                <w:sz w:val="20"/>
                <w:szCs w:val="20"/>
              </w:rPr>
              <w:t>45</w:t>
            </w:r>
          </w:p>
        </w:tc>
        <w:tc>
          <w:tcPr>
            <w:tcW w:w="1139" w:type="dxa"/>
          </w:tcPr>
          <w:p w14:paraId="6C4E5412" w14:textId="32C01DFB" w:rsidR="003F5118" w:rsidRPr="00902CB1" w:rsidRDefault="003F5118" w:rsidP="003F5118">
            <w:pPr>
              <w:pStyle w:val="TableText1"/>
              <w:rPr>
                <w:rFonts w:cs="Arial"/>
                <w:color w:val="000000"/>
                <w:sz w:val="20"/>
                <w:szCs w:val="20"/>
              </w:rPr>
            </w:pPr>
            <w:r w:rsidRPr="00902CB1">
              <w:rPr>
                <w:rFonts w:cs="Arial"/>
                <w:color w:val="000000"/>
                <w:sz w:val="20"/>
                <w:szCs w:val="20"/>
              </w:rPr>
              <w:t>IND2</w:t>
            </w:r>
          </w:p>
        </w:tc>
        <w:tc>
          <w:tcPr>
            <w:tcW w:w="1985" w:type="dxa"/>
          </w:tcPr>
          <w:p w14:paraId="13FC27D5" w14:textId="1CDFB0B7" w:rsidR="003F5118" w:rsidRPr="006375EE" w:rsidRDefault="003F5118" w:rsidP="003F5118">
            <w:pPr>
              <w:pStyle w:val="TableText1"/>
              <w:rPr>
                <w:rFonts w:cs="Arial"/>
                <w:szCs w:val="20"/>
                <w:highlight w:val="yellow"/>
              </w:rPr>
            </w:pPr>
            <w:r w:rsidRPr="00442BCE">
              <w:rPr>
                <w:rFonts w:cs="Arial"/>
                <w:b/>
                <w:sz w:val="20"/>
                <w:szCs w:val="20"/>
              </w:rPr>
              <w:t>British Medical Association</w:t>
            </w:r>
          </w:p>
        </w:tc>
        <w:tc>
          <w:tcPr>
            <w:tcW w:w="11198" w:type="dxa"/>
          </w:tcPr>
          <w:p w14:paraId="4C8B107B" w14:textId="77777777" w:rsidR="003F5118" w:rsidRPr="00442BCE" w:rsidRDefault="003F5118" w:rsidP="003F5118">
            <w:pPr>
              <w:rPr>
                <w:rFonts w:ascii="Arial" w:hAnsi="Arial" w:cs="Arial"/>
                <w:sz w:val="20"/>
                <w:szCs w:val="20"/>
              </w:rPr>
            </w:pPr>
            <w:r w:rsidRPr="00442BCE">
              <w:rPr>
                <w:rFonts w:ascii="Arial" w:hAnsi="Arial" w:cs="Arial"/>
                <w:sz w:val="20"/>
                <w:szCs w:val="20"/>
              </w:rPr>
              <w:t>IND2: The practice can produce a register of people with moderate to severe frailty</w:t>
            </w:r>
          </w:p>
          <w:p w14:paraId="0E041AC6" w14:textId="77777777" w:rsidR="003F5118" w:rsidRPr="00442BCE" w:rsidRDefault="003F5118" w:rsidP="003F5118">
            <w:pPr>
              <w:rPr>
                <w:rFonts w:ascii="Arial" w:hAnsi="Arial" w:cs="Arial"/>
                <w:sz w:val="20"/>
                <w:szCs w:val="20"/>
              </w:rPr>
            </w:pPr>
          </w:p>
          <w:p w14:paraId="4B90E26E" w14:textId="4E83DA79" w:rsidR="003F5118" w:rsidRPr="006375EE" w:rsidRDefault="003F5118" w:rsidP="003F5118">
            <w:pPr>
              <w:pStyle w:val="TableText1"/>
              <w:rPr>
                <w:rFonts w:cs="Arial"/>
                <w:b/>
                <w:bCs/>
                <w:color w:val="000000"/>
                <w:sz w:val="20"/>
                <w:szCs w:val="20"/>
                <w:highlight w:val="yellow"/>
              </w:rPr>
            </w:pPr>
            <w:r w:rsidRPr="00442BCE">
              <w:rPr>
                <w:rFonts w:cs="Arial"/>
                <w:sz w:val="20"/>
                <w:szCs w:val="20"/>
              </w:rPr>
              <w:t>We support the inclusion of this new indicator.</w:t>
            </w:r>
          </w:p>
        </w:tc>
      </w:tr>
      <w:tr w:rsidR="003F5118" w:rsidRPr="006375EE" w14:paraId="77B0CFB7" w14:textId="77777777" w:rsidTr="0024650F">
        <w:tc>
          <w:tcPr>
            <w:tcW w:w="562" w:type="dxa"/>
          </w:tcPr>
          <w:p w14:paraId="47E8FA5F" w14:textId="21F720A6" w:rsidR="003F5118" w:rsidRPr="006658EF" w:rsidRDefault="006658EF" w:rsidP="003F5118">
            <w:pPr>
              <w:pStyle w:val="TableText1"/>
              <w:jc w:val="center"/>
              <w:rPr>
                <w:rFonts w:cs="Arial"/>
                <w:sz w:val="20"/>
                <w:szCs w:val="20"/>
              </w:rPr>
            </w:pPr>
            <w:r w:rsidRPr="006658EF">
              <w:rPr>
                <w:rFonts w:cs="Arial"/>
                <w:sz w:val="20"/>
                <w:szCs w:val="20"/>
              </w:rPr>
              <w:t>46</w:t>
            </w:r>
          </w:p>
        </w:tc>
        <w:tc>
          <w:tcPr>
            <w:tcW w:w="1139" w:type="dxa"/>
          </w:tcPr>
          <w:p w14:paraId="4FD9DA6A" w14:textId="780201E6" w:rsidR="003F5118" w:rsidRPr="00902CB1" w:rsidRDefault="003F5118" w:rsidP="003F5118">
            <w:pPr>
              <w:pStyle w:val="TableText1"/>
              <w:rPr>
                <w:rFonts w:cs="Arial"/>
                <w:color w:val="000000"/>
                <w:sz w:val="20"/>
                <w:szCs w:val="20"/>
              </w:rPr>
            </w:pPr>
            <w:r w:rsidRPr="00902CB1">
              <w:rPr>
                <w:rFonts w:cs="Arial"/>
                <w:color w:val="000000"/>
                <w:sz w:val="20"/>
                <w:szCs w:val="20"/>
              </w:rPr>
              <w:t>IND2</w:t>
            </w:r>
          </w:p>
        </w:tc>
        <w:tc>
          <w:tcPr>
            <w:tcW w:w="1985" w:type="dxa"/>
          </w:tcPr>
          <w:p w14:paraId="739CEE6B" w14:textId="000FC361" w:rsidR="003F5118" w:rsidRPr="00442BCE" w:rsidRDefault="003F5118" w:rsidP="003F5118">
            <w:pPr>
              <w:pStyle w:val="TableText1"/>
              <w:rPr>
                <w:rFonts w:cs="Arial"/>
                <w:b/>
                <w:sz w:val="20"/>
                <w:szCs w:val="20"/>
              </w:rPr>
            </w:pPr>
            <w:r w:rsidRPr="00442BCE">
              <w:rPr>
                <w:rFonts w:cs="Arial"/>
                <w:b/>
                <w:sz w:val="20"/>
                <w:szCs w:val="20"/>
              </w:rPr>
              <w:t>Managing Adult Malnutrition in the Community</w:t>
            </w:r>
          </w:p>
        </w:tc>
        <w:tc>
          <w:tcPr>
            <w:tcW w:w="11198" w:type="dxa"/>
          </w:tcPr>
          <w:p w14:paraId="77C70639" w14:textId="77777777" w:rsidR="003F5118" w:rsidRPr="00442BCE" w:rsidRDefault="003F5118" w:rsidP="003F5118">
            <w:pPr>
              <w:rPr>
                <w:rFonts w:ascii="Arial" w:hAnsi="Arial" w:cs="Arial"/>
                <w:sz w:val="20"/>
                <w:szCs w:val="20"/>
              </w:rPr>
            </w:pPr>
            <w:r w:rsidRPr="00442BCE">
              <w:rPr>
                <w:rFonts w:ascii="Arial" w:hAnsi="Arial" w:cs="Arial"/>
                <w:sz w:val="20"/>
                <w:szCs w:val="20"/>
              </w:rPr>
              <w:t xml:space="preserve">Frailty – ageing and frailty can affect our activities of daily living and mealtime routines which can lead to reduced nutritional intake, eating and drinking become more difficult due to physical challenges for example, ability to cook, use cutlery, chew, swallow or see food and drink.  </w:t>
            </w:r>
            <w:bookmarkStart w:id="56" w:name="_Hlk9237236"/>
            <w:r w:rsidRPr="00442BCE">
              <w:rPr>
                <w:rFonts w:ascii="Arial" w:hAnsi="Arial" w:cs="Arial"/>
                <w:sz w:val="20"/>
                <w:szCs w:val="20"/>
              </w:rPr>
              <w:t>Malnutrition and frailty are intrinsically linked</w:t>
            </w:r>
            <w:bookmarkEnd w:id="56"/>
            <w:r w:rsidRPr="00442BCE">
              <w:rPr>
                <w:rFonts w:ascii="Arial" w:hAnsi="Arial" w:cs="Arial"/>
                <w:sz w:val="20"/>
                <w:szCs w:val="20"/>
                <w:vertAlign w:val="superscript"/>
              </w:rPr>
              <w:t>1,2</w:t>
            </w:r>
            <w:r w:rsidRPr="00442BCE">
              <w:rPr>
                <w:rFonts w:ascii="Arial" w:hAnsi="Arial" w:cs="Arial"/>
                <w:sz w:val="20"/>
                <w:szCs w:val="20"/>
              </w:rPr>
              <w:t xml:space="preserve">. </w:t>
            </w:r>
          </w:p>
          <w:p w14:paraId="2946BC6F" w14:textId="77777777" w:rsidR="003F5118" w:rsidRPr="00442BCE" w:rsidRDefault="003F5118" w:rsidP="003F5118">
            <w:pPr>
              <w:rPr>
                <w:rFonts w:ascii="Arial" w:hAnsi="Arial" w:cs="Arial"/>
                <w:sz w:val="20"/>
                <w:szCs w:val="20"/>
              </w:rPr>
            </w:pPr>
          </w:p>
          <w:p w14:paraId="19B7BC07" w14:textId="77777777" w:rsidR="003F5118" w:rsidRPr="00442BCE" w:rsidRDefault="003F5118" w:rsidP="003F5118">
            <w:pPr>
              <w:rPr>
                <w:rFonts w:ascii="Arial" w:hAnsi="Arial" w:cs="Arial"/>
                <w:sz w:val="20"/>
                <w:szCs w:val="20"/>
              </w:rPr>
            </w:pPr>
            <w:bookmarkStart w:id="57" w:name="_Hlk9237178"/>
            <w:r w:rsidRPr="00F67B36">
              <w:rPr>
                <w:rFonts w:ascii="Arial" w:hAnsi="Arial" w:cs="Arial"/>
                <w:sz w:val="20"/>
                <w:szCs w:val="20"/>
              </w:rPr>
              <w:t xml:space="preserve">The Managing Adult Malnutrition in the Community document is an endorsed resource under NICE CG32 and NICE QS24 and it is endorsed by </w:t>
            </w:r>
            <w:proofErr w:type="gramStart"/>
            <w:r w:rsidRPr="00F67B36">
              <w:rPr>
                <w:rFonts w:ascii="Arial" w:hAnsi="Arial" w:cs="Arial"/>
                <w:sz w:val="20"/>
                <w:szCs w:val="20"/>
              </w:rPr>
              <w:t>a number of</w:t>
            </w:r>
            <w:proofErr w:type="gramEnd"/>
            <w:r w:rsidRPr="00F67B36">
              <w:rPr>
                <w:rFonts w:ascii="Arial" w:hAnsi="Arial" w:cs="Arial"/>
                <w:sz w:val="20"/>
                <w:szCs w:val="20"/>
              </w:rPr>
              <w:t xml:space="preserve"> multi-professional bodies we would therefore recommend that nutritional screening, assessment and management should be incorporated into the Frailty pathways</w:t>
            </w:r>
            <w:bookmarkEnd w:id="57"/>
            <w:r w:rsidRPr="00442BCE">
              <w:rPr>
                <w:rFonts w:ascii="Arial" w:hAnsi="Arial" w:cs="Arial"/>
                <w:sz w:val="20"/>
                <w:szCs w:val="20"/>
              </w:rPr>
              <w:t>.</w:t>
            </w:r>
          </w:p>
          <w:p w14:paraId="38B519E2" w14:textId="77777777" w:rsidR="003F5118" w:rsidRPr="00442BCE" w:rsidRDefault="003F5118" w:rsidP="003F5118">
            <w:pPr>
              <w:rPr>
                <w:rFonts w:ascii="Arial" w:hAnsi="Arial" w:cs="Arial"/>
                <w:sz w:val="20"/>
                <w:szCs w:val="20"/>
              </w:rPr>
            </w:pPr>
          </w:p>
          <w:p w14:paraId="16AEB591" w14:textId="77777777" w:rsidR="003F5118" w:rsidRPr="00442BCE" w:rsidRDefault="003F5118" w:rsidP="003F5118">
            <w:pPr>
              <w:rPr>
                <w:rFonts w:ascii="Arial" w:hAnsi="Arial" w:cs="Arial"/>
                <w:sz w:val="20"/>
                <w:szCs w:val="20"/>
              </w:rPr>
            </w:pPr>
            <w:r w:rsidRPr="00442BCE">
              <w:rPr>
                <w:rFonts w:ascii="Arial" w:hAnsi="Arial" w:cs="Arial"/>
                <w:sz w:val="20"/>
                <w:szCs w:val="20"/>
              </w:rPr>
              <w:t>References</w:t>
            </w:r>
          </w:p>
          <w:p w14:paraId="47783392" w14:textId="77777777" w:rsidR="003F5118" w:rsidRPr="00442BCE" w:rsidRDefault="003F5118" w:rsidP="003F5118">
            <w:pPr>
              <w:pStyle w:val="ListParagraph"/>
              <w:numPr>
                <w:ilvl w:val="0"/>
                <w:numId w:val="26"/>
              </w:numPr>
              <w:rPr>
                <w:rFonts w:ascii="Arial" w:hAnsi="Arial" w:cs="Arial"/>
                <w:sz w:val="20"/>
                <w:szCs w:val="20"/>
              </w:rPr>
            </w:pPr>
            <w:proofErr w:type="spellStart"/>
            <w:r w:rsidRPr="00442BCE">
              <w:rPr>
                <w:rFonts w:ascii="Arial" w:hAnsi="Arial" w:cs="Arial"/>
                <w:sz w:val="20"/>
                <w:szCs w:val="20"/>
              </w:rPr>
              <w:t>Gossier</w:t>
            </w:r>
            <w:proofErr w:type="spellEnd"/>
            <w:r w:rsidRPr="00442BCE">
              <w:rPr>
                <w:rFonts w:ascii="Arial" w:hAnsi="Arial" w:cs="Arial"/>
                <w:sz w:val="20"/>
                <w:szCs w:val="20"/>
              </w:rPr>
              <w:t xml:space="preserve"> S, </w:t>
            </w:r>
            <w:proofErr w:type="spellStart"/>
            <w:r w:rsidRPr="00442BCE">
              <w:rPr>
                <w:rFonts w:ascii="Arial" w:hAnsi="Arial" w:cs="Arial"/>
                <w:sz w:val="20"/>
                <w:szCs w:val="20"/>
              </w:rPr>
              <w:t>Guyonnet</w:t>
            </w:r>
            <w:proofErr w:type="spellEnd"/>
            <w:r w:rsidRPr="00442BCE">
              <w:rPr>
                <w:rFonts w:ascii="Arial" w:hAnsi="Arial" w:cs="Arial"/>
                <w:sz w:val="20"/>
                <w:szCs w:val="20"/>
              </w:rPr>
              <w:t xml:space="preserve"> S and </w:t>
            </w:r>
            <w:proofErr w:type="spellStart"/>
            <w:r w:rsidRPr="00442BCE">
              <w:rPr>
                <w:rFonts w:ascii="Arial" w:hAnsi="Arial" w:cs="Arial"/>
                <w:sz w:val="20"/>
                <w:szCs w:val="20"/>
              </w:rPr>
              <w:t>Volkert</w:t>
            </w:r>
            <w:proofErr w:type="spellEnd"/>
            <w:r w:rsidRPr="00442BCE">
              <w:rPr>
                <w:rFonts w:ascii="Arial" w:hAnsi="Arial" w:cs="Arial"/>
                <w:sz w:val="20"/>
                <w:szCs w:val="20"/>
              </w:rPr>
              <w:t xml:space="preserve"> D. The Role of Nutrition in Frailty: An Overview. The Journal of Frailty &amp; Aging 2016; 5(2)</w:t>
            </w:r>
          </w:p>
          <w:p w14:paraId="66737DDF" w14:textId="695F5535" w:rsidR="003F5118" w:rsidRPr="00442BCE" w:rsidRDefault="003F5118" w:rsidP="003F5118">
            <w:pPr>
              <w:rPr>
                <w:rFonts w:ascii="Arial" w:hAnsi="Arial" w:cs="Arial"/>
                <w:sz w:val="20"/>
                <w:szCs w:val="20"/>
              </w:rPr>
            </w:pPr>
            <w:r w:rsidRPr="00442BCE">
              <w:rPr>
                <w:rFonts w:ascii="Arial" w:hAnsi="Arial" w:cs="Arial"/>
                <w:sz w:val="20"/>
                <w:szCs w:val="20"/>
              </w:rPr>
              <w:t xml:space="preserve">JAMDA. Frailty Consensus: A Call </w:t>
            </w:r>
            <w:proofErr w:type="gramStart"/>
            <w:r w:rsidRPr="00442BCE">
              <w:rPr>
                <w:rFonts w:ascii="Arial" w:hAnsi="Arial" w:cs="Arial"/>
                <w:sz w:val="20"/>
                <w:szCs w:val="20"/>
              </w:rPr>
              <w:t>To</w:t>
            </w:r>
            <w:proofErr w:type="gramEnd"/>
            <w:r w:rsidRPr="00442BCE">
              <w:rPr>
                <w:rFonts w:ascii="Arial" w:hAnsi="Arial" w:cs="Arial"/>
                <w:sz w:val="20"/>
                <w:szCs w:val="20"/>
              </w:rPr>
              <w:t xml:space="preserve"> Action. 2013; 14: 391-397</w:t>
            </w:r>
          </w:p>
        </w:tc>
      </w:tr>
      <w:tr w:rsidR="003F5118" w:rsidRPr="006375EE" w14:paraId="0F9C8269" w14:textId="77777777" w:rsidTr="0024650F">
        <w:tc>
          <w:tcPr>
            <w:tcW w:w="562" w:type="dxa"/>
          </w:tcPr>
          <w:p w14:paraId="4CCAE997" w14:textId="0B031D8B" w:rsidR="003F5118" w:rsidRPr="006658EF" w:rsidRDefault="006658EF" w:rsidP="003F5118">
            <w:pPr>
              <w:pStyle w:val="TableText1"/>
              <w:jc w:val="center"/>
              <w:rPr>
                <w:rFonts w:cs="Arial"/>
                <w:sz w:val="20"/>
                <w:szCs w:val="20"/>
              </w:rPr>
            </w:pPr>
            <w:r w:rsidRPr="006658EF">
              <w:rPr>
                <w:rFonts w:cs="Arial"/>
                <w:sz w:val="20"/>
                <w:szCs w:val="20"/>
              </w:rPr>
              <w:t>47</w:t>
            </w:r>
          </w:p>
        </w:tc>
        <w:tc>
          <w:tcPr>
            <w:tcW w:w="1139" w:type="dxa"/>
          </w:tcPr>
          <w:p w14:paraId="1F7028B0" w14:textId="0F4AFB75" w:rsidR="003F5118" w:rsidRPr="00902CB1" w:rsidRDefault="003F5118" w:rsidP="003F5118">
            <w:pPr>
              <w:pStyle w:val="TableText1"/>
              <w:rPr>
                <w:rFonts w:cs="Arial"/>
                <w:color w:val="000000"/>
                <w:sz w:val="20"/>
                <w:szCs w:val="20"/>
              </w:rPr>
            </w:pPr>
            <w:r w:rsidRPr="00902CB1">
              <w:rPr>
                <w:rFonts w:cs="Arial"/>
                <w:color w:val="000000"/>
                <w:sz w:val="20"/>
                <w:szCs w:val="20"/>
              </w:rPr>
              <w:t>IND2</w:t>
            </w:r>
          </w:p>
        </w:tc>
        <w:tc>
          <w:tcPr>
            <w:tcW w:w="1985" w:type="dxa"/>
          </w:tcPr>
          <w:p w14:paraId="2CD5B1D1" w14:textId="3BE0DCB9" w:rsidR="003F5118" w:rsidRPr="006375EE" w:rsidRDefault="003F5118" w:rsidP="003F5118">
            <w:pPr>
              <w:pStyle w:val="TableText1"/>
              <w:rPr>
                <w:rFonts w:cs="Arial"/>
                <w:szCs w:val="20"/>
                <w:highlight w:val="yellow"/>
              </w:rPr>
            </w:pPr>
            <w:r w:rsidRPr="00442BCE">
              <w:rPr>
                <w:rFonts w:cs="Arial"/>
                <w:b/>
                <w:sz w:val="20"/>
                <w:szCs w:val="20"/>
              </w:rPr>
              <w:t>National Pharmaceutical Advisers Group (PAG)</w:t>
            </w:r>
          </w:p>
        </w:tc>
        <w:tc>
          <w:tcPr>
            <w:tcW w:w="11198" w:type="dxa"/>
          </w:tcPr>
          <w:p w14:paraId="1D137C84" w14:textId="30CDCC4D" w:rsidR="003F5118" w:rsidRPr="006375EE" w:rsidRDefault="003F5118" w:rsidP="003F5118">
            <w:pPr>
              <w:pStyle w:val="TableText1"/>
              <w:rPr>
                <w:rFonts w:cs="Arial"/>
                <w:b/>
                <w:bCs/>
                <w:color w:val="000000"/>
                <w:sz w:val="20"/>
                <w:szCs w:val="20"/>
                <w:highlight w:val="yellow"/>
              </w:rPr>
            </w:pPr>
            <w:r w:rsidRPr="00442BCE">
              <w:rPr>
                <w:rFonts w:cs="Arial"/>
                <w:sz w:val="20"/>
                <w:szCs w:val="20"/>
              </w:rPr>
              <w:t xml:space="preserve">Agree – </w:t>
            </w:r>
            <w:bookmarkStart w:id="58" w:name="_Hlk9237469"/>
            <w:r w:rsidRPr="00442BCE">
              <w:rPr>
                <w:rFonts w:cs="Arial"/>
                <w:sz w:val="20"/>
                <w:szCs w:val="20"/>
              </w:rPr>
              <w:t>frailty is a good indicator for likelihood of hospital admission and risk of deterioration of overall health and outcomes. These patients would benefit from closer monitoring to reduce risk of deterioration</w:t>
            </w:r>
            <w:bookmarkEnd w:id="58"/>
            <w:r w:rsidRPr="00442BCE">
              <w:rPr>
                <w:rFonts w:cs="Arial"/>
                <w:sz w:val="20"/>
                <w:szCs w:val="20"/>
              </w:rPr>
              <w:t>.</w:t>
            </w:r>
          </w:p>
        </w:tc>
      </w:tr>
      <w:tr w:rsidR="003F5118" w:rsidRPr="006375EE" w14:paraId="69CF1B8E" w14:textId="77777777" w:rsidTr="0024650F">
        <w:tc>
          <w:tcPr>
            <w:tcW w:w="562" w:type="dxa"/>
          </w:tcPr>
          <w:p w14:paraId="4304324E" w14:textId="51DCC1D8" w:rsidR="003F5118" w:rsidRPr="006658EF" w:rsidRDefault="006658EF" w:rsidP="003F5118">
            <w:pPr>
              <w:pStyle w:val="TableText1"/>
              <w:jc w:val="center"/>
              <w:rPr>
                <w:rFonts w:cs="Arial"/>
                <w:sz w:val="20"/>
                <w:szCs w:val="20"/>
              </w:rPr>
            </w:pPr>
            <w:r w:rsidRPr="006658EF">
              <w:rPr>
                <w:rFonts w:cs="Arial"/>
                <w:sz w:val="20"/>
                <w:szCs w:val="20"/>
              </w:rPr>
              <w:t>48</w:t>
            </w:r>
          </w:p>
        </w:tc>
        <w:tc>
          <w:tcPr>
            <w:tcW w:w="1139" w:type="dxa"/>
          </w:tcPr>
          <w:p w14:paraId="130AC124" w14:textId="3C82B3CB" w:rsidR="003F5118" w:rsidRPr="00902CB1" w:rsidRDefault="003F5118" w:rsidP="003F5118">
            <w:pPr>
              <w:pStyle w:val="TableText1"/>
              <w:rPr>
                <w:rFonts w:cs="Arial"/>
                <w:color w:val="000000"/>
                <w:sz w:val="20"/>
                <w:szCs w:val="20"/>
              </w:rPr>
            </w:pPr>
            <w:r>
              <w:rPr>
                <w:rFonts w:cs="Arial"/>
                <w:color w:val="000000"/>
                <w:sz w:val="20"/>
                <w:szCs w:val="20"/>
              </w:rPr>
              <w:t>IND2</w:t>
            </w:r>
          </w:p>
        </w:tc>
        <w:tc>
          <w:tcPr>
            <w:tcW w:w="1985" w:type="dxa"/>
          </w:tcPr>
          <w:p w14:paraId="1EA03DA6" w14:textId="7D3857BF" w:rsidR="003F5118" w:rsidRPr="00442BCE" w:rsidRDefault="003F5118" w:rsidP="003F5118">
            <w:pPr>
              <w:pStyle w:val="TableText1"/>
              <w:rPr>
                <w:rFonts w:cs="Arial"/>
                <w:b/>
                <w:sz w:val="20"/>
                <w:szCs w:val="20"/>
              </w:rPr>
            </w:pPr>
            <w:r w:rsidRPr="00E10833">
              <w:rPr>
                <w:rFonts w:cs="Arial"/>
                <w:b/>
                <w:sz w:val="20"/>
                <w:szCs w:val="20"/>
              </w:rPr>
              <w:t>Public Health England</w:t>
            </w:r>
          </w:p>
        </w:tc>
        <w:tc>
          <w:tcPr>
            <w:tcW w:w="11198" w:type="dxa"/>
          </w:tcPr>
          <w:p w14:paraId="0469CC4B" w14:textId="71651910" w:rsidR="003F5118" w:rsidRPr="00E10833" w:rsidRDefault="003F5118" w:rsidP="003F5118">
            <w:pPr>
              <w:rPr>
                <w:rFonts w:ascii="Arial" w:hAnsi="Arial" w:cs="Arial"/>
                <w:sz w:val="20"/>
                <w:szCs w:val="20"/>
                <w:lang w:eastAsia="en-GB"/>
              </w:rPr>
            </w:pPr>
            <w:r w:rsidRPr="00E10833">
              <w:rPr>
                <w:rFonts w:ascii="Arial" w:hAnsi="Arial" w:cs="Arial"/>
                <w:sz w:val="20"/>
                <w:szCs w:val="20"/>
                <w:lang w:eastAsia="en-GB"/>
              </w:rPr>
              <w:t xml:space="preserve">A new indicator which requires the production of a register of people with moderate-severe frailty is a welcome addition, and ideally would be considered for inclusion in the QOF. Disaggregation by the severity of frailty is important, and we would also encourage consideration of the inclusion of mild frailty in the register in future, to support practices to reduce progression of frailty in patients, where possible. </w:t>
            </w:r>
          </w:p>
        </w:tc>
      </w:tr>
      <w:tr w:rsidR="003F5118" w:rsidRPr="006375EE" w14:paraId="6902C638" w14:textId="77777777" w:rsidTr="0024650F">
        <w:tc>
          <w:tcPr>
            <w:tcW w:w="562" w:type="dxa"/>
          </w:tcPr>
          <w:p w14:paraId="1BA9E323" w14:textId="74697E0B" w:rsidR="003F5118" w:rsidRPr="006658EF" w:rsidRDefault="006658EF" w:rsidP="003F5118">
            <w:pPr>
              <w:pStyle w:val="TableText1"/>
              <w:jc w:val="center"/>
              <w:rPr>
                <w:rFonts w:cs="Arial"/>
                <w:color w:val="FF0000"/>
                <w:sz w:val="20"/>
                <w:szCs w:val="20"/>
              </w:rPr>
            </w:pPr>
            <w:r w:rsidRPr="006658EF">
              <w:rPr>
                <w:rFonts w:cs="Arial"/>
                <w:color w:val="000000" w:themeColor="text1"/>
                <w:sz w:val="20"/>
                <w:szCs w:val="20"/>
              </w:rPr>
              <w:t>49</w:t>
            </w:r>
          </w:p>
        </w:tc>
        <w:tc>
          <w:tcPr>
            <w:tcW w:w="1139" w:type="dxa"/>
          </w:tcPr>
          <w:p w14:paraId="5F7B6AEA" w14:textId="4A9D5FBD" w:rsidR="003F5118" w:rsidRPr="00F26986" w:rsidRDefault="003F5118" w:rsidP="003F5118">
            <w:pPr>
              <w:pStyle w:val="TableText1"/>
              <w:rPr>
                <w:rFonts w:cs="Arial"/>
                <w:sz w:val="20"/>
                <w:szCs w:val="20"/>
              </w:rPr>
            </w:pPr>
            <w:r w:rsidRPr="00F26986">
              <w:rPr>
                <w:rFonts w:cs="Arial"/>
                <w:sz w:val="20"/>
                <w:szCs w:val="20"/>
              </w:rPr>
              <w:t>IND2</w:t>
            </w:r>
          </w:p>
        </w:tc>
        <w:tc>
          <w:tcPr>
            <w:tcW w:w="1985" w:type="dxa"/>
          </w:tcPr>
          <w:p w14:paraId="1CC16B80" w14:textId="26C35225" w:rsidR="003F5118" w:rsidRPr="00F26986" w:rsidRDefault="006658EF" w:rsidP="003F5118">
            <w:pPr>
              <w:pStyle w:val="TableText1"/>
              <w:rPr>
                <w:rFonts w:cs="Arial"/>
                <w:szCs w:val="20"/>
                <w:highlight w:val="yellow"/>
              </w:rPr>
            </w:pPr>
            <w:r>
              <w:rPr>
                <w:rFonts w:cs="Arial"/>
                <w:b/>
                <w:sz w:val="20"/>
                <w:szCs w:val="20"/>
              </w:rPr>
              <w:t>Individual</w:t>
            </w:r>
          </w:p>
        </w:tc>
        <w:tc>
          <w:tcPr>
            <w:tcW w:w="11198" w:type="dxa"/>
          </w:tcPr>
          <w:p w14:paraId="0638E842" w14:textId="77777777" w:rsidR="003F5118" w:rsidRPr="00F26986" w:rsidRDefault="003F5118" w:rsidP="003F5118">
            <w:pPr>
              <w:rPr>
                <w:rFonts w:ascii="Arial" w:hAnsi="Arial" w:cs="Arial"/>
                <w:sz w:val="20"/>
                <w:szCs w:val="20"/>
                <w:lang w:eastAsia="en-GB"/>
              </w:rPr>
            </w:pPr>
            <w:r w:rsidRPr="00F26986">
              <w:rPr>
                <w:rFonts w:ascii="Arial" w:hAnsi="Arial" w:cs="Arial"/>
                <w:sz w:val="20"/>
                <w:szCs w:val="20"/>
              </w:rPr>
              <w:t xml:space="preserve">I welcome the inclusion of an indicator around frailty as both an important incentive to give higher quality data around </w:t>
            </w:r>
            <w:r w:rsidRPr="00F26986">
              <w:rPr>
                <w:rFonts w:ascii="Arial" w:hAnsi="Arial" w:cs="Arial"/>
                <w:sz w:val="20"/>
                <w:szCs w:val="20"/>
                <w:lang w:eastAsia="en-GB"/>
              </w:rPr>
              <w:t>prevalence of frailty but also to help motivate clinical teams to better recognise and respond to frailty as a clinical issue.</w:t>
            </w:r>
          </w:p>
          <w:p w14:paraId="5032D1F7" w14:textId="77777777" w:rsidR="003F5118" w:rsidRPr="00F26986" w:rsidRDefault="003F5118" w:rsidP="003F5118">
            <w:pPr>
              <w:rPr>
                <w:rFonts w:ascii="Arial" w:hAnsi="Arial" w:cs="Arial"/>
                <w:sz w:val="20"/>
                <w:szCs w:val="20"/>
                <w:lang w:eastAsia="en-GB"/>
              </w:rPr>
            </w:pPr>
          </w:p>
          <w:p w14:paraId="48ADCE17" w14:textId="77777777" w:rsidR="003F5118" w:rsidRPr="00F26986" w:rsidRDefault="003F5118" w:rsidP="003F5118">
            <w:pPr>
              <w:rPr>
                <w:rFonts w:ascii="Arial" w:hAnsi="Arial" w:cs="Arial"/>
                <w:sz w:val="20"/>
                <w:szCs w:val="20"/>
                <w:lang w:eastAsia="en-GB"/>
              </w:rPr>
            </w:pPr>
            <w:r w:rsidRPr="00F26986">
              <w:rPr>
                <w:rFonts w:ascii="Arial" w:hAnsi="Arial" w:cs="Arial"/>
                <w:sz w:val="20"/>
                <w:szCs w:val="20"/>
                <w:lang w:eastAsia="en-GB"/>
              </w:rPr>
              <w:t xml:space="preserve">I am concerned as </w:t>
            </w:r>
            <w:bookmarkStart w:id="59" w:name="_Hlk9237550"/>
            <w:r w:rsidRPr="00F26986">
              <w:rPr>
                <w:rFonts w:ascii="Arial" w:hAnsi="Arial" w:cs="Arial"/>
                <w:sz w:val="20"/>
                <w:szCs w:val="20"/>
                <w:lang w:eastAsia="en-GB"/>
              </w:rPr>
              <w:t>to how frailty is to be measured and quantified</w:t>
            </w:r>
            <w:bookmarkEnd w:id="59"/>
            <w:r w:rsidRPr="00F26986">
              <w:rPr>
                <w:rFonts w:ascii="Arial" w:hAnsi="Arial" w:cs="Arial"/>
                <w:sz w:val="20"/>
                <w:szCs w:val="20"/>
                <w:lang w:eastAsia="en-GB"/>
              </w:rPr>
              <w:t>.</w:t>
            </w:r>
          </w:p>
          <w:p w14:paraId="4EC82EA2" w14:textId="77777777" w:rsidR="003F5118" w:rsidRPr="00F26986" w:rsidRDefault="003F5118" w:rsidP="003F5118">
            <w:pPr>
              <w:rPr>
                <w:rFonts w:ascii="Arial" w:hAnsi="Arial" w:cs="Arial"/>
                <w:sz w:val="20"/>
                <w:szCs w:val="20"/>
                <w:lang w:eastAsia="en-GB"/>
              </w:rPr>
            </w:pPr>
          </w:p>
          <w:p w14:paraId="70B1D45D" w14:textId="77777777" w:rsidR="003F5118" w:rsidRPr="00F26986" w:rsidRDefault="003F5118" w:rsidP="003F5118">
            <w:pPr>
              <w:rPr>
                <w:rFonts w:ascii="Arial" w:hAnsi="Arial" w:cs="Arial"/>
                <w:sz w:val="20"/>
                <w:szCs w:val="20"/>
                <w:lang w:eastAsia="en-GB"/>
              </w:rPr>
            </w:pPr>
            <w:r w:rsidRPr="00F26986">
              <w:rPr>
                <w:rFonts w:ascii="Arial" w:hAnsi="Arial" w:cs="Arial"/>
                <w:sz w:val="20"/>
                <w:szCs w:val="20"/>
                <w:lang w:eastAsia="en-GB"/>
              </w:rPr>
              <w:t>The proposal is “</w:t>
            </w:r>
            <w:bookmarkStart w:id="60" w:name="_Hlk9237593"/>
            <w:r w:rsidRPr="00F26986">
              <w:rPr>
                <w:rFonts w:ascii="Arial" w:hAnsi="Arial" w:cs="Arial"/>
                <w:sz w:val="20"/>
                <w:szCs w:val="20"/>
                <w:lang w:eastAsia="en-GB"/>
              </w:rPr>
              <w:t>use of an evidenced based tool and clinical judgement</w:t>
            </w:r>
            <w:bookmarkEnd w:id="60"/>
            <w:r w:rsidRPr="00F26986">
              <w:rPr>
                <w:rFonts w:ascii="Arial" w:hAnsi="Arial" w:cs="Arial"/>
                <w:sz w:val="20"/>
                <w:szCs w:val="20"/>
                <w:lang w:eastAsia="en-GB"/>
              </w:rPr>
              <w:t>” and there is linkage to the NICE Multimorbidity Guidance suggest use of PRISMA or formal gait speed. Was the ‘and’ expected to be an ‘or’?</w:t>
            </w:r>
          </w:p>
          <w:p w14:paraId="712CF9FB" w14:textId="77777777" w:rsidR="003F5118" w:rsidRPr="00F26986" w:rsidRDefault="003F5118" w:rsidP="003F5118">
            <w:pPr>
              <w:rPr>
                <w:rFonts w:ascii="Arial" w:hAnsi="Arial" w:cs="Arial"/>
                <w:sz w:val="20"/>
                <w:szCs w:val="20"/>
                <w:lang w:eastAsia="en-GB"/>
              </w:rPr>
            </w:pPr>
          </w:p>
          <w:p w14:paraId="657EF84F" w14:textId="77777777" w:rsidR="003F5118" w:rsidRPr="00F26986" w:rsidRDefault="003F5118" w:rsidP="003F5118">
            <w:pPr>
              <w:rPr>
                <w:rFonts w:ascii="Arial" w:hAnsi="Arial" w:cs="Arial"/>
                <w:sz w:val="20"/>
                <w:szCs w:val="20"/>
                <w:lang w:eastAsia="en-GB"/>
              </w:rPr>
            </w:pPr>
            <w:r w:rsidRPr="00F26986">
              <w:rPr>
                <w:rFonts w:ascii="Arial" w:hAnsi="Arial" w:cs="Arial"/>
                <w:sz w:val="20"/>
                <w:szCs w:val="20"/>
                <w:lang w:eastAsia="en-GB"/>
              </w:rPr>
              <w:lastRenderedPageBreak/>
              <w:t>I recognise that these frailty assessments have evidence base and are practical within primary care but there is potential for disruptive mixed messaging here:</w:t>
            </w:r>
          </w:p>
          <w:p w14:paraId="5308DEB7" w14:textId="77777777" w:rsidR="003F5118" w:rsidRPr="00F26986" w:rsidRDefault="003F5118" w:rsidP="003F5118">
            <w:pPr>
              <w:rPr>
                <w:rFonts w:ascii="Arial" w:hAnsi="Arial" w:cs="Arial"/>
                <w:sz w:val="20"/>
                <w:szCs w:val="20"/>
                <w:lang w:eastAsia="en-GB"/>
              </w:rPr>
            </w:pPr>
          </w:p>
          <w:p w14:paraId="16550187" w14:textId="77777777" w:rsidR="003F5118" w:rsidRPr="00F26986" w:rsidRDefault="003F5118" w:rsidP="003F5118">
            <w:pPr>
              <w:rPr>
                <w:rFonts w:ascii="Arial" w:hAnsi="Arial" w:cs="Arial"/>
                <w:sz w:val="20"/>
                <w:szCs w:val="20"/>
                <w:lang w:eastAsia="en-GB"/>
              </w:rPr>
            </w:pPr>
            <w:bookmarkStart w:id="61" w:name="_Hlk9237678"/>
            <w:r w:rsidRPr="00F26986">
              <w:rPr>
                <w:rFonts w:ascii="Arial" w:hAnsi="Arial" w:cs="Arial"/>
                <w:sz w:val="20"/>
                <w:szCs w:val="20"/>
                <w:lang w:eastAsia="en-GB"/>
              </w:rPr>
              <w:t>Currently there is extensive work ongoing in implementing the Electronic Frailty Index within primary care as well as extensive piloting of the Clinical Frailty Score (Rockwood) in secondary care</w:t>
            </w:r>
            <w:bookmarkEnd w:id="61"/>
            <w:r w:rsidRPr="00F26986">
              <w:rPr>
                <w:rFonts w:ascii="Arial" w:hAnsi="Arial" w:cs="Arial"/>
                <w:sz w:val="20"/>
                <w:szCs w:val="20"/>
                <w:lang w:eastAsia="en-GB"/>
              </w:rPr>
              <w:t xml:space="preserve">. </w:t>
            </w:r>
          </w:p>
          <w:p w14:paraId="562852DC" w14:textId="77777777" w:rsidR="003F5118" w:rsidRPr="00F26986" w:rsidRDefault="003F5118" w:rsidP="003F5118">
            <w:pPr>
              <w:rPr>
                <w:rFonts w:ascii="Arial" w:hAnsi="Arial" w:cs="Arial"/>
                <w:sz w:val="20"/>
                <w:szCs w:val="20"/>
                <w:lang w:eastAsia="en-GB"/>
              </w:rPr>
            </w:pPr>
          </w:p>
          <w:p w14:paraId="63FFB250" w14:textId="77777777" w:rsidR="003F5118" w:rsidRPr="00F26986" w:rsidRDefault="003F5118" w:rsidP="003F5118">
            <w:pPr>
              <w:rPr>
                <w:rFonts w:ascii="Arial" w:hAnsi="Arial" w:cs="Arial"/>
                <w:sz w:val="20"/>
                <w:szCs w:val="20"/>
                <w:lang w:eastAsia="en-GB"/>
              </w:rPr>
            </w:pPr>
            <w:r w:rsidRPr="00F26986">
              <w:rPr>
                <w:rFonts w:ascii="Arial" w:hAnsi="Arial" w:cs="Arial"/>
                <w:sz w:val="20"/>
                <w:szCs w:val="20"/>
                <w:lang w:eastAsia="en-GB"/>
              </w:rPr>
              <w:t>This QOF is an important moment to further embed these important practices within high quality care. Introducing Timed Get Up and Go or PRISM additionally and not including EFI / CFS appears to be an opportunity lost and a way to increase confusion.</w:t>
            </w:r>
          </w:p>
          <w:p w14:paraId="63689295" w14:textId="77777777" w:rsidR="003F5118" w:rsidRPr="00F26986" w:rsidRDefault="003F5118" w:rsidP="003F5118">
            <w:pPr>
              <w:rPr>
                <w:rFonts w:ascii="Arial" w:hAnsi="Arial" w:cs="Arial"/>
                <w:sz w:val="20"/>
                <w:szCs w:val="20"/>
                <w:lang w:eastAsia="en-GB"/>
              </w:rPr>
            </w:pPr>
          </w:p>
          <w:p w14:paraId="3DCC5112" w14:textId="77777777" w:rsidR="003F5118" w:rsidRPr="00F26986" w:rsidRDefault="003F5118" w:rsidP="003F5118">
            <w:pPr>
              <w:rPr>
                <w:rFonts w:ascii="Arial" w:hAnsi="Arial" w:cs="Arial"/>
                <w:sz w:val="20"/>
                <w:szCs w:val="20"/>
                <w:lang w:eastAsia="en-GB"/>
              </w:rPr>
            </w:pPr>
            <w:r w:rsidRPr="00F26986">
              <w:rPr>
                <w:rFonts w:ascii="Arial" w:hAnsi="Arial" w:cs="Arial"/>
                <w:sz w:val="20"/>
                <w:szCs w:val="20"/>
                <w:lang w:eastAsia="en-GB"/>
              </w:rPr>
              <w:t>Please consider specifically including EFI /CFS as the method indicators here.</w:t>
            </w:r>
          </w:p>
          <w:p w14:paraId="4345D4D5" w14:textId="77777777" w:rsidR="003F5118" w:rsidRPr="00F26986" w:rsidRDefault="003F5118" w:rsidP="003F5118">
            <w:pPr>
              <w:pStyle w:val="TableText1"/>
              <w:rPr>
                <w:rFonts w:cs="Arial"/>
                <w:b/>
                <w:bCs/>
                <w:sz w:val="20"/>
                <w:szCs w:val="20"/>
                <w:highlight w:val="yellow"/>
              </w:rPr>
            </w:pPr>
          </w:p>
        </w:tc>
      </w:tr>
      <w:tr w:rsidR="003F5118" w:rsidRPr="006375EE" w14:paraId="39583694" w14:textId="77777777" w:rsidTr="0024650F">
        <w:tc>
          <w:tcPr>
            <w:tcW w:w="562" w:type="dxa"/>
          </w:tcPr>
          <w:p w14:paraId="4674BDE6" w14:textId="66E79211" w:rsidR="003F5118" w:rsidRPr="006658EF" w:rsidRDefault="006658EF" w:rsidP="003F5118">
            <w:pPr>
              <w:pStyle w:val="TableText1"/>
              <w:jc w:val="center"/>
              <w:rPr>
                <w:rFonts w:cs="Arial"/>
                <w:sz w:val="20"/>
                <w:szCs w:val="20"/>
              </w:rPr>
            </w:pPr>
            <w:r w:rsidRPr="006658EF">
              <w:rPr>
                <w:rFonts w:cs="Arial"/>
                <w:sz w:val="20"/>
                <w:szCs w:val="20"/>
              </w:rPr>
              <w:lastRenderedPageBreak/>
              <w:t>50</w:t>
            </w:r>
          </w:p>
        </w:tc>
        <w:tc>
          <w:tcPr>
            <w:tcW w:w="1139" w:type="dxa"/>
          </w:tcPr>
          <w:p w14:paraId="07A5FFF1" w14:textId="126EC442" w:rsidR="003F5118" w:rsidRPr="00902CB1" w:rsidRDefault="003F5118" w:rsidP="003F5118">
            <w:pPr>
              <w:pStyle w:val="TableText1"/>
              <w:rPr>
                <w:rFonts w:cs="Arial"/>
                <w:color w:val="000000"/>
                <w:sz w:val="20"/>
                <w:szCs w:val="20"/>
              </w:rPr>
            </w:pPr>
            <w:r w:rsidRPr="00902CB1">
              <w:rPr>
                <w:rFonts w:cs="Arial"/>
                <w:color w:val="000000"/>
                <w:sz w:val="20"/>
                <w:szCs w:val="20"/>
              </w:rPr>
              <w:t>IND2</w:t>
            </w:r>
          </w:p>
        </w:tc>
        <w:tc>
          <w:tcPr>
            <w:tcW w:w="1985" w:type="dxa"/>
          </w:tcPr>
          <w:p w14:paraId="06587CCC" w14:textId="624EEB71" w:rsidR="003F5118" w:rsidRPr="006375EE" w:rsidRDefault="003F5118" w:rsidP="003F5118">
            <w:pPr>
              <w:pStyle w:val="TableText1"/>
              <w:rPr>
                <w:rFonts w:cs="Arial"/>
                <w:szCs w:val="20"/>
                <w:highlight w:val="yellow"/>
              </w:rPr>
            </w:pPr>
            <w:r w:rsidRPr="00442BCE">
              <w:rPr>
                <w:rFonts w:cs="Arial"/>
                <w:b/>
                <w:sz w:val="20"/>
                <w:szCs w:val="20"/>
              </w:rPr>
              <w:t>Royal College of General Practitioners</w:t>
            </w:r>
          </w:p>
        </w:tc>
        <w:tc>
          <w:tcPr>
            <w:tcW w:w="11198" w:type="dxa"/>
          </w:tcPr>
          <w:p w14:paraId="08AB27F8" w14:textId="77777777" w:rsidR="003F5118" w:rsidRPr="00442BCE" w:rsidRDefault="003F5118" w:rsidP="003F5118">
            <w:pPr>
              <w:rPr>
                <w:rFonts w:ascii="Arial" w:hAnsi="Arial" w:cs="Arial"/>
                <w:b/>
                <w:sz w:val="20"/>
                <w:szCs w:val="20"/>
                <w:lang w:eastAsia="en-GB"/>
              </w:rPr>
            </w:pPr>
            <w:r w:rsidRPr="00442BCE">
              <w:rPr>
                <w:rFonts w:ascii="Arial" w:hAnsi="Arial" w:cs="Arial"/>
                <w:sz w:val="20"/>
                <w:szCs w:val="20"/>
                <w:lang w:eastAsia="en-GB"/>
              </w:rPr>
              <w:t xml:space="preserve">IND2: The practice can produce a register of people with moderate to severe frailty </w:t>
            </w:r>
            <w:r w:rsidRPr="00442BCE">
              <w:rPr>
                <w:rFonts w:ascii="Arial" w:hAnsi="Arial" w:cs="Arial"/>
                <w:b/>
                <w:sz w:val="20"/>
                <w:szCs w:val="20"/>
                <w:lang w:eastAsia="en-GB"/>
              </w:rPr>
              <w:t>New</w:t>
            </w:r>
          </w:p>
          <w:p w14:paraId="2929075F" w14:textId="77777777" w:rsidR="003F5118" w:rsidRPr="00442BCE" w:rsidRDefault="003F5118" w:rsidP="003F5118">
            <w:pPr>
              <w:rPr>
                <w:rFonts w:ascii="Arial" w:hAnsi="Arial" w:cs="Arial"/>
                <w:b/>
                <w:sz w:val="20"/>
                <w:szCs w:val="20"/>
                <w:lang w:eastAsia="en-GB"/>
              </w:rPr>
            </w:pPr>
          </w:p>
          <w:p w14:paraId="0BB85316" w14:textId="260C9CC8" w:rsidR="003F5118" w:rsidRPr="006375EE" w:rsidRDefault="003F5118" w:rsidP="003F5118">
            <w:pPr>
              <w:pStyle w:val="TableText1"/>
              <w:rPr>
                <w:rFonts w:cs="Arial"/>
                <w:b/>
                <w:bCs/>
                <w:color w:val="000000"/>
                <w:sz w:val="20"/>
                <w:szCs w:val="20"/>
                <w:highlight w:val="yellow"/>
              </w:rPr>
            </w:pPr>
            <w:r w:rsidRPr="00442BCE">
              <w:rPr>
                <w:rFonts w:cs="Arial"/>
                <w:b/>
                <w:sz w:val="20"/>
                <w:szCs w:val="20"/>
              </w:rPr>
              <w:t xml:space="preserve">We support this indicator.  </w:t>
            </w:r>
            <w:r w:rsidRPr="00442BCE">
              <w:rPr>
                <w:rFonts w:cs="Arial"/>
                <w:sz w:val="20"/>
                <w:szCs w:val="20"/>
              </w:rPr>
              <w:t xml:space="preserve">However, as above, </w:t>
            </w:r>
            <w:bookmarkStart w:id="62" w:name="_Hlk9237768"/>
            <w:r w:rsidRPr="00442BCE">
              <w:rPr>
                <w:rFonts w:cs="Arial"/>
                <w:sz w:val="20"/>
                <w:szCs w:val="20"/>
              </w:rPr>
              <w:t>the correct tools must be used to implement this change.</w:t>
            </w:r>
            <w:r w:rsidRPr="00442BCE">
              <w:rPr>
                <w:rFonts w:cs="Arial"/>
                <w:b/>
                <w:sz w:val="20"/>
                <w:szCs w:val="20"/>
              </w:rPr>
              <w:t xml:space="preserve">  </w:t>
            </w:r>
            <w:bookmarkEnd w:id="62"/>
          </w:p>
        </w:tc>
      </w:tr>
      <w:tr w:rsidR="003F5118" w:rsidRPr="006375EE" w14:paraId="5198BEB5" w14:textId="77777777" w:rsidTr="0024650F">
        <w:tc>
          <w:tcPr>
            <w:tcW w:w="562" w:type="dxa"/>
          </w:tcPr>
          <w:p w14:paraId="43A64602" w14:textId="6E7580CC" w:rsidR="003F5118" w:rsidRPr="006658EF" w:rsidRDefault="006658EF" w:rsidP="003F5118">
            <w:pPr>
              <w:pStyle w:val="TableText1"/>
              <w:jc w:val="center"/>
              <w:rPr>
                <w:rFonts w:cs="Arial"/>
                <w:sz w:val="20"/>
                <w:szCs w:val="20"/>
              </w:rPr>
            </w:pPr>
            <w:r w:rsidRPr="006658EF">
              <w:rPr>
                <w:rFonts w:cs="Arial"/>
                <w:sz w:val="20"/>
                <w:szCs w:val="20"/>
              </w:rPr>
              <w:t>51</w:t>
            </w:r>
          </w:p>
        </w:tc>
        <w:tc>
          <w:tcPr>
            <w:tcW w:w="1139" w:type="dxa"/>
          </w:tcPr>
          <w:p w14:paraId="5CD88461" w14:textId="53C3C135" w:rsidR="003F5118" w:rsidRPr="00902CB1" w:rsidRDefault="003F5118" w:rsidP="003F5118">
            <w:pPr>
              <w:pStyle w:val="TableText1"/>
              <w:rPr>
                <w:rFonts w:cs="Arial"/>
                <w:szCs w:val="20"/>
              </w:rPr>
            </w:pPr>
            <w:r w:rsidRPr="00902CB1">
              <w:rPr>
                <w:rFonts w:cs="Arial"/>
                <w:color w:val="000000"/>
                <w:sz w:val="20"/>
                <w:szCs w:val="20"/>
              </w:rPr>
              <w:t>IND14</w:t>
            </w:r>
          </w:p>
        </w:tc>
        <w:tc>
          <w:tcPr>
            <w:tcW w:w="1985" w:type="dxa"/>
          </w:tcPr>
          <w:p w14:paraId="795B6C47" w14:textId="4DB3A9E4" w:rsidR="003F5118" w:rsidRPr="006375EE" w:rsidRDefault="003F5118" w:rsidP="003F5118">
            <w:pPr>
              <w:pStyle w:val="TableText1"/>
              <w:rPr>
                <w:rFonts w:cs="Arial"/>
                <w:szCs w:val="20"/>
                <w:highlight w:val="yellow"/>
              </w:rPr>
            </w:pPr>
            <w:r w:rsidRPr="00442BCE">
              <w:rPr>
                <w:rFonts w:cs="Arial"/>
                <w:b/>
                <w:sz w:val="20"/>
                <w:szCs w:val="20"/>
              </w:rPr>
              <w:t>Alzheimer’s Research UK</w:t>
            </w:r>
          </w:p>
        </w:tc>
        <w:tc>
          <w:tcPr>
            <w:tcW w:w="11198" w:type="dxa"/>
          </w:tcPr>
          <w:p w14:paraId="4355E757" w14:textId="3592F52B" w:rsidR="003F5118" w:rsidRPr="006375EE" w:rsidRDefault="003F5118" w:rsidP="003F5118">
            <w:pPr>
              <w:pStyle w:val="TableText1"/>
              <w:rPr>
                <w:rFonts w:cs="Arial"/>
                <w:szCs w:val="20"/>
                <w:highlight w:val="yellow"/>
              </w:rPr>
            </w:pPr>
            <w:bookmarkStart w:id="63" w:name="_Hlk9241857"/>
            <w:r w:rsidRPr="00442BCE">
              <w:rPr>
                <w:rFonts w:cs="Arial"/>
                <w:sz w:val="20"/>
                <w:szCs w:val="20"/>
              </w:rPr>
              <w:t xml:space="preserve">Treatment burden can lead to an exacerbation of someone’s dementia. Regular medication reviews should lead to greater consideration of different conditions and the impact their treatments may be having on their overall care and wellbeing. We would support this </w:t>
            </w:r>
            <w:proofErr w:type="gramStart"/>
            <w:r w:rsidRPr="00442BCE">
              <w:rPr>
                <w:rFonts w:cs="Arial"/>
                <w:sz w:val="20"/>
                <w:szCs w:val="20"/>
              </w:rPr>
              <w:t>approach,</w:t>
            </w:r>
            <w:proofErr w:type="gramEnd"/>
            <w:r w:rsidRPr="00442BCE">
              <w:rPr>
                <w:rFonts w:cs="Arial"/>
                <w:sz w:val="20"/>
                <w:szCs w:val="20"/>
              </w:rPr>
              <w:t xml:space="preserve"> however we would urge greater consideration be given to the difficulty those with dementia may have in communicating the impact of treatment burden</w:t>
            </w:r>
            <w:bookmarkEnd w:id="63"/>
            <w:r w:rsidRPr="00442BCE">
              <w:rPr>
                <w:rFonts w:cs="Arial"/>
                <w:sz w:val="20"/>
                <w:szCs w:val="20"/>
              </w:rPr>
              <w:t>.</w:t>
            </w:r>
          </w:p>
        </w:tc>
      </w:tr>
      <w:tr w:rsidR="003F5118" w:rsidRPr="006375EE" w14:paraId="6D4E6B15" w14:textId="77777777" w:rsidTr="0024650F">
        <w:tc>
          <w:tcPr>
            <w:tcW w:w="562" w:type="dxa"/>
          </w:tcPr>
          <w:p w14:paraId="6BD9183E" w14:textId="68B6D720" w:rsidR="003F5118" w:rsidRPr="006658EF" w:rsidRDefault="006658EF" w:rsidP="003F5118">
            <w:pPr>
              <w:pStyle w:val="TableText1"/>
              <w:jc w:val="center"/>
              <w:rPr>
                <w:rFonts w:cs="Arial"/>
                <w:sz w:val="20"/>
                <w:szCs w:val="20"/>
              </w:rPr>
            </w:pPr>
            <w:r w:rsidRPr="006658EF">
              <w:rPr>
                <w:rFonts w:cs="Arial"/>
                <w:sz w:val="20"/>
                <w:szCs w:val="20"/>
              </w:rPr>
              <w:t>52</w:t>
            </w:r>
          </w:p>
        </w:tc>
        <w:tc>
          <w:tcPr>
            <w:tcW w:w="1139" w:type="dxa"/>
          </w:tcPr>
          <w:p w14:paraId="0283F159" w14:textId="3DDF3CF5" w:rsidR="003F5118" w:rsidRPr="00902CB1" w:rsidRDefault="003F5118" w:rsidP="003F5118">
            <w:pPr>
              <w:pStyle w:val="TableText1"/>
              <w:rPr>
                <w:rFonts w:cs="Arial"/>
                <w:szCs w:val="20"/>
              </w:rPr>
            </w:pPr>
            <w:r w:rsidRPr="00902CB1">
              <w:rPr>
                <w:rFonts w:cs="Arial"/>
                <w:color w:val="000000"/>
                <w:sz w:val="20"/>
                <w:szCs w:val="20"/>
              </w:rPr>
              <w:t>IND14</w:t>
            </w:r>
          </w:p>
        </w:tc>
        <w:tc>
          <w:tcPr>
            <w:tcW w:w="1985" w:type="dxa"/>
          </w:tcPr>
          <w:p w14:paraId="1ACE8953" w14:textId="61D44EB5" w:rsidR="003F5118" w:rsidRPr="006375EE" w:rsidRDefault="003F5118" w:rsidP="003F5118">
            <w:pPr>
              <w:pStyle w:val="TableText1"/>
              <w:rPr>
                <w:rFonts w:cs="Arial"/>
                <w:szCs w:val="20"/>
                <w:highlight w:val="yellow"/>
              </w:rPr>
            </w:pPr>
            <w:r w:rsidRPr="00442BCE">
              <w:rPr>
                <w:rFonts w:cs="Arial"/>
                <w:b/>
                <w:sz w:val="20"/>
                <w:szCs w:val="20"/>
              </w:rPr>
              <w:t>British Medical Association</w:t>
            </w:r>
          </w:p>
        </w:tc>
        <w:tc>
          <w:tcPr>
            <w:tcW w:w="11198" w:type="dxa"/>
          </w:tcPr>
          <w:p w14:paraId="29F9E875" w14:textId="77777777" w:rsidR="003F5118" w:rsidRPr="00442BCE" w:rsidRDefault="003F5118" w:rsidP="003F5118">
            <w:pPr>
              <w:rPr>
                <w:rFonts w:ascii="Arial" w:hAnsi="Arial" w:cs="Arial"/>
                <w:sz w:val="20"/>
                <w:szCs w:val="20"/>
              </w:rPr>
            </w:pPr>
            <w:r w:rsidRPr="00442BCE">
              <w:rPr>
                <w:rFonts w:ascii="Arial" w:hAnsi="Arial" w:cs="Arial"/>
                <w:sz w:val="20"/>
                <w:szCs w:val="20"/>
              </w:rPr>
              <w:t>IND14: The percentage of patients with moderate or severe frailty and/or multimorbidity who have received a medication review in the last 12 months which is structured, has considered the use of a recognised tool and taken place as a shared discussion.</w:t>
            </w:r>
          </w:p>
          <w:p w14:paraId="73579942" w14:textId="77777777" w:rsidR="003F5118" w:rsidRPr="00442BCE" w:rsidRDefault="003F5118" w:rsidP="003F5118">
            <w:pPr>
              <w:rPr>
                <w:rFonts w:ascii="Arial" w:hAnsi="Arial" w:cs="Arial"/>
                <w:sz w:val="20"/>
                <w:szCs w:val="20"/>
              </w:rPr>
            </w:pPr>
          </w:p>
          <w:p w14:paraId="029F6122" w14:textId="77777777" w:rsidR="003F5118" w:rsidRPr="00442BCE" w:rsidRDefault="003F5118" w:rsidP="003F5118">
            <w:pPr>
              <w:rPr>
                <w:rFonts w:ascii="Arial" w:hAnsi="Arial" w:cs="Arial"/>
                <w:sz w:val="20"/>
                <w:szCs w:val="20"/>
              </w:rPr>
            </w:pPr>
            <w:bookmarkStart w:id="64" w:name="_Hlk9241904"/>
            <w:r w:rsidRPr="00442BCE">
              <w:rPr>
                <w:rFonts w:ascii="Arial" w:hAnsi="Arial" w:cs="Arial"/>
                <w:sz w:val="20"/>
                <w:szCs w:val="20"/>
              </w:rPr>
              <w:t xml:space="preserve">We recognise the importance of medication reviews in these patients but consider the wording of this proposed indicator to be over-prescriptive and not emphasise sufficiently the importance of deprescribing. </w:t>
            </w:r>
            <w:bookmarkEnd w:id="64"/>
            <w:r w:rsidRPr="00442BCE">
              <w:rPr>
                <w:rFonts w:ascii="Arial" w:hAnsi="Arial" w:cs="Arial"/>
                <w:sz w:val="20"/>
                <w:szCs w:val="20"/>
              </w:rPr>
              <w:t xml:space="preserve">We would recommend alteration of the wording to </w:t>
            </w:r>
          </w:p>
          <w:p w14:paraId="0076EC28" w14:textId="375DF50C" w:rsidR="003F5118" w:rsidRPr="006375EE" w:rsidRDefault="003F5118" w:rsidP="003F5118">
            <w:pPr>
              <w:pStyle w:val="TableText1"/>
              <w:rPr>
                <w:rFonts w:cs="Arial"/>
                <w:szCs w:val="20"/>
                <w:highlight w:val="yellow"/>
              </w:rPr>
            </w:pPr>
            <w:r w:rsidRPr="00442BCE">
              <w:rPr>
                <w:rFonts w:cs="Arial"/>
                <w:sz w:val="20"/>
                <w:szCs w:val="20"/>
              </w:rPr>
              <w:t>‘The percentage of patients with moderate or severe frailty and/or multimorbidity who have (or their carers have) participated in a medication review in the last 12 months which included consideration of deprescribing.’</w:t>
            </w:r>
          </w:p>
        </w:tc>
      </w:tr>
      <w:tr w:rsidR="003F5118" w:rsidRPr="006375EE" w14:paraId="43A86F21" w14:textId="77777777" w:rsidTr="0024650F">
        <w:tc>
          <w:tcPr>
            <w:tcW w:w="562" w:type="dxa"/>
          </w:tcPr>
          <w:p w14:paraId="0605378E" w14:textId="2DA57784" w:rsidR="003F5118" w:rsidRPr="006658EF" w:rsidRDefault="006658EF" w:rsidP="003F5118">
            <w:pPr>
              <w:pStyle w:val="TableText1"/>
              <w:jc w:val="center"/>
              <w:rPr>
                <w:rFonts w:cs="Arial"/>
                <w:sz w:val="20"/>
                <w:szCs w:val="20"/>
              </w:rPr>
            </w:pPr>
            <w:r w:rsidRPr="006658EF">
              <w:rPr>
                <w:rFonts w:cs="Arial"/>
                <w:sz w:val="20"/>
                <w:szCs w:val="20"/>
              </w:rPr>
              <w:t>53</w:t>
            </w:r>
          </w:p>
        </w:tc>
        <w:tc>
          <w:tcPr>
            <w:tcW w:w="1139" w:type="dxa"/>
          </w:tcPr>
          <w:p w14:paraId="1130E641" w14:textId="43188C8E" w:rsidR="003F5118" w:rsidRPr="00902CB1" w:rsidRDefault="003F5118" w:rsidP="003F5118">
            <w:pPr>
              <w:pStyle w:val="TableText1"/>
              <w:rPr>
                <w:rFonts w:cs="Arial"/>
                <w:color w:val="000000"/>
                <w:sz w:val="20"/>
                <w:szCs w:val="20"/>
              </w:rPr>
            </w:pPr>
            <w:r w:rsidRPr="00902CB1">
              <w:rPr>
                <w:rFonts w:cs="Arial"/>
                <w:color w:val="000000"/>
                <w:sz w:val="20"/>
                <w:szCs w:val="20"/>
              </w:rPr>
              <w:t>IND14</w:t>
            </w:r>
          </w:p>
        </w:tc>
        <w:tc>
          <w:tcPr>
            <w:tcW w:w="1985" w:type="dxa"/>
          </w:tcPr>
          <w:p w14:paraId="1BFE10C6" w14:textId="2A8EA0D5" w:rsidR="003F5118" w:rsidRPr="006375EE" w:rsidRDefault="003F5118" w:rsidP="003F5118">
            <w:pPr>
              <w:pStyle w:val="TableText1"/>
              <w:rPr>
                <w:rFonts w:cs="Arial"/>
                <w:szCs w:val="20"/>
                <w:highlight w:val="yellow"/>
              </w:rPr>
            </w:pPr>
            <w:r w:rsidRPr="00442BCE">
              <w:rPr>
                <w:rFonts w:cs="Arial"/>
                <w:b/>
                <w:sz w:val="20"/>
                <w:szCs w:val="20"/>
              </w:rPr>
              <w:t>National Pharmaceutical Advisers Group (PAG)</w:t>
            </w:r>
          </w:p>
        </w:tc>
        <w:tc>
          <w:tcPr>
            <w:tcW w:w="11198" w:type="dxa"/>
          </w:tcPr>
          <w:p w14:paraId="7CD64881" w14:textId="3CBCE332" w:rsidR="003F5118" w:rsidRPr="006375EE" w:rsidRDefault="003F5118" w:rsidP="003F5118">
            <w:pPr>
              <w:pStyle w:val="TableText1"/>
              <w:rPr>
                <w:rFonts w:cs="Arial"/>
                <w:b/>
                <w:bCs/>
                <w:color w:val="000000"/>
                <w:sz w:val="20"/>
                <w:szCs w:val="20"/>
                <w:highlight w:val="yellow"/>
              </w:rPr>
            </w:pPr>
            <w:bookmarkStart w:id="65" w:name="_Hlk9241922"/>
            <w:r w:rsidRPr="00442BCE">
              <w:rPr>
                <w:rFonts w:cs="Arial"/>
                <w:sz w:val="20"/>
                <w:szCs w:val="20"/>
              </w:rPr>
              <w:t>Proportion of patients classed as moderately or severe frailty would benefit from a medication review and this is supported by the frequency of hospital admissions due to medication related incidents. This should reduce polypharmacy that also contributes towards adverse effects.</w:t>
            </w:r>
            <w:bookmarkEnd w:id="65"/>
          </w:p>
        </w:tc>
      </w:tr>
      <w:tr w:rsidR="003F5118" w:rsidRPr="006375EE" w14:paraId="40D941A8" w14:textId="77777777" w:rsidTr="0024650F">
        <w:tc>
          <w:tcPr>
            <w:tcW w:w="562" w:type="dxa"/>
          </w:tcPr>
          <w:p w14:paraId="616FF72D" w14:textId="121F3E0F" w:rsidR="003F5118" w:rsidRPr="006658EF" w:rsidRDefault="006658EF" w:rsidP="003F5118">
            <w:pPr>
              <w:pStyle w:val="TableText1"/>
              <w:jc w:val="center"/>
              <w:rPr>
                <w:rFonts w:cs="Arial"/>
                <w:sz w:val="20"/>
                <w:szCs w:val="20"/>
              </w:rPr>
            </w:pPr>
            <w:r w:rsidRPr="006658EF">
              <w:rPr>
                <w:rFonts w:cs="Arial"/>
                <w:sz w:val="20"/>
                <w:szCs w:val="20"/>
              </w:rPr>
              <w:t>54</w:t>
            </w:r>
          </w:p>
        </w:tc>
        <w:tc>
          <w:tcPr>
            <w:tcW w:w="1139" w:type="dxa"/>
          </w:tcPr>
          <w:p w14:paraId="1F6A6147" w14:textId="1FD4F4F6" w:rsidR="003F5118" w:rsidRPr="00902CB1" w:rsidRDefault="003F5118" w:rsidP="003F5118">
            <w:pPr>
              <w:pStyle w:val="TableText1"/>
              <w:rPr>
                <w:rFonts w:cs="Arial"/>
                <w:color w:val="000000"/>
                <w:sz w:val="20"/>
                <w:szCs w:val="20"/>
              </w:rPr>
            </w:pPr>
            <w:r w:rsidRPr="00902CB1">
              <w:rPr>
                <w:rFonts w:cs="Arial"/>
                <w:color w:val="000000"/>
                <w:sz w:val="20"/>
                <w:szCs w:val="20"/>
              </w:rPr>
              <w:t>IND14</w:t>
            </w:r>
          </w:p>
        </w:tc>
        <w:tc>
          <w:tcPr>
            <w:tcW w:w="1985" w:type="dxa"/>
          </w:tcPr>
          <w:p w14:paraId="3564CA82" w14:textId="77777777" w:rsidR="003F5118" w:rsidRPr="00442BCE" w:rsidRDefault="003F5118" w:rsidP="003F5118">
            <w:pPr>
              <w:spacing w:before="240"/>
              <w:rPr>
                <w:rFonts w:ascii="Arial" w:hAnsi="Arial" w:cs="Arial"/>
                <w:b/>
                <w:sz w:val="20"/>
                <w:szCs w:val="20"/>
              </w:rPr>
            </w:pPr>
            <w:r w:rsidRPr="00442BCE">
              <w:rPr>
                <w:rFonts w:ascii="Arial" w:hAnsi="Arial" w:cs="Arial"/>
                <w:b/>
                <w:sz w:val="20"/>
                <w:szCs w:val="20"/>
              </w:rPr>
              <w:t>Novartis Pharmaceuticals UK Ltd</w:t>
            </w:r>
          </w:p>
          <w:p w14:paraId="4F2291CC" w14:textId="77777777" w:rsidR="003F5118" w:rsidRPr="006375EE" w:rsidRDefault="003F5118" w:rsidP="003F5118">
            <w:pPr>
              <w:pStyle w:val="TableText1"/>
              <w:rPr>
                <w:rFonts w:cs="Arial"/>
                <w:szCs w:val="20"/>
                <w:highlight w:val="yellow"/>
              </w:rPr>
            </w:pPr>
          </w:p>
        </w:tc>
        <w:tc>
          <w:tcPr>
            <w:tcW w:w="11198" w:type="dxa"/>
          </w:tcPr>
          <w:p w14:paraId="76B9B2CB" w14:textId="77777777" w:rsidR="003F5118" w:rsidRPr="00442BCE" w:rsidRDefault="003F5118" w:rsidP="003F5118">
            <w:pPr>
              <w:autoSpaceDE w:val="0"/>
              <w:autoSpaceDN w:val="0"/>
              <w:adjustRightInd w:val="0"/>
              <w:rPr>
                <w:rFonts w:ascii="Arial" w:hAnsi="Arial" w:cs="Arial"/>
                <w:sz w:val="20"/>
                <w:szCs w:val="20"/>
                <w:lang w:eastAsia="en-GB"/>
              </w:rPr>
            </w:pPr>
            <w:r w:rsidRPr="00442BCE">
              <w:rPr>
                <w:rFonts w:ascii="Arial" w:hAnsi="Arial" w:cs="Arial"/>
                <w:sz w:val="20"/>
                <w:szCs w:val="20"/>
                <w:lang w:eastAsia="en-GB"/>
              </w:rPr>
              <w:t xml:space="preserve">Patients follow various pathways to the diagnosis of heart </w:t>
            </w:r>
            <w:proofErr w:type="gramStart"/>
            <w:r w:rsidRPr="00442BCE">
              <w:rPr>
                <w:rFonts w:ascii="Arial" w:hAnsi="Arial" w:cs="Arial"/>
                <w:sz w:val="20"/>
                <w:szCs w:val="20"/>
                <w:lang w:eastAsia="en-GB"/>
              </w:rPr>
              <w:t>failure,</w:t>
            </w:r>
            <w:proofErr w:type="gramEnd"/>
            <w:r w:rsidRPr="00442BCE">
              <w:rPr>
                <w:rFonts w:ascii="Arial" w:hAnsi="Arial" w:cs="Arial"/>
                <w:sz w:val="20"/>
                <w:szCs w:val="20"/>
                <w:lang w:eastAsia="en-GB"/>
              </w:rPr>
              <w:t xml:space="preserve"> however, few appear to follow a pathway supported by guidelines for investigation and referral. Consequently, there are likely to be missed opportunities for earlier heart failure diagnosis in primary care.</w:t>
            </w:r>
            <w:r w:rsidRPr="00442BCE">
              <w:rPr>
                <w:rFonts w:ascii="Arial" w:hAnsi="Arial" w:cs="Arial"/>
                <w:sz w:val="20"/>
                <w:szCs w:val="20"/>
                <w:vertAlign w:val="superscript"/>
                <w:lang w:eastAsia="en-GB"/>
              </w:rPr>
              <w:t>1</w:t>
            </w:r>
          </w:p>
          <w:p w14:paraId="4D0D0038" w14:textId="77777777" w:rsidR="003F5118" w:rsidRPr="00442BCE" w:rsidRDefault="003F5118" w:rsidP="003F5118">
            <w:pPr>
              <w:pStyle w:val="Default"/>
              <w:rPr>
                <w:rFonts w:ascii="Arial" w:hAnsi="Arial" w:cs="Arial"/>
                <w:color w:val="auto"/>
                <w:sz w:val="20"/>
                <w:szCs w:val="20"/>
              </w:rPr>
            </w:pPr>
            <w:bookmarkStart w:id="66" w:name="_Hlk9241959"/>
            <w:r w:rsidRPr="00442BCE">
              <w:rPr>
                <w:rFonts w:ascii="Arial" w:hAnsi="Arial" w:cs="Arial"/>
                <w:color w:val="auto"/>
                <w:sz w:val="20"/>
                <w:szCs w:val="20"/>
              </w:rPr>
              <w:t>We therefore recommend taking the opportunity to proactively recognise conditions of multi-morbidity (e.g. heart failure, diabetes and hypertension) as part of existing multi-morbidity assessment processes, to help support improved early identification of such conditions</w:t>
            </w:r>
            <w:bookmarkEnd w:id="66"/>
            <w:r w:rsidRPr="00442BCE">
              <w:rPr>
                <w:rFonts w:ascii="Arial" w:hAnsi="Arial" w:cs="Arial"/>
                <w:color w:val="auto"/>
                <w:sz w:val="20"/>
                <w:szCs w:val="20"/>
              </w:rPr>
              <w:t xml:space="preserve">. </w:t>
            </w:r>
          </w:p>
          <w:p w14:paraId="06CE4288" w14:textId="77777777" w:rsidR="003F5118" w:rsidRPr="00442BCE" w:rsidRDefault="003F5118" w:rsidP="003F5118">
            <w:pPr>
              <w:pStyle w:val="Default"/>
              <w:rPr>
                <w:rFonts w:ascii="Arial" w:hAnsi="Arial" w:cs="Arial"/>
                <w:color w:val="auto"/>
                <w:sz w:val="20"/>
                <w:szCs w:val="20"/>
              </w:rPr>
            </w:pPr>
          </w:p>
          <w:p w14:paraId="31DB1B3F" w14:textId="77777777" w:rsidR="003F5118" w:rsidRPr="00442BCE" w:rsidRDefault="003F5118" w:rsidP="003F5118">
            <w:pPr>
              <w:pStyle w:val="Default"/>
              <w:rPr>
                <w:rFonts w:ascii="Arial" w:hAnsi="Arial" w:cs="Arial"/>
                <w:color w:val="auto"/>
                <w:sz w:val="20"/>
                <w:szCs w:val="20"/>
              </w:rPr>
            </w:pPr>
            <w:bookmarkStart w:id="67" w:name="_Hlk9242017"/>
            <w:r w:rsidRPr="00442BCE">
              <w:rPr>
                <w:rFonts w:ascii="Arial" w:hAnsi="Arial" w:cs="Arial"/>
                <w:color w:val="auto"/>
                <w:sz w:val="20"/>
                <w:szCs w:val="20"/>
              </w:rPr>
              <w:t xml:space="preserve">Specifically, we suggest the wording of IND14, “use of a recognised tool”, is ambiguous and subject to differing interpretations. For clarity, we advocate defining “use of a recognised tool” as, for example, </w:t>
            </w:r>
            <w:r w:rsidRPr="00442BCE">
              <w:rPr>
                <w:rFonts w:ascii="Arial" w:hAnsi="Arial" w:cs="Arial"/>
                <w:b/>
                <w:color w:val="auto"/>
                <w:sz w:val="20"/>
                <w:szCs w:val="20"/>
              </w:rPr>
              <w:t>“the use of appropriate blood tests to diagnose conditions of multi-morbidity as early as possible”.</w:t>
            </w:r>
            <w:r w:rsidRPr="00442BCE">
              <w:rPr>
                <w:rFonts w:ascii="Arial" w:hAnsi="Arial" w:cs="Arial"/>
                <w:color w:val="auto"/>
                <w:sz w:val="20"/>
                <w:szCs w:val="20"/>
              </w:rPr>
              <w:t xml:space="preserve"> </w:t>
            </w:r>
          </w:p>
          <w:bookmarkEnd w:id="67"/>
          <w:p w14:paraId="3DB1106F" w14:textId="77777777" w:rsidR="003F5118" w:rsidRPr="00442BCE" w:rsidRDefault="003F5118" w:rsidP="003F5118">
            <w:pPr>
              <w:pStyle w:val="Default"/>
              <w:rPr>
                <w:rFonts w:ascii="Arial" w:hAnsi="Arial" w:cs="Arial"/>
                <w:color w:val="auto"/>
                <w:sz w:val="20"/>
                <w:szCs w:val="20"/>
              </w:rPr>
            </w:pPr>
          </w:p>
          <w:p w14:paraId="4CD05647" w14:textId="77777777" w:rsidR="003F5118" w:rsidRPr="00442BCE" w:rsidRDefault="003F5118" w:rsidP="003F5118">
            <w:pPr>
              <w:pStyle w:val="Default"/>
              <w:rPr>
                <w:rFonts w:ascii="Arial" w:hAnsi="Arial" w:cs="Arial"/>
                <w:b/>
                <w:color w:val="auto"/>
                <w:sz w:val="20"/>
                <w:szCs w:val="20"/>
              </w:rPr>
            </w:pPr>
            <w:r w:rsidRPr="00442BCE">
              <w:rPr>
                <w:rFonts w:ascii="Arial" w:hAnsi="Arial" w:cs="Arial"/>
                <w:b/>
                <w:color w:val="auto"/>
                <w:sz w:val="20"/>
                <w:szCs w:val="20"/>
              </w:rPr>
              <w:t>References:</w:t>
            </w:r>
          </w:p>
          <w:p w14:paraId="6F8AC778" w14:textId="77777777" w:rsidR="003F5118" w:rsidRPr="003D1AF6" w:rsidRDefault="003F5118" w:rsidP="003F5118">
            <w:pPr>
              <w:pStyle w:val="Default"/>
              <w:numPr>
                <w:ilvl w:val="0"/>
                <w:numId w:val="28"/>
              </w:numPr>
              <w:rPr>
                <w:rFonts w:ascii="Arial" w:hAnsi="Arial" w:cs="Arial"/>
                <w:b/>
                <w:color w:val="auto"/>
                <w:sz w:val="20"/>
                <w:szCs w:val="20"/>
              </w:rPr>
            </w:pPr>
            <w:r w:rsidRPr="00442BCE">
              <w:rPr>
                <w:rFonts w:ascii="Arial" w:hAnsi="Arial" w:cs="Arial"/>
                <w:color w:val="auto"/>
                <w:sz w:val="20"/>
                <w:szCs w:val="20"/>
              </w:rPr>
              <w:t xml:space="preserve">Cowie M, Bottle A, Kim D et al. </w:t>
            </w:r>
            <w:r w:rsidRPr="00442BCE">
              <w:rPr>
                <w:rFonts w:ascii="Arial" w:eastAsia="FrutigerLTPro-Condensed" w:hAnsi="Arial" w:cs="Arial"/>
                <w:color w:val="auto"/>
                <w:sz w:val="20"/>
                <w:szCs w:val="20"/>
              </w:rPr>
              <w:t xml:space="preserve">Routes to diagnosis of heart failure: observational study using linked data in England. Heart </w:t>
            </w:r>
            <w:proofErr w:type="gramStart"/>
            <w:r w:rsidRPr="00442BCE">
              <w:rPr>
                <w:rStyle w:val="highwire-cite-metadata-year"/>
                <w:rFonts w:ascii="Arial" w:hAnsi="Arial" w:cs="Arial"/>
                <w:color w:val="auto"/>
                <w:sz w:val="20"/>
                <w:szCs w:val="20"/>
                <w:shd w:val="clear" w:color="auto" w:fill="FFFFFF"/>
              </w:rPr>
              <w:t>2018;</w:t>
            </w:r>
            <w:r w:rsidRPr="00442BCE">
              <w:rPr>
                <w:rStyle w:val="highwire-cite-metadata-volume"/>
                <w:rFonts w:ascii="Arial" w:hAnsi="Arial" w:cs="Arial"/>
                <w:bCs/>
                <w:color w:val="auto"/>
                <w:sz w:val="20"/>
                <w:szCs w:val="20"/>
                <w:shd w:val="clear" w:color="auto" w:fill="FFFFFF"/>
              </w:rPr>
              <w:t>104:</w:t>
            </w:r>
            <w:r w:rsidRPr="00442BCE">
              <w:rPr>
                <w:rStyle w:val="highwire-cite-metadata-pages"/>
                <w:rFonts w:ascii="Arial" w:hAnsi="Arial" w:cs="Arial"/>
                <w:color w:val="auto"/>
                <w:sz w:val="20"/>
                <w:szCs w:val="20"/>
                <w:shd w:val="clear" w:color="auto" w:fill="FFFFFF"/>
              </w:rPr>
              <w:t>600</w:t>
            </w:r>
            <w:proofErr w:type="gramEnd"/>
            <w:r w:rsidRPr="00442BCE">
              <w:rPr>
                <w:rStyle w:val="highwire-cite-metadata-pages"/>
                <w:rFonts w:ascii="Arial" w:hAnsi="Arial" w:cs="Arial"/>
                <w:color w:val="auto"/>
                <w:sz w:val="20"/>
                <w:szCs w:val="20"/>
                <w:shd w:val="clear" w:color="auto" w:fill="FFFFFF"/>
              </w:rPr>
              <w:t xml:space="preserve">-605. Accessed May 2019: </w:t>
            </w:r>
            <w:hyperlink r:id="rId38" w:history="1">
              <w:r w:rsidRPr="00442BCE">
                <w:rPr>
                  <w:rStyle w:val="Hyperlink"/>
                  <w:rFonts w:ascii="Arial" w:hAnsi="Arial" w:cs="Arial"/>
                  <w:color w:val="auto"/>
                  <w:sz w:val="20"/>
                  <w:szCs w:val="20"/>
                </w:rPr>
                <w:t>https://www.ncbi.nlm.nih.gov/pubmed/28982720</w:t>
              </w:r>
            </w:hyperlink>
            <w:r w:rsidRPr="00442BCE">
              <w:rPr>
                <w:rFonts w:ascii="Arial" w:eastAsia="FrutigerLTPro-Condensed" w:hAnsi="Arial" w:cs="Arial"/>
                <w:color w:val="auto"/>
                <w:sz w:val="20"/>
                <w:szCs w:val="20"/>
              </w:rPr>
              <w:t xml:space="preserve"> </w:t>
            </w:r>
          </w:p>
          <w:p w14:paraId="7C401101" w14:textId="77777777" w:rsidR="003F5118" w:rsidRPr="006375EE" w:rsidRDefault="003F5118" w:rsidP="003F5118">
            <w:pPr>
              <w:pStyle w:val="TableText1"/>
              <w:rPr>
                <w:rFonts w:cs="Arial"/>
                <w:b/>
                <w:bCs/>
                <w:color w:val="000000"/>
                <w:sz w:val="20"/>
                <w:szCs w:val="20"/>
                <w:highlight w:val="yellow"/>
              </w:rPr>
            </w:pPr>
          </w:p>
        </w:tc>
      </w:tr>
      <w:tr w:rsidR="003F5118" w:rsidRPr="006375EE" w14:paraId="00AA23CE" w14:textId="77777777" w:rsidTr="0024650F">
        <w:tc>
          <w:tcPr>
            <w:tcW w:w="562" w:type="dxa"/>
          </w:tcPr>
          <w:p w14:paraId="5A10B45D" w14:textId="332BA10A" w:rsidR="003F5118" w:rsidRPr="006658EF" w:rsidRDefault="006658EF" w:rsidP="003F5118">
            <w:pPr>
              <w:pStyle w:val="TableText1"/>
              <w:jc w:val="center"/>
              <w:rPr>
                <w:rFonts w:cs="Arial"/>
                <w:sz w:val="20"/>
                <w:szCs w:val="20"/>
              </w:rPr>
            </w:pPr>
            <w:r w:rsidRPr="006658EF">
              <w:rPr>
                <w:rFonts w:cs="Arial"/>
                <w:sz w:val="20"/>
                <w:szCs w:val="20"/>
              </w:rPr>
              <w:lastRenderedPageBreak/>
              <w:t>55</w:t>
            </w:r>
          </w:p>
        </w:tc>
        <w:tc>
          <w:tcPr>
            <w:tcW w:w="1139" w:type="dxa"/>
          </w:tcPr>
          <w:p w14:paraId="4DE4350B" w14:textId="38CFD25D" w:rsidR="003F5118" w:rsidRPr="00E10833" w:rsidRDefault="003F5118" w:rsidP="003F5118">
            <w:pPr>
              <w:pStyle w:val="TableText1"/>
              <w:rPr>
                <w:rFonts w:cs="Arial"/>
                <w:sz w:val="20"/>
                <w:szCs w:val="20"/>
              </w:rPr>
            </w:pPr>
            <w:r w:rsidRPr="00E10833">
              <w:rPr>
                <w:rFonts w:cs="Arial"/>
                <w:sz w:val="20"/>
                <w:szCs w:val="20"/>
              </w:rPr>
              <w:t>IND14</w:t>
            </w:r>
          </w:p>
        </w:tc>
        <w:tc>
          <w:tcPr>
            <w:tcW w:w="1985" w:type="dxa"/>
          </w:tcPr>
          <w:p w14:paraId="46D3B7FE" w14:textId="4086900B" w:rsidR="003F5118" w:rsidRPr="00E10833" w:rsidRDefault="003F5118" w:rsidP="003F5118">
            <w:pPr>
              <w:spacing w:before="240"/>
              <w:rPr>
                <w:rFonts w:ascii="Arial" w:hAnsi="Arial" w:cs="Arial"/>
                <w:b/>
                <w:sz w:val="20"/>
                <w:szCs w:val="20"/>
              </w:rPr>
            </w:pPr>
            <w:r w:rsidRPr="00E10833">
              <w:rPr>
                <w:rFonts w:ascii="Arial" w:hAnsi="Arial" w:cs="Arial"/>
                <w:b/>
                <w:sz w:val="20"/>
                <w:szCs w:val="20"/>
              </w:rPr>
              <w:t>Public Health England</w:t>
            </w:r>
          </w:p>
        </w:tc>
        <w:tc>
          <w:tcPr>
            <w:tcW w:w="11198" w:type="dxa"/>
          </w:tcPr>
          <w:p w14:paraId="09FFA25F" w14:textId="77777777" w:rsidR="003F5118" w:rsidRPr="00E10833" w:rsidRDefault="003F5118" w:rsidP="003F5118">
            <w:pPr>
              <w:rPr>
                <w:rFonts w:ascii="Arial" w:hAnsi="Arial" w:cs="Arial"/>
                <w:sz w:val="20"/>
              </w:rPr>
            </w:pPr>
            <w:r w:rsidRPr="00E10833">
              <w:rPr>
                <w:rFonts w:ascii="Arial" w:hAnsi="Arial" w:cs="Arial"/>
                <w:sz w:val="20"/>
              </w:rPr>
              <w:t xml:space="preserve">The proposed new indicator covering both patients with moderate and severe frailty and multimorbidity receiving a medicine review is a sensible one in that a) both groups of patients (frail and living with multiple conditions) are covered by one indicator and b) reviewing medicines in a structured fashion is to be supported. </w:t>
            </w:r>
          </w:p>
          <w:p w14:paraId="434672AD" w14:textId="77777777" w:rsidR="003F5118" w:rsidRPr="00E10833" w:rsidRDefault="003F5118" w:rsidP="003F5118">
            <w:pPr>
              <w:autoSpaceDE w:val="0"/>
              <w:autoSpaceDN w:val="0"/>
              <w:adjustRightInd w:val="0"/>
              <w:rPr>
                <w:rFonts w:ascii="Arial" w:hAnsi="Arial" w:cs="Arial"/>
                <w:sz w:val="20"/>
                <w:szCs w:val="20"/>
                <w:lang w:eastAsia="en-GB"/>
              </w:rPr>
            </w:pPr>
          </w:p>
        </w:tc>
      </w:tr>
      <w:tr w:rsidR="003F5118" w:rsidRPr="006375EE" w14:paraId="4CAC1D05" w14:textId="77777777" w:rsidTr="0024650F">
        <w:tc>
          <w:tcPr>
            <w:tcW w:w="562" w:type="dxa"/>
          </w:tcPr>
          <w:p w14:paraId="7F525493" w14:textId="12A11205" w:rsidR="003F5118" w:rsidRPr="006658EF" w:rsidRDefault="006658EF" w:rsidP="003F5118">
            <w:pPr>
              <w:pStyle w:val="TableText1"/>
              <w:jc w:val="center"/>
              <w:rPr>
                <w:rFonts w:cs="Arial"/>
                <w:sz w:val="20"/>
                <w:szCs w:val="20"/>
              </w:rPr>
            </w:pPr>
            <w:r w:rsidRPr="006658EF">
              <w:rPr>
                <w:rFonts w:cs="Arial"/>
                <w:sz w:val="20"/>
                <w:szCs w:val="20"/>
              </w:rPr>
              <w:t>56</w:t>
            </w:r>
          </w:p>
        </w:tc>
        <w:tc>
          <w:tcPr>
            <w:tcW w:w="1139" w:type="dxa"/>
          </w:tcPr>
          <w:p w14:paraId="14838B62" w14:textId="47C63EE2" w:rsidR="003F5118" w:rsidRPr="00902CB1" w:rsidRDefault="003F5118" w:rsidP="003F5118">
            <w:pPr>
              <w:pStyle w:val="TableText1"/>
              <w:rPr>
                <w:rFonts w:cs="Arial"/>
                <w:color w:val="000000"/>
                <w:sz w:val="20"/>
                <w:szCs w:val="20"/>
              </w:rPr>
            </w:pPr>
            <w:r w:rsidRPr="00902CB1">
              <w:rPr>
                <w:rFonts w:cs="Arial"/>
                <w:color w:val="000000"/>
                <w:sz w:val="20"/>
                <w:szCs w:val="20"/>
              </w:rPr>
              <w:t>IND14</w:t>
            </w:r>
          </w:p>
        </w:tc>
        <w:tc>
          <w:tcPr>
            <w:tcW w:w="1985" w:type="dxa"/>
          </w:tcPr>
          <w:p w14:paraId="1586EB5F" w14:textId="3A133317" w:rsidR="003F5118" w:rsidRPr="006375EE" w:rsidRDefault="003F5118" w:rsidP="003F5118">
            <w:pPr>
              <w:pStyle w:val="TableText1"/>
              <w:rPr>
                <w:rFonts w:cs="Arial"/>
                <w:szCs w:val="20"/>
                <w:highlight w:val="yellow"/>
              </w:rPr>
            </w:pPr>
            <w:r w:rsidRPr="00442BCE">
              <w:rPr>
                <w:rFonts w:cs="Arial"/>
                <w:b/>
                <w:sz w:val="20"/>
                <w:szCs w:val="20"/>
              </w:rPr>
              <w:t>Royal College of General Practitioners</w:t>
            </w:r>
          </w:p>
        </w:tc>
        <w:tc>
          <w:tcPr>
            <w:tcW w:w="11198" w:type="dxa"/>
          </w:tcPr>
          <w:p w14:paraId="0D9BD3CC" w14:textId="77777777" w:rsidR="003F5118" w:rsidRPr="00442BCE" w:rsidRDefault="003F5118" w:rsidP="003F5118">
            <w:pPr>
              <w:autoSpaceDE w:val="0"/>
              <w:autoSpaceDN w:val="0"/>
              <w:adjustRightInd w:val="0"/>
              <w:rPr>
                <w:rFonts w:ascii="Arial" w:hAnsi="Arial" w:cs="Arial"/>
                <w:sz w:val="20"/>
                <w:szCs w:val="20"/>
                <w:lang w:eastAsia="en-GB"/>
              </w:rPr>
            </w:pPr>
            <w:r w:rsidRPr="00442BCE">
              <w:rPr>
                <w:rFonts w:ascii="Arial" w:hAnsi="Arial" w:cs="Arial"/>
                <w:sz w:val="20"/>
                <w:szCs w:val="20"/>
                <w:lang w:eastAsia="en-GB"/>
              </w:rPr>
              <w:t>IND14: The percentage of patients with moderate or severe frailty and/or multimorbidity who have received a medication review in the last</w:t>
            </w:r>
          </w:p>
          <w:p w14:paraId="2E18F5CD" w14:textId="77777777" w:rsidR="003F5118" w:rsidRPr="00442BCE" w:rsidRDefault="003F5118" w:rsidP="003F5118">
            <w:pPr>
              <w:rPr>
                <w:rFonts w:ascii="Arial" w:hAnsi="Arial" w:cs="Arial"/>
                <w:b/>
                <w:sz w:val="20"/>
                <w:szCs w:val="20"/>
                <w:lang w:eastAsia="en-GB"/>
              </w:rPr>
            </w:pPr>
            <w:r w:rsidRPr="00442BCE">
              <w:rPr>
                <w:rFonts w:ascii="Arial" w:hAnsi="Arial" w:cs="Arial"/>
                <w:sz w:val="20"/>
                <w:szCs w:val="20"/>
                <w:lang w:eastAsia="en-GB"/>
              </w:rPr>
              <w:t xml:space="preserve">12 months which is structured, has considered the use of a recognised tool and taken place as a shared discussion. </w:t>
            </w:r>
            <w:r w:rsidRPr="00442BCE">
              <w:rPr>
                <w:rFonts w:ascii="Arial" w:hAnsi="Arial" w:cs="Arial"/>
                <w:b/>
                <w:sz w:val="20"/>
                <w:szCs w:val="20"/>
                <w:lang w:eastAsia="en-GB"/>
              </w:rPr>
              <w:t>New</w:t>
            </w:r>
          </w:p>
          <w:p w14:paraId="0E9A9843" w14:textId="77777777" w:rsidR="003F5118" w:rsidRPr="00442BCE" w:rsidRDefault="003F5118" w:rsidP="003F5118">
            <w:pPr>
              <w:rPr>
                <w:rFonts w:ascii="Arial" w:hAnsi="Arial" w:cs="Arial"/>
                <w:b/>
                <w:sz w:val="20"/>
                <w:szCs w:val="20"/>
                <w:lang w:eastAsia="en-GB"/>
              </w:rPr>
            </w:pPr>
          </w:p>
          <w:p w14:paraId="74005AE6" w14:textId="5BCFED33" w:rsidR="003F5118" w:rsidRPr="006375EE" w:rsidRDefault="003F5118" w:rsidP="003F5118">
            <w:pPr>
              <w:pStyle w:val="TableText1"/>
              <w:rPr>
                <w:rFonts w:cs="Arial"/>
                <w:b/>
                <w:bCs/>
                <w:color w:val="000000"/>
                <w:sz w:val="20"/>
                <w:szCs w:val="20"/>
                <w:highlight w:val="yellow"/>
              </w:rPr>
            </w:pPr>
            <w:bookmarkStart w:id="68" w:name="_Hlk9242100"/>
            <w:r w:rsidRPr="00442BCE">
              <w:rPr>
                <w:rFonts w:cs="Arial"/>
                <w:b/>
                <w:sz w:val="20"/>
                <w:szCs w:val="20"/>
              </w:rPr>
              <w:t xml:space="preserve">We support this indicator.  </w:t>
            </w:r>
            <w:r w:rsidRPr="00442BCE">
              <w:rPr>
                <w:rFonts w:cs="Arial"/>
                <w:sz w:val="20"/>
                <w:szCs w:val="20"/>
              </w:rPr>
              <w:t>However, the focus on medication may take focus away from more holistic conversations about a patients’ care, including areas that may benefit from deprescribing.  We suggest this be included in the indicator explicitly</w:t>
            </w:r>
            <w:bookmarkEnd w:id="68"/>
          </w:p>
        </w:tc>
      </w:tr>
      <w:tr w:rsidR="003F5118" w:rsidRPr="006375EE" w14:paraId="4CD863D3" w14:textId="77777777" w:rsidTr="0024650F">
        <w:tc>
          <w:tcPr>
            <w:tcW w:w="562" w:type="dxa"/>
          </w:tcPr>
          <w:p w14:paraId="679D33A0" w14:textId="6897035A" w:rsidR="003F5118" w:rsidRPr="006658EF" w:rsidRDefault="006658EF" w:rsidP="003F5118">
            <w:pPr>
              <w:pStyle w:val="TableText1"/>
              <w:jc w:val="center"/>
              <w:rPr>
                <w:rFonts w:cs="Arial"/>
                <w:sz w:val="20"/>
                <w:szCs w:val="20"/>
              </w:rPr>
            </w:pPr>
            <w:r w:rsidRPr="006658EF">
              <w:rPr>
                <w:rFonts w:cs="Arial"/>
                <w:sz w:val="20"/>
                <w:szCs w:val="20"/>
              </w:rPr>
              <w:t>57</w:t>
            </w:r>
          </w:p>
        </w:tc>
        <w:tc>
          <w:tcPr>
            <w:tcW w:w="1139" w:type="dxa"/>
          </w:tcPr>
          <w:p w14:paraId="14D27617" w14:textId="1B6742D0" w:rsidR="003F5118" w:rsidRPr="00902CB1" w:rsidRDefault="003F5118" w:rsidP="003F5118">
            <w:pPr>
              <w:pStyle w:val="TableText1"/>
              <w:rPr>
                <w:rFonts w:cs="Arial"/>
                <w:color w:val="000000"/>
                <w:sz w:val="20"/>
                <w:szCs w:val="20"/>
              </w:rPr>
            </w:pPr>
            <w:r w:rsidRPr="00902CB1">
              <w:rPr>
                <w:rFonts w:cs="Arial"/>
                <w:color w:val="000000"/>
                <w:sz w:val="20"/>
                <w:szCs w:val="20"/>
              </w:rPr>
              <w:t>IND14</w:t>
            </w:r>
          </w:p>
        </w:tc>
        <w:tc>
          <w:tcPr>
            <w:tcW w:w="1985" w:type="dxa"/>
          </w:tcPr>
          <w:p w14:paraId="69091896" w14:textId="52CB9378" w:rsidR="003F5118" w:rsidRPr="006375EE" w:rsidRDefault="003F5118" w:rsidP="003F5118">
            <w:pPr>
              <w:pStyle w:val="TableText1"/>
              <w:rPr>
                <w:rFonts w:cs="Arial"/>
                <w:szCs w:val="20"/>
                <w:highlight w:val="yellow"/>
              </w:rPr>
            </w:pPr>
            <w:r w:rsidRPr="00442BCE">
              <w:rPr>
                <w:rFonts w:cs="Arial"/>
                <w:b/>
                <w:sz w:val="20"/>
                <w:szCs w:val="20"/>
              </w:rPr>
              <w:t>South Eastern Hants CCG</w:t>
            </w:r>
          </w:p>
        </w:tc>
        <w:tc>
          <w:tcPr>
            <w:tcW w:w="11198" w:type="dxa"/>
          </w:tcPr>
          <w:p w14:paraId="1D01103B" w14:textId="66E5498B" w:rsidR="003F5118" w:rsidRPr="006375EE" w:rsidRDefault="003F5118" w:rsidP="003F5118">
            <w:pPr>
              <w:pStyle w:val="TableText1"/>
              <w:rPr>
                <w:rFonts w:cs="Arial"/>
                <w:b/>
                <w:bCs/>
                <w:color w:val="000000"/>
                <w:sz w:val="20"/>
                <w:szCs w:val="20"/>
                <w:highlight w:val="yellow"/>
              </w:rPr>
            </w:pPr>
            <w:r w:rsidRPr="00442BCE">
              <w:rPr>
                <w:rFonts w:cs="Arial"/>
                <w:sz w:val="20"/>
                <w:szCs w:val="20"/>
              </w:rPr>
              <w:t>Consider using a recognised tool – how do you document this /code it accurately seems very vague</w:t>
            </w:r>
          </w:p>
        </w:tc>
      </w:tr>
      <w:tr w:rsidR="003F5118" w:rsidRPr="006375EE" w14:paraId="13CC82B3" w14:textId="77777777" w:rsidTr="0024650F">
        <w:tc>
          <w:tcPr>
            <w:tcW w:w="562" w:type="dxa"/>
          </w:tcPr>
          <w:p w14:paraId="7F501055" w14:textId="3A77964E" w:rsidR="003F5118" w:rsidRPr="006658EF" w:rsidRDefault="006658EF" w:rsidP="003F5118">
            <w:pPr>
              <w:pStyle w:val="TableText1"/>
              <w:jc w:val="center"/>
              <w:rPr>
                <w:rFonts w:cs="Arial"/>
                <w:sz w:val="20"/>
                <w:szCs w:val="20"/>
              </w:rPr>
            </w:pPr>
            <w:r w:rsidRPr="006658EF">
              <w:rPr>
                <w:rFonts w:cs="Arial"/>
                <w:sz w:val="20"/>
                <w:szCs w:val="20"/>
              </w:rPr>
              <w:t>58</w:t>
            </w:r>
          </w:p>
        </w:tc>
        <w:tc>
          <w:tcPr>
            <w:tcW w:w="1139" w:type="dxa"/>
          </w:tcPr>
          <w:p w14:paraId="3D8F7CBF" w14:textId="637AEFD1" w:rsidR="003F5118" w:rsidRPr="00902CB1" w:rsidRDefault="003F5118" w:rsidP="003F5118">
            <w:pPr>
              <w:pStyle w:val="TableText1"/>
              <w:rPr>
                <w:rFonts w:cs="Arial"/>
                <w:color w:val="000000"/>
                <w:sz w:val="20"/>
                <w:szCs w:val="20"/>
              </w:rPr>
            </w:pPr>
            <w:r w:rsidRPr="00902CB1">
              <w:rPr>
                <w:rFonts w:cs="Arial"/>
                <w:color w:val="000000"/>
                <w:sz w:val="20"/>
                <w:szCs w:val="20"/>
              </w:rPr>
              <w:t>IND14</w:t>
            </w:r>
          </w:p>
        </w:tc>
        <w:tc>
          <w:tcPr>
            <w:tcW w:w="1985" w:type="dxa"/>
          </w:tcPr>
          <w:p w14:paraId="44B18C92" w14:textId="0543495E" w:rsidR="003F5118" w:rsidRPr="006375EE" w:rsidRDefault="003F5118" w:rsidP="003F5118">
            <w:pPr>
              <w:pStyle w:val="TableText1"/>
              <w:rPr>
                <w:rFonts w:cs="Arial"/>
                <w:szCs w:val="20"/>
                <w:highlight w:val="yellow"/>
              </w:rPr>
            </w:pPr>
            <w:r w:rsidRPr="00442BCE">
              <w:rPr>
                <w:rFonts w:cs="Arial"/>
                <w:b/>
                <w:iCs/>
                <w:sz w:val="20"/>
                <w:szCs w:val="20"/>
              </w:rPr>
              <w:t>Taskforce on Multiple Conditions</w:t>
            </w:r>
          </w:p>
        </w:tc>
        <w:tc>
          <w:tcPr>
            <w:tcW w:w="11198" w:type="dxa"/>
          </w:tcPr>
          <w:p w14:paraId="016255E5" w14:textId="77777777" w:rsidR="003F5118" w:rsidRPr="00442BCE" w:rsidRDefault="003F5118" w:rsidP="003F5118">
            <w:pPr>
              <w:pStyle w:val="Default"/>
              <w:numPr>
                <w:ilvl w:val="0"/>
                <w:numId w:val="29"/>
              </w:numPr>
              <w:adjustRightInd/>
              <w:rPr>
                <w:rFonts w:ascii="Arial" w:hAnsi="Arial" w:cs="Arial"/>
                <w:iCs/>
                <w:color w:val="auto"/>
                <w:sz w:val="20"/>
                <w:szCs w:val="20"/>
                <w:lang w:eastAsia="en-US"/>
              </w:rPr>
            </w:pPr>
            <w:r w:rsidRPr="00442BCE">
              <w:rPr>
                <w:rFonts w:ascii="Arial" w:hAnsi="Arial" w:cs="Arial"/>
                <w:iCs/>
                <w:color w:val="auto"/>
                <w:sz w:val="20"/>
                <w:szCs w:val="20"/>
              </w:rPr>
              <w:t>See response to IND1.</w:t>
            </w:r>
          </w:p>
          <w:p w14:paraId="3485F541" w14:textId="77777777" w:rsidR="003F5118" w:rsidRPr="00442BCE" w:rsidRDefault="003F5118" w:rsidP="003F5118">
            <w:pPr>
              <w:pStyle w:val="Default"/>
              <w:numPr>
                <w:ilvl w:val="0"/>
                <w:numId w:val="29"/>
              </w:numPr>
              <w:adjustRightInd/>
              <w:rPr>
                <w:rFonts w:ascii="Arial" w:hAnsi="Arial" w:cs="Arial"/>
                <w:iCs/>
                <w:color w:val="auto"/>
                <w:sz w:val="20"/>
                <w:szCs w:val="20"/>
              </w:rPr>
            </w:pPr>
            <w:r w:rsidRPr="00442BCE">
              <w:rPr>
                <w:rFonts w:ascii="Arial" w:hAnsi="Arial" w:cs="Arial"/>
                <w:iCs/>
                <w:color w:val="auto"/>
                <w:sz w:val="20"/>
                <w:szCs w:val="20"/>
              </w:rPr>
              <w:t xml:space="preserve">We fully support annual medication review for patients with MMB. However, as above, </w:t>
            </w:r>
            <w:bookmarkStart w:id="69" w:name="_Hlk9242189"/>
            <w:r w:rsidRPr="00442BCE">
              <w:rPr>
                <w:rFonts w:ascii="Arial" w:hAnsi="Arial" w:cs="Arial"/>
                <w:iCs/>
                <w:color w:val="auto"/>
                <w:sz w:val="20"/>
                <w:szCs w:val="20"/>
              </w:rPr>
              <w:t>the threshold of 4+ conditions will mean that many who would benefit (perhaps more) from this review will be excluded from this measure.</w:t>
            </w:r>
          </w:p>
          <w:bookmarkEnd w:id="69"/>
          <w:p w14:paraId="121E87E6" w14:textId="77777777" w:rsidR="003F5118" w:rsidRPr="00442BCE" w:rsidRDefault="003F5118" w:rsidP="003F5118">
            <w:pPr>
              <w:pStyle w:val="Default"/>
              <w:numPr>
                <w:ilvl w:val="0"/>
                <w:numId w:val="29"/>
              </w:numPr>
              <w:adjustRightInd/>
              <w:rPr>
                <w:rFonts w:ascii="Arial" w:hAnsi="Arial" w:cs="Arial"/>
                <w:b/>
                <w:iCs/>
                <w:color w:val="auto"/>
                <w:sz w:val="20"/>
                <w:szCs w:val="20"/>
              </w:rPr>
            </w:pPr>
            <w:r w:rsidRPr="00442BCE">
              <w:rPr>
                <w:rFonts w:ascii="Arial" w:hAnsi="Arial" w:cs="Arial"/>
                <w:iCs/>
                <w:color w:val="auto"/>
                <w:sz w:val="20"/>
                <w:szCs w:val="20"/>
              </w:rPr>
              <w:t xml:space="preserve">The element of </w:t>
            </w:r>
            <w:bookmarkStart w:id="70" w:name="_Hlk9242223"/>
            <w:r w:rsidRPr="00442BCE">
              <w:rPr>
                <w:rFonts w:ascii="Arial" w:hAnsi="Arial" w:cs="Arial"/>
                <w:iCs/>
                <w:color w:val="auto"/>
                <w:sz w:val="20"/>
                <w:szCs w:val="20"/>
              </w:rPr>
              <w:t>shared meaningful discussion is critical to this review, and we would encourage framing this as an opportunity for healthcare professionals to have a wider conversation about an individual’s personal care and support needs, social circumstances, emotional health and so on</w:t>
            </w:r>
            <w:bookmarkEnd w:id="70"/>
            <w:r w:rsidRPr="00442BCE">
              <w:rPr>
                <w:rFonts w:ascii="Arial" w:hAnsi="Arial" w:cs="Arial"/>
                <w:iCs/>
                <w:color w:val="auto"/>
                <w:sz w:val="20"/>
                <w:szCs w:val="20"/>
              </w:rPr>
              <w:t>.</w:t>
            </w:r>
          </w:p>
          <w:p w14:paraId="6A6A8711" w14:textId="385033E5" w:rsidR="003F5118" w:rsidRPr="006375EE" w:rsidRDefault="003F5118" w:rsidP="003F5118">
            <w:pPr>
              <w:pStyle w:val="TableText1"/>
              <w:rPr>
                <w:rFonts w:cs="Arial"/>
                <w:b/>
                <w:bCs/>
                <w:color w:val="000000"/>
                <w:sz w:val="20"/>
                <w:szCs w:val="20"/>
                <w:highlight w:val="yellow"/>
              </w:rPr>
            </w:pPr>
            <w:r w:rsidRPr="00442BCE">
              <w:rPr>
                <w:rFonts w:cs="Arial"/>
                <w:sz w:val="20"/>
                <w:szCs w:val="20"/>
              </w:rPr>
              <w:t xml:space="preserve">We view these indicators as an important first step on a pathway towards practices improving their ability to identify MMB and/or frail patients, in order to better support them. These indicators focus on whether a register exists, but in an ideal world would also look at whether any tailored care </w:t>
            </w:r>
            <w:proofErr w:type="gramStart"/>
            <w:r w:rsidRPr="00442BCE">
              <w:rPr>
                <w:rFonts w:cs="Arial"/>
                <w:sz w:val="20"/>
                <w:szCs w:val="20"/>
              </w:rPr>
              <w:t>actually occurs</w:t>
            </w:r>
            <w:proofErr w:type="gramEnd"/>
            <w:r w:rsidRPr="00442BCE">
              <w:rPr>
                <w:rFonts w:cs="Arial"/>
                <w:sz w:val="20"/>
                <w:szCs w:val="20"/>
              </w:rPr>
              <w:t xml:space="preserve"> on the back of such a register (beyond the medication review). We would support this as a longer-term ambition.</w:t>
            </w:r>
          </w:p>
        </w:tc>
      </w:tr>
      <w:tr w:rsidR="003F5118" w:rsidRPr="006375EE" w14:paraId="517B1FE9" w14:textId="77777777" w:rsidTr="0024650F">
        <w:tc>
          <w:tcPr>
            <w:tcW w:w="562" w:type="dxa"/>
          </w:tcPr>
          <w:p w14:paraId="27A58A0A" w14:textId="33531590" w:rsidR="003F5118" w:rsidRPr="006658EF" w:rsidRDefault="006658EF" w:rsidP="003F5118">
            <w:pPr>
              <w:pStyle w:val="TableText1"/>
              <w:jc w:val="center"/>
              <w:rPr>
                <w:rFonts w:cs="Arial"/>
                <w:sz w:val="20"/>
                <w:szCs w:val="20"/>
              </w:rPr>
            </w:pPr>
            <w:r w:rsidRPr="006658EF">
              <w:rPr>
                <w:rFonts w:cs="Arial"/>
                <w:sz w:val="20"/>
                <w:szCs w:val="20"/>
              </w:rPr>
              <w:t>59</w:t>
            </w:r>
          </w:p>
        </w:tc>
        <w:tc>
          <w:tcPr>
            <w:tcW w:w="1139" w:type="dxa"/>
          </w:tcPr>
          <w:p w14:paraId="14AD5F01" w14:textId="7038C62E" w:rsidR="003F5118" w:rsidRPr="00902CB1" w:rsidRDefault="003F5118" w:rsidP="003F5118">
            <w:pPr>
              <w:pStyle w:val="TableText1"/>
              <w:rPr>
                <w:rFonts w:cs="Arial"/>
                <w:szCs w:val="20"/>
              </w:rPr>
            </w:pPr>
            <w:r w:rsidRPr="00902CB1">
              <w:rPr>
                <w:rFonts w:cs="Arial"/>
                <w:color w:val="000000"/>
                <w:sz w:val="20"/>
                <w:szCs w:val="20"/>
              </w:rPr>
              <w:t>IND15.1</w:t>
            </w:r>
          </w:p>
        </w:tc>
        <w:tc>
          <w:tcPr>
            <w:tcW w:w="1985" w:type="dxa"/>
          </w:tcPr>
          <w:p w14:paraId="5A2253C5" w14:textId="37EEC9A4" w:rsidR="003F5118" w:rsidRPr="00902CB1" w:rsidRDefault="003F5118" w:rsidP="003F5118">
            <w:pPr>
              <w:pStyle w:val="TableText1"/>
              <w:rPr>
                <w:rFonts w:cs="Arial"/>
                <w:szCs w:val="20"/>
              </w:rPr>
            </w:pPr>
            <w:r w:rsidRPr="00442BCE">
              <w:rPr>
                <w:rFonts w:cs="Arial"/>
                <w:b/>
                <w:sz w:val="20"/>
                <w:szCs w:val="20"/>
              </w:rPr>
              <w:t>British Medical Association</w:t>
            </w:r>
          </w:p>
        </w:tc>
        <w:tc>
          <w:tcPr>
            <w:tcW w:w="11198" w:type="dxa"/>
          </w:tcPr>
          <w:p w14:paraId="5EBA720A" w14:textId="77777777" w:rsidR="003F5118" w:rsidRPr="00442BCE" w:rsidRDefault="003F5118" w:rsidP="003F5118">
            <w:pPr>
              <w:rPr>
                <w:rFonts w:ascii="Arial" w:hAnsi="Arial" w:cs="Arial"/>
                <w:sz w:val="20"/>
                <w:szCs w:val="20"/>
              </w:rPr>
            </w:pPr>
            <w:r w:rsidRPr="00442BCE">
              <w:rPr>
                <w:rFonts w:ascii="Arial" w:hAnsi="Arial" w:cs="Arial"/>
                <w:sz w:val="20"/>
                <w:szCs w:val="20"/>
              </w:rPr>
              <w:t>IND15.1: The percentage of patients (aged 65 years and over) with moderate or severe frailty who have been asked whether they have had a fall, about the total number of falls and about the type of falls, in the last 12 months</w:t>
            </w:r>
          </w:p>
          <w:p w14:paraId="31B5E531" w14:textId="77777777" w:rsidR="003F5118" w:rsidRPr="00442BCE" w:rsidRDefault="003F5118" w:rsidP="003F5118">
            <w:pPr>
              <w:rPr>
                <w:rFonts w:ascii="Arial" w:hAnsi="Arial" w:cs="Arial"/>
                <w:sz w:val="20"/>
                <w:szCs w:val="20"/>
              </w:rPr>
            </w:pPr>
          </w:p>
          <w:p w14:paraId="2A26506F" w14:textId="77777777" w:rsidR="003F5118" w:rsidRPr="00442BCE" w:rsidRDefault="003F5118" w:rsidP="003F5118">
            <w:pPr>
              <w:rPr>
                <w:rFonts w:ascii="Arial" w:hAnsi="Arial" w:cs="Arial"/>
                <w:sz w:val="20"/>
                <w:szCs w:val="20"/>
              </w:rPr>
            </w:pPr>
            <w:bookmarkStart w:id="71" w:name="_Hlk9251800"/>
            <w:r w:rsidRPr="00442BCE">
              <w:rPr>
                <w:rFonts w:ascii="Arial" w:hAnsi="Arial" w:cs="Arial"/>
                <w:sz w:val="20"/>
                <w:szCs w:val="20"/>
              </w:rPr>
              <w:t>Should be this aligned with the wording in the GMS contract, then we could support:</w:t>
            </w:r>
          </w:p>
          <w:p w14:paraId="1AE87EAE" w14:textId="77777777" w:rsidR="003F5118" w:rsidRPr="00442BCE" w:rsidRDefault="003F5118" w:rsidP="003F5118">
            <w:pPr>
              <w:rPr>
                <w:rFonts w:ascii="Arial" w:hAnsi="Arial" w:cs="Arial"/>
                <w:sz w:val="20"/>
                <w:szCs w:val="20"/>
              </w:rPr>
            </w:pPr>
          </w:p>
          <w:p w14:paraId="64509035" w14:textId="77777777" w:rsidR="003F5118" w:rsidRPr="00442BCE" w:rsidRDefault="003F5118" w:rsidP="003F5118">
            <w:pPr>
              <w:rPr>
                <w:rFonts w:ascii="Arial" w:hAnsi="Arial" w:cs="Arial"/>
                <w:sz w:val="20"/>
                <w:szCs w:val="20"/>
              </w:rPr>
            </w:pPr>
            <w:r w:rsidRPr="00442BCE">
              <w:rPr>
                <w:rFonts w:ascii="Arial" w:hAnsi="Arial" w:cs="Arial"/>
                <w:sz w:val="20"/>
                <w:szCs w:val="20"/>
              </w:rPr>
              <w:lastRenderedPageBreak/>
              <w:t xml:space="preserve">‘The percentage of patients (aged 65 years and over) with moderate or severe frailty who have </w:t>
            </w:r>
            <w:proofErr w:type="gramStart"/>
            <w:r w:rsidRPr="00442BCE">
              <w:rPr>
                <w:rFonts w:ascii="Arial" w:hAnsi="Arial" w:cs="Arial"/>
                <w:sz w:val="20"/>
                <w:szCs w:val="20"/>
              </w:rPr>
              <w:t>had a discussion about</w:t>
            </w:r>
            <w:proofErr w:type="gramEnd"/>
            <w:r w:rsidRPr="00442BCE">
              <w:rPr>
                <w:rFonts w:ascii="Arial" w:hAnsi="Arial" w:cs="Arial"/>
                <w:sz w:val="20"/>
                <w:szCs w:val="20"/>
              </w:rPr>
              <w:t xml:space="preserve"> whether they have fallen, recorded in the last 12 months’</w:t>
            </w:r>
          </w:p>
          <w:p w14:paraId="01B92789" w14:textId="77777777" w:rsidR="003F5118" w:rsidRPr="00442BCE" w:rsidRDefault="003F5118" w:rsidP="003F5118">
            <w:pPr>
              <w:rPr>
                <w:rFonts w:ascii="Arial" w:hAnsi="Arial" w:cs="Arial"/>
                <w:sz w:val="20"/>
                <w:szCs w:val="20"/>
              </w:rPr>
            </w:pPr>
          </w:p>
          <w:p w14:paraId="71F4A56C" w14:textId="372E63EC" w:rsidR="003F5118" w:rsidRPr="006375EE" w:rsidRDefault="003F5118" w:rsidP="003F5118">
            <w:pPr>
              <w:pStyle w:val="TableText1"/>
              <w:rPr>
                <w:rFonts w:cs="Arial"/>
                <w:szCs w:val="20"/>
                <w:highlight w:val="yellow"/>
              </w:rPr>
            </w:pPr>
            <w:r w:rsidRPr="00442BCE">
              <w:rPr>
                <w:rFonts w:cs="Arial"/>
                <w:sz w:val="20"/>
                <w:szCs w:val="20"/>
              </w:rPr>
              <w:t>We believe that patient or carer recall of numbers of falls is likely to be poor and recording inaccurate.</w:t>
            </w:r>
            <w:bookmarkEnd w:id="71"/>
          </w:p>
        </w:tc>
      </w:tr>
      <w:tr w:rsidR="003F5118" w:rsidRPr="006375EE" w14:paraId="69F4D4C3" w14:textId="77777777" w:rsidTr="0024650F">
        <w:tc>
          <w:tcPr>
            <w:tcW w:w="562" w:type="dxa"/>
          </w:tcPr>
          <w:p w14:paraId="11774D78" w14:textId="550691A3" w:rsidR="003F5118" w:rsidRPr="006658EF" w:rsidRDefault="006658EF" w:rsidP="003F5118">
            <w:pPr>
              <w:pStyle w:val="TableText1"/>
              <w:jc w:val="center"/>
              <w:rPr>
                <w:rFonts w:cs="Arial"/>
                <w:sz w:val="20"/>
                <w:szCs w:val="20"/>
              </w:rPr>
            </w:pPr>
            <w:r w:rsidRPr="006658EF">
              <w:rPr>
                <w:rFonts w:cs="Arial"/>
                <w:sz w:val="20"/>
                <w:szCs w:val="20"/>
              </w:rPr>
              <w:lastRenderedPageBreak/>
              <w:t>60</w:t>
            </w:r>
          </w:p>
        </w:tc>
        <w:tc>
          <w:tcPr>
            <w:tcW w:w="1139" w:type="dxa"/>
          </w:tcPr>
          <w:p w14:paraId="28E3A85F" w14:textId="2F5FE7C6" w:rsidR="003F5118" w:rsidRPr="00466241" w:rsidRDefault="003F5118" w:rsidP="003F5118">
            <w:pPr>
              <w:pStyle w:val="TableText1"/>
              <w:rPr>
                <w:rFonts w:cs="Arial"/>
                <w:color w:val="000000"/>
                <w:sz w:val="20"/>
                <w:szCs w:val="20"/>
              </w:rPr>
            </w:pPr>
            <w:r w:rsidRPr="00466241">
              <w:rPr>
                <w:rFonts w:cs="Arial"/>
                <w:sz w:val="20"/>
                <w:szCs w:val="20"/>
              </w:rPr>
              <w:t>IND15.1 and IND15.2</w:t>
            </w:r>
          </w:p>
        </w:tc>
        <w:tc>
          <w:tcPr>
            <w:tcW w:w="1985" w:type="dxa"/>
          </w:tcPr>
          <w:p w14:paraId="40BF0BB2" w14:textId="0D4B62FC" w:rsidR="003F5118" w:rsidRPr="00442BCE" w:rsidRDefault="003F5118" w:rsidP="003F5118">
            <w:pPr>
              <w:pStyle w:val="TableText1"/>
              <w:rPr>
                <w:rFonts w:cs="Arial"/>
                <w:b/>
                <w:sz w:val="20"/>
                <w:szCs w:val="20"/>
              </w:rPr>
            </w:pPr>
            <w:r w:rsidRPr="00442BCE">
              <w:rPr>
                <w:rFonts w:cs="Arial"/>
                <w:b/>
                <w:sz w:val="20"/>
                <w:szCs w:val="20"/>
              </w:rPr>
              <w:t>Managing Adult Malnutrition in the Community</w:t>
            </w:r>
          </w:p>
        </w:tc>
        <w:tc>
          <w:tcPr>
            <w:tcW w:w="11198" w:type="dxa"/>
          </w:tcPr>
          <w:p w14:paraId="20211F09" w14:textId="77777777" w:rsidR="003F5118" w:rsidRPr="00442BCE" w:rsidRDefault="003F5118" w:rsidP="003F5118">
            <w:pPr>
              <w:rPr>
                <w:rFonts w:ascii="Arial" w:hAnsi="Arial" w:cs="Arial"/>
                <w:sz w:val="20"/>
                <w:szCs w:val="20"/>
              </w:rPr>
            </w:pPr>
            <w:r w:rsidRPr="00442BCE">
              <w:rPr>
                <w:rFonts w:ascii="Arial" w:hAnsi="Arial" w:cs="Arial"/>
                <w:sz w:val="20"/>
                <w:szCs w:val="20"/>
              </w:rPr>
              <w:t>Falls Prevention – nutritional status is an independent predictor of falls in older people in the community and improvement of nutritional status</w:t>
            </w:r>
            <w:r w:rsidRPr="00442BCE">
              <w:rPr>
                <w:rFonts w:ascii="Arial" w:hAnsi="Arial" w:cs="Arial"/>
                <w:sz w:val="20"/>
                <w:szCs w:val="20"/>
                <w:vertAlign w:val="superscript"/>
              </w:rPr>
              <w:t>1</w:t>
            </w:r>
            <w:r w:rsidRPr="00442BCE">
              <w:rPr>
                <w:rFonts w:ascii="Arial" w:hAnsi="Arial" w:cs="Arial"/>
                <w:sz w:val="20"/>
                <w:szCs w:val="20"/>
              </w:rPr>
              <w:t xml:space="preserve"> has been found to reduce falls risk</w:t>
            </w:r>
            <w:r w:rsidRPr="00442BCE">
              <w:rPr>
                <w:rFonts w:ascii="Arial" w:hAnsi="Arial" w:cs="Arial"/>
                <w:sz w:val="20"/>
                <w:szCs w:val="20"/>
                <w:vertAlign w:val="superscript"/>
              </w:rPr>
              <w:t>2</w:t>
            </w:r>
            <w:r w:rsidRPr="00442BCE">
              <w:rPr>
                <w:rFonts w:ascii="Arial" w:hAnsi="Arial" w:cs="Arial"/>
                <w:sz w:val="20"/>
                <w:szCs w:val="20"/>
              </w:rPr>
              <w:t xml:space="preserve">. We would therefore recommend nutritional screening, assessment and management should be incorporated into the </w:t>
            </w:r>
            <w:proofErr w:type="gramStart"/>
            <w:r w:rsidRPr="00442BCE">
              <w:rPr>
                <w:rFonts w:ascii="Arial" w:hAnsi="Arial" w:cs="Arial"/>
                <w:sz w:val="20"/>
                <w:szCs w:val="20"/>
              </w:rPr>
              <w:t>falls</w:t>
            </w:r>
            <w:proofErr w:type="gramEnd"/>
            <w:r w:rsidRPr="00442BCE">
              <w:rPr>
                <w:rFonts w:ascii="Arial" w:hAnsi="Arial" w:cs="Arial"/>
                <w:sz w:val="20"/>
                <w:szCs w:val="20"/>
              </w:rPr>
              <w:t xml:space="preserve"> pathways. </w:t>
            </w:r>
          </w:p>
          <w:p w14:paraId="31B06CAB" w14:textId="77777777" w:rsidR="003F5118" w:rsidRPr="00442BCE" w:rsidRDefault="003F5118" w:rsidP="003F5118">
            <w:pPr>
              <w:rPr>
                <w:rFonts w:ascii="Arial" w:hAnsi="Arial" w:cs="Arial"/>
                <w:sz w:val="20"/>
                <w:szCs w:val="20"/>
              </w:rPr>
            </w:pPr>
          </w:p>
          <w:p w14:paraId="5845B223" w14:textId="77777777" w:rsidR="003F5118" w:rsidRPr="00442BCE" w:rsidRDefault="003F5118" w:rsidP="003F5118">
            <w:pPr>
              <w:rPr>
                <w:rFonts w:ascii="Arial" w:hAnsi="Arial" w:cs="Arial"/>
                <w:sz w:val="20"/>
                <w:szCs w:val="20"/>
              </w:rPr>
            </w:pPr>
            <w:r w:rsidRPr="00442BCE">
              <w:rPr>
                <w:rFonts w:ascii="Arial" w:hAnsi="Arial" w:cs="Arial"/>
                <w:sz w:val="20"/>
                <w:szCs w:val="20"/>
              </w:rPr>
              <w:t>References</w:t>
            </w:r>
          </w:p>
          <w:p w14:paraId="04CFD6A3" w14:textId="77777777" w:rsidR="003F5118" w:rsidRPr="00442BCE" w:rsidRDefault="003F5118" w:rsidP="003F5118">
            <w:pPr>
              <w:pStyle w:val="ListParagraph"/>
              <w:numPr>
                <w:ilvl w:val="0"/>
                <w:numId w:val="43"/>
              </w:numPr>
              <w:rPr>
                <w:rFonts w:ascii="Arial" w:hAnsi="Arial" w:cs="Arial"/>
                <w:sz w:val="20"/>
                <w:szCs w:val="20"/>
              </w:rPr>
            </w:pPr>
            <w:proofErr w:type="spellStart"/>
            <w:r w:rsidRPr="00442BCE">
              <w:rPr>
                <w:rFonts w:ascii="Arial" w:hAnsi="Arial" w:cs="Arial"/>
                <w:sz w:val="20"/>
                <w:szCs w:val="20"/>
              </w:rPr>
              <w:t>Chien</w:t>
            </w:r>
            <w:proofErr w:type="spellEnd"/>
            <w:r w:rsidRPr="00442BCE">
              <w:rPr>
                <w:rFonts w:ascii="Arial" w:hAnsi="Arial" w:cs="Arial"/>
                <w:sz w:val="20"/>
                <w:szCs w:val="20"/>
              </w:rPr>
              <w:t xml:space="preserve"> MH and Guo HR. Nutritional status and falls in community-dwelling older people: a longitudinal study of a population-based random sample. </w:t>
            </w:r>
            <w:proofErr w:type="spellStart"/>
            <w:r w:rsidRPr="00442BCE">
              <w:rPr>
                <w:rFonts w:ascii="Arial" w:hAnsi="Arial" w:cs="Arial"/>
                <w:sz w:val="20"/>
                <w:szCs w:val="20"/>
              </w:rPr>
              <w:t>PLoS</w:t>
            </w:r>
            <w:proofErr w:type="spellEnd"/>
            <w:r w:rsidRPr="00442BCE">
              <w:rPr>
                <w:rFonts w:ascii="Arial" w:hAnsi="Arial" w:cs="Arial"/>
                <w:sz w:val="20"/>
                <w:szCs w:val="20"/>
              </w:rPr>
              <w:t xml:space="preserve"> One. 2014. www.ncbi.nlm.nih. gov/</w:t>
            </w:r>
            <w:proofErr w:type="spellStart"/>
            <w:r w:rsidRPr="00442BCE">
              <w:rPr>
                <w:rFonts w:ascii="Arial" w:hAnsi="Arial" w:cs="Arial"/>
                <w:sz w:val="20"/>
                <w:szCs w:val="20"/>
              </w:rPr>
              <w:t>pubmed</w:t>
            </w:r>
            <w:proofErr w:type="spellEnd"/>
            <w:r w:rsidRPr="00442BCE">
              <w:rPr>
                <w:rFonts w:ascii="Arial" w:hAnsi="Arial" w:cs="Arial"/>
                <w:sz w:val="20"/>
                <w:szCs w:val="20"/>
              </w:rPr>
              <w:t xml:space="preserve">/24614184 </w:t>
            </w:r>
          </w:p>
          <w:p w14:paraId="3469F099" w14:textId="77777777" w:rsidR="003F5118" w:rsidRPr="00442BCE" w:rsidRDefault="003F5118" w:rsidP="003F5118">
            <w:pPr>
              <w:pStyle w:val="ListParagraph"/>
              <w:numPr>
                <w:ilvl w:val="0"/>
                <w:numId w:val="43"/>
              </w:numPr>
              <w:rPr>
                <w:rFonts w:ascii="Arial" w:hAnsi="Arial" w:cs="Arial"/>
                <w:sz w:val="20"/>
                <w:szCs w:val="20"/>
              </w:rPr>
            </w:pPr>
            <w:proofErr w:type="spellStart"/>
            <w:r w:rsidRPr="00442BCE">
              <w:rPr>
                <w:rFonts w:ascii="Arial" w:hAnsi="Arial" w:cs="Arial"/>
                <w:sz w:val="20"/>
                <w:szCs w:val="20"/>
              </w:rPr>
              <w:t>Neyens</w:t>
            </w:r>
            <w:proofErr w:type="spellEnd"/>
            <w:r w:rsidRPr="00442BCE">
              <w:rPr>
                <w:rFonts w:ascii="Arial" w:hAnsi="Arial" w:cs="Arial"/>
                <w:sz w:val="20"/>
                <w:szCs w:val="20"/>
              </w:rPr>
              <w:t xml:space="preserve"> et al. Malnutrition is associated with an increased risk of falls and impaired activity in elderly patients in Dutch residential long-term care: A cross-sectional study. Archives of Gerontology and Geriatrics. 2013; 56(1): 265-269.</w:t>
            </w:r>
          </w:p>
          <w:p w14:paraId="7C307491" w14:textId="77777777" w:rsidR="003F5118" w:rsidRPr="00442BCE" w:rsidRDefault="003F5118" w:rsidP="003F5118">
            <w:pPr>
              <w:rPr>
                <w:rFonts w:ascii="Arial" w:hAnsi="Arial" w:cs="Arial"/>
                <w:sz w:val="20"/>
                <w:szCs w:val="20"/>
              </w:rPr>
            </w:pPr>
          </w:p>
        </w:tc>
      </w:tr>
      <w:tr w:rsidR="003F5118" w:rsidRPr="006375EE" w14:paraId="45EF9D9D" w14:textId="77777777" w:rsidTr="0024650F">
        <w:tc>
          <w:tcPr>
            <w:tcW w:w="562" w:type="dxa"/>
          </w:tcPr>
          <w:p w14:paraId="1236525C" w14:textId="499237AE" w:rsidR="003F5118" w:rsidRPr="006658EF" w:rsidRDefault="006658EF" w:rsidP="003F5118">
            <w:pPr>
              <w:pStyle w:val="TableText1"/>
              <w:jc w:val="center"/>
              <w:rPr>
                <w:rFonts w:cs="Arial"/>
                <w:sz w:val="20"/>
                <w:szCs w:val="20"/>
              </w:rPr>
            </w:pPr>
            <w:r w:rsidRPr="006658EF">
              <w:rPr>
                <w:rFonts w:cs="Arial"/>
                <w:sz w:val="20"/>
                <w:szCs w:val="20"/>
              </w:rPr>
              <w:t>61</w:t>
            </w:r>
          </w:p>
        </w:tc>
        <w:tc>
          <w:tcPr>
            <w:tcW w:w="1139" w:type="dxa"/>
          </w:tcPr>
          <w:p w14:paraId="4902586E" w14:textId="7BFE0068" w:rsidR="003F5118" w:rsidRPr="00466241" w:rsidRDefault="003F5118" w:rsidP="003F5118">
            <w:pPr>
              <w:pStyle w:val="TableText1"/>
              <w:rPr>
                <w:rFonts w:cs="Arial"/>
                <w:sz w:val="20"/>
                <w:szCs w:val="20"/>
              </w:rPr>
            </w:pPr>
            <w:r w:rsidRPr="00466241">
              <w:rPr>
                <w:rFonts w:cs="Arial"/>
                <w:sz w:val="20"/>
                <w:szCs w:val="20"/>
              </w:rPr>
              <w:t>IND15.1</w:t>
            </w:r>
          </w:p>
        </w:tc>
        <w:tc>
          <w:tcPr>
            <w:tcW w:w="1985" w:type="dxa"/>
          </w:tcPr>
          <w:p w14:paraId="7A0758F6" w14:textId="09BC3493" w:rsidR="003F5118" w:rsidRPr="00902CB1" w:rsidRDefault="003F5118" w:rsidP="003F5118">
            <w:pPr>
              <w:pStyle w:val="TableText1"/>
              <w:rPr>
                <w:rFonts w:cs="Arial"/>
                <w:szCs w:val="20"/>
              </w:rPr>
            </w:pPr>
            <w:r w:rsidRPr="00442BCE">
              <w:rPr>
                <w:rFonts w:cs="Arial"/>
                <w:b/>
                <w:sz w:val="20"/>
                <w:szCs w:val="20"/>
              </w:rPr>
              <w:t>National Pharmaceutical Advisers Group (PAG)</w:t>
            </w:r>
          </w:p>
        </w:tc>
        <w:tc>
          <w:tcPr>
            <w:tcW w:w="11198" w:type="dxa"/>
          </w:tcPr>
          <w:p w14:paraId="640EBA82" w14:textId="77777777" w:rsidR="003F5118" w:rsidRDefault="003F5118" w:rsidP="003F5118">
            <w:pPr>
              <w:pStyle w:val="TableText1"/>
              <w:rPr>
                <w:rFonts w:cs="Arial"/>
                <w:sz w:val="20"/>
                <w:szCs w:val="20"/>
              </w:rPr>
            </w:pPr>
            <w:bookmarkStart w:id="72" w:name="_Hlk9251853"/>
            <w:r w:rsidRPr="00442BCE">
              <w:rPr>
                <w:rFonts w:cs="Arial"/>
                <w:sz w:val="20"/>
                <w:szCs w:val="20"/>
              </w:rPr>
              <w:t xml:space="preserve">Frequency of falls is associated with frailty and adverse effects of some medicines and falls are a leading cause of hospital </w:t>
            </w:r>
          </w:p>
          <w:p w14:paraId="06ECCFE1" w14:textId="1FE30A4C" w:rsidR="003F5118" w:rsidRPr="006375EE" w:rsidRDefault="003F5118" w:rsidP="003F5118">
            <w:pPr>
              <w:pStyle w:val="TableText1"/>
              <w:rPr>
                <w:rFonts w:cs="Arial"/>
                <w:szCs w:val="20"/>
                <w:highlight w:val="yellow"/>
              </w:rPr>
            </w:pPr>
            <w:r w:rsidRPr="00442BCE">
              <w:rPr>
                <w:rFonts w:cs="Arial"/>
                <w:sz w:val="20"/>
                <w:szCs w:val="20"/>
              </w:rPr>
              <w:t>admission in the elderly with fractured neck of femur contributing to poor outcomes and worsening of frailty due to admission.</w:t>
            </w:r>
            <w:bookmarkEnd w:id="72"/>
          </w:p>
        </w:tc>
      </w:tr>
      <w:tr w:rsidR="003F5118" w:rsidRPr="006375EE" w14:paraId="744348F8" w14:textId="77777777" w:rsidTr="0024650F">
        <w:tc>
          <w:tcPr>
            <w:tcW w:w="562" w:type="dxa"/>
          </w:tcPr>
          <w:p w14:paraId="5CCA2E91" w14:textId="011931C2" w:rsidR="003F5118" w:rsidRPr="006658EF" w:rsidRDefault="006658EF" w:rsidP="003F5118">
            <w:pPr>
              <w:pStyle w:val="TableText1"/>
              <w:jc w:val="center"/>
              <w:rPr>
                <w:rFonts w:cs="Arial"/>
                <w:sz w:val="20"/>
                <w:szCs w:val="20"/>
              </w:rPr>
            </w:pPr>
            <w:r w:rsidRPr="006658EF">
              <w:rPr>
                <w:rFonts w:cs="Arial"/>
                <w:sz w:val="20"/>
                <w:szCs w:val="20"/>
              </w:rPr>
              <w:t>62</w:t>
            </w:r>
          </w:p>
        </w:tc>
        <w:tc>
          <w:tcPr>
            <w:tcW w:w="1139" w:type="dxa"/>
          </w:tcPr>
          <w:p w14:paraId="5369656A" w14:textId="3DEF848A" w:rsidR="003F5118" w:rsidRPr="00466241" w:rsidRDefault="003F5118" w:rsidP="003F5118">
            <w:pPr>
              <w:pStyle w:val="TableText1"/>
              <w:rPr>
                <w:rFonts w:cs="Arial"/>
                <w:sz w:val="20"/>
                <w:szCs w:val="20"/>
              </w:rPr>
            </w:pPr>
            <w:r w:rsidRPr="00466241">
              <w:rPr>
                <w:rFonts w:cs="Arial"/>
                <w:sz w:val="20"/>
                <w:szCs w:val="20"/>
              </w:rPr>
              <w:t>IND15.1 and IND15.2</w:t>
            </w:r>
          </w:p>
        </w:tc>
        <w:tc>
          <w:tcPr>
            <w:tcW w:w="1985" w:type="dxa"/>
          </w:tcPr>
          <w:p w14:paraId="0D646D33" w14:textId="28BC7DFF" w:rsidR="003F5118" w:rsidRPr="00442BCE" w:rsidRDefault="003F5118" w:rsidP="003F5118">
            <w:pPr>
              <w:pStyle w:val="TableText1"/>
              <w:rPr>
                <w:rFonts w:cs="Arial"/>
                <w:b/>
                <w:sz w:val="20"/>
                <w:szCs w:val="20"/>
              </w:rPr>
            </w:pPr>
            <w:proofErr w:type="spellStart"/>
            <w:r w:rsidRPr="00442BCE">
              <w:rPr>
                <w:rFonts w:cs="Arial"/>
                <w:b/>
                <w:sz w:val="20"/>
                <w:szCs w:val="20"/>
              </w:rPr>
              <w:t>Nutricia</w:t>
            </w:r>
            <w:proofErr w:type="spellEnd"/>
            <w:r w:rsidRPr="00442BCE">
              <w:rPr>
                <w:rFonts w:cs="Arial"/>
                <w:b/>
                <w:sz w:val="20"/>
                <w:szCs w:val="20"/>
              </w:rPr>
              <w:t xml:space="preserve"> Advanced Medical Nutrition</w:t>
            </w:r>
          </w:p>
        </w:tc>
        <w:tc>
          <w:tcPr>
            <w:tcW w:w="11198" w:type="dxa"/>
          </w:tcPr>
          <w:p w14:paraId="623A6DA3" w14:textId="77777777" w:rsidR="003F5118" w:rsidRPr="00442BCE" w:rsidRDefault="003F5118" w:rsidP="003F5118">
            <w:pPr>
              <w:rPr>
                <w:rFonts w:ascii="Arial" w:hAnsi="Arial" w:cs="Arial"/>
                <w:sz w:val="20"/>
                <w:szCs w:val="20"/>
              </w:rPr>
            </w:pPr>
            <w:r w:rsidRPr="00442BCE">
              <w:rPr>
                <w:rFonts w:ascii="Arial" w:hAnsi="Arial" w:cs="Arial"/>
                <w:sz w:val="20"/>
                <w:szCs w:val="20"/>
              </w:rPr>
              <w:t>Nutritional status and screening for malnutritional risk should be documented for those that have reported having a fall. </w:t>
            </w:r>
            <w:hyperlink r:id="rId39" w:history="1">
              <w:r w:rsidRPr="00442BCE">
                <w:rPr>
                  <w:rStyle w:val="Hyperlink"/>
                  <w:rFonts w:ascii="Arial" w:hAnsi="Arial" w:cs="Arial"/>
                  <w:color w:val="auto"/>
                  <w:sz w:val="20"/>
                  <w:szCs w:val="20"/>
                </w:rPr>
                <w:t>https://www.ncbi.nlm.nih.gov/m/pubmed/21528166/</w:t>
              </w:r>
            </w:hyperlink>
            <w:r w:rsidRPr="00442BCE">
              <w:rPr>
                <w:rFonts w:ascii="Arial" w:hAnsi="Arial" w:cs="Arial"/>
                <w:sz w:val="20"/>
                <w:szCs w:val="20"/>
              </w:rPr>
              <w:t xml:space="preserve"> ; </w:t>
            </w:r>
            <w:hyperlink r:id="rId40" w:history="1">
              <w:r w:rsidRPr="00442BCE">
                <w:rPr>
                  <w:rStyle w:val="Hyperlink"/>
                  <w:rFonts w:ascii="Arial" w:hAnsi="Arial" w:cs="Arial"/>
                  <w:color w:val="auto"/>
                  <w:sz w:val="20"/>
                  <w:szCs w:val="20"/>
                </w:rPr>
                <w:t>https://www.ncbi.nlm.nih.gov/m/pubmed/22836709/?i=2&amp;from=/21528166/related; https://www.ncbi.nlm.nih.gov/m/pubmed/29460785/</w:t>
              </w:r>
            </w:hyperlink>
            <w:r w:rsidRPr="00442BCE">
              <w:rPr>
                <w:rFonts w:ascii="Arial" w:hAnsi="Arial" w:cs="Arial"/>
                <w:sz w:val="20"/>
                <w:szCs w:val="20"/>
              </w:rPr>
              <w:t xml:space="preserve"> ) </w:t>
            </w:r>
          </w:p>
          <w:p w14:paraId="60BE0143" w14:textId="77777777" w:rsidR="003F5118" w:rsidRPr="00442BCE" w:rsidRDefault="003F5118" w:rsidP="003F5118">
            <w:pPr>
              <w:pStyle w:val="TableText1"/>
              <w:rPr>
                <w:rFonts w:cs="Arial"/>
                <w:sz w:val="20"/>
                <w:szCs w:val="20"/>
              </w:rPr>
            </w:pPr>
          </w:p>
        </w:tc>
      </w:tr>
      <w:tr w:rsidR="003F5118" w:rsidRPr="006375EE" w14:paraId="195E4FEC" w14:textId="77777777" w:rsidTr="0024650F">
        <w:tc>
          <w:tcPr>
            <w:tcW w:w="562" w:type="dxa"/>
          </w:tcPr>
          <w:p w14:paraId="1B5D6D02" w14:textId="30C175A0" w:rsidR="003F5118" w:rsidRPr="006658EF" w:rsidRDefault="006658EF" w:rsidP="003F5118">
            <w:pPr>
              <w:pStyle w:val="TableText1"/>
              <w:jc w:val="center"/>
              <w:rPr>
                <w:rFonts w:cs="Arial"/>
                <w:sz w:val="20"/>
                <w:szCs w:val="20"/>
              </w:rPr>
            </w:pPr>
            <w:r w:rsidRPr="006658EF">
              <w:rPr>
                <w:rFonts w:cs="Arial"/>
                <w:sz w:val="20"/>
                <w:szCs w:val="20"/>
              </w:rPr>
              <w:t>63</w:t>
            </w:r>
          </w:p>
        </w:tc>
        <w:tc>
          <w:tcPr>
            <w:tcW w:w="1139" w:type="dxa"/>
          </w:tcPr>
          <w:p w14:paraId="2444C097" w14:textId="77777777" w:rsidR="003F5118" w:rsidRPr="00466241" w:rsidRDefault="003F5118" w:rsidP="003F5118">
            <w:pPr>
              <w:pStyle w:val="TableText1"/>
              <w:rPr>
                <w:rFonts w:cs="Arial"/>
                <w:sz w:val="20"/>
                <w:szCs w:val="20"/>
              </w:rPr>
            </w:pPr>
          </w:p>
          <w:p w14:paraId="6A2BA171" w14:textId="51C995CF" w:rsidR="003F5118" w:rsidRPr="00466241" w:rsidRDefault="003F5118" w:rsidP="003F5118">
            <w:pPr>
              <w:rPr>
                <w:rFonts w:ascii="Arial" w:hAnsi="Arial" w:cs="Arial"/>
                <w:sz w:val="20"/>
                <w:szCs w:val="20"/>
                <w:lang w:eastAsia="en-GB"/>
              </w:rPr>
            </w:pPr>
            <w:r w:rsidRPr="00466241">
              <w:rPr>
                <w:rFonts w:ascii="Arial" w:hAnsi="Arial" w:cs="Arial"/>
                <w:sz w:val="20"/>
                <w:szCs w:val="20"/>
                <w:lang w:eastAsia="en-GB"/>
              </w:rPr>
              <w:t>IND15.1</w:t>
            </w:r>
          </w:p>
        </w:tc>
        <w:tc>
          <w:tcPr>
            <w:tcW w:w="1985" w:type="dxa"/>
          </w:tcPr>
          <w:p w14:paraId="26DD6357" w14:textId="4D0AE539" w:rsidR="003F5118" w:rsidRPr="00E10833" w:rsidRDefault="003F5118" w:rsidP="003F5118">
            <w:pPr>
              <w:pStyle w:val="TableText1"/>
              <w:rPr>
                <w:rFonts w:cs="Arial"/>
                <w:b/>
                <w:sz w:val="20"/>
                <w:szCs w:val="20"/>
              </w:rPr>
            </w:pPr>
            <w:r w:rsidRPr="00E10833">
              <w:rPr>
                <w:rFonts w:cs="Arial"/>
                <w:b/>
                <w:sz w:val="20"/>
                <w:szCs w:val="20"/>
              </w:rPr>
              <w:t>Public Health England</w:t>
            </w:r>
          </w:p>
        </w:tc>
        <w:tc>
          <w:tcPr>
            <w:tcW w:w="11198" w:type="dxa"/>
          </w:tcPr>
          <w:p w14:paraId="1638BAAE" w14:textId="7DD6E659" w:rsidR="003F5118" w:rsidRPr="00E10833" w:rsidRDefault="003F5118" w:rsidP="003F5118">
            <w:pPr>
              <w:pStyle w:val="TableText1"/>
              <w:rPr>
                <w:rFonts w:cs="Arial"/>
                <w:sz w:val="20"/>
                <w:szCs w:val="20"/>
              </w:rPr>
            </w:pPr>
            <w:r w:rsidRPr="00E10833">
              <w:rPr>
                <w:rFonts w:cs="Arial"/>
                <w:sz w:val="20"/>
                <w:szCs w:val="20"/>
              </w:rPr>
              <w:t xml:space="preserve">IND 15.1 This indicator is strongly supported – previously this indicator only applied to patients living with severe frailty. This group is likely to already be known to services. Expert consensus provided by clinical leads in the field following a previous consultation on the </w:t>
            </w:r>
            <w:proofErr w:type="spellStart"/>
            <w:r w:rsidRPr="00E10833">
              <w:rPr>
                <w:rFonts w:cs="Arial"/>
                <w:sz w:val="20"/>
                <w:szCs w:val="20"/>
              </w:rPr>
              <w:t>eFI</w:t>
            </w:r>
            <w:proofErr w:type="spellEnd"/>
            <w:r w:rsidRPr="00E10833">
              <w:rPr>
                <w:rFonts w:cs="Arial"/>
                <w:sz w:val="20"/>
                <w:szCs w:val="20"/>
              </w:rPr>
              <w:t xml:space="preserve"> from NHS England conclude that the group of people living with moderate frailty are the single largest identifiable patient group with a capacity to significantly benefit from falls prevention interventions such as strength and balance exercise programmes and many are likely to not be currently engaged</w:t>
            </w:r>
          </w:p>
        </w:tc>
      </w:tr>
      <w:tr w:rsidR="003F5118" w:rsidRPr="006375EE" w14:paraId="3DEA7DFC" w14:textId="77777777" w:rsidTr="0024650F">
        <w:tc>
          <w:tcPr>
            <w:tcW w:w="562" w:type="dxa"/>
          </w:tcPr>
          <w:p w14:paraId="4E3559C5" w14:textId="5549F7FB" w:rsidR="003F5118" w:rsidRPr="006658EF" w:rsidRDefault="006658EF" w:rsidP="003F5118">
            <w:pPr>
              <w:pStyle w:val="TableText1"/>
              <w:jc w:val="center"/>
              <w:rPr>
                <w:rFonts w:cs="Arial"/>
                <w:sz w:val="20"/>
                <w:szCs w:val="20"/>
              </w:rPr>
            </w:pPr>
            <w:r w:rsidRPr="006658EF">
              <w:rPr>
                <w:rFonts w:cs="Arial"/>
                <w:sz w:val="20"/>
                <w:szCs w:val="20"/>
              </w:rPr>
              <w:t>64</w:t>
            </w:r>
          </w:p>
        </w:tc>
        <w:tc>
          <w:tcPr>
            <w:tcW w:w="1139" w:type="dxa"/>
          </w:tcPr>
          <w:p w14:paraId="6FC1C4D0" w14:textId="3D84FB78" w:rsidR="003F5118" w:rsidRPr="00466241" w:rsidRDefault="003F5118" w:rsidP="003F5118">
            <w:pPr>
              <w:pStyle w:val="TableText1"/>
              <w:rPr>
                <w:rFonts w:cs="Arial"/>
                <w:sz w:val="20"/>
                <w:szCs w:val="20"/>
              </w:rPr>
            </w:pPr>
            <w:r w:rsidRPr="00466241">
              <w:rPr>
                <w:rFonts w:cs="Arial"/>
                <w:sz w:val="20"/>
                <w:szCs w:val="20"/>
              </w:rPr>
              <w:t>IND15.1</w:t>
            </w:r>
          </w:p>
        </w:tc>
        <w:tc>
          <w:tcPr>
            <w:tcW w:w="1985" w:type="dxa"/>
          </w:tcPr>
          <w:p w14:paraId="77A84F21" w14:textId="011834D9" w:rsidR="003F5118" w:rsidRPr="00902CB1" w:rsidRDefault="003F5118" w:rsidP="003F5118">
            <w:pPr>
              <w:pStyle w:val="TableText1"/>
              <w:rPr>
                <w:rFonts w:cs="Arial"/>
                <w:szCs w:val="20"/>
              </w:rPr>
            </w:pPr>
            <w:r w:rsidRPr="00442BCE">
              <w:rPr>
                <w:rFonts w:cs="Arial"/>
                <w:b/>
                <w:sz w:val="20"/>
                <w:szCs w:val="20"/>
              </w:rPr>
              <w:t>Resuscitation Council (UK)</w:t>
            </w:r>
          </w:p>
        </w:tc>
        <w:tc>
          <w:tcPr>
            <w:tcW w:w="11198" w:type="dxa"/>
          </w:tcPr>
          <w:p w14:paraId="0EF090AA" w14:textId="18B00921" w:rsidR="003F5118" w:rsidRPr="006375EE" w:rsidRDefault="003F5118" w:rsidP="003F5118">
            <w:pPr>
              <w:pStyle w:val="TableText1"/>
              <w:rPr>
                <w:rFonts w:cs="Arial"/>
                <w:szCs w:val="20"/>
                <w:highlight w:val="yellow"/>
              </w:rPr>
            </w:pPr>
            <w:r w:rsidRPr="00442BCE">
              <w:rPr>
                <w:rFonts w:cs="Arial"/>
                <w:sz w:val="20"/>
                <w:szCs w:val="20"/>
              </w:rPr>
              <w:t>For clarity we suggest a change of wording from ‘</w:t>
            </w:r>
            <w:r w:rsidRPr="00442BCE">
              <w:rPr>
                <w:rFonts w:cs="Arial"/>
                <w:i/>
                <w:sz w:val="20"/>
                <w:szCs w:val="20"/>
              </w:rPr>
              <w:t>The percentage of patients (aged 65 years and over) with moderate or severe frailty who have been asked whether they have had a fall, about the total number of falls and about the type of falls, in the last 12 months’</w:t>
            </w:r>
            <w:r w:rsidRPr="00442BCE">
              <w:rPr>
                <w:rFonts w:cs="Arial"/>
                <w:sz w:val="20"/>
                <w:szCs w:val="20"/>
              </w:rPr>
              <w:t xml:space="preserve">. </w:t>
            </w:r>
            <w:bookmarkStart w:id="73" w:name="_Hlk9251914"/>
            <w:r w:rsidRPr="00442BCE">
              <w:rPr>
                <w:rFonts w:cs="Arial"/>
                <w:sz w:val="20"/>
                <w:szCs w:val="20"/>
              </w:rPr>
              <w:t>It is unclear whether your intention is only to record whether the question has been asked in the past 12 months, or whether the question itself is also intended to elicit the number and type of falls in the 12 months preceding the question</w:t>
            </w:r>
            <w:bookmarkEnd w:id="73"/>
            <w:r w:rsidRPr="00442BCE">
              <w:rPr>
                <w:rFonts w:cs="Arial"/>
                <w:sz w:val="20"/>
                <w:szCs w:val="20"/>
              </w:rPr>
              <w:t>. If the latter is correct, we suggest a change to: ‘</w:t>
            </w:r>
            <w:r w:rsidRPr="00442BCE">
              <w:rPr>
                <w:rFonts w:cs="Arial"/>
                <w:b/>
                <w:sz w:val="20"/>
                <w:szCs w:val="20"/>
              </w:rPr>
              <w:t>The percentage of patients (aged 65 years and over) with moderate or severe frailty who have been asked in the last 12 months whether they have had a fall in the previous 12 months, about the total number of falls in the previous 12 months and about the type of falls</w:t>
            </w:r>
            <w:r w:rsidRPr="00442BCE">
              <w:rPr>
                <w:rFonts w:cs="Arial"/>
                <w:sz w:val="20"/>
                <w:szCs w:val="20"/>
              </w:rPr>
              <w:t>.’ If the question is not intended to ask about the preceding 12 months, the wording should be ‘</w:t>
            </w:r>
            <w:r w:rsidRPr="00442BCE">
              <w:rPr>
                <w:rFonts w:cs="Arial"/>
                <w:b/>
                <w:sz w:val="20"/>
                <w:szCs w:val="20"/>
              </w:rPr>
              <w:t xml:space="preserve">The percentage of patients (aged 65 years </w:t>
            </w:r>
            <w:r w:rsidRPr="00442BCE">
              <w:rPr>
                <w:rFonts w:cs="Arial"/>
                <w:b/>
                <w:sz w:val="20"/>
                <w:szCs w:val="20"/>
              </w:rPr>
              <w:lastRenderedPageBreak/>
              <w:t>and over) with moderate or severe frailty who have been asked in the last 12 months whether they have had a fall, about the total number of falls and about the type of falls</w:t>
            </w:r>
            <w:r w:rsidRPr="00442BCE">
              <w:rPr>
                <w:rFonts w:cs="Arial"/>
                <w:sz w:val="20"/>
                <w:szCs w:val="20"/>
              </w:rPr>
              <w:t>.’</w:t>
            </w:r>
          </w:p>
        </w:tc>
      </w:tr>
      <w:tr w:rsidR="003F5118" w:rsidRPr="006375EE" w14:paraId="48934181" w14:textId="77777777" w:rsidTr="0024650F">
        <w:tc>
          <w:tcPr>
            <w:tcW w:w="562" w:type="dxa"/>
          </w:tcPr>
          <w:p w14:paraId="68D95AD8" w14:textId="545E4EA7" w:rsidR="003F5118" w:rsidRPr="006658EF" w:rsidRDefault="006658EF" w:rsidP="003F5118">
            <w:pPr>
              <w:pStyle w:val="TableText1"/>
              <w:jc w:val="center"/>
              <w:rPr>
                <w:rFonts w:cs="Arial"/>
                <w:sz w:val="20"/>
                <w:szCs w:val="20"/>
              </w:rPr>
            </w:pPr>
            <w:r w:rsidRPr="006658EF">
              <w:rPr>
                <w:rFonts w:cs="Arial"/>
                <w:sz w:val="20"/>
                <w:szCs w:val="20"/>
              </w:rPr>
              <w:lastRenderedPageBreak/>
              <w:t>65</w:t>
            </w:r>
          </w:p>
        </w:tc>
        <w:tc>
          <w:tcPr>
            <w:tcW w:w="1139" w:type="dxa"/>
          </w:tcPr>
          <w:p w14:paraId="757EF40C" w14:textId="31AFF932" w:rsidR="003F5118" w:rsidRPr="00466241" w:rsidRDefault="003F5118" w:rsidP="003F5118">
            <w:pPr>
              <w:pStyle w:val="TableText1"/>
              <w:rPr>
                <w:rFonts w:cs="Arial"/>
                <w:color w:val="000000"/>
                <w:sz w:val="20"/>
                <w:szCs w:val="20"/>
              </w:rPr>
            </w:pPr>
            <w:r w:rsidRPr="00466241">
              <w:rPr>
                <w:rFonts w:cs="Arial"/>
                <w:color w:val="000000"/>
                <w:sz w:val="20"/>
                <w:szCs w:val="20"/>
              </w:rPr>
              <w:t>IND15.1</w:t>
            </w:r>
          </w:p>
        </w:tc>
        <w:tc>
          <w:tcPr>
            <w:tcW w:w="1985" w:type="dxa"/>
          </w:tcPr>
          <w:p w14:paraId="22655990" w14:textId="345AF57B" w:rsidR="003F5118" w:rsidRPr="00902CB1" w:rsidRDefault="003F5118" w:rsidP="003F5118">
            <w:pPr>
              <w:pStyle w:val="TableText1"/>
              <w:rPr>
                <w:rFonts w:cs="Arial"/>
                <w:szCs w:val="20"/>
              </w:rPr>
            </w:pPr>
            <w:r w:rsidRPr="00442BCE">
              <w:rPr>
                <w:rFonts w:cs="Arial"/>
                <w:b/>
                <w:sz w:val="20"/>
                <w:szCs w:val="20"/>
              </w:rPr>
              <w:t>Royal College of General Practitioners</w:t>
            </w:r>
          </w:p>
        </w:tc>
        <w:tc>
          <w:tcPr>
            <w:tcW w:w="11198" w:type="dxa"/>
          </w:tcPr>
          <w:p w14:paraId="20884165" w14:textId="77777777" w:rsidR="003F5118" w:rsidRPr="00442BCE" w:rsidRDefault="003F5118" w:rsidP="003F5118">
            <w:pPr>
              <w:autoSpaceDE w:val="0"/>
              <w:autoSpaceDN w:val="0"/>
              <w:adjustRightInd w:val="0"/>
              <w:rPr>
                <w:rFonts w:ascii="Arial" w:hAnsi="Arial" w:cs="Arial"/>
                <w:b/>
                <w:sz w:val="20"/>
                <w:szCs w:val="20"/>
                <w:lang w:eastAsia="en-GB"/>
              </w:rPr>
            </w:pPr>
            <w:r w:rsidRPr="00442BCE">
              <w:rPr>
                <w:rFonts w:ascii="Arial" w:hAnsi="Arial" w:cs="Arial"/>
                <w:sz w:val="20"/>
                <w:szCs w:val="20"/>
                <w:lang w:eastAsia="en-GB"/>
              </w:rPr>
              <w:t>IND15.1: The percentage of patients (aged 65 years and over) with moderate or severe frailty who have been asked whether they have</w:t>
            </w:r>
            <w:r>
              <w:rPr>
                <w:rFonts w:ascii="Arial" w:hAnsi="Arial" w:cs="Arial"/>
                <w:sz w:val="20"/>
                <w:szCs w:val="20"/>
                <w:lang w:eastAsia="en-GB"/>
              </w:rPr>
              <w:t xml:space="preserve"> </w:t>
            </w:r>
            <w:r w:rsidRPr="00442BCE">
              <w:rPr>
                <w:rFonts w:ascii="Arial" w:hAnsi="Arial" w:cs="Arial"/>
                <w:sz w:val="20"/>
                <w:szCs w:val="20"/>
                <w:lang w:eastAsia="en-GB"/>
              </w:rPr>
              <w:t xml:space="preserve">had a fall, about the total number of falls and about the type of falls, in the last 12 months </w:t>
            </w:r>
            <w:r w:rsidRPr="00442BCE">
              <w:rPr>
                <w:rFonts w:ascii="Arial" w:hAnsi="Arial" w:cs="Arial"/>
                <w:b/>
                <w:sz w:val="20"/>
                <w:szCs w:val="20"/>
                <w:lang w:eastAsia="en-GB"/>
              </w:rPr>
              <w:t>New</w:t>
            </w:r>
          </w:p>
          <w:p w14:paraId="26418963" w14:textId="77777777" w:rsidR="003F5118" w:rsidRPr="00442BCE" w:rsidRDefault="003F5118" w:rsidP="003F5118">
            <w:pPr>
              <w:rPr>
                <w:rFonts w:ascii="Arial" w:hAnsi="Arial" w:cs="Arial"/>
                <w:b/>
                <w:sz w:val="20"/>
                <w:szCs w:val="20"/>
                <w:lang w:eastAsia="en-GB"/>
              </w:rPr>
            </w:pPr>
          </w:p>
          <w:p w14:paraId="25299DB0" w14:textId="3B4053F3" w:rsidR="003F5118" w:rsidRPr="006375EE" w:rsidRDefault="003F5118" w:rsidP="003F5118">
            <w:pPr>
              <w:pStyle w:val="TableText1"/>
              <w:rPr>
                <w:rFonts w:cs="Arial"/>
                <w:szCs w:val="20"/>
                <w:highlight w:val="yellow"/>
              </w:rPr>
            </w:pPr>
            <w:bookmarkStart w:id="74" w:name="_Hlk9251957"/>
            <w:r w:rsidRPr="00442BCE">
              <w:rPr>
                <w:rFonts w:cs="Arial"/>
                <w:b/>
                <w:sz w:val="20"/>
                <w:szCs w:val="20"/>
              </w:rPr>
              <w:t xml:space="preserve">We support this indicator.  </w:t>
            </w:r>
            <w:r w:rsidRPr="00442BCE">
              <w:rPr>
                <w:rFonts w:cs="Arial"/>
                <w:sz w:val="20"/>
                <w:szCs w:val="20"/>
              </w:rPr>
              <w:t>This indicator, and indicator 15.2 are very complex.  There is value in collecting data relating to patients at risk of falling.  However, professionals should be trusted to act appropriately when risks are identified, depending on the availability of local service provision.</w:t>
            </w:r>
            <w:bookmarkEnd w:id="74"/>
          </w:p>
        </w:tc>
      </w:tr>
      <w:tr w:rsidR="003F5118" w:rsidRPr="006375EE" w14:paraId="693798E0" w14:textId="77777777" w:rsidTr="0024650F">
        <w:tc>
          <w:tcPr>
            <w:tcW w:w="562" w:type="dxa"/>
          </w:tcPr>
          <w:p w14:paraId="0906491A" w14:textId="2A58E1A5" w:rsidR="003F5118" w:rsidRPr="006658EF" w:rsidRDefault="006658EF" w:rsidP="003F5118">
            <w:pPr>
              <w:pStyle w:val="TableText1"/>
              <w:jc w:val="center"/>
              <w:rPr>
                <w:rFonts w:cs="Arial"/>
                <w:sz w:val="20"/>
                <w:szCs w:val="20"/>
              </w:rPr>
            </w:pPr>
            <w:r w:rsidRPr="006658EF">
              <w:rPr>
                <w:rFonts w:cs="Arial"/>
                <w:sz w:val="20"/>
                <w:szCs w:val="20"/>
              </w:rPr>
              <w:t>66</w:t>
            </w:r>
          </w:p>
        </w:tc>
        <w:tc>
          <w:tcPr>
            <w:tcW w:w="1139" w:type="dxa"/>
          </w:tcPr>
          <w:p w14:paraId="512F14EE" w14:textId="77081248" w:rsidR="003F5118" w:rsidRPr="00466241" w:rsidRDefault="003F5118" w:rsidP="003F5118">
            <w:pPr>
              <w:pStyle w:val="TableText1"/>
              <w:rPr>
                <w:rFonts w:cs="Arial"/>
                <w:color w:val="000000"/>
                <w:sz w:val="20"/>
                <w:szCs w:val="20"/>
              </w:rPr>
            </w:pPr>
            <w:r w:rsidRPr="00466241">
              <w:rPr>
                <w:rFonts w:cs="Arial"/>
                <w:color w:val="000000"/>
                <w:sz w:val="20"/>
                <w:szCs w:val="20"/>
              </w:rPr>
              <w:t>IND15.2</w:t>
            </w:r>
          </w:p>
        </w:tc>
        <w:tc>
          <w:tcPr>
            <w:tcW w:w="1985" w:type="dxa"/>
          </w:tcPr>
          <w:p w14:paraId="1642C7EE" w14:textId="1E75FEAF" w:rsidR="003F5118" w:rsidRPr="006375EE" w:rsidRDefault="003F5118" w:rsidP="003F5118">
            <w:pPr>
              <w:pStyle w:val="TableText1"/>
              <w:rPr>
                <w:rFonts w:cs="Arial"/>
                <w:color w:val="000000"/>
                <w:sz w:val="20"/>
                <w:szCs w:val="20"/>
                <w:highlight w:val="yellow"/>
              </w:rPr>
            </w:pPr>
            <w:r w:rsidRPr="00442BCE">
              <w:rPr>
                <w:rFonts w:cs="Arial"/>
                <w:b/>
                <w:sz w:val="20"/>
                <w:szCs w:val="20"/>
              </w:rPr>
              <w:t>British Medical Association</w:t>
            </w:r>
          </w:p>
        </w:tc>
        <w:tc>
          <w:tcPr>
            <w:tcW w:w="11198" w:type="dxa"/>
          </w:tcPr>
          <w:p w14:paraId="2FB837FF" w14:textId="77777777" w:rsidR="003F5118" w:rsidRPr="00442BCE" w:rsidRDefault="003F5118" w:rsidP="003F5118">
            <w:pPr>
              <w:rPr>
                <w:rFonts w:ascii="Arial" w:hAnsi="Arial" w:cs="Arial"/>
                <w:sz w:val="20"/>
                <w:szCs w:val="20"/>
              </w:rPr>
            </w:pPr>
            <w:r w:rsidRPr="00442BCE">
              <w:rPr>
                <w:rFonts w:ascii="Arial" w:hAnsi="Arial" w:cs="Arial"/>
                <w:sz w:val="20"/>
                <w:szCs w:val="20"/>
              </w:rPr>
              <w:t>IND15.2 The percentage of patients (aged 65 years and over) with moderate or severe frailty who have been asked whether they have had a fall, about the total number of falls and about the type of falls, in the last 12 months, were found to be at risk and have been provided with advice and guidance with regard to falls prevention (in the last 12 months).</w:t>
            </w:r>
          </w:p>
          <w:p w14:paraId="494902DC" w14:textId="77777777" w:rsidR="003F5118" w:rsidRPr="00442BCE" w:rsidRDefault="003F5118" w:rsidP="003F5118">
            <w:pPr>
              <w:rPr>
                <w:rFonts w:ascii="Arial" w:hAnsi="Arial" w:cs="Arial"/>
                <w:sz w:val="20"/>
                <w:szCs w:val="20"/>
              </w:rPr>
            </w:pPr>
          </w:p>
          <w:p w14:paraId="1AFCA44B" w14:textId="10FF87DE" w:rsidR="003F5118" w:rsidRPr="006375EE" w:rsidRDefault="003F5118" w:rsidP="003F5118">
            <w:pPr>
              <w:pStyle w:val="TableText1"/>
              <w:rPr>
                <w:rFonts w:cs="Arial"/>
                <w:b/>
                <w:bCs/>
                <w:color w:val="000000"/>
                <w:sz w:val="20"/>
                <w:szCs w:val="20"/>
                <w:highlight w:val="yellow"/>
              </w:rPr>
            </w:pPr>
            <w:bookmarkStart w:id="75" w:name="_Hlk9252308"/>
            <w:r w:rsidRPr="00442BCE">
              <w:rPr>
                <w:rFonts w:cs="Arial"/>
                <w:sz w:val="20"/>
                <w:szCs w:val="20"/>
              </w:rPr>
              <w:t>We oppose this indicator. Our concerns regarding IND15.1 apply here too and the professionalism of the clinician should be relied on to take appropriate action once a significant problem has been identified. This indicator is likely to become an automatic ‘tick-box’ exercise and so the recording will not indicate whether useful help has been offered.</w:t>
            </w:r>
            <w:bookmarkEnd w:id="75"/>
          </w:p>
        </w:tc>
      </w:tr>
      <w:tr w:rsidR="003F5118" w:rsidRPr="006375EE" w14:paraId="2C2BC44E" w14:textId="77777777" w:rsidTr="0024650F">
        <w:tc>
          <w:tcPr>
            <w:tcW w:w="562" w:type="dxa"/>
          </w:tcPr>
          <w:p w14:paraId="406181DD" w14:textId="46EDCCD2" w:rsidR="003F5118" w:rsidRPr="006658EF" w:rsidRDefault="006658EF" w:rsidP="003F5118">
            <w:pPr>
              <w:pStyle w:val="TableText1"/>
              <w:jc w:val="center"/>
              <w:rPr>
                <w:rFonts w:cs="Arial"/>
                <w:sz w:val="20"/>
                <w:szCs w:val="20"/>
              </w:rPr>
            </w:pPr>
            <w:r w:rsidRPr="006658EF">
              <w:rPr>
                <w:rFonts w:cs="Arial"/>
                <w:sz w:val="20"/>
                <w:szCs w:val="20"/>
              </w:rPr>
              <w:t>67</w:t>
            </w:r>
          </w:p>
        </w:tc>
        <w:tc>
          <w:tcPr>
            <w:tcW w:w="1139" w:type="dxa"/>
          </w:tcPr>
          <w:p w14:paraId="77BFDABE" w14:textId="7A28F9E0" w:rsidR="003F5118" w:rsidRPr="00466241" w:rsidRDefault="003F5118" w:rsidP="003F5118">
            <w:pPr>
              <w:pStyle w:val="TableText1"/>
              <w:rPr>
                <w:rFonts w:cs="Arial"/>
                <w:color w:val="000000"/>
                <w:sz w:val="20"/>
                <w:szCs w:val="20"/>
              </w:rPr>
            </w:pPr>
            <w:r w:rsidRPr="00466241">
              <w:rPr>
                <w:rFonts w:cs="Arial"/>
                <w:sz w:val="20"/>
                <w:szCs w:val="20"/>
              </w:rPr>
              <w:t>IND15.1 and IND15.2</w:t>
            </w:r>
          </w:p>
        </w:tc>
        <w:tc>
          <w:tcPr>
            <w:tcW w:w="1985" w:type="dxa"/>
          </w:tcPr>
          <w:p w14:paraId="1637949A" w14:textId="11070E39" w:rsidR="003F5118" w:rsidRPr="00442BCE" w:rsidRDefault="003F5118" w:rsidP="003F5118">
            <w:pPr>
              <w:pStyle w:val="TableText1"/>
              <w:rPr>
                <w:rFonts w:cs="Arial"/>
                <w:b/>
                <w:sz w:val="20"/>
                <w:szCs w:val="20"/>
              </w:rPr>
            </w:pPr>
            <w:r w:rsidRPr="00442BCE">
              <w:rPr>
                <w:rFonts w:cs="Arial"/>
                <w:b/>
                <w:sz w:val="20"/>
                <w:szCs w:val="20"/>
              </w:rPr>
              <w:t>Managing Adult Malnutrition in the Community</w:t>
            </w:r>
          </w:p>
        </w:tc>
        <w:tc>
          <w:tcPr>
            <w:tcW w:w="11198" w:type="dxa"/>
          </w:tcPr>
          <w:p w14:paraId="56B96052" w14:textId="77777777" w:rsidR="003F5118" w:rsidRPr="00442BCE" w:rsidRDefault="003F5118" w:rsidP="003F5118">
            <w:pPr>
              <w:rPr>
                <w:rFonts w:ascii="Arial" w:hAnsi="Arial" w:cs="Arial"/>
                <w:sz w:val="20"/>
                <w:szCs w:val="20"/>
              </w:rPr>
            </w:pPr>
            <w:r w:rsidRPr="00442BCE">
              <w:rPr>
                <w:rFonts w:ascii="Arial" w:hAnsi="Arial" w:cs="Arial"/>
                <w:sz w:val="20"/>
                <w:szCs w:val="20"/>
              </w:rPr>
              <w:t>Falls Prevention – nutritional status is an independent predictor of falls in older people in the community and improvement of nutritional status</w:t>
            </w:r>
            <w:r w:rsidRPr="00442BCE">
              <w:rPr>
                <w:rFonts w:ascii="Arial" w:hAnsi="Arial" w:cs="Arial"/>
                <w:sz w:val="20"/>
                <w:szCs w:val="20"/>
                <w:vertAlign w:val="superscript"/>
              </w:rPr>
              <w:t>1</w:t>
            </w:r>
            <w:r w:rsidRPr="00442BCE">
              <w:rPr>
                <w:rFonts w:ascii="Arial" w:hAnsi="Arial" w:cs="Arial"/>
                <w:sz w:val="20"/>
                <w:szCs w:val="20"/>
              </w:rPr>
              <w:t xml:space="preserve"> has been found to reduce falls risk</w:t>
            </w:r>
            <w:r w:rsidRPr="00442BCE">
              <w:rPr>
                <w:rFonts w:ascii="Arial" w:hAnsi="Arial" w:cs="Arial"/>
                <w:sz w:val="20"/>
                <w:szCs w:val="20"/>
                <w:vertAlign w:val="superscript"/>
              </w:rPr>
              <w:t>2</w:t>
            </w:r>
            <w:r w:rsidRPr="00442BCE">
              <w:rPr>
                <w:rFonts w:ascii="Arial" w:hAnsi="Arial" w:cs="Arial"/>
                <w:sz w:val="20"/>
                <w:szCs w:val="20"/>
              </w:rPr>
              <w:t xml:space="preserve">. We would therefore recommend nutritional screening, assessment and management should be incorporated into the </w:t>
            </w:r>
            <w:proofErr w:type="gramStart"/>
            <w:r w:rsidRPr="00442BCE">
              <w:rPr>
                <w:rFonts w:ascii="Arial" w:hAnsi="Arial" w:cs="Arial"/>
                <w:sz w:val="20"/>
                <w:szCs w:val="20"/>
              </w:rPr>
              <w:t>falls</w:t>
            </w:r>
            <w:proofErr w:type="gramEnd"/>
            <w:r w:rsidRPr="00442BCE">
              <w:rPr>
                <w:rFonts w:ascii="Arial" w:hAnsi="Arial" w:cs="Arial"/>
                <w:sz w:val="20"/>
                <w:szCs w:val="20"/>
              </w:rPr>
              <w:t xml:space="preserve"> pathways. </w:t>
            </w:r>
          </w:p>
          <w:p w14:paraId="20B10BCC" w14:textId="77777777" w:rsidR="003F5118" w:rsidRPr="00442BCE" w:rsidRDefault="003F5118" w:rsidP="003F5118">
            <w:pPr>
              <w:rPr>
                <w:rFonts w:ascii="Arial" w:hAnsi="Arial" w:cs="Arial"/>
                <w:sz w:val="20"/>
                <w:szCs w:val="20"/>
              </w:rPr>
            </w:pPr>
          </w:p>
          <w:p w14:paraId="431E5B10" w14:textId="77777777" w:rsidR="003F5118" w:rsidRPr="00442BCE" w:rsidRDefault="003F5118" w:rsidP="003F5118">
            <w:pPr>
              <w:rPr>
                <w:rFonts w:ascii="Arial" w:hAnsi="Arial" w:cs="Arial"/>
                <w:sz w:val="20"/>
                <w:szCs w:val="20"/>
              </w:rPr>
            </w:pPr>
            <w:r w:rsidRPr="00442BCE">
              <w:rPr>
                <w:rFonts w:ascii="Arial" w:hAnsi="Arial" w:cs="Arial"/>
                <w:sz w:val="20"/>
                <w:szCs w:val="20"/>
              </w:rPr>
              <w:t>References</w:t>
            </w:r>
          </w:p>
          <w:p w14:paraId="7E98595D" w14:textId="77777777" w:rsidR="003F5118" w:rsidRPr="00442BCE" w:rsidRDefault="003F5118" w:rsidP="003F5118">
            <w:pPr>
              <w:pStyle w:val="ListParagraph"/>
              <w:numPr>
                <w:ilvl w:val="0"/>
                <w:numId w:val="43"/>
              </w:numPr>
              <w:rPr>
                <w:rFonts w:ascii="Arial" w:hAnsi="Arial" w:cs="Arial"/>
                <w:sz w:val="20"/>
                <w:szCs w:val="20"/>
              </w:rPr>
            </w:pPr>
            <w:proofErr w:type="spellStart"/>
            <w:r w:rsidRPr="00442BCE">
              <w:rPr>
                <w:rFonts w:ascii="Arial" w:hAnsi="Arial" w:cs="Arial"/>
                <w:sz w:val="20"/>
                <w:szCs w:val="20"/>
              </w:rPr>
              <w:t>Chien</w:t>
            </w:r>
            <w:proofErr w:type="spellEnd"/>
            <w:r w:rsidRPr="00442BCE">
              <w:rPr>
                <w:rFonts w:ascii="Arial" w:hAnsi="Arial" w:cs="Arial"/>
                <w:sz w:val="20"/>
                <w:szCs w:val="20"/>
              </w:rPr>
              <w:t xml:space="preserve"> MH and Guo HR. Nutritional status and falls in community-dwelling older people: a longitudinal study of a population-based random sample. </w:t>
            </w:r>
            <w:proofErr w:type="spellStart"/>
            <w:r w:rsidRPr="00442BCE">
              <w:rPr>
                <w:rFonts w:ascii="Arial" w:hAnsi="Arial" w:cs="Arial"/>
                <w:sz w:val="20"/>
                <w:szCs w:val="20"/>
              </w:rPr>
              <w:t>PLoS</w:t>
            </w:r>
            <w:proofErr w:type="spellEnd"/>
            <w:r w:rsidRPr="00442BCE">
              <w:rPr>
                <w:rFonts w:ascii="Arial" w:hAnsi="Arial" w:cs="Arial"/>
                <w:sz w:val="20"/>
                <w:szCs w:val="20"/>
              </w:rPr>
              <w:t xml:space="preserve"> One. 2014. www.ncbi.nlm.nih. gov/</w:t>
            </w:r>
            <w:proofErr w:type="spellStart"/>
            <w:r w:rsidRPr="00442BCE">
              <w:rPr>
                <w:rFonts w:ascii="Arial" w:hAnsi="Arial" w:cs="Arial"/>
                <w:sz w:val="20"/>
                <w:szCs w:val="20"/>
              </w:rPr>
              <w:t>pubmed</w:t>
            </w:r>
            <w:proofErr w:type="spellEnd"/>
            <w:r w:rsidRPr="00442BCE">
              <w:rPr>
                <w:rFonts w:ascii="Arial" w:hAnsi="Arial" w:cs="Arial"/>
                <w:sz w:val="20"/>
                <w:szCs w:val="20"/>
              </w:rPr>
              <w:t xml:space="preserve">/24614184 </w:t>
            </w:r>
          </w:p>
          <w:p w14:paraId="35A93BD9" w14:textId="77777777" w:rsidR="003F5118" w:rsidRPr="00442BCE" w:rsidRDefault="003F5118" w:rsidP="003F5118">
            <w:pPr>
              <w:pStyle w:val="ListParagraph"/>
              <w:numPr>
                <w:ilvl w:val="0"/>
                <w:numId w:val="43"/>
              </w:numPr>
              <w:rPr>
                <w:rFonts w:ascii="Arial" w:hAnsi="Arial" w:cs="Arial"/>
                <w:sz w:val="20"/>
                <w:szCs w:val="20"/>
              </w:rPr>
            </w:pPr>
            <w:proofErr w:type="spellStart"/>
            <w:r w:rsidRPr="00442BCE">
              <w:rPr>
                <w:rFonts w:ascii="Arial" w:hAnsi="Arial" w:cs="Arial"/>
                <w:sz w:val="20"/>
                <w:szCs w:val="20"/>
              </w:rPr>
              <w:t>Neyens</w:t>
            </w:r>
            <w:proofErr w:type="spellEnd"/>
            <w:r w:rsidRPr="00442BCE">
              <w:rPr>
                <w:rFonts w:ascii="Arial" w:hAnsi="Arial" w:cs="Arial"/>
                <w:sz w:val="20"/>
                <w:szCs w:val="20"/>
              </w:rPr>
              <w:t xml:space="preserve"> et al. Malnutrition is associated with an increased risk of falls and impaired activity in elderly patients in Dutch residential long-term care: A cross-sectional study. Archives of Gerontology and Geriatrics. 2013; 56(1): 265-269.</w:t>
            </w:r>
          </w:p>
          <w:p w14:paraId="6D4C88DF" w14:textId="77777777" w:rsidR="003F5118" w:rsidRPr="00442BCE" w:rsidRDefault="003F5118" w:rsidP="003F5118">
            <w:pPr>
              <w:rPr>
                <w:rFonts w:ascii="Arial" w:hAnsi="Arial" w:cs="Arial"/>
                <w:sz w:val="20"/>
                <w:szCs w:val="20"/>
              </w:rPr>
            </w:pPr>
          </w:p>
        </w:tc>
      </w:tr>
      <w:tr w:rsidR="003F5118" w:rsidRPr="006375EE" w14:paraId="52CA5CEE" w14:textId="77777777" w:rsidTr="0024650F">
        <w:tc>
          <w:tcPr>
            <w:tcW w:w="562" w:type="dxa"/>
          </w:tcPr>
          <w:p w14:paraId="665E6C37" w14:textId="04AB4284" w:rsidR="003F5118" w:rsidRPr="006658EF" w:rsidRDefault="006658EF" w:rsidP="003F5118">
            <w:pPr>
              <w:pStyle w:val="TableText1"/>
              <w:jc w:val="center"/>
              <w:rPr>
                <w:rFonts w:cs="Arial"/>
                <w:sz w:val="20"/>
                <w:szCs w:val="20"/>
              </w:rPr>
            </w:pPr>
            <w:r w:rsidRPr="006658EF">
              <w:rPr>
                <w:rFonts w:cs="Arial"/>
                <w:sz w:val="20"/>
                <w:szCs w:val="20"/>
              </w:rPr>
              <w:t>68</w:t>
            </w:r>
          </w:p>
        </w:tc>
        <w:tc>
          <w:tcPr>
            <w:tcW w:w="1139" w:type="dxa"/>
          </w:tcPr>
          <w:p w14:paraId="4F6A64E7" w14:textId="08244F4D" w:rsidR="003F5118" w:rsidRPr="00466241" w:rsidRDefault="003F5118" w:rsidP="003F5118">
            <w:pPr>
              <w:pStyle w:val="TableText1"/>
              <w:rPr>
                <w:rFonts w:cs="Arial"/>
                <w:color w:val="000000"/>
                <w:sz w:val="20"/>
                <w:szCs w:val="20"/>
              </w:rPr>
            </w:pPr>
            <w:r w:rsidRPr="00466241">
              <w:rPr>
                <w:rFonts w:cs="Arial"/>
                <w:color w:val="000000"/>
                <w:sz w:val="20"/>
                <w:szCs w:val="20"/>
              </w:rPr>
              <w:t>IND15.2</w:t>
            </w:r>
          </w:p>
        </w:tc>
        <w:tc>
          <w:tcPr>
            <w:tcW w:w="1985" w:type="dxa"/>
          </w:tcPr>
          <w:p w14:paraId="3FADD37A" w14:textId="360C103D" w:rsidR="003F5118" w:rsidRPr="006375EE" w:rsidRDefault="003F5118" w:rsidP="003F5118">
            <w:pPr>
              <w:pStyle w:val="TableText1"/>
              <w:rPr>
                <w:rFonts w:cs="Arial"/>
                <w:color w:val="000000"/>
                <w:sz w:val="20"/>
                <w:szCs w:val="20"/>
                <w:highlight w:val="yellow"/>
              </w:rPr>
            </w:pPr>
            <w:r w:rsidRPr="00442BCE">
              <w:rPr>
                <w:rFonts w:cs="Arial"/>
                <w:b/>
                <w:sz w:val="20"/>
                <w:szCs w:val="20"/>
              </w:rPr>
              <w:t>National Pharmaceutical Advisers Group (PAG)</w:t>
            </w:r>
          </w:p>
        </w:tc>
        <w:tc>
          <w:tcPr>
            <w:tcW w:w="11198" w:type="dxa"/>
          </w:tcPr>
          <w:p w14:paraId="0A96B5D5" w14:textId="07D7BDAB" w:rsidR="003F5118" w:rsidRPr="006375EE" w:rsidRDefault="003F5118" w:rsidP="003F5118">
            <w:pPr>
              <w:pStyle w:val="TableText1"/>
              <w:rPr>
                <w:rFonts w:cs="Arial"/>
                <w:b/>
                <w:bCs/>
                <w:color w:val="000000"/>
                <w:sz w:val="20"/>
                <w:szCs w:val="20"/>
                <w:highlight w:val="yellow"/>
              </w:rPr>
            </w:pPr>
            <w:r w:rsidRPr="00442BCE">
              <w:rPr>
                <w:rFonts w:cs="Arial"/>
                <w:sz w:val="20"/>
                <w:szCs w:val="20"/>
              </w:rPr>
              <w:t>As above but could be combined with 15.1</w:t>
            </w:r>
          </w:p>
        </w:tc>
      </w:tr>
      <w:tr w:rsidR="003F5118" w:rsidRPr="006375EE" w14:paraId="0380A383" w14:textId="77777777" w:rsidTr="0024650F">
        <w:tc>
          <w:tcPr>
            <w:tcW w:w="562" w:type="dxa"/>
          </w:tcPr>
          <w:p w14:paraId="20916C97" w14:textId="1EFB3E8B" w:rsidR="003F5118" w:rsidRPr="006658EF" w:rsidRDefault="006658EF" w:rsidP="003F5118">
            <w:pPr>
              <w:pStyle w:val="TableText1"/>
              <w:jc w:val="center"/>
              <w:rPr>
                <w:rFonts w:cs="Arial"/>
                <w:sz w:val="20"/>
                <w:szCs w:val="20"/>
              </w:rPr>
            </w:pPr>
            <w:r w:rsidRPr="006658EF">
              <w:rPr>
                <w:rFonts w:cs="Arial"/>
                <w:sz w:val="20"/>
                <w:szCs w:val="20"/>
              </w:rPr>
              <w:t>69</w:t>
            </w:r>
          </w:p>
        </w:tc>
        <w:tc>
          <w:tcPr>
            <w:tcW w:w="1139" w:type="dxa"/>
          </w:tcPr>
          <w:p w14:paraId="05FFA757" w14:textId="73C73FB4" w:rsidR="003F5118" w:rsidRPr="00466241" w:rsidRDefault="003F5118" w:rsidP="003F5118">
            <w:pPr>
              <w:pStyle w:val="TableText1"/>
              <w:rPr>
                <w:rFonts w:cs="Arial"/>
                <w:color w:val="000000"/>
                <w:sz w:val="20"/>
                <w:szCs w:val="20"/>
              </w:rPr>
            </w:pPr>
            <w:r w:rsidRPr="00466241">
              <w:rPr>
                <w:rFonts w:cs="Arial"/>
                <w:sz w:val="20"/>
                <w:szCs w:val="20"/>
              </w:rPr>
              <w:t>IND15.1 and IND15.2</w:t>
            </w:r>
          </w:p>
        </w:tc>
        <w:tc>
          <w:tcPr>
            <w:tcW w:w="1985" w:type="dxa"/>
          </w:tcPr>
          <w:p w14:paraId="3BC356D9" w14:textId="3DE3CC56" w:rsidR="003F5118" w:rsidRPr="00442BCE" w:rsidRDefault="003F5118" w:rsidP="003F5118">
            <w:pPr>
              <w:pStyle w:val="TableText1"/>
              <w:rPr>
                <w:rFonts w:cs="Arial"/>
                <w:b/>
                <w:sz w:val="20"/>
                <w:szCs w:val="20"/>
              </w:rPr>
            </w:pPr>
            <w:proofErr w:type="spellStart"/>
            <w:r w:rsidRPr="00442BCE">
              <w:rPr>
                <w:rFonts w:cs="Arial"/>
                <w:b/>
                <w:sz w:val="20"/>
                <w:szCs w:val="20"/>
              </w:rPr>
              <w:t>Nutricia</w:t>
            </w:r>
            <w:proofErr w:type="spellEnd"/>
            <w:r w:rsidRPr="00442BCE">
              <w:rPr>
                <w:rFonts w:cs="Arial"/>
                <w:b/>
                <w:sz w:val="20"/>
                <w:szCs w:val="20"/>
              </w:rPr>
              <w:t xml:space="preserve"> Advanced Medical Nutrition</w:t>
            </w:r>
          </w:p>
        </w:tc>
        <w:tc>
          <w:tcPr>
            <w:tcW w:w="11198" w:type="dxa"/>
          </w:tcPr>
          <w:p w14:paraId="6722CC7E" w14:textId="77777777" w:rsidR="003F5118" w:rsidRPr="00442BCE" w:rsidRDefault="003F5118" w:rsidP="003F5118">
            <w:pPr>
              <w:rPr>
                <w:rFonts w:ascii="Arial" w:hAnsi="Arial" w:cs="Arial"/>
                <w:sz w:val="20"/>
                <w:szCs w:val="20"/>
              </w:rPr>
            </w:pPr>
            <w:r w:rsidRPr="00442BCE">
              <w:rPr>
                <w:rFonts w:ascii="Arial" w:hAnsi="Arial" w:cs="Arial"/>
                <w:sz w:val="20"/>
                <w:szCs w:val="20"/>
              </w:rPr>
              <w:t>Nutritional status and screening for malnutritional risk should be documented for those that have reported having a fall. </w:t>
            </w:r>
            <w:hyperlink r:id="rId41" w:history="1">
              <w:r w:rsidRPr="00442BCE">
                <w:rPr>
                  <w:rStyle w:val="Hyperlink"/>
                  <w:rFonts w:ascii="Arial" w:hAnsi="Arial" w:cs="Arial"/>
                  <w:color w:val="auto"/>
                  <w:sz w:val="20"/>
                  <w:szCs w:val="20"/>
                </w:rPr>
                <w:t>https://www.ncbi.nlm.nih.gov/m/pubmed/21528166/</w:t>
              </w:r>
            </w:hyperlink>
            <w:r w:rsidRPr="00442BCE">
              <w:rPr>
                <w:rFonts w:ascii="Arial" w:hAnsi="Arial" w:cs="Arial"/>
                <w:sz w:val="20"/>
                <w:szCs w:val="20"/>
              </w:rPr>
              <w:t xml:space="preserve"> ; </w:t>
            </w:r>
            <w:hyperlink r:id="rId42" w:history="1">
              <w:r w:rsidRPr="00442BCE">
                <w:rPr>
                  <w:rStyle w:val="Hyperlink"/>
                  <w:rFonts w:ascii="Arial" w:hAnsi="Arial" w:cs="Arial"/>
                  <w:color w:val="auto"/>
                  <w:sz w:val="20"/>
                  <w:szCs w:val="20"/>
                </w:rPr>
                <w:t>https://www.ncbi.nlm.nih.gov/m/pubmed/22836709/?i=2&amp;from=/21528166/related; https://www.ncbi.nlm.nih.gov/m/pubmed/29460785/</w:t>
              </w:r>
            </w:hyperlink>
            <w:r w:rsidRPr="00442BCE">
              <w:rPr>
                <w:rFonts w:ascii="Arial" w:hAnsi="Arial" w:cs="Arial"/>
                <w:sz w:val="20"/>
                <w:szCs w:val="20"/>
              </w:rPr>
              <w:t xml:space="preserve"> ) </w:t>
            </w:r>
          </w:p>
          <w:p w14:paraId="4FE79D0C" w14:textId="77777777" w:rsidR="003F5118" w:rsidRPr="00442BCE" w:rsidRDefault="003F5118" w:rsidP="003F5118">
            <w:pPr>
              <w:pStyle w:val="TableText1"/>
              <w:rPr>
                <w:rFonts w:cs="Arial"/>
                <w:sz w:val="20"/>
                <w:szCs w:val="20"/>
              </w:rPr>
            </w:pPr>
          </w:p>
        </w:tc>
      </w:tr>
      <w:tr w:rsidR="003F5118" w:rsidRPr="006375EE" w14:paraId="38C5A862" w14:textId="77777777" w:rsidTr="0024650F">
        <w:tc>
          <w:tcPr>
            <w:tcW w:w="562" w:type="dxa"/>
          </w:tcPr>
          <w:p w14:paraId="54421DE6" w14:textId="039BEDD0" w:rsidR="003F5118" w:rsidRPr="006658EF" w:rsidRDefault="006658EF" w:rsidP="003F5118">
            <w:pPr>
              <w:pStyle w:val="TableText1"/>
              <w:jc w:val="center"/>
              <w:rPr>
                <w:rFonts w:cs="Arial"/>
                <w:sz w:val="20"/>
                <w:szCs w:val="20"/>
              </w:rPr>
            </w:pPr>
            <w:r w:rsidRPr="006658EF">
              <w:rPr>
                <w:rFonts w:cs="Arial"/>
                <w:sz w:val="20"/>
                <w:szCs w:val="20"/>
              </w:rPr>
              <w:t>70</w:t>
            </w:r>
          </w:p>
        </w:tc>
        <w:tc>
          <w:tcPr>
            <w:tcW w:w="1139" w:type="dxa"/>
          </w:tcPr>
          <w:p w14:paraId="0781DAB2" w14:textId="3F8DABE3" w:rsidR="003F5118" w:rsidRPr="00902CB1" w:rsidRDefault="006658EF" w:rsidP="003F5118">
            <w:pPr>
              <w:pStyle w:val="TableText1"/>
              <w:rPr>
                <w:rFonts w:cs="Arial"/>
                <w:color w:val="000000"/>
                <w:sz w:val="20"/>
                <w:szCs w:val="20"/>
              </w:rPr>
            </w:pPr>
            <w:r w:rsidRPr="00466241">
              <w:rPr>
                <w:rFonts w:cs="Arial"/>
                <w:color w:val="000000"/>
                <w:sz w:val="20"/>
                <w:szCs w:val="20"/>
              </w:rPr>
              <w:t>IND15.2</w:t>
            </w:r>
          </w:p>
        </w:tc>
        <w:tc>
          <w:tcPr>
            <w:tcW w:w="1985" w:type="dxa"/>
          </w:tcPr>
          <w:p w14:paraId="1BAFA5D9" w14:textId="4A8DB27D" w:rsidR="003F5118" w:rsidRPr="00E10833" w:rsidRDefault="003F5118" w:rsidP="003F5118">
            <w:pPr>
              <w:pStyle w:val="TableText1"/>
              <w:rPr>
                <w:rFonts w:cs="Arial"/>
                <w:b/>
                <w:sz w:val="20"/>
                <w:szCs w:val="20"/>
              </w:rPr>
            </w:pPr>
            <w:r w:rsidRPr="00E10833">
              <w:rPr>
                <w:rFonts w:cs="Arial"/>
                <w:b/>
                <w:sz w:val="20"/>
                <w:szCs w:val="20"/>
              </w:rPr>
              <w:t>Public Health England</w:t>
            </w:r>
          </w:p>
        </w:tc>
        <w:tc>
          <w:tcPr>
            <w:tcW w:w="11198" w:type="dxa"/>
          </w:tcPr>
          <w:p w14:paraId="3C7A3EBD" w14:textId="708FF6D2" w:rsidR="003F5118" w:rsidRPr="00E10833" w:rsidRDefault="003F5118" w:rsidP="003F5118">
            <w:pPr>
              <w:pStyle w:val="TableText1"/>
              <w:rPr>
                <w:rFonts w:cs="Arial"/>
                <w:sz w:val="20"/>
                <w:szCs w:val="20"/>
              </w:rPr>
            </w:pPr>
            <w:r w:rsidRPr="00E10833">
              <w:rPr>
                <w:rFonts w:cs="Arial"/>
                <w:sz w:val="20"/>
                <w:szCs w:val="20"/>
              </w:rPr>
              <w:t xml:space="preserve">IND 15.2 Intervening following the identification of patients at risk of falls is to be welcomed. However, the term ‘provision of advice and guidance’ is too vague. It would be preferable to specify exactly what sort of advice and guidance was provided e.g. on key risk factors such as physical activity, sensory impairment, the home environment, medicines (see comment </w:t>
            </w:r>
            <w:r w:rsidRPr="00E10833">
              <w:rPr>
                <w:rFonts w:cs="Arial"/>
                <w:sz w:val="20"/>
                <w:szCs w:val="20"/>
              </w:rPr>
              <w:lastRenderedPageBreak/>
              <w:t xml:space="preserve">above), alcohol use and adequate nutrition and hydration, any conditions that the patient is suffering from that might increase risk and relevant local services…Also to note – there is no evidence that information provision reduces the rate / risk of falls.  </w:t>
            </w:r>
          </w:p>
        </w:tc>
      </w:tr>
      <w:tr w:rsidR="003F5118" w:rsidRPr="006375EE" w14:paraId="0E69BAAB" w14:textId="77777777" w:rsidTr="0024650F">
        <w:tc>
          <w:tcPr>
            <w:tcW w:w="562" w:type="dxa"/>
          </w:tcPr>
          <w:p w14:paraId="55D301E0" w14:textId="430E4E59" w:rsidR="003F5118" w:rsidRPr="006658EF" w:rsidRDefault="006658EF" w:rsidP="003F5118">
            <w:pPr>
              <w:pStyle w:val="TableText1"/>
              <w:jc w:val="center"/>
              <w:rPr>
                <w:rFonts w:cs="Arial"/>
                <w:sz w:val="20"/>
                <w:szCs w:val="20"/>
              </w:rPr>
            </w:pPr>
            <w:r w:rsidRPr="006658EF">
              <w:rPr>
                <w:rFonts w:cs="Arial"/>
                <w:sz w:val="20"/>
                <w:szCs w:val="20"/>
              </w:rPr>
              <w:lastRenderedPageBreak/>
              <w:t>71</w:t>
            </w:r>
          </w:p>
        </w:tc>
        <w:tc>
          <w:tcPr>
            <w:tcW w:w="1139" w:type="dxa"/>
          </w:tcPr>
          <w:p w14:paraId="1AFBCD63" w14:textId="212A1F50" w:rsidR="003F5118" w:rsidRPr="00466241" w:rsidRDefault="003F5118" w:rsidP="003F5118">
            <w:pPr>
              <w:pStyle w:val="TableText1"/>
              <w:rPr>
                <w:rFonts w:cs="Arial"/>
                <w:color w:val="000000"/>
                <w:sz w:val="20"/>
                <w:szCs w:val="20"/>
              </w:rPr>
            </w:pPr>
            <w:r w:rsidRPr="00466241">
              <w:rPr>
                <w:rFonts w:cs="Arial"/>
                <w:color w:val="000000"/>
                <w:sz w:val="20"/>
                <w:szCs w:val="20"/>
              </w:rPr>
              <w:t>IND15.2</w:t>
            </w:r>
          </w:p>
        </w:tc>
        <w:tc>
          <w:tcPr>
            <w:tcW w:w="1985" w:type="dxa"/>
          </w:tcPr>
          <w:p w14:paraId="49030EBB" w14:textId="7A9403DD" w:rsidR="003F5118" w:rsidRPr="006375EE" w:rsidRDefault="003F5118" w:rsidP="003F5118">
            <w:pPr>
              <w:pStyle w:val="TableText1"/>
              <w:rPr>
                <w:rFonts w:cs="Arial"/>
                <w:color w:val="000000"/>
                <w:sz w:val="20"/>
                <w:szCs w:val="20"/>
                <w:highlight w:val="yellow"/>
              </w:rPr>
            </w:pPr>
            <w:r w:rsidRPr="00442BCE">
              <w:rPr>
                <w:rFonts w:cs="Arial"/>
                <w:b/>
                <w:sz w:val="20"/>
                <w:szCs w:val="20"/>
              </w:rPr>
              <w:t>Royal College of General Practitioners</w:t>
            </w:r>
          </w:p>
        </w:tc>
        <w:tc>
          <w:tcPr>
            <w:tcW w:w="11198" w:type="dxa"/>
          </w:tcPr>
          <w:p w14:paraId="1B651EB6" w14:textId="77777777" w:rsidR="003F5118" w:rsidRPr="00442BCE" w:rsidRDefault="003F5118" w:rsidP="003F5118">
            <w:pPr>
              <w:autoSpaceDE w:val="0"/>
              <w:autoSpaceDN w:val="0"/>
              <w:adjustRightInd w:val="0"/>
              <w:rPr>
                <w:rFonts w:ascii="Arial" w:hAnsi="Arial" w:cs="Arial"/>
                <w:sz w:val="20"/>
                <w:szCs w:val="20"/>
                <w:lang w:eastAsia="en-GB"/>
              </w:rPr>
            </w:pPr>
            <w:r w:rsidRPr="00442BCE">
              <w:rPr>
                <w:rFonts w:ascii="Arial" w:hAnsi="Arial" w:cs="Arial"/>
                <w:sz w:val="20"/>
                <w:szCs w:val="20"/>
                <w:lang w:eastAsia="en-GB"/>
              </w:rPr>
              <w:t>IND15.2 The percentage of patients (aged 65 years and over) with moderate or severe frailty who have been asked whether they have</w:t>
            </w:r>
          </w:p>
          <w:p w14:paraId="1157F57A" w14:textId="77777777" w:rsidR="003F5118" w:rsidRPr="00442BCE" w:rsidRDefault="003F5118" w:rsidP="003F5118">
            <w:pPr>
              <w:autoSpaceDE w:val="0"/>
              <w:autoSpaceDN w:val="0"/>
              <w:adjustRightInd w:val="0"/>
              <w:rPr>
                <w:rFonts w:ascii="Arial" w:hAnsi="Arial" w:cs="Arial"/>
                <w:sz w:val="20"/>
                <w:szCs w:val="20"/>
                <w:lang w:eastAsia="en-GB"/>
              </w:rPr>
            </w:pPr>
            <w:r w:rsidRPr="00442BCE">
              <w:rPr>
                <w:rFonts w:ascii="Arial" w:hAnsi="Arial" w:cs="Arial"/>
                <w:sz w:val="20"/>
                <w:szCs w:val="20"/>
                <w:lang w:eastAsia="en-GB"/>
              </w:rPr>
              <w:t>had a fall, about the total number of falls and about the type of falls, in the last 12 months, were found to be at risk and have been</w:t>
            </w:r>
          </w:p>
          <w:p w14:paraId="7670F620" w14:textId="77777777" w:rsidR="003F5118" w:rsidRPr="00442BCE" w:rsidRDefault="003F5118" w:rsidP="003F5118">
            <w:pPr>
              <w:rPr>
                <w:rFonts w:ascii="Arial" w:hAnsi="Arial" w:cs="Arial"/>
                <w:b/>
                <w:sz w:val="20"/>
                <w:szCs w:val="20"/>
                <w:lang w:eastAsia="en-GB"/>
              </w:rPr>
            </w:pPr>
            <w:r w:rsidRPr="00442BCE">
              <w:rPr>
                <w:rFonts w:ascii="Arial" w:hAnsi="Arial" w:cs="Arial"/>
                <w:sz w:val="20"/>
                <w:szCs w:val="20"/>
                <w:lang w:eastAsia="en-GB"/>
              </w:rPr>
              <w:t xml:space="preserve">provided with advice and guidance </w:t>
            </w:r>
            <w:proofErr w:type="gramStart"/>
            <w:r w:rsidRPr="00442BCE">
              <w:rPr>
                <w:rFonts w:ascii="Arial" w:hAnsi="Arial" w:cs="Arial"/>
                <w:sz w:val="20"/>
                <w:szCs w:val="20"/>
                <w:lang w:eastAsia="en-GB"/>
              </w:rPr>
              <w:t>with regard to</w:t>
            </w:r>
            <w:proofErr w:type="gramEnd"/>
            <w:r w:rsidRPr="00442BCE">
              <w:rPr>
                <w:rFonts w:ascii="Arial" w:hAnsi="Arial" w:cs="Arial"/>
                <w:sz w:val="20"/>
                <w:szCs w:val="20"/>
                <w:lang w:eastAsia="en-GB"/>
              </w:rPr>
              <w:t xml:space="preserve"> falls prevention (in the last 12 months). </w:t>
            </w:r>
            <w:r w:rsidRPr="00442BCE">
              <w:rPr>
                <w:rFonts w:ascii="Arial" w:hAnsi="Arial" w:cs="Arial"/>
                <w:b/>
                <w:sz w:val="20"/>
                <w:szCs w:val="20"/>
                <w:lang w:eastAsia="en-GB"/>
              </w:rPr>
              <w:t>New</w:t>
            </w:r>
          </w:p>
          <w:p w14:paraId="669F1B4A" w14:textId="77777777" w:rsidR="003F5118" w:rsidRPr="00442BCE" w:rsidRDefault="003F5118" w:rsidP="003F5118">
            <w:pPr>
              <w:rPr>
                <w:rFonts w:ascii="Arial" w:hAnsi="Arial" w:cs="Arial"/>
                <w:b/>
                <w:sz w:val="20"/>
                <w:szCs w:val="20"/>
              </w:rPr>
            </w:pPr>
          </w:p>
          <w:p w14:paraId="1558E584" w14:textId="00E6D4DB" w:rsidR="003F5118" w:rsidRPr="006375EE" w:rsidRDefault="003F5118" w:rsidP="003F5118">
            <w:pPr>
              <w:pStyle w:val="TableText1"/>
              <w:rPr>
                <w:rFonts w:cs="Arial"/>
                <w:b/>
                <w:bCs/>
                <w:color w:val="000000"/>
                <w:sz w:val="20"/>
                <w:szCs w:val="20"/>
                <w:highlight w:val="yellow"/>
              </w:rPr>
            </w:pPr>
            <w:bookmarkStart w:id="76" w:name="_Hlk9252339"/>
            <w:r w:rsidRPr="00442BCE">
              <w:rPr>
                <w:rFonts w:cs="Arial"/>
                <w:b/>
                <w:sz w:val="20"/>
                <w:szCs w:val="20"/>
              </w:rPr>
              <w:t xml:space="preserve">We do not support this indicator.  </w:t>
            </w:r>
            <w:r w:rsidRPr="00442BCE">
              <w:rPr>
                <w:rFonts w:cs="Arial"/>
                <w:sz w:val="20"/>
                <w:szCs w:val="20"/>
              </w:rPr>
              <w:t>This indicator, and indicator 15.2 are very complex.  There is value in collecting data relating to patients at risk of falling.  However, professionals should be trusted to act appropriately when risks are identified, depending on the availability of local service provision.</w:t>
            </w:r>
            <w:bookmarkEnd w:id="76"/>
          </w:p>
        </w:tc>
      </w:tr>
    </w:tbl>
    <w:p w14:paraId="418C8A7A" w14:textId="77777777" w:rsidR="00E24E02" w:rsidRPr="006966FC" w:rsidRDefault="00E24E02" w:rsidP="009A3F7F">
      <w:pPr>
        <w:pStyle w:val="Heading1"/>
        <w:rPr>
          <w:rFonts w:cs="Arial"/>
          <w:sz w:val="22"/>
          <w:szCs w:val="22"/>
        </w:rPr>
      </w:pPr>
    </w:p>
    <w:sectPr w:rsidR="00E24E02" w:rsidRPr="006966FC" w:rsidSect="00511471">
      <w:headerReference w:type="default" r:id="rId43"/>
      <w:footerReference w:type="default" r:id="rId44"/>
      <w:pgSz w:w="16840" w:h="11907"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CA3B6" w14:textId="77777777" w:rsidR="00704021" w:rsidRDefault="00704021" w:rsidP="00446BEE">
      <w:r>
        <w:separator/>
      </w:r>
    </w:p>
  </w:endnote>
  <w:endnote w:type="continuationSeparator" w:id="0">
    <w:p w14:paraId="22EB9B1D" w14:textId="77777777" w:rsidR="00704021" w:rsidRDefault="00704021"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SegoeUISymbol">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FrutigerLTPro-Condensed">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2BD64" w14:textId="77777777" w:rsidR="00704021" w:rsidRPr="008C1C95" w:rsidRDefault="00704021" w:rsidP="008C1C95">
    <w:pPr>
      <w:pStyle w:val="Footer"/>
      <w:jc w:val="right"/>
    </w:pPr>
    <w:r>
      <w:fldChar w:fldCharType="begin"/>
    </w:r>
    <w:r>
      <w:instrText xml:space="preserve"> PAGE </w:instrText>
    </w:r>
    <w:r>
      <w:fldChar w:fldCharType="separate"/>
    </w:r>
    <w:r>
      <w:rPr>
        <w:noProof/>
      </w:rPr>
      <w:t>21</w:t>
    </w:r>
    <w:r>
      <w:fldChar w:fldCharType="end"/>
    </w:r>
    <w:r>
      <w:t xml:space="preserve"> of </w:t>
    </w:r>
    <w:r>
      <w:rPr>
        <w:noProof/>
      </w:rPr>
      <w:fldChar w:fldCharType="begin"/>
    </w:r>
    <w:r>
      <w:rPr>
        <w:noProof/>
      </w:rPr>
      <w:instrText xml:space="preserve"> NUMPAGES  </w:instrText>
    </w:r>
    <w:r>
      <w:rPr>
        <w:noProof/>
      </w:rPr>
      <w:fldChar w:fldCharType="separate"/>
    </w:r>
    <w:r>
      <w:rPr>
        <w:noProof/>
      </w:rPr>
      <w:t>63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B07A" w14:textId="3B143C03" w:rsidR="00704021" w:rsidRPr="008C1C95" w:rsidRDefault="00704021" w:rsidP="008C1C95">
    <w:pPr>
      <w:pStyle w:val="Footer"/>
      <w:jc w:val="right"/>
    </w:pPr>
    <w:r>
      <w:fldChar w:fldCharType="begin"/>
    </w:r>
    <w:r>
      <w:instrText xml:space="preserve"> PAGE </w:instrText>
    </w:r>
    <w:r>
      <w:fldChar w:fldCharType="separate"/>
    </w:r>
    <w:r>
      <w:rPr>
        <w:noProof/>
      </w:rPr>
      <w:t>21</w:t>
    </w:r>
    <w:r>
      <w:fldChar w:fldCharType="end"/>
    </w:r>
    <w:r>
      <w:t xml:space="preserve"> of </w:t>
    </w:r>
    <w:r>
      <w:rPr>
        <w:noProof/>
      </w:rPr>
      <w:fldChar w:fldCharType="begin"/>
    </w:r>
    <w:r>
      <w:rPr>
        <w:noProof/>
      </w:rPr>
      <w:instrText xml:space="preserve"> NUMPAGES  </w:instrText>
    </w:r>
    <w:r>
      <w:rPr>
        <w:noProof/>
      </w:rPr>
      <w:fldChar w:fldCharType="separate"/>
    </w:r>
    <w:r>
      <w:rPr>
        <w:noProof/>
      </w:rPr>
      <w:t>63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157E4" w14:textId="77777777" w:rsidR="00704021" w:rsidRDefault="00704021" w:rsidP="00446BEE">
      <w:r>
        <w:separator/>
      </w:r>
    </w:p>
  </w:footnote>
  <w:footnote w:type="continuationSeparator" w:id="0">
    <w:p w14:paraId="1B316AC4" w14:textId="77777777" w:rsidR="00704021" w:rsidRDefault="00704021" w:rsidP="00446BEE">
      <w:r>
        <w:continuationSeparator/>
      </w:r>
    </w:p>
  </w:footnote>
  <w:footnote w:id="1">
    <w:p w14:paraId="297A0C3D" w14:textId="77777777" w:rsidR="00704021" w:rsidRPr="00633677" w:rsidRDefault="00704021" w:rsidP="00531EAC">
      <w:pPr>
        <w:pStyle w:val="FootnoteText"/>
        <w:rPr>
          <w:lang w:val="en-US"/>
        </w:rPr>
      </w:pPr>
      <w:r>
        <w:rPr>
          <w:rStyle w:val="FootnoteReference"/>
        </w:rPr>
        <w:footnoteRef/>
      </w:r>
      <w:r>
        <w:t xml:space="preserve"> </w:t>
      </w:r>
      <w:r w:rsidRPr="00633677">
        <w:rPr>
          <w:rFonts w:ascii="Arial" w:hAnsi="Arial" w:cs="Arial"/>
        </w:rPr>
        <w:t>Defined by the presence of 4 or more prescription only medicine analgesic prescriptions or 4 or more specified anti-epileptics in the absence of an epilepsy Read code in last 12 months.</w:t>
      </w:r>
      <w:r>
        <w:t xml:space="preserve">  </w:t>
      </w:r>
    </w:p>
  </w:footnote>
  <w:footnote w:id="2">
    <w:p w14:paraId="4A3437C2" w14:textId="59B5551D" w:rsidR="00704021" w:rsidRPr="00633677" w:rsidRDefault="00704021" w:rsidP="00531EAC">
      <w:pPr>
        <w:pStyle w:val="FootnoteText"/>
        <w:rPr>
          <w:rFonts w:ascii="Arial" w:hAnsi="Arial" w:cs="Arial"/>
          <w:lang w:val="en-US"/>
        </w:rPr>
      </w:pPr>
      <w:r w:rsidRPr="00633677">
        <w:rPr>
          <w:rStyle w:val="FootnoteReference"/>
          <w:rFonts w:ascii="Arial" w:hAnsi="Arial" w:cs="Arial"/>
        </w:rPr>
        <w:footnoteRef/>
      </w:r>
      <w:r w:rsidRPr="00633677">
        <w:rPr>
          <w:rFonts w:ascii="Arial" w:hAnsi="Arial" w:cs="Arial"/>
        </w:rPr>
        <w:t xml:space="preserve"> Four or more laxative prescriptions in the last 12 months  </w:t>
      </w:r>
    </w:p>
  </w:footnote>
  <w:footnote w:id="3">
    <w:p w14:paraId="21CE4E93" w14:textId="77777777" w:rsidR="00704021" w:rsidRDefault="00704021" w:rsidP="008F052B">
      <w:pPr>
        <w:pStyle w:val="FootnoteText"/>
      </w:pPr>
      <w:r>
        <w:rPr>
          <w:rStyle w:val="FootnoteReference"/>
        </w:rPr>
        <w:footnoteRef/>
      </w:r>
      <w:r>
        <w:t xml:space="preserve"> New York Heart Association scale – a scale used to classify the severity of heart failure symptoms into four categories, 1-4</w:t>
      </w:r>
    </w:p>
  </w:footnote>
  <w:footnote w:id="4">
    <w:p w14:paraId="02A933A6" w14:textId="77777777" w:rsidR="00704021" w:rsidRDefault="00704021" w:rsidP="008F052B">
      <w:pPr>
        <w:pStyle w:val="FootnoteText"/>
      </w:pPr>
      <w:r>
        <w:rPr>
          <w:rStyle w:val="FootnoteReference"/>
        </w:rPr>
        <w:footnoteRef/>
      </w:r>
      <w:r>
        <w:t xml:space="preserve"> </w:t>
      </w:r>
      <w:r>
        <w:rPr>
          <w:rFonts w:cs="Arial"/>
          <w:lang w:val="en-US"/>
        </w:rPr>
        <w:t>“Symptom Clusters of Heart Failure” - CY Jurgens - ‎2009</w:t>
      </w:r>
    </w:p>
  </w:footnote>
  <w:footnote w:id="5">
    <w:p w14:paraId="185FA80B" w14:textId="77777777" w:rsidR="00704021" w:rsidRDefault="00704021" w:rsidP="00F22B3B">
      <w:pPr>
        <w:pStyle w:val="FootnoteText"/>
      </w:pPr>
    </w:p>
  </w:footnote>
  <w:footnote w:id="6">
    <w:p w14:paraId="28BE7E2C" w14:textId="77777777" w:rsidR="00704021" w:rsidRDefault="00704021" w:rsidP="00F22B3B">
      <w:pPr>
        <w:rPr>
          <w:sz w:val="20"/>
          <w:highlight w:val="yello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1D805" w14:textId="262491B0" w:rsidR="00704021" w:rsidRDefault="00704021" w:rsidP="00902CB1">
    <w:pPr>
      <w:pStyle w:val="Header"/>
      <w:tabs>
        <w:tab w:val="left" w:pos="2768"/>
        <w:tab w:val="center" w:pos="4156"/>
      </w:tabs>
      <w:jc w:val="right"/>
      <w:rPr>
        <w:b/>
        <w:bCs/>
        <w:sz w:val="22"/>
        <w:szCs w:val="22"/>
      </w:rPr>
    </w:pPr>
    <w:r w:rsidRPr="007073A7">
      <w:rPr>
        <w:b/>
        <w:bCs/>
        <w:sz w:val="22"/>
        <w:szCs w:val="22"/>
      </w:rPr>
      <w:t xml:space="preserve">ITEM </w:t>
    </w:r>
    <w:r w:rsidR="007073A7">
      <w:rPr>
        <w:b/>
        <w:bCs/>
        <w:sz w:val="22"/>
        <w:szCs w:val="22"/>
      </w:rPr>
      <w:t>5e(</w:t>
    </w:r>
    <w:proofErr w:type="spellStart"/>
    <w:r w:rsidR="007073A7">
      <w:rPr>
        <w:b/>
        <w:bCs/>
        <w:sz w:val="22"/>
        <w:szCs w:val="22"/>
      </w:rPr>
      <w:t>i</w:t>
    </w:r>
    <w:proofErr w:type="spellEnd"/>
    <w:r w:rsidR="007073A7">
      <w:rPr>
        <w:b/>
        <w:bCs/>
        <w:sz w:val="22"/>
        <w:szCs w:val="22"/>
      </w:rPr>
      <w:t>)</w:t>
    </w:r>
    <w:r w:rsidRPr="007073A7">
      <w:rPr>
        <w:b/>
        <w:bCs/>
        <w:sz w:val="22"/>
        <w:szCs w:val="22"/>
      </w:rPr>
      <w:t xml:space="preserve"> </w:t>
    </w:r>
    <w:r w:rsidRPr="00584CC9">
      <w:rPr>
        <w:b/>
        <w:bCs/>
        <w:sz w:val="22"/>
        <w:szCs w:val="22"/>
      </w:rPr>
      <w:t xml:space="preserve">– </w:t>
    </w:r>
    <w:r>
      <w:rPr>
        <w:b/>
        <w:bCs/>
        <w:sz w:val="22"/>
        <w:szCs w:val="22"/>
      </w:rPr>
      <w:t>Multimorbidity and frailty</w:t>
    </w:r>
    <w:r w:rsidRPr="00584CC9">
      <w:rPr>
        <w:b/>
        <w:bCs/>
        <w:sz w:val="22"/>
        <w:szCs w:val="22"/>
      </w:rPr>
      <w:t>– consultation report</w:t>
    </w:r>
  </w:p>
  <w:p w14:paraId="0F8A0273" w14:textId="77777777" w:rsidR="00704021" w:rsidRPr="00482C01" w:rsidRDefault="00704021"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1FB0" w14:textId="7B871D86" w:rsidR="00704021" w:rsidRPr="0024650F" w:rsidRDefault="00704021" w:rsidP="0024650F">
    <w:pPr>
      <w:pStyle w:val="Header"/>
      <w:jc w:val="right"/>
      <w:rPr>
        <w:b/>
        <w:bCs/>
        <w:sz w:val="22"/>
        <w:szCs w:val="22"/>
      </w:rPr>
    </w:pPr>
    <w:r>
      <w:rPr>
        <w:b/>
        <w:bCs/>
        <w:sz w:val="22"/>
        <w:szCs w:val="22"/>
      </w:rPr>
      <w:t>Multimorbidity and frailty</w:t>
    </w:r>
    <w:r w:rsidRPr="00716ACF">
      <w:rPr>
        <w:b/>
        <w:bCs/>
        <w:sz w:val="22"/>
        <w:szCs w:val="22"/>
      </w:rPr>
      <w:t xml:space="preserve"> –</w:t>
    </w:r>
    <w:r>
      <w:rPr>
        <w:b/>
        <w:bCs/>
        <w:sz w:val="22"/>
        <w:szCs w:val="22"/>
      </w:rPr>
      <w:t xml:space="preserve"> consultation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3FD201F"/>
    <w:multiLevelType w:val="hybridMultilevel"/>
    <w:tmpl w:val="6816852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652AC6"/>
    <w:multiLevelType w:val="hybridMultilevel"/>
    <w:tmpl w:val="45485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A1B5F91"/>
    <w:multiLevelType w:val="hybridMultilevel"/>
    <w:tmpl w:val="011A9B1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4405DE"/>
    <w:multiLevelType w:val="hybridMultilevel"/>
    <w:tmpl w:val="934A0342"/>
    <w:lvl w:ilvl="0" w:tplc="EB969EF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9"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2A0C91"/>
    <w:multiLevelType w:val="multilevel"/>
    <w:tmpl w:val="B38E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8D3711"/>
    <w:multiLevelType w:val="hybridMultilevel"/>
    <w:tmpl w:val="0054176A"/>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28A5190"/>
    <w:multiLevelType w:val="hybridMultilevel"/>
    <w:tmpl w:val="8D66023E"/>
    <w:lvl w:ilvl="0" w:tplc="9F54E568">
      <w:start w:val="1"/>
      <w:numFmt w:val="decimal"/>
      <w:lvlText w:val="%1."/>
      <w:lvlJc w:val="left"/>
      <w:pPr>
        <w:ind w:left="360" w:hanging="360"/>
      </w:pPr>
      <w:rPr>
        <w:b/>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3B62387"/>
    <w:multiLevelType w:val="hybridMultilevel"/>
    <w:tmpl w:val="4FF024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9"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B0B7A7A"/>
    <w:multiLevelType w:val="hybridMultilevel"/>
    <w:tmpl w:val="0FBAD2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0EB53A4"/>
    <w:multiLevelType w:val="hybridMultilevel"/>
    <w:tmpl w:val="FA54E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C8737E6"/>
    <w:multiLevelType w:val="hybridMultilevel"/>
    <w:tmpl w:val="434E6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15:restartNumberingAfterBreak="0">
    <w:nsid w:val="46D10ED4"/>
    <w:multiLevelType w:val="hybridMultilevel"/>
    <w:tmpl w:val="F2A2FA20"/>
    <w:lvl w:ilvl="0" w:tplc="338E23F6">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37572AA"/>
    <w:multiLevelType w:val="hybridMultilevel"/>
    <w:tmpl w:val="9C2608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5C65086"/>
    <w:multiLevelType w:val="hybridMultilevel"/>
    <w:tmpl w:val="F312B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564745E"/>
    <w:multiLevelType w:val="hybridMultilevel"/>
    <w:tmpl w:val="13D8C2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0" w15:restartNumberingAfterBreak="0">
    <w:nsid w:val="67B973E0"/>
    <w:multiLevelType w:val="hybridMultilevel"/>
    <w:tmpl w:val="33E64F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1"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7036FA"/>
    <w:multiLevelType w:val="hybridMultilevel"/>
    <w:tmpl w:val="BC885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A4D5709"/>
    <w:multiLevelType w:val="hybridMultilevel"/>
    <w:tmpl w:val="59127AE2"/>
    <w:lvl w:ilvl="0" w:tplc="B6288B2A">
      <w:start w:val="1"/>
      <w:numFmt w:val="decimal"/>
      <w:lvlText w:val="%1."/>
      <w:lvlJc w:val="left"/>
      <w:pPr>
        <w:ind w:left="720" w:hanging="360"/>
      </w:pPr>
      <w:rPr>
        <w:sz w:val="16"/>
        <w:szCs w:val="1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A96396E"/>
    <w:multiLevelType w:val="hybridMultilevel"/>
    <w:tmpl w:val="E77AF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7B260E"/>
    <w:multiLevelType w:val="hybridMultilevel"/>
    <w:tmpl w:val="0A1C52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71EE0EF1"/>
    <w:multiLevelType w:val="hybridMultilevel"/>
    <w:tmpl w:val="FFFFFFFF"/>
    <w:lvl w:ilvl="0" w:tplc="C9988608">
      <w:start w:val="1"/>
      <w:numFmt w:val="decimal"/>
      <w:lvlText w:val="%1."/>
      <w:lvlJc w:val="left"/>
      <w:pPr>
        <w:ind w:left="720" w:hanging="360"/>
      </w:pPr>
    </w:lvl>
    <w:lvl w:ilvl="1" w:tplc="7A50E122">
      <w:start w:val="1"/>
      <w:numFmt w:val="lowerLetter"/>
      <w:lvlText w:val="%2."/>
      <w:lvlJc w:val="left"/>
      <w:pPr>
        <w:ind w:left="1440" w:hanging="360"/>
      </w:pPr>
    </w:lvl>
    <w:lvl w:ilvl="2" w:tplc="51D6ED6E">
      <w:start w:val="1"/>
      <w:numFmt w:val="lowerRoman"/>
      <w:lvlText w:val="%3."/>
      <w:lvlJc w:val="right"/>
      <w:pPr>
        <w:ind w:left="2160" w:hanging="180"/>
      </w:pPr>
    </w:lvl>
    <w:lvl w:ilvl="3" w:tplc="1F521600">
      <w:start w:val="1"/>
      <w:numFmt w:val="decimal"/>
      <w:lvlText w:val="%4."/>
      <w:lvlJc w:val="left"/>
      <w:pPr>
        <w:ind w:left="2880" w:hanging="360"/>
      </w:pPr>
    </w:lvl>
    <w:lvl w:ilvl="4" w:tplc="47F4BA40">
      <w:start w:val="1"/>
      <w:numFmt w:val="lowerLetter"/>
      <w:lvlText w:val="%5."/>
      <w:lvlJc w:val="left"/>
      <w:pPr>
        <w:ind w:left="3600" w:hanging="360"/>
      </w:pPr>
    </w:lvl>
    <w:lvl w:ilvl="5" w:tplc="B1A0B4F2">
      <w:start w:val="1"/>
      <w:numFmt w:val="lowerRoman"/>
      <w:lvlText w:val="%6."/>
      <w:lvlJc w:val="right"/>
      <w:pPr>
        <w:ind w:left="4320" w:hanging="180"/>
      </w:pPr>
    </w:lvl>
    <w:lvl w:ilvl="6" w:tplc="19AE8286">
      <w:start w:val="1"/>
      <w:numFmt w:val="decimal"/>
      <w:lvlText w:val="%7."/>
      <w:lvlJc w:val="left"/>
      <w:pPr>
        <w:ind w:left="5040" w:hanging="360"/>
      </w:pPr>
    </w:lvl>
    <w:lvl w:ilvl="7" w:tplc="D14285F8">
      <w:start w:val="1"/>
      <w:numFmt w:val="lowerLetter"/>
      <w:lvlText w:val="%8."/>
      <w:lvlJc w:val="left"/>
      <w:pPr>
        <w:ind w:left="5760" w:hanging="360"/>
      </w:pPr>
    </w:lvl>
    <w:lvl w:ilvl="8" w:tplc="19EE005E">
      <w:start w:val="1"/>
      <w:numFmt w:val="lowerRoman"/>
      <w:lvlText w:val="%9."/>
      <w:lvlJc w:val="right"/>
      <w:pPr>
        <w:ind w:left="6480" w:hanging="180"/>
      </w:pPr>
    </w:lvl>
  </w:abstractNum>
  <w:abstractNum w:abstractNumId="47" w15:restartNumberingAfterBreak="0">
    <w:nsid w:val="736C4290"/>
    <w:multiLevelType w:val="hybridMultilevel"/>
    <w:tmpl w:val="FFFFFFFF"/>
    <w:lvl w:ilvl="0" w:tplc="8B6E7D7C">
      <w:start w:val="1"/>
      <w:numFmt w:val="decimal"/>
      <w:lvlText w:val="%1."/>
      <w:lvlJc w:val="left"/>
      <w:pPr>
        <w:ind w:left="720" w:hanging="360"/>
      </w:pPr>
    </w:lvl>
    <w:lvl w:ilvl="1" w:tplc="76DC6FD2">
      <w:start w:val="1"/>
      <w:numFmt w:val="lowerLetter"/>
      <w:lvlText w:val="%2."/>
      <w:lvlJc w:val="left"/>
      <w:pPr>
        <w:ind w:left="1440" w:hanging="360"/>
      </w:pPr>
    </w:lvl>
    <w:lvl w:ilvl="2" w:tplc="554EECB6">
      <w:start w:val="1"/>
      <w:numFmt w:val="lowerRoman"/>
      <w:lvlText w:val="%3."/>
      <w:lvlJc w:val="right"/>
      <w:pPr>
        <w:ind w:left="2160" w:hanging="180"/>
      </w:pPr>
    </w:lvl>
    <w:lvl w:ilvl="3" w:tplc="B39E5CAC">
      <w:start w:val="1"/>
      <w:numFmt w:val="decimal"/>
      <w:lvlText w:val="%4."/>
      <w:lvlJc w:val="left"/>
      <w:pPr>
        <w:ind w:left="2880" w:hanging="360"/>
      </w:pPr>
    </w:lvl>
    <w:lvl w:ilvl="4" w:tplc="8B025982">
      <w:start w:val="1"/>
      <w:numFmt w:val="lowerLetter"/>
      <w:lvlText w:val="%5."/>
      <w:lvlJc w:val="left"/>
      <w:pPr>
        <w:ind w:left="3600" w:hanging="360"/>
      </w:pPr>
    </w:lvl>
    <w:lvl w:ilvl="5" w:tplc="2EFE2A9A">
      <w:start w:val="1"/>
      <w:numFmt w:val="lowerRoman"/>
      <w:lvlText w:val="%6."/>
      <w:lvlJc w:val="right"/>
      <w:pPr>
        <w:ind w:left="4320" w:hanging="180"/>
      </w:pPr>
    </w:lvl>
    <w:lvl w:ilvl="6" w:tplc="E3ACE114">
      <w:start w:val="1"/>
      <w:numFmt w:val="decimal"/>
      <w:lvlText w:val="%7."/>
      <w:lvlJc w:val="left"/>
      <w:pPr>
        <w:ind w:left="5040" w:hanging="360"/>
      </w:pPr>
    </w:lvl>
    <w:lvl w:ilvl="7" w:tplc="664E157A">
      <w:start w:val="1"/>
      <w:numFmt w:val="lowerLetter"/>
      <w:lvlText w:val="%8."/>
      <w:lvlJc w:val="left"/>
      <w:pPr>
        <w:ind w:left="5760" w:hanging="360"/>
      </w:pPr>
    </w:lvl>
    <w:lvl w:ilvl="8" w:tplc="60949D14">
      <w:start w:val="1"/>
      <w:numFmt w:val="lowerRoman"/>
      <w:lvlText w:val="%9."/>
      <w:lvlJc w:val="right"/>
      <w:pPr>
        <w:ind w:left="6480" w:hanging="180"/>
      </w:pPr>
    </w:lvl>
  </w:abstractNum>
  <w:abstractNum w:abstractNumId="48" w15:restartNumberingAfterBreak="0">
    <w:nsid w:val="7F792816"/>
    <w:multiLevelType w:val="hybridMultilevel"/>
    <w:tmpl w:val="A4EEB8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1"/>
  </w:num>
  <w:num w:numId="2">
    <w:abstractNumId w:val="15"/>
  </w:num>
  <w:num w:numId="3">
    <w:abstractNumId w:val="36"/>
  </w:num>
  <w:num w:numId="4">
    <w:abstractNumId w:val="16"/>
  </w:num>
  <w:num w:numId="5">
    <w:abstractNumId w:val="31"/>
  </w:num>
  <w:num w:numId="6">
    <w:abstractNumId w:val="3"/>
  </w:num>
  <w:num w:numId="7">
    <w:abstractNumId w:val="14"/>
  </w:num>
  <w:num w:numId="8">
    <w:abstractNumId w:val="28"/>
  </w:num>
  <w:num w:numId="9">
    <w:abstractNumId w:val="30"/>
  </w:num>
  <w:num w:numId="10">
    <w:abstractNumId w:val="8"/>
  </w:num>
  <w:num w:numId="11">
    <w:abstractNumId w:val="11"/>
  </w:num>
  <w:num w:numId="12">
    <w:abstractNumId w:val="6"/>
  </w:num>
  <w:num w:numId="13">
    <w:abstractNumId w:val="39"/>
  </w:num>
  <w:num w:numId="14">
    <w:abstractNumId w:val="18"/>
  </w:num>
  <w:num w:numId="15">
    <w:abstractNumId w:val="12"/>
  </w:num>
  <w:num w:numId="16">
    <w:abstractNumId w:val="25"/>
  </w:num>
  <w:num w:numId="17">
    <w:abstractNumId w:val="21"/>
  </w:num>
  <w:num w:numId="18">
    <w:abstractNumId w:val="26"/>
  </w:num>
  <w:num w:numId="19">
    <w:abstractNumId w:val="32"/>
  </w:num>
  <w:num w:numId="20">
    <w:abstractNumId w:val="9"/>
  </w:num>
  <w:num w:numId="21">
    <w:abstractNumId w:val="37"/>
  </w:num>
  <w:num w:numId="22">
    <w:abstractNumId w:val="0"/>
  </w:num>
  <w:num w:numId="23">
    <w:abstractNumId w:val="7"/>
  </w:num>
  <w:num w:numId="24">
    <w:abstractNumId w:val="35"/>
  </w:num>
  <w:num w:numId="25">
    <w:abstractNumId w:val="24"/>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lvlOverride w:ilvl="2"/>
    <w:lvlOverride w:ilvl="3"/>
    <w:lvlOverride w:ilvl="4"/>
    <w:lvlOverride w:ilvl="5"/>
    <w:lvlOverride w:ilvl="6"/>
    <w:lvlOverride w:ilvl="7"/>
    <w:lvlOverride w:ilvl="8"/>
  </w:num>
  <w:num w:numId="30">
    <w:abstractNumId w:val="1"/>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2"/>
  </w:num>
  <w:num w:numId="37">
    <w:abstractNumId w:val="4"/>
    <w:lvlOverride w:ilvl="0">
      <w:startOverride w:val="1"/>
    </w:lvlOverride>
    <w:lvlOverride w:ilvl="1"/>
    <w:lvlOverride w:ilvl="2"/>
    <w:lvlOverride w:ilvl="3"/>
    <w:lvlOverride w:ilvl="4"/>
    <w:lvlOverride w:ilvl="5"/>
    <w:lvlOverride w:ilvl="6"/>
    <w:lvlOverride w:ilvl="7"/>
    <w:lvlOverride w:ilvl="8"/>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11"/>
  </w:num>
  <w:num w:numId="46">
    <w:abstractNumId w:val="23"/>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34"/>
  </w:num>
  <w:num w:numId="50">
    <w:abstractNumId w:val="10"/>
  </w:num>
  <w:num w:numId="5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76F"/>
    <w:rsid w:val="0002231A"/>
    <w:rsid w:val="00023CA5"/>
    <w:rsid w:val="00024D0A"/>
    <w:rsid w:val="00025A5C"/>
    <w:rsid w:val="000300AE"/>
    <w:rsid w:val="00030385"/>
    <w:rsid w:val="0003213D"/>
    <w:rsid w:val="00035D96"/>
    <w:rsid w:val="00037552"/>
    <w:rsid w:val="000414CD"/>
    <w:rsid w:val="000453F8"/>
    <w:rsid w:val="00050710"/>
    <w:rsid w:val="00050E7D"/>
    <w:rsid w:val="000524FA"/>
    <w:rsid w:val="00052A67"/>
    <w:rsid w:val="00052B85"/>
    <w:rsid w:val="00053145"/>
    <w:rsid w:val="00057A05"/>
    <w:rsid w:val="00060DA1"/>
    <w:rsid w:val="0006231E"/>
    <w:rsid w:val="00062405"/>
    <w:rsid w:val="00063213"/>
    <w:rsid w:val="00063B7C"/>
    <w:rsid w:val="00065B8F"/>
    <w:rsid w:val="000660D6"/>
    <w:rsid w:val="000675B4"/>
    <w:rsid w:val="00070065"/>
    <w:rsid w:val="0007042D"/>
    <w:rsid w:val="000710A1"/>
    <w:rsid w:val="000769BB"/>
    <w:rsid w:val="00077062"/>
    <w:rsid w:val="00077EEC"/>
    <w:rsid w:val="0008047F"/>
    <w:rsid w:val="00081BFA"/>
    <w:rsid w:val="00081C69"/>
    <w:rsid w:val="000853CB"/>
    <w:rsid w:val="00086C49"/>
    <w:rsid w:val="00087149"/>
    <w:rsid w:val="00094BC2"/>
    <w:rsid w:val="00094C1B"/>
    <w:rsid w:val="000955F4"/>
    <w:rsid w:val="000963D1"/>
    <w:rsid w:val="000A638C"/>
    <w:rsid w:val="000A7163"/>
    <w:rsid w:val="000B1301"/>
    <w:rsid w:val="000B1CBF"/>
    <w:rsid w:val="000B34B8"/>
    <w:rsid w:val="000B5939"/>
    <w:rsid w:val="000B5EBE"/>
    <w:rsid w:val="000B5FE8"/>
    <w:rsid w:val="000C22B9"/>
    <w:rsid w:val="000C4EE8"/>
    <w:rsid w:val="000D04B0"/>
    <w:rsid w:val="000D1487"/>
    <w:rsid w:val="000D3776"/>
    <w:rsid w:val="000D37E5"/>
    <w:rsid w:val="000E011F"/>
    <w:rsid w:val="000E0E0D"/>
    <w:rsid w:val="000E4899"/>
    <w:rsid w:val="000E5708"/>
    <w:rsid w:val="000E77DE"/>
    <w:rsid w:val="000E7E3C"/>
    <w:rsid w:val="000F3B49"/>
    <w:rsid w:val="000F6502"/>
    <w:rsid w:val="000F72F4"/>
    <w:rsid w:val="001043B0"/>
    <w:rsid w:val="00110A94"/>
    <w:rsid w:val="00110AD8"/>
    <w:rsid w:val="00112FAE"/>
    <w:rsid w:val="001131E2"/>
    <w:rsid w:val="001134E7"/>
    <w:rsid w:val="00121C0F"/>
    <w:rsid w:val="00124901"/>
    <w:rsid w:val="00124CBD"/>
    <w:rsid w:val="001252AE"/>
    <w:rsid w:val="00125557"/>
    <w:rsid w:val="001306F4"/>
    <w:rsid w:val="00130EC7"/>
    <w:rsid w:val="00134FDA"/>
    <w:rsid w:val="00135081"/>
    <w:rsid w:val="001352C4"/>
    <w:rsid w:val="00136466"/>
    <w:rsid w:val="001368F7"/>
    <w:rsid w:val="00140B46"/>
    <w:rsid w:val="001413FC"/>
    <w:rsid w:val="00145D3C"/>
    <w:rsid w:val="001503E8"/>
    <w:rsid w:val="00154516"/>
    <w:rsid w:val="00156264"/>
    <w:rsid w:val="00156529"/>
    <w:rsid w:val="001579DA"/>
    <w:rsid w:val="00161EBC"/>
    <w:rsid w:val="00165770"/>
    <w:rsid w:val="00165B01"/>
    <w:rsid w:val="00166C1A"/>
    <w:rsid w:val="0017169E"/>
    <w:rsid w:val="0017396B"/>
    <w:rsid w:val="00175BE8"/>
    <w:rsid w:val="00175F5D"/>
    <w:rsid w:val="00177200"/>
    <w:rsid w:val="00182263"/>
    <w:rsid w:val="0018281C"/>
    <w:rsid w:val="00185F6B"/>
    <w:rsid w:val="00192188"/>
    <w:rsid w:val="001936A7"/>
    <w:rsid w:val="00193D4B"/>
    <w:rsid w:val="00194E6C"/>
    <w:rsid w:val="00196653"/>
    <w:rsid w:val="001976DA"/>
    <w:rsid w:val="001A056C"/>
    <w:rsid w:val="001A23E4"/>
    <w:rsid w:val="001A281B"/>
    <w:rsid w:val="001A3011"/>
    <w:rsid w:val="001A48E7"/>
    <w:rsid w:val="001A73CD"/>
    <w:rsid w:val="001B06E1"/>
    <w:rsid w:val="001B1619"/>
    <w:rsid w:val="001B187B"/>
    <w:rsid w:val="001B3C11"/>
    <w:rsid w:val="001B3FEC"/>
    <w:rsid w:val="001B5300"/>
    <w:rsid w:val="001B65B3"/>
    <w:rsid w:val="001B6878"/>
    <w:rsid w:val="001B6DC2"/>
    <w:rsid w:val="001C27F3"/>
    <w:rsid w:val="001C74F4"/>
    <w:rsid w:val="001D0D90"/>
    <w:rsid w:val="001D24D0"/>
    <w:rsid w:val="001D298F"/>
    <w:rsid w:val="001D3D36"/>
    <w:rsid w:val="001D6E16"/>
    <w:rsid w:val="001E08E9"/>
    <w:rsid w:val="001E0B63"/>
    <w:rsid w:val="001E0E8C"/>
    <w:rsid w:val="001E586B"/>
    <w:rsid w:val="001E7D58"/>
    <w:rsid w:val="001F1315"/>
    <w:rsid w:val="001F1D2D"/>
    <w:rsid w:val="001F6AB0"/>
    <w:rsid w:val="00203B08"/>
    <w:rsid w:val="00204572"/>
    <w:rsid w:val="00205FBE"/>
    <w:rsid w:val="00207174"/>
    <w:rsid w:val="00210375"/>
    <w:rsid w:val="002128D3"/>
    <w:rsid w:val="002132AF"/>
    <w:rsid w:val="00214828"/>
    <w:rsid w:val="00214A72"/>
    <w:rsid w:val="00215444"/>
    <w:rsid w:val="00220661"/>
    <w:rsid w:val="00221491"/>
    <w:rsid w:val="0022189B"/>
    <w:rsid w:val="002229AD"/>
    <w:rsid w:val="00224AEE"/>
    <w:rsid w:val="00225FF4"/>
    <w:rsid w:val="00230A13"/>
    <w:rsid w:val="002331C6"/>
    <w:rsid w:val="00236B76"/>
    <w:rsid w:val="002408EA"/>
    <w:rsid w:val="00241410"/>
    <w:rsid w:val="0024650F"/>
    <w:rsid w:val="00254A35"/>
    <w:rsid w:val="00255615"/>
    <w:rsid w:val="002563DF"/>
    <w:rsid w:val="0026014A"/>
    <w:rsid w:val="0026108E"/>
    <w:rsid w:val="002614ED"/>
    <w:rsid w:val="00265142"/>
    <w:rsid w:val="00266AA6"/>
    <w:rsid w:val="00266B50"/>
    <w:rsid w:val="00266B6F"/>
    <w:rsid w:val="00270605"/>
    <w:rsid w:val="00271804"/>
    <w:rsid w:val="00271857"/>
    <w:rsid w:val="00275240"/>
    <w:rsid w:val="00276AC9"/>
    <w:rsid w:val="00277ED2"/>
    <w:rsid w:val="00280F8A"/>
    <w:rsid w:val="00286537"/>
    <w:rsid w:val="00286C3A"/>
    <w:rsid w:val="00287467"/>
    <w:rsid w:val="00291A5B"/>
    <w:rsid w:val="002923EA"/>
    <w:rsid w:val="0029330E"/>
    <w:rsid w:val="002A5503"/>
    <w:rsid w:val="002A6812"/>
    <w:rsid w:val="002A7339"/>
    <w:rsid w:val="002A7A24"/>
    <w:rsid w:val="002B71D2"/>
    <w:rsid w:val="002C1A7E"/>
    <w:rsid w:val="002C2893"/>
    <w:rsid w:val="002C292E"/>
    <w:rsid w:val="002C3718"/>
    <w:rsid w:val="002C5955"/>
    <w:rsid w:val="002C5BFD"/>
    <w:rsid w:val="002C7316"/>
    <w:rsid w:val="002C73DF"/>
    <w:rsid w:val="002D028E"/>
    <w:rsid w:val="002D12BB"/>
    <w:rsid w:val="002D20E7"/>
    <w:rsid w:val="002D2C7E"/>
    <w:rsid w:val="002D2CC4"/>
    <w:rsid w:val="002D2D5C"/>
    <w:rsid w:val="002D2FD2"/>
    <w:rsid w:val="002D58EA"/>
    <w:rsid w:val="002D7242"/>
    <w:rsid w:val="002E13A4"/>
    <w:rsid w:val="002F13B0"/>
    <w:rsid w:val="002F296A"/>
    <w:rsid w:val="002F2EEF"/>
    <w:rsid w:val="002F3E31"/>
    <w:rsid w:val="002F4C86"/>
    <w:rsid w:val="002F58D0"/>
    <w:rsid w:val="002F67D9"/>
    <w:rsid w:val="002F69F1"/>
    <w:rsid w:val="003015B5"/>
    <w:rsid w:val="0030244C"/>
    <w:rsid w:val="003030A7"/>
    <w:rsid w:val="003052E9"/>
    <w:rsid w:val="00310E3D"/>
    <w:rsid w:val="00311ED0"/>
    <w:rsid w:val="00311FE4"/>
    <w:rsid w:val="00314933"/>
    <w:rsid w:val="0031497D"/>
    <w:rsid w:val="00316D48"/>
    <w:rsid w:val="003236DA"/>
    <w:rsid w:val="00324C60"/>
    <w:rsid w:val="00326131"/>
    <w:rsid w:val="00326482"/>
    <w:rsid w:val="00330EED"/>
    <w:rsid w:val="003316DC"/>
    <w:rsid w:val="003351B7"/>
    <w:rsid w:val="0033631A"/>
    <w:rsid w:val="00336946"/>
    <w:rsid w:val="00340D15"/>
    <w:rsid w:val="00344166"/>
    <w:rsid w:val="00351FA4"/>
    <w:rsid w:val="00351FDE"/>
    <w:rsid w:val="003524BA"/>
    <w:rsid w:val="00352FD0"/>
    <w:rsid w:val="00355BED"/>
    <w:rsid w:val="0035645A"/>
    <w:rsid w:val="0035797B"/>
    <w:rsid w:val="00357C1E"/>
    <w:rsid w:val="003604C3"/>
    <w:rsid w:val="00362EE3"/>
    <w:rsid w:val="00365698"/>
    <w:rsid w:val="00367685"/>
    <w:rsid w:val="00367A82"/>
    <w:rsid w:val="003700D2"/>
    <w:rsid w:val="00370ACD"/>
    <w:rsid w:val="00371E29"/>
    <w:rsid w:val="003722FA"/>
    <w:rsid w:val="003731E6"/>
    <w:rsid w:val="00373EA4"/>
    <w:rsid w:val="00374EB6"/>
    <w:rsid w:val="00375AE7"/>
    <w:rsid w:val="00375C8E"/>
    <w:rsid w:val="00376C2A"/>
    <w:rsid w:val="00377277"/>
    <w:rsid w:val="00377304"/>
    <w:rsid w:val="00381BEA"/>
    <w:rsid w:val="00381FB7"/>
    <w:rsid w:val="00384141"/>
    <w:rsid w:val="00385190"/>
    <w:rsid w:val="003861AC"/>
    <w:rsid w:val="003862A5"/>
    <w:rsid w:val="00390249"/>
    <w:rsid w:val="003953C7"/>
    <w:rsid w:val="003A03DC"/>
    <w:rsid w:val="003A39A0"/>
    <w:rsid w:val="003A3E2A"/>
    <w:rsid w:val="003B0286"/>
    <w:rsid w:val="003B091A"/>
    <w:rsid w:val="003B1C33"/>
    <w:rsid w:val="003B298F"/>
    <w:rsid w:val="003B2BB2"/>
    <w:rsid w:val="003B69AA"/>
    <w:rsid w:val="003C3023"/>
    <w:rsid w:val="003C3565"/>
    <w:rsid w:val="003C39D1"/>
    <w:rsid w:val="003C5D27"/>
    <w:rsid w:val="003C5D37"/>
    <w:rsid w:val="003C7AAF"/>
    <w:rsid w:val="003D2D5E"/>
    <w:rsid w:val="003D52EA"/>
    <w:rsid w:val="003D58F7"/>
    <w:rsid w:val="003D5D5A"/>
    <w:rsid w:val="003D6018"/>
    <w:rsid w:val="003D7061"/>
    <w:rsid w:val="003E0602"/>
    <w:rsid w:val="003E0BD4"/>
    <w:rsid w:val="003E12B1"/>
    <w:rsid w:val="003E1787"/>
    <w:rsid w:val="003E22FC"/>
    <w:rsid w:val="003F0EB9"/>
    <w:rsid w:val="003F2EC0"/>
    <w:rsid w:val="003F40D1"/>
    <w:rsid w:val="003F42F7"/>
    <w:rsid w:val="003F5118"/>
    <w:rsid w:val="003F540E"/>
    <w:rsid w:val="003F694A"/>
    <w:rsid w:val="003F7CE6"/>
    <w:rsid w:val="003F7D78"/>
    <w:rsid w:val="00405A0D"/>
    <w:rsid w:val="00405B03"/>
    <w:rsid w:val="004068EA"/>
    <w:rsid w:val="004075B6"/>
    <w:rsid w:val="00410E4D"/>
    <w:rsid w:val="00411C38"/>
    <w:rsid w:val="0041238E"/>
    <w:rsid w:val="00415026"/>
    <w:rsid w:val="004150FB"/>
    <w:rsid w:val="00420952"/>
    <w:rsid w:val="00422E2D"/>
    <w:rsid w:val="00423C0E"/>
    <w:rsid w:val="00423DB4"/>
    <w:rsid w:val="0042425C"/>
    <w:rsid w:val="00425E68"/>
    <w:rsid w:val="004260AF"/>
    <w:rsid w:val="004271A0"/>
    <w:rsid w:val="004306C0"/>
    <w:rsid w:val="004440AF"/>
    <w:rsid w:val="00446BEE"/>
    <w:rsid w:val="00450E6D"/>
    <w:rsid w:val="00451463"/>
    <w:rsid w:val="004518F7"/>
    <w:rsid w:val="0045334C"/>
    <w:rsid w:val="004539D9"/>
    <w:rsid w:val="00456B1D"/>
    <w:rsid w:val="00456F46"/>
    <w:rsid w:val="00461C01"/>
    <w:rsid w:val="00462AFA"/>
    <w:rsid w:val="0046325E"/>
    <w:rsid w:val="0046445C"/>
    <w:rsid w:val="00466241"/>
    <w:rsid w:val="0046709A"/>
    <w:rsid w:val="00472CEC"/>
    <w:rsid w:val="004730AF"/>
    <w:rsid w:val="00473F7A"/>
    <w:rsid w:val="00474FE4"/>
    <w:rsid w:val="00475C7C"/>
    <w:rsid w:val="00475D8E"/>
    <w:rsid w:val="00476940"/>
    <w:rsid w:val="0047731B"/>
    <w:rsid w:val="00477707"/>
    <w:rsid w:val="004824B6"/>
    <w:rsid w:val="00482C01"/>
    <w:rsid w:val="00483498"/>
    <w:rsid w:val="0048353B"/>
    <w:rsid w:val="00486953"/>
    <w:rsid w:val="004907E0"/>
    <w:rsid w:val="0049285D"/>
    <w:rsid w:val="00492AC8"/>
    <w:rsid w:val="00492CB6"/>
    <w:rsid w:val="00496B1E"/>
    <w:rsid w:val="00497AD3"/>
    <w:rsid w:val="004A13E2"/>
    <w:rsid w:val="004A237B"/>
    <w:rsid w:val="004A664D"/>
    <w:rsid w:val="004B1325"/>
    <w:rsid w:val="004B4360"/>
    <w:rsid w:val="004B5F89"/>
    <w:rsid w:val="004B686A"/>
    <w:rsid w:val="004B688D"/>
    <w:rsid w:val="004C3670"/>
    <w:rsid w:val="004C3BFD"/>
    <w:rsid w:val="004D1267"/>
    <w:rsid w:val="004D26AD"/>
    <w:rsid w:val="004D2897"/>
    <w:rsid w:val="004D39E2"/>
    <w:rsid w:val="004D756F"/>
    <w:rsid w:val="004E0E78"/>
    <w:rsid w:val="004E4C4B"/>
    <w:rsid w:val="004E54B6"/>
    <w:rsid w:val="004E68DA"/>
    <w:rsid w:val="004F12E4"/>
    <w:rsid w:val="004F242D"/>
    <w:rsid w:val="004F3269"/>
    <w:rsid w:val="004F4B16"/>
    <w:rsid w:val="004F7D3A"/>
    <w:rsid w:val="005025A1"/>
    <w:rsid w:val="00502C4B"/>
    <w:rsid w:val="0050409D"/>
    <w:rsid w:val="00505407"/>
    <w:rsid w:val="00505DA4"/>
    <w:rsid w:val="00510FAD"/>
    <w:rsid w:val="00511471"/>
    <w:rsid w:val="00511887"/>
    <w:rsid w:val="005127C1"/>
    <w:rsid w:val="005138B7"/>
    <w:rsid w:val="005143BA"/>
    <w:rsid w:val="005243EC"/>
    <w:rsid w:val="005249CF"/>
    <w:rsid w:val="00525DD1"/>
    <w:rsid w:val="00527A29"/>
    <w:rsid w:val="00531EAC"/>
    <w:rsid w:val="005343E1"/>
    <w:rsid w:val="005369AE"/>
    <w:rsid w:val="00545970"/>
    <w:rsid w:val="00550783"/>
    <w:rsid w:val="00555CC8"/>
    <w:rsid w:val="00556B58"/>
    <w:rsid w:val="005577FA"/>
    <w:rsid w:val="0056425E"/>
    <w:rsid w:val="00565745"/>
    <w:rsid w:val="0056705D"/>
    <w:rsid w:val="00571370"/>
    <w:rsid w:val="00575207"/>
    <w:rsid w:val="005771C0"/>
    <w:rsid w:val="00580FF4"/>
    <w:rsid w:val="00583913"/>
    <w:rsid w:val="005842A7"/>
    <w:rsid w:val="00584C95"/>
    <w:rsid w:val="00584CC9"/>
    <w:rsid w:val="00585245"/>
    <w:rsid w:val="00585682"/>
    <w:rsid w:val="00585FCF"/>
    <w:rsid w:val="00586210"/>
    <w:rsid w:val="00586316"/>
    <w:rsid w:val="00590E29"/>
    <w:rsid w:val="005935C0"/>
    <w:rsid w:val="00596607"/>
    <w:rsid w:val="005A014D"/>
    <w:rsid w:val="005A188D"/>
    <w:rsid w:val="005A4AD8"/>
    <w:rsid w:val="005A50D3"/>
    <w:rsid w:val="005A576F"/>
    <w:rsid w:val="005A64F3"/>
    <w:rsid w:val="005A6AB3"/>
    <w:rsid w:val="005B0095"/>
    <w:rsid w:val="005B5C8B"/>
    <w:rsid w:val="005B73E7"/>
    <w:rsid w:val="005C3893"/>
    <w:rsid w:val="005C51B4"/>
    <w:rsid w:val="005C7DB5"/>
    <w:rsid w:val="005D15B9"/>
    <w:rsid w:val="005D1E0A"/>
    <w:rsid w:val="005D4C95"/>
    <w:rsid w:val="005E0AC1"/>
    <w:rsid w:val="005E1A84"/>
    <w:rsid w:val="005E2DEC"/>
    <w:rsid w:val="005E437F"/>
    <w:rsid w:val="005E58ED"/>
    <w:rsid w:val="005E6B30"/>
    <w:rsid w:val="005F25FD"/>
    <w:rsid w:val="005F3989"/>
    <w:rsid w:val="005F3C5C"/>
    <w:rsid w:val="005F4C37"/>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3677"/>
    <w:rsid w:val="006375EE"/>
    <w:rsid w:val="00637F2A"/>
    <w:rsid w:val="00642C45"/>
    <w:rsid w:val="0064313B"/>
    <w:rsid w:val="00643388"/>
    <w:rsid w:val="0064604F"/>
    <w:rsid w:val="00651D20"/>
    <w:rsid w:val="006523CB"/>
    <w:rsid w:val="0065348A"/>
    <w:rsid w:val="006557A6"/>
    <w:rsid w:val="00657C65"/>
    <w:rsid w:val="006635D1"/>
    <w:rsid w:val="006639FD"/>
    <w:rsid w:val="00664F8F"/>
    <w:rsid w:val="006658EF"/>
    <w:rsid w:val="00666A4E"/>
    <w:rsid w:val="00667C21"/>
    <w:rsid w:val="00670FFB"/>
    <w:rsid w:val="0067271D"/>
    <w:rsid w:val="006802CA"/>
    <w:rsid w:val="00680A3D"/>
    <w:rsid w:val="006814B9"/>
    <w:rsid w:val="00683039"/>
    <w:rsid w:val="0068417E"/>
    <w:rsid w:val="00684913"/>
    <w:rsid w:val="006862FD"/>
    <w:rsid w:val="00686B35"/>
    <w:rsid w:val="00686D56"/>
    <w:rsid w:val="006921E1"/>
    <w:rsid w:val="00692F13"/>
    <w:rsid w:val="006937D0"/>
    <w:rsid w:val="00693996"/>
    <w:rsid w:val="00696325"/>
    <w:rsid w:val="006966FC"/>
    <w:rsid w:val="006A2C36"/>
    <w:rsid w:val="006A5E06"/>
    <w:rsid w:val="006B44E2"/>
    <w:rsid w:val="006B4989"/>
    <w:rsid w:val="006C602A"/>
    <w:rsid w:val="006D4325"/>
    <w:rsid w:val="006D55A6"/>
    <w:rsid w:val="006D6BD0"/>
    <w:rsid w:val="006E09CB"/>
    <w:rsid w:val="006E2124"/>
    <w:rsid w:val="006E23A2"/>
    <w:rsid w:val="006E303F"/>
    <w:rsid w:val="006E4E37"/>
    <w:rsid w:val="006E5D76"/>
    <w:rsid w:val="006F17D4"/>
    <w:rsid w:val="006F255A"/>
    <w:rsid w:val="006F5228"/>
    <w:rsid w:val="006F5506"/>
    <w:rsid w:val="006F6463"/>
    <w:rsid w:val="00704021"/>
    <w:rsid w:val="0070542C"/>
    <w:rsid w:val="007067D1"/>
    <w:rsid w:val="007073A7"/>
    <w:rsid w:val="00713287"/>
    <w:rsid w:val="007136A7"/>
    <w:rsid w:val="007139DD"/>
    <w:rsid w:val="007143AC"/>
    <w:rsid w:val="00716007"/>
    <w:rsid w:val="00716835"/>
    <w:rsid w:val="00716ACF"/>
    <w:rsid w:val="007210C5"/>
    <w:rsid w:val="00730AA4"/>
    <w:rsid w:val="00732C44"/>
    <w:rsid w:val="00734CC7"/>
    <w:rsid w:val="00736348"/>
    <w:rsid w:val="00736448"/>
    <w:rsid w:val="00736D41"/>
    <w:rsid w:val="00737F84"/>
    <w:rsid w:val="00740203"/>
    <w:rsid w:val="007434C4"/>
    <w:rsid w:val="007469C6"/>
    <w:rsid w:val="00746C13"/>
    <w:rsid w:val="00747C1C"/>
    <w:rsid w:val="00752F55"/>
    <w:rsid w:val="00753A9F"/>
    <w:rsid w:val="007573F4"/>
    <w:rsid w:val="007574DD"/>
    <w:rsid w:val="00760E09"/>
    <w:rsid w:val="00762D25"/>
    <w:rsid w:val="00762FFF"/>
    <w:rsid w:val="00763FE4"/>
    <w:rsid w:val="007646C3"/>
    <w:rsid w:val="007647C1"/>
    <w:rsid w:val="0076595B"/>
    <w:rsid w:val="0076743A"/>
    <w:rsid w:val="00770B9A"/>
    <w:rsid w:val="007718E7"/>
    <w:rsid w:val="00774013"/>
    <w:rsid w:val="00774E8D"/>
    <w:rsid w:val="007825BE"/>
    <w:rsid w:val="007831FB"/>
    <w:rsid w:val="007839C3"/>
    <w:rsid w:val="00783E53"/>
    <w:rsid w:val="007844B7"/>
    <w:rsid w:val="00785266"/>
    <w:rsid w:val="00785616"/>
    <w:rsid w:val="007910D0"/>
    <w:rsid w:val="00791BB8"/>
    <w:rsid w:val="00792D69"/>
    <w:rsid w:val="007969DF"/>
    <w:rsid w:val="0079772A"/>
    <w:rsid w:val="007B5378"/>
    <w:rsid w:val="007C4561"/>
    <w:rsid w:val="007C4814"/>
    <w:rsid w:val="007C516A"/>
    <w:rsid w:val="007C6CFD"/>
    <w:rsid w:val="007D28D7"/>
    <w:rsid w:val="007D31FD"/>
    <w:rsid w:val="007D3370"/>
    <w:rsid w:val="007E1B11"/>
    <w:rsid w:val="007E2014"/>
    <w:rsid w:val="007E21F8"/>
    <w:rsid w:val="007E2696"/>
    <w:rsid w:val="007E3374"/>
    <w:rsid w:val="007E6A87"/>
    <w:rsid w:val="007E78BD"/>
    <w:rsid w:val="007E7FF4"/>
    <w:rsid w:val="007F14A6"/>
    <w:rsid w:val="007F3BF0"/>
    <w:rsid w:val="007F71A5"/>
    <w:rsid w:val="007F744E"/>
    <w:rsid w:val="007F7F72"/>
    <w:rsid w:val="008010D5"/>
    <w:rsid w:val="0080217C"/>
    <w:rsid w:val="00802828"/>
    <w:rsid w:val="0080288C"/>
    <w:rsid w:val="0080417F"/>
    <w:rsid w:val="00804466"/>
    <w:rsid w:val="00806468"/>
    <w:rsid w:val="00807FF1"/>
    <w:rsid w:val="008100D4"/>
    <w:rsid w:val="00810C89"/>
    <w:rsid w:val="008137AD"/>
    <w:rsid w:val="008138B2"/>
    <w:rsid w:val="00813C4A"/>
    <w:rsid w:val="00815862"/>
    <w:rsid w:val="00817C3D"/>
    <w:rsid w:val="00820118"/>
    <w:rsid w:val="00822301"/>
    <w:rsid w:val="00822F81"/>
    <w:rsid w:val="008274B0"/>
    <w:rsid w:val="0082752E"/>
    <w:rsid w:val="008318F6"/>
    <w:rsid w:val="0083313E"/>
    <w:rsid w:val="008331BB"/>
    <w:rsid w:val="00833D43"/>
    <w:rsid w:val="00840FF7"/>
    <w:rsid w:val="00841169"/>
    <w:rsid w:val="00842512"/>
    <w:rsid w:val="00844032"/>
    <w:rsid w:val="008443D8"/>
    <w:rsid w:val="008445E7"/>
    <w:rsid w:val="00847D3A"/>
    <w:rsid w:val="00855549"/>
    <w:rsid w:val="00861B3D"/>
    <w:rsid w:val="00865CE7"/>
    <w:rsid w:val="0086701C"/>
    <w:rsid w:val="00867262"/>
    <w:rsid w:val="00870BDD"/>
    <w:rsid w:val="008717F1"/>
    <w:rsid w:val="00876F5C"/>
    <w:rsid w:val="00880ED3"/>
    <w:rsid w:val="00883721"/>
    <w:rsid w:val="00890137"/>
    <w:rsid w:val="008904D0"/>
    <w:rsid w:val="008924E3"/>
    <w:rsid w:val="0089270D"/>
    <w:rsid w:val="008A1DAE"/>
    <w:rsid w:val="008A247E"/>
    <w:rsid w:val="008A2C2A"/>
    <w:rsid w:val="008A35A2"/>
    <w:rsid w:val="008A3D62"/>
    <w:rsid w:val="008A6605"/>
    <w:rsid w:val="008B183A"/>
    <w:rsid w:val="008B4B98"/>
    <w:rsid w:val="008C183F"/>
    <w:rsid w:val="008C1C95"/>
    <w:rsid w:val="008C3D9F"/>
    <w:rsid w:val="008C4122"/>
    <w:rsid w:val="008C669E"/>
    <w:rsid w:val="008D2A77"/>
    <w:rsid w:val="008D62F8"/>
    <w:rsid w:val="008D652E"/>
    <w:rsid w:val="008D6A3E"/>
    <w:rsid w:val="008E1B3C"/>
    <w:rsid w:val="008E4419"/>
    <w:rsid w:val="008E56A4"/>
    <w:rsid w:val="008E5BA8"/>
    <w:rsid w:val="008E664D"/>
    <w:rsid w:val="008E6FCA"/>
    <w:rsid w:val="008F052B"/>
    <w:rsid w:val="008F2FAE"/>
    <w:rsid w:val="008F4A81"/>
    <w:rsid w:val="008F4B70"/>
    <w:rsid w:val="008F4E22"/>
    <w:rsid w:val="008F61C4"/>
    <w:rsid w:val="009019A9"/>
    <w:rsid w:val="00902CB1"/>
    <w:rsid w:val="00904953"/>
    <w:rsid w:val="009052F5"/>
    <w:rsid w:val="009072F7"/>
    <w:rsid w:val="00907BFE"/>
    <w:rsid w:val="00907C13"/>
    <w:rsid w:val="00907DF5"/>
    <w:rsid w:val="00910C1F"/>
    <w:rsid w:val="00911263"/>
    <w:rsid w:val="0091321D"/>
    <w:rsid w:val="0091391C"/>
    <w:rsid w:val="00916CED"/>
    <w:rsid w:val="00917909"/>
    <w:rsid w:val="00917D07"/>
    <w:rsid w:val="009200C2"/>
    <w:rsid w:val="0092122F"/>
    <w:rsid w:val="009225D9"/>
    <w:rsid w:val="0092393F"/>
    <w:rsid w:val="00925F15"/>
    <w:rsid w:val="0092757A"/>
    <w:rsid w:val="00930715"/>
    <w:rsid w:val="0093101C"/>
    <w:rsid w:val="0093543E"/>
    <w:rsid w:val="00937E8B"/>
    <w:rsid w:val="00945C5C"/>
    <w:rsid w:val="009460E7"/>
    <w:rsid w:val="00947FDB"/>
    <w:rsid w:val="00952219"/>
    <w:rsid w:val="009543A4"/>
    <w:rsid w:val="00955BBC"/>
    <w:rsid w:val="00955F17"/>
    <w:rsid w:val="009562D0"/>
    <w:rsid w:val="00957124"/>
    <w:rsid w:val="00960CC3"/>
    <w:rsid w:val="0096180D"/>
    <w:rsid w:val="00961E3B"/>
    <w:rsid w:val="00962360"/>
    <w:rsid w:val="00964D16"/>
    <w:rsid w:val="009669AD"/>
    <w:rsid w:val="00966EB0"/>
    <w:rsid w:val="00970115"/>
    <w:rsid w:val="00972945"/>
    <w:rsid w:val="00973C64"/>
    <w:rsid w:val="00974384"/>
    <w:rsid w:val="00974D81"/>
    <w:rsid w:val="00976903"/>
    <w:rsid w:val="009769A5"/>
    <w:rsid w:val="00977F9C"/>
    <w:rsid w:val="00981465"/>
    <w:rsid w:val="00983AF5"/>
    <w:rsid w:val="00986AA9"/>
    <w:rsid w:val="00987296"/>
    <w:rsid w:val="00987B83"/>
    <w:rsid w:val="00987E66"/>
    <w:rsid w:val="00990173"/>
    <w:rsid w:val="00992244"/>
    <w:rsid w:val="00993567"/>
    <w:rsid w:val="00995A38"/>
    <w:rsid w:val="009965E1"/>
    <w:rsid w:val="009A23F7"/>
    <w:rsid w:val="009A2B2A"/>
    <w:rsid w:val="009A38DA"/>
    <w:rsid w:val="009A3F7F"/>
    <w:rsid w:val="009A4C43"/>
    <w:rsid w:val="009A75C4"/>
    <w:rsid w:val="009A769C"/>
    <w:rsid w:val="009B0897"/>
    <w:rsid w:val="009B276A"/>
    <w:rsid w:val="009B3223"/>
    <w:rsid w:val="009B4063"/>
    <w:rsid w:val="009B52E5"/>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066A"/>
    <w:rsid w:val="00A0249B"/>
    <w:rsid w:val="00A0479E"/>
    <w:rsid w:val="00A05C88"/>
    <w:rsid w:val="00A07644"/>
    <w:rsid w:val="00A11761"/>
    <w:rsid w:val="00A11ECD"/>
    <w:rsid w:val="00A12BE0"/>
    <w:rsid w:val="00A144F8"/>
    <w:rsid w:val="00A1592C"/>
    <w:rsid w:val="00A15A1F"/>
    <w:rsid w:val="00A16F4B"/>
    <w:rsid w:val="00A17B57"/>
    <w:rsid w:val="00A240EE"/>
    <w:rsid w:val="00A3050E"/>
    <w:rsid w:val="00A32C40"/>
    <w:rsid w:val="00A3325A"/>
    <w:rsid w:val="00A3705B"/>
    <w:rsid w:val="00A4094A"/>
    <w:rsid w:val="00A426BE"/>
    <w:rsid w:val="00A526EF"/>
    <w:rsid w:val="00A53E97"/>
    <w:rsid w:val="00A60794"/>
    <w:rsid w:val="00A611CE"/>
    <w:rsid w:val="00A7018B"/>
    <w:rsid w:val="00A70A7A"/>
    <w:rsid w:val="00A74AE2"/>
    <w:rsid w:val="00A756BB"/>
    <w:rsid w:val="00A77B63"/>
    <w:rsid w:val="00A80F87"/>
    <w:rsid w:val="00A81F47"/>
    <w:rsid w:val="00A8249A"/>
    <w:rsid w:val="00A85968"/>
    <w:rsid w:val="00A866E2"/>
    <w:rsid w:val="00A879B5"/>
    <w:rsid w:val="00A90FB2"/>
    <w:rsid w:val="00A922F5"/>
    <w:rsid w:val="00A937F3"/>
    <w:rsid w:val="00A96317"/>
    <w:rsid w:val="00A9690E"/>
    <w:rsid w:val="00A9779D"/>
    <w:rsid w:val="00AA276F"/>
    <w:rsid w:val="00AA32D3"/>
    <w:rsid w:val="00AA4327"/>
    <w:rsid w:val="00AA5157"/>
    <w:rsid w:val="00AA7A0F"/>
    <w:rsid w:val="00AB09A9"/>
    <w:rsid w:val="00AB1791"/>
    <w:rsid w:val="00AB1BBA"/>
    <w:rsid w:val="00AB2B13"/>
    <w:rsid w:val="00AB3D08"/>
    <w:rsid w:val="00AB487A"/>
    <w:rsid w:val="00AB5614"/>
    <w:rsid w:val="00AB744E"/>
    <w:rsid w:val="00AC2019"/>
    <w:rsid w:val="00AC63A6"/>
    <w:rsid w:val="00AC7C93"/>
    <w:rsid w:val="00AD09F8"/>
    <w:rsid w:val="00AD23FF"/>
    <w:rsid w:val="00AD3BCE"/>
    <w:rsid w:val="00AD56B1"/>
    <w:rsid w:val="00AD7CB3"/>
    <w:rsid w:val="00AE0661"/>
    <w:rsid w:val="00AE22A6"/>
    <w:rsid w:val="00AE495F"/>
    <w:rsid w:val="00AE537D"/>
    <w:rsid w:val="00AE5576"/>
    <w:rsid w:val="00AE5854"/>
    <w:rsid w:val="00AE76CB"/>
    <w:rsid w:val="00AF108A"/>
    <w:rsid w:val="00AF10F5"/>
    <w:rsid w:val="00AF1393"/>
    <w:rsid w:val="00AF5D31"/>
    <w:rsid w:val="00AF6DD8"/>
    <w:rsid w:val="00AF7793"/>
    <w:rsid w:val="00B01831"/>
    <w:rsid w:val="00B0269C"/>
    <w:rsid w:val="00B02E55"/>
    <w:rsid w:val="00B0389A"/>
    <w:rsid w:val="00B0538C"/>
    <w:rsid w:val="00B06D4E"/>
    <w:rsid w:val="00B11A62"/>
    <w:rsid w:val="00B14C5C"/>
    <w:rsid w:val="00B14DDE"/>
    <w:rsid w:val="00B156FD"/>
    <w:rsid w:val="00B157D0"/>
    <w:rsid w:val="00B17DE0"/>
    <w:rsid w:val="00B265EB"/>
    <w:rsid w:val="00B27031"/>
    <w:rsid w:val="00B307EC"/>
    <w:rsid w:val="00B341DA"/>
    <w:rsid w:val="00B44CE2"/>
    <w:rsid w:val="00B500DD"/>
    <w:rsid w:val="00B53A23"/>
    <w:rsid w:val="00B54BE5"/>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6D83"/>
    <w:rsid w:val="00B87486"/>
    <w:rsid w:val="00B909E1"/>
    <w:rsid w:val="00B91264"/>
    <w:rsid w:val="00B94316"/>
    <w:rsid w:val="00B95040"/>
    <w:rsid w:val="00B956ED"/>
    <w:rsid w:val="00B96E71"/>
    <w:rsid w:val="00B97C95"/>
    <w:rsid w:val="00BA02F9"/>
    <w:rsid w:val="00BA164A"/>
    <w:rsid w:val="00BA31F9"/>
    <w:rsid w:val="00BA3FDA"/>
    <w:rsid w:val="00BA4313"/>
    <w:rsid w:val="00BA4784"/>
    <w:rsid w:val="00BA49EA"/>
    <w:rsid w:val="00BA4F42"/>
    <w:rsid w:val="00BA513C"/>
    <w:rsid w:val="00BA714E"/>
    <w:rsid w:val="00BA7AA3"/>
    <w:rsid w:val="00BB4FE5"/>
    <w:rsid w:val="00BB544C"/>
    <w:rsid w:val="00BB6334"/>
    <w:rsid w:val="00BB6352"/>
    <w:rsid w:val="00BB716A"/>
    <w:rsid w:val="00BC0422"/>
    <w:rsid w:val="00BC2765"/>
    <w:rsid w:val="00BC3382"/>
    <w:rsid w:val="00BC3D2A"/>
    <w:rsid w:val="00BC4575"/>
    <w:rsid w:val="00BC4CA0"/>
    <w:rsid w:val="00BC6FC8"/>
    <w:rsid w:val="00BC7ABB"/>
    <w:rsid w:val="00BD3051"/>
    <w:rsid w:val="00BD38BB"/>
    <w:rsid w:val="00BD4879"/>
    <w:rsid w:val="00BD50F7"/>
    <w:rsid w:val="00BD674E"/>
    <w:rsid w:val="00BE10A8"/>
    <w:rsid w:val="00BE2BC8"/>
    <w:rsid w:val="00BE5835"/>
    <w:rsid w:val="00BE5D71"/>
    <w:rsid w:val="00BE7D2D"/>
    <w:rsid w:val="00BF0116"/>
    <w:rsid w:val="00BF1474"/>
    <w:rsid w:val="00BF24FE"/>
    <w:rsid w:val="00BF28F7"/>
    <w:rsid w:val="00BF3B0A"/>
    <w:rsid w:val="00BF4B06"/>
    <w:rsid w:val="00BF54C1"/>
    <w:rsid w:val="00BF5BDB"/>
    <w:rsid w:val="00BF672F"/>
    <w:rsid w:val="00BF7FE0"/>
    <w:rsid w:val="00C0050E"/>
    <w:rsid w:val="00C03611"/>
    <w:rsid w:val="00C0570D"/>
    <w:rsid w:val="00C11825"/>
    <w:rsid w:val="00C130C8"/>
    <w:rsid w:val="00C13168"/>
    <w:rsid w:val="00C13F60"/>
    <w:rsid w:val="00C14404"/>
    <w:rsid w:val="00C203C9"/>
    <w:rsid w:val="00C22E43"/>
    <w:rsid w:val="00C23238"/>
    <w:rsid w:val="00C235DF"/>
    <w:rsid w:val="00C2539E"/>
    <w:rsid w:val="00C278DE"/>
    <w:rsid w:val="00C3004B"/>
    <w:rsid w:val="00C31F4C"/>
    <w:rsid w:val="00C3209A"/>
    <w:rsid w:val="00C32ADC"/>
    <w:rsid w:val="00C35755"/>
    <w:rsid w:val="00C41EE6"/>
    <w:rsid w:val="00C42E13"/>
    <w:rsid w:val="00C4427F"/>
    <w:rsid w:val="00C47DDE"/>
    <w:rsid w:val="00C50912"/>
    <w:rsid w:val="00C50FF0"/>
    <w:rsid w:val="00C54B46"/>
    <w:rsid w:val="00C56073"/>
    <w:rsid w:val="00C578C1"/>
    <w:rsid w:val="00C63347"/>
    <w:rsid w:val="00C64D23"/>
    <w:rsid w:val="00C67B74"/>
    <w:rsid w:val="00C7123A"/>
    <w:rsid w:val="00C7128F"/>
    <w:rsid w:val="00C71666"/>
    <w:rsid w:val="00C7331B"/>
    <w:rsid w:val="00C73AC2"/>
    <w:rsid w:val="00C74667"/>
    <w:rsid w:val="00C74D07"/>
    <w:rsid w:val="00C803FD"/>
    <w:rsid w:val="00C80EB4"/>
    <w:rsid w:val="00C86682"/>
    <w:rsid w:val="00C874EF"/>
    <w:rsid w:val="00C90846"/>
    <w:rsid w:val="00C92700"/>
    <w:rsid w:val="00C94681"/>
    <w:rsid w:val="00CA129E"/>
    <w:rsid w:val="00CA20B5"/>
    <w:rsid w:val="00CA3562"/>
    <w:rsid w:val="00CA371D"/>
    <w:rsid w:val="00CB0A27"/>
    <w:rsid w:val="00CB35D9"/>
    <w:rsid w:val="00CB4A8A"/>
    <w:rsid w:val="00CB60DD"/>
    <w:rsid w:val="00CC04DE"/>
    <w:rsid w:val="00CC12E7"/>
    <w:rsid w:val="00CC190E"/>
    <w:rsid w:val="00CC3F84"/>
    <w:rsid w:val="00CC6E2D"/>
    <w:rsid w:val="00CD24A8"/>
    <w:rsid w:val="00CD315A"/>
    <w:rsid w:val="00CD319A"/>
    <w:rsid w:val="00CD5502"/>
    <w:rsid w:val="00CE0526"/>
    <w:rsid w:val="00CE1ED9"/>
    <w:rsid w:val="00CE7C82"/>
    <w:rsid w:val="00CF0BB4"/>
    <w:rsid w:val="00CF1BB4"/>
    <w:rsid w:val="00CF2FF8"/>
    <w:rsid w:val="00CF3F6B"/>
    <w:rsid w:val="00CF4851"/>
    <w:rsid w:val="00CF58B7"/>
    <w:rsid w:val="00D0069F"/>
    <w:rsid w:val="00D05493"/>
    <w:rsid w:val="00D07D5E"/>
    <w:rsid w:val="00D11C27"/>
    <w:rsid w:val="00D13C4C"/>
    <w:rsid w:val="00D13EFE"/>
    <w:rsid w:val="00D148D5"/>
    <w:rsid w:val="00D16E6A"/>
    <w:rsid w:val="00D1792B"/>
    <w:rsid w:val="00D224A1"/>
    <w:rsid w:val="00D2279D"/>
    <w:rsid w:val="00D2488C"/>
    <w:rsid w:val="00D2772A"/>
    <w:rsid w:val="00D30DE0"/>
    <w:rsid w:val="00D349ED"/>
    <w:rsid w:val="00D351C1"/>
    <w:rsid w:val="00D35E64"/>
    <w:rsid w:val="00D36146"/>
    <w:rsid w:val="00D36CA3"/>
    <w:rsid w:val="00D41D95"/>
    <w:rsid w:val="00D41DE2"/>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65D52"/>
    <w:rsid w:val="00D737C5"/>
    <w:rsid w:val="00D73835"/>
    <w:rsid w:val="00D7492B"/>
    <w:rsid w:val="00D771B5"/>
    <w:rsid w:val="00D7722A"/>
    <w:rsid w:val="00D80B1B"/>
    <w:rsid w:val="00D82293"/>
    <w:rsid w:val="00D8405B"/>
    <w:rsid w:val="00D86BF0"/>
    <w:rsid w:val="00D86DCB"/>
    <w:rsid w:val="00D939B7"/>
    <w:rsid w:val="00D950D8"/>
    <w:rsid w:val="00D95477"/>
    <w:rsid w:val="00DA777A"/>
    <w:rsid w:val="00DB0188"/>
    <w:rsid w:val="00DB26A8"/>
    <w:rsid w:val="00DB4F9F"/>
    <w:rsid w:val="00DB5728"/>
    <w:rsid w:val="00DB5AE0"/>
    <w:rsid w:val="00DB6161"/>
    <w:rsid w:val="00DB70FB"/>
    <w:rsid w:val="00DC334D"/>
    <w:rsid w:val="00DC6AAD"/>
    <w:rsid w:val="00DC6D52"/>
    <w:rsid w:val="00DE165D"/>
    <w:rsid w:val="00DE2FD7"/>
    <w:rsid w:val="00DE3502"/>
    <w:rsid w:val="00DE45A3"/>
    <w:rsid w:val="00DE5EE7"/>
    <w:rsid w:val="00DF1EC1"/>
    <w:rsid w:val="00DF343E"/>
    <w:rsid w:val="00DF67C3"/>
    <w:rsid w:val="00DF6CEB"/>
    <w:rsid w:val="00E009D9"/>
    <w:rsid w:val="00E0193B"/>
    <w:rsid w:val="00E03F71"/>
    <w:rsid w:val="00E045EE"/>
    <w:rsid w:val="00E06ED0"/>
    <w:rsid w:val="00E1082D"/>
    <w:rsid w:val="00E10833"/>
    <w:rsid w:val="00E130CB"/>
    <w:rsid w:val="00E13431"/>
    <w:rsid w:val="00E14934"/>
    <w:rsid w:val="00E172BE"/>
    <w:rsid w:val="00E2160E"/>
    <w:rsid w:val="00E2487E"/>
    <w:rsid w:val="00E24E02"/>
    <w:rsid w:val="00E25895"/>
    <w:rsid w:val="00E30CA9"/>
    <w:rsid w:val="00E408AB"/>
    <w:rsid w:val="00E41E68"/>
    <w:rsid w:val="00E43B2D"/>
    <w:rsid w:val="00E460A6"/>
    <w:rsid w:val="00E50CB6"/>
    <w:rsid w:val="00E51920"/>
    <w:rsid w:val="00E53A58"/>
    <w:rsid w:val="00E54D26"/>
    <w:rsid w:val="00E63ADD"/>
    <w:rsid w:val="00E63CAA"/>
    <w:rsid w:val="00E64120"/>
    <w:rsid w:val="00E65FA3"/>
    <w:rsid w:val="00E678CB"/>
    <w:rsid w:val="00E67D1E"/>
    <w:rsid w:val="00E707FD"/>
    <w:rsid w:val="00E71348"/>
    <w:rsid w:val="00E71657"/>
    <w:rsid w:val="00E745BB"/>
    <w:rsid w:val="00E8010A"/>
    <w:rsid w:val="00E8229C"/>
    <w:rsid w:val="00E836E5"/>
    <w:rsid w:val="00E84601"/>
    <w:rsid w:val="00E85E09"/>
    <w:rsid w:val="00E8605D"/>
    <w:rsid w:val="00E92CE2"/>
    <w:rsid w:val="00E93CDD"/>
    <w:rsid w:val="00E977FB"/>
    <w:rsid w:val="00EA0944"/>
    <w:rsid w:val="00EA1325"/>
    <w:rsid w:val="00EA22D5"/>
    <w:rsid w:val="00EA241F"/>
    <w:rsid w:val="00EA2704"/>
    <w:rsid w:val="00EA4221"/>
    <w:rsid w:val="00EB2FE6"/>
    <w:rsid w:val="00EB3CD8"/>
    <w:rsid w:val="00EB6F5F"/>
    <w:rsid w:val="00ED246E"/>
    <w:rsid w:val="00ED379C"/>
    <w:rsid w:val="00ED4D08"/>
    <w:rsid w:val="00ED5834"/>
    <w:rsid w:val="00ED6AAF"/>
    <w:rsid w:val="00EE065C"/>
    <w:rsid w:val="00EE3926"/>
    <w:rsid w:val="00EE5D34"/>
    <w:rsid w:val="00EE776F"/>
    <w:rsid w:val="00EF319C"/>
    <w:rsid w:val="00EF7C4A"/>
    <w:rsid w:val="00F00846"/>
    <w:rsid w:val="00F02496"/>
    <w:rsid w:val="00F027E4"/>
    <w:rsid w:val="00F055F1"/>
    <w:rsid w:val="00F05A46"/>
    <w:rsid w:val="00F15458"/>
    <w:rsid w:val="00F22278"/>
    <w:rsid w:val="00F22B3B"/>
    <w:rsid w:val="00F26986"/>
    <w:rsid w:val="00F307D6"/>
    <w:rsid w:val="00F31A8E"/>
    <w:rsid w:val="00F31F38"/>
    <w:rsid w:val="00F32C2D"/>
    <w:rsid w:val="00F33A4C"/>
    <w:rsid w:val="00F34B87"/>
    <w:rsid w:val="00F358BF"/>
    <w:rsid w:val="00F35CB2"/>
    <w:rsid w:val="00F374CD"/>
    <w:rsid w:val="00F4046E"/>
    <w:rsid w:val="00F41E92"/>
    <w:rsid w:val="00F434FF"/>
    <w:rsid w:val="00F4378F"/>
    <w:rsid w:val="00F4425B"/>
    <w:rsid w:val="00F461FD"/>
    <w:rsid w:val="00F476F3"/>
    <w:rsid w:val="00F51024"/>
    <w:rsid w:val="00F5122A"/>
    <w:rsid w:val="00F51940"/>
    <w:rsid w:val="00F51A84"/>
    <w:rsid w:val="00F523CD"/>
    <w:rsid w:val="00F53495"/>
    <w:rsid w:val="00F559F9"/>
    <w:rsid w:val="00F561EE"/>
    <w:rsid w:val="00F63D66"/>
    <w:rsid w:val="00F64504"/>
    <w:rsid w:val="00F6458C"/>
    <w:rsid w:val="00F6478A"/>
    <w:rsid w:val="00F6661C"/>
    <w:rsid w:val="00F6682D"/>
    <w:rsid w:val="00F701C7"/>
    <w:rsid w:val="00F7721E"/>
    <w:rsid w:val="00F77823"/>
    <w:rsid w:val="00F77FD4"/>
    <w:rsid w:val="00F81C15"/>
    <w:rsid w:val="00F82391"/>
    <w:rsid w:val="00F858CA"/>
    <w:rsid w:val="00F87E9D"/>
    <w:rsid w:val="00F9034E"/>
    <w:rsid w:val="00F916DC"/>
    <w:rsid w:val="00F94BD6"/>
    <w:rsid w:val="00F958CC"/>
    <w:rsid w:val="00F95F6C"/>
    <w:rsid w:val="00FA464E"/>
    <w:rsid w:val="00FA5999"/>
    <w:rsid w:val="00FA60EE"/>
    <w:rsid w:val="00FB0CC9"/>
    <w:rsid w:val="00FB1DD0"/>
    <w:rsid w:val="00FB2379"/>
    <w:rsid w:val="00FB25E5"/>
    <w:rsid w:val="00FB3848"/>
    <w:rsid w:val="00FB5293"/>
    <w:rsid w:val="00FB5446"/>
    <w:rsid w:val="00FC0D46"/>
    <w:rsid w:val="00FC10ED"/>
    <w:rsid w:val="00FC2D11"/>
    <w:rsid w:val="00FC373B"/>
    <w:rsid w:val="00FC6230"/>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14:docId w14:val="0327BEC1"/>
  <w15:docId w15:val="{CA0667E6-99B1-4C44-B71A-3329F4E4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FBE"/>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6B4989"/>
    <w:pPr>
      <w:tabs>
        <w:tab w:val="right" w:leader="dot" w:pos="9017"/>
      </w:tabs>
    </w:pPr>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902CB1"/>
    <w:pPr>
      <w:tabs>
        <w:tab w:val="right" w:leader="dot" w:pos="9017"/>
      </w:tabs>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uiPriority w:val="99"/>
    <w:rsid w:val="00205FBE"/>
    <w:rPr>
      <w:sz w:val="20"/>
      <w:szCs w:val="20"/>
    </w:rPr>
  </w:style>
  <w:style w:type="character" w:customStyle="1" w:styleId="FootnoteTextChar">
    <w:name w:val="Footnote Text Char"/>
    <w:basedOn w:val="DefaultParagraphFont"/>
    <w:link w:val="FootnoteText"/>
    <w:uiPriority w:val="99"/>
    <w:rsid w:val="00205FBE"/>
    <w:rPr>
      <w:lang w:eastAsia="en-US"/>
    </w:rPr>
  </w:style>
  <w:style w:type="character" w:styleId="FootnoteReference">
    <w:name w:val="footnote reference"/>
    <w:basedOn w:val="DefaultParagraphFont"/>
    <w:uiPriority w:val="99"/>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6375EE"/>
    <w:rPr>
      <w:color w:val="605E5C"/>
      <w:shd w:val="clear" w:color="auto" w:fill="E1DFDD"/>
    </w:rPr>
  </w:style>
  <w:style w:type="character" w:customStyle="1" w:styleId="highwire-cite-metadata-year">
    <w:name w:val="highwire-cite-metadata-year"/>
    <w:basedOn w:val="DefaultParagraphFont"/>
    <w:rsid w:val="00E13431"/>
  </w:style>
  <w:style w:type="character" w:customStyle="1" w:styleId="highwire-cite-metadata-volume">
    <w:name w:val="highwire-cite-metadata-volume"/>
    <w:basedOn w:val="DefaultParagraphFont"/>
    <w:rsid w:val="00E13431"/>
  </w:style>
  <w:style w:type="character" w:customStyle="1" w:styleId="highwire-cite-metadata-pages">
    <w:name w:val="highwire-cite-metadata-pages"/>
    <w:basedOn w:val="DefaultParagraphFont"/>
    <w:rsid w:val="00E13431"/>
  </w:style>
  <w:style w:type="character" w:customStyle="1" w:styleId="normaltextrun">
    <w:name w:val="normaltextrun"/>
    <w:basedOn w:val="DefaultParagraphFont"/>
    <w:rsid w:val="00CE7C82"/>
  </w:style>
  <w:style w:type="character" w:customStyle="1" w:styleId="apple-converted-space">
    <w:name w:val="apple-converted-space"/>
    <w:basedOn w:val="DefaultParagraphFont"/>
    <w:rsid w:val="00CE7C82"/>
  </w:style>
  <w:style w:type="character" w:customStyle="1" w:styleId="spellingerror">
    <w:name w:val="spellingerror"/>
    <w:basedOn w:val="DefaultParagraphFont"/>
    <w:rsid w:val="00CE7C82"/>
  </w:style>
  <w:style w:type="paragraph" w:customStyle="1" w:styleId="li1">
    <w:name w:val="li1"/>
    <w:basedOn w:val="Normal"/>
    <w:rsid w:val="00CE7C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6316696">
      <w:bodyDiv w:val="1"/>
      <w:marLeft w:val="0"/>
      <w:marRight w:val="0"/>
      <w:marTop w:val="0"/>
      <w:marBottom w:val="0"/>
      <w:divBdr>
        <w:top w:val="none" w:sz="0" w:space="0" w:color="auto"/>
        <w:left w:val="none" w:sz="0" w:space="0" w:color="auto"/>
        <w:bottom w:val="none" w:sz="0" w:space="0" w:color="auto"/>
        <w:right w:val="none" w:sz="0" w:space="0" w:color="auto"/>
      </w:divBdr>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40674428">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lancet.com/journals/lancet/article/PIIS0140-6736(12)60240-2/fulltext" TargetMode="External"/><Relationship Id="rId13" Type="http://schemas.openxmlformats.org/officeDocument/2006/relationships/hyperlink" Target="https://www.nice.org.uk/guidance/ng5" TargetMode="External"/><Relationship Id="rId18" Type="http://schemas.openxmlformats.org/officeDocument/2006/relationships/hyperlink" Target="https://www.nice.org.uk/guidance/qs86" TargetMode="External"/><Relationship Id="rId26" Type="http://schemas.openxmlformats.org/officeDocument/2006/relationships/hyperlink" Target="https://www.ncbi.nlm.nih.gov/pubmed/8850213" TargetMode="External"/><Relationship Id="rId39" Type="http://schemas.openxmlformats.org/officeDocument/2006/relationships/hyperlink" Target="https://www.ncbi.nlm.nih.gov/m/pubmed/21528166/" TargetMode="External"/><Relationship Id="rId3" Type="http://schemas.openxmlformats.org/officeDocument/2006/relationships/styles" Target="styles.xml"/><Relationship Id="rId21" Type="http://schemas.openxmlformats.org/officeDocument/2006/relationships/hyperlink" Target="https://www.thelancet.com/journals/lancet/article/PIIS0140-6736(12)60240-2/fulltext" TargetMode="External"/><Relationship Id="rId34" Type="http://schemas.openxmlformats.org/officeDocument/2006/relationships/hyperlink" Target="https://richmondgroupofcharities.org.uk/taskforce-multiple-conditions" TargetMode="External"/><Relationship Id="rId42" Type="http://schemas.openxmlformats.org/officeDocument/2006/relationships/hyperlink" Target="https://www.ncbi.nlm.nih.gov/m/pubmed/22836709/?i=2&amp;from=/21528166/related;%20https://www.ncbi.nlm.nih.gov/m/pubmed/29460785/" TargetMode="External"/><Relationship Id="rId7" Type="http://schemas.openxmlformats.org/officeDocument/2006/relationships/endnotes" Target="endnotes.xml"/><Relationship Id="rId12" Type="http://schemas.openxmlformats.org/officeDocument/2006/relationships/hyperlink" Target="https://www.nice.org.uk/guidance/qs153" TargetMode="External"/><Relationship Id="rId17" Type="http://schemas.openxmlformats.org/officeDocument/2006/relationships/hyperlink" Target="https://www.nice.org.uk/guidance/cg161" TargetMode="External"/><Relationship Id="rId25" Type="http://schemas.openxmlformats.org/officeDocument/2006/relationships/hyperlink" Target="http://www.bapen.org.uk/pdfs/must/must_full.pdf" TargetMode="External"/><Relationship Id="rId33" Type="http://schemas.openxmlformats.org/officeDocument/2006/relationships/hyperlink" Target="https://protect-eu.mimecast.com/s/9KWqCEl61Cln63VSNIbeZ?domain=bristol.ac.uk" TargetMode="External"/><Relationship Id="rId38" Type="http://schemas.openxmlformats.org/officeDocument/2006/relationships/hyperlink" Target="https://www.ncbi.nlm.nih.gov/pubmed/28982720"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ice.org.uk/guidance/qs153" TargetMode="External"/><Relationship Id="rId20" Type="http://schemas.openxmlformats.org/officeDocument/2006/relationships/hyperlink" Target="https://www.nice.org.uk/guidance/qs86" TargetMode="External"/><Relationship Id="rId29" Type="http://schemas.openxmlformats.org/officeDocument/2006/relationships/hyperlink" Target="http://www.malnutritionpathway.co.uk" TargetMode="External"/><Relationship Id="rId41" Type="http://schemas.openxmlformats.org/officeDocument/2006/relationships/hyperlink" Target="https://www.ncbi.nlm.nih.gov/m/pubmed/215281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ng56" TargetMode="External"/><Relationship Id="rId24" Type="http://schemas.openxmlformats.org/officeDocument/2006/relationships/footer" Target="footer1.xml"/><Relationship Id="rId32" Type="http://schemas.openxmlformats.org/officeDocument/2006/relationships/hyperlink" Target="https://www.nice.org.uk/advice/mib181" TargetMode="External"/><Relationship Id="rId37" Type="http://schemas.openxmlformats.org/officeDocument/2006/relationships/hyperlink" Target="https://www.ncbi.nlm.nih.gov/pmc/articles/PMC3445676/" TargetMode="External"/><Relationship Id="rId40" Type="http://schemas.openxmlformats.org/officeDocument/2006/relationships/hyperlink" Target="https://www.ncbi.nlm.nih.gov/m/pubmed/22836709/?i=2&amp;from=/21528166/related;%20https://www.ncbi.nlm.nih.gov/m/pubmed/2946078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ice.org.uk/guidance/qs120" TargetMode="External"/><Relationship Id="rId23" Type="http://schemas.openxmlformats.org/officeDocument/2006/relationships/header" Target="header1.xml"/><Relationship Id="rId28" Type="http://schemas.openxmlformats.org/officeDocument/2006/relationships/hyperlink" Target="https://www.ncbi.nlm.nih.gov/pubmed/12975389" TargetMode="External"/><Relationship Id="rId36" Type="http://schemas.openxmlformats.org/officeDocument/2006/relationships/hyperlink" Target="https://www.nice.org.uk/guidance/ng56/chapter/Recommendations" TargetMode="External"/><Relationship Id="rId10" Type="http://schemas.openxmlformats.org/officeDocument/2006/relationships/hyperlink" Target="https://www.nice.org.uk/guidance/qs153" TargetMode="External"/><Relationship Id="rId19" Type="http://schemas.openxmlformats.org/officeDocument/2006/relationships/hyperlink" Target="https://www.nice.org.uk/guidance/cg161" TargetMode="External"/><Relationship Id="rId31" Type="http://schemas.openxmlformats.org/officeDocument/2006/relationships/hyperlink" Target="https://www.nice.org.uk/guidance/ng56"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nice.org.uk/guidance/ng56" TargetMode="External"/><Relationship Id="rId14" Type="http://schemas.openxmlformats.org/officeDocument/2006/relationships/hyperlink" Target="https://www.nice.org.uk/guidance/ng56" TargetMode="External"/><Relationship Id="rId22" Type="http://schemas.openxmlformats.org/officeDocument/2006/relationships/hyperlink" Target="https://www.health.org.uk/sites/default/files/upload/publications/2018/Understanding%20the%20health%20care%20needs%20of%20people%20with%20multiple%20health%20conditions.pdf" TargetMode="External"/><Relationship Id="rId27" Type="http://schemas.openxmlformats.org/officeDocument/2006/relationships/hyperlink" Target="https://www.ncbi.nlm.nih.gov/pubmed/?term=Stam%20BE%5BAuthor%5D&amp;cauthor=true&amp;cauthor_uid=12975389" TargetMode="External"/><Relationship Id="rId30" Type="http://schemas.openxmlformats.org/officeDocument/2006/relationships/hyperlink" Target="https://apps.who.int/iris/bitstream/handle/10665/252275/9789241511650-eng.pdf;jsessionid=3A22A47AC8FD22FB52F94DB7FA239491?sequence=1" TargetMode="External"/><Relationship Id="rId35" Type="http://schemas.openxmlformats.org/officeDocument/2006/relationships/hyperlink" Target="https://www.nice.org.uk/guidance/ng56" TargetMode="External"/><Relationship Id="rId43"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69969-B672-4982-878D-387CF16A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61AE7E4B</Template>
  <TotalTime>27</TotalTime>
  <Pages>40</Pages>
  <Words>14845</Words>
  <Characters>88525</Characters>
  <Application>Microsoft Office Word</Application>
  <DocSecurity>0</DocSecurity>
  <Lines>737</Lines>
  <Paragraphs>206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103164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Lacey</dc:creator>
  <cp:keywords/>
  <cp:lastModifiedBy>Esther Clifford</cp:lastModifiedBy>
  <cp:revision>7</cp:revision>
  <cp:lastPrinted>2019-05-24T10:54:00Z</cp:lastPrinted>
  <dcterms:created xsi:type="dcterms:W3CDTF">2019-05-28T11:55:00Z</dcterms:created>
  <dcterms:modified xsi:type="dcterms:W3CDTF">2019-08-27T16:04:00Z</dcterms:modified>
</cp:coreProperties>
</file>