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4B106FD4" w:rsidR="00B8026E" w:rsidRDefault="00B8026E" w:rsidP="00B8026E">
      <w:pPr>
        <w:pStyle w:val="NICEnormal"/>
      </w:pPr>
      <w:r>
        <w:t xml:space="preserve">Date first published on NICE menu: </w:t>
      </w:r>
      <w:r w:rsidR="00333742">
        <w:t>August 2019</w:t>
      </w:r>
    </w:p>
    <w:p w14:paraId="06BAB3FE" w14:textId="51DE4ED5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0A0F7B">
        <w:t>N/A</w:t>
      </w:r>
      <w:bookmarkStart w:id="0" w:name="_GoBack"/>
      <w:bookmarkEnd w:id="0"/>
    </w:p>
    <w:p w14:paraId="6107852F" w14:textId="0514BB2B" w:rsidR="006F0A86" w:rsidRPr="00126C3F" w:rsidRDefault="006F0A86" w:rsidP="00126C3F">
      <w:pPr>
        <w:pStyle w:val="Heading1"/>
        <w:rPr>
          <w:sz w:val="24"/>
          <w:szCs w:val="24"/>
        </w:rPr>
      </w:pPr>
      <w:r w:rsidRPr="00126C3F">
        <w:t xml:space="preserve">Indicator </w:t>
      </w:r>
      <w:r w:rsidR="000A0F7B">
        <w:t>NM1</w:t>
      </w:r>
      <w:r w:rsidR="00333742">
        <w:t>84</w:t>
      </w:r>
    </w:p>
    <w:p w14:paraId="406DC9CE" w14:textId="513A88BD" w:rsidR="00212D33" w:rsidRPr="00F634C7" w:rsidRDefault="000A0F7B" w:rsidP="00D141B1">
      <w:pPr>
        <w:pStyle w:val="NICEnormal"/>
      </w:pPr>
      <w:r w:rsidRPr="00EB3F3F">
        <w:t xml:space="preserve">The practice can produce a register of people with multimorbidity who would </w:t>
      </w:r>
      <w:r w:rsidRPr="00F634C7">
        <w:t>benefit from a tailored approach to care.</w:t>
      </w:r>
    </w:p>
    <w:p w14:paraId="18778417" w14:textId="44B2D166" w:rsidR="00806B97" w:rsidRPr="00806B97" w:rsidRDefault="00806B97" w:rsidP="00806B97">
      <w:pPr>
        <w:pStyle w:val="Heading1"/>
      </w:pPr>
      <w:r w:rsidRPr="00806B97">
        <w:t xml:space="preserve">Indicator type </w:t>
      </w:r>
    </w:p>
    <w:p w14:paraId="119100DA" w14:textId="4076B2ED" w:rsidR="00806B97" w:rsidRPr="000A0F7B" w:rsidRDefault="00806B97" w:rsidP="00D141B1">
      <w:pPr>
        <w:pStyle w:val="NICEnormal"/>
      </w:pPr>
      <w:r w:rsidRPr="000A0F7B">
        <w:t xml:space="preserve">General practice indicator suitable for </w:t>
      </w:r>
      <w:r w:rsidR="000E7E9F" w:rsidRPr="000A0F7B">
        <w:t xml:space="preserve">use in </w:t>
      </w:r>
      <w:r w:rsidRPr="000A0F7B">
        <w:t xml:space="preserve">the </w:t>
      </w:r>
      <w:r w:rsidR="00BF3B64">
        <w:t>QOF</w:t>
      </w:r>
      <w:r w:rsidRPr="000A0F7B">
        <w:t>.</w:t>
      </w:r>
    </w:p>
    <w:p w14:paraId="20705D2C" w14:textId="4D37CAD8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576F155A" w14:textId="084A2676" w:rsidR="000A0F7B" w:rsidRDefault="000A0F7B" w:rsidP="000A0F7B">
      <w:pPr>
        <w:pStyle w:val="Paragraph"/>
      </w:pPr>
      <w:r>
        <w:t xml:space="preserve">Multimorbidity is associated with reduced quality of life, higher mortality, polypharmacy and higher treatment burden, higher rates of adverse drug events and greater </w:t>
      </w:r>
      <w:r w:rsidR="00C63666">
        <w:t xml:space="preserve">use of </w:t>
      </w:r>
      <w:r>
        <w:t>health service</w:t>
      </w:r>
      <w:r w:rsidR="00C63666">
        <w:t>s</w:t>
      </w:r>
      <w:r>
        <w:t xml:space="preserve"> including unplanned admissions and emergency care.</w:t>
      </w:r>
    </w:p>
    <w:p w14:paraId="113D1693" w14:textId="77777777" w:rsidR="009D17CF" w:rsidRDefault="009D17CF" w:rsidP="009D17CF">
      <w:pPr>
        <w:pStyle w:val="Heading1"/>
        <w:rPr>
          <w:i/>
        </w:rPr>
      </w:pPr>
      <w:r w:rsidRPr="00011273">
        <w:t>Rationale</w:t>
      </w:r>
    </w:p>
    <w:p w14:paraId="7A35D27A" w14:textId="42D6EB7D" w:rsidR="009D17CF" w:rsidRDefault="009D17CF" w:rsidP="009D17CF">
      <w:pPr>
        <w:pStyle w:val="Paragraph"/>
        <w:rPr>
          <w:rFonts w:cs="Arial"/>
        </w:rPr>
      </w:pPr>
      <w:r w:rsidRPr="00A81F47">
        <w:rPr>
          <w:rFonts w:cs="Arial"/>
        </w:rPr>
        <w:t>The register will support interventions that lead to improvement in health-related quality of life, care related decisions and patient safety and reduce adverse outcomes such as unplanned admissions.</w:t>
      </w:r>
      <w:r w:rsidR="00445BD9">
        <w:rPr>
          <w:rFonts w:cs="Arial"/>
        </w:rPr>
        <w:t xml:space="preserve"> The indicator is also a measure of case-mix and potentially workload in general practice.</w:t>
      </w:r>
    </w:p>
    <w:p w14:paraId="44B1FBF8" w14:textId="77777777" w:rsidR="009D17CF" w:rsidRDefault="009D17CF" w:rsidP="009D17CF">
      <w:pPr>
        <w:pStyle w:val="Heading1"/>
      </w:pPr>
      <w:r>
        <w:t xml:space="preserve">Development </w:t>
      </w:r>
    </w:p>
    <w:p w14:paraId="5D3C94FD" w14:textId="713D24C2" w:rsidR="00D754D1" w:rsidRDefault="009D17CF" w:rsidP="00D754D1">
      <w:pPr>
        <w:pStyle w:val="Paragraph"/>
      </w:pPr>
      <w:r w:rsidRPr="009D17CF">
        <w:rPr>
          <w:rFonts w:cs="Arial"/>
        </w:rPr>
        <w:t xml:space="preserve">The NICE </w:t>
      </w:r>
      <w:r>
        <w:rPr>
          <w:rFonts w:cs="Arial"/>
        </w:rPr>
        <w:t xml:space="preserve">guideline on </w:t>
      </w:r>
      <w:hyperlink r:id="rId8" w:history="1">
        <w:r w:rsidRPr="009D17CF">
          <w:rPr>
            <w:rStyle w:val="Hyperlink"/>
            <w:rFonts w:cs="Arial"/>
          </w:rPr>
          <w:t>multimorbidity</w:t>
        </w:r>
      </w:hyperlink>
      <w:r w:rsidRPr="009D17CF">
        <w:rPr>
          <w:rFonts w:cs="Arial"/>
        </w:rPr>
        <w:t xml:space="preserve"> (NG56) defines multimorbidity as </w:t>
      </w:r>
      <w:r>
        <w:rPr>
          <w:rFonts w:cs="Arial"/>
        </w:rPr>
        <w:t xml:space="preserve">the presence of </w:t>
      </w:r>
      <w:r w:rsidRPr="009D17CF">
        <w:rPr>
          <w:rFonts w:cs="Arial"/>
        </w:rPr>
        <w:t xml:space="preserve">two or more long-term health conditions. </w:t>
      </w:r>
      <w:r w:rsidR="00D754D1">
        <w:t xml:space="preserve">The NICE indicator advisory committee originally explored creating a register based on presence on 2 or more ‘QOF registers’, however this limited the number of conditions significantly. It also resulted in a register of people who were likely already under regular review. </w:t>
      </w:r>
    </w:p>
    <w:p w14:paraId="6BFA77A0" w14:textId="1DF9528E" w:rsidR="00962108" w:rsidRDefault="00BF3B64" w:rsidP="009D17CF">
      <w:pPr>
        <w:pStyle w:val="Paragraph"/>
        <w:rPr>
          <w:rFonts w:cs="Arial"/>
        </w:rPr>
      </w:pPr>
      <w:r>
        <w:rPr>
          <w:rFonts w:cs="Arial"/>
        </w:rPr>
        <w:lastRenderedPageBreak/>
        <w:t xml:space="preserve">Bespoke analysis undertaken </w:t>
      </w:r>
      <w:r w:rsidR="00F72F52">
        <w:rPr>
          <w:rFonts w:cs="Arial"/>
        </w:rPr>
        <w:t xml:space="preserve">by the North East Quality Observatory Service </w:t>
      </w:r>
      <w:r>
        <w:rPr>
          <w:rFonts w:cs="Arial"/>
        </w:rPr>
        <w:t xml:space="preserve">for the NICE indicator advisory committee in a sample of 14 practices using </w:t>
      </w:r>
      <w:r w:rsidR="008E1557">
        <w:rPr>
          <w:rFonts w:cs="Arial"/>
        </w:rPr>
        <w:t xml:space="preserve">a an adapted list of 30 conditions from the </w:t>
      </w:r>
      <w:r>
        <w:rPr>
          <w:rFonts w:cs="Arial"/>
        </w:rPr>
        <w:t>SPIRE</w:t>
      </w:r>
      <w:r w:rsidR="008E1557">
        <w:rPr>
          <w:rFonts w:cs="Arial"/>
        </w:rPr>
        <w:t xml:space="preserve"> project </w:t>
      </w:r>
      <w:r>
        <w:rPr>
          <w:rFonts w:cs="Arial"/>
        </w:rPr>
        <w:t xml:space="preserve">found that when developed into a systematic search of practice data, the number of people with two or more long term conditions was a substantial proportion of practice lists. </w:t>
      </w:r>
      <w:r w:rsidR="00445BD9">
        <w:rPr>
          <w:rFonts w:cs="Arial"/>
        </w:rPr>
        <w:t>P</w:t>
      </w:r>
      <w:r w:rsidR="00D754D1">
        <w:rPr>
          <w:rFonts w:cs="Arial"/>
        </w:rPr>
        <w:t xml:space="preserve">ublications analysing </w:t>
      </w:r>
      <w:r w:rsidR="00445BD9">
        <w:rPr>
          <w:rFonts w:cs="Arial"/>
        </w:rPr>
        <w:t xml:space="preserve">general practice </w:t>
      </w:r>
      <w:r w:rsidR="00D754D1">
        <w:rPr>
          <w:rFonts w:cs="Arial"/>
        </w:rPr>
        <w:t xml:space="preserve">data </w:t>
      </w:r>
      <w:r w:rsidR="00D754D1">
        <w:t>(</w:t>
      </w:r>
      <w:hyperlink r:id="rId9" w:history="1">
        <w:r w:rsidR="00D754D1" w:rsidRPr="00D41DE2">
          <w:rPr>
            <w:rStyle w:val="Hyperlink"/>
          </w:rPr>
          <w:t xml:space="preserve">Barnett </w:t>
        </w:r>
        <w:r w:rsidR="00D754D1">
          <w:rPr>
            <w:rStyle w:val="Hyperlink"/>
          </w:rPr>
          <w:t>et</w:t>
        </w:r>
        <w:r w:rsidR="00D754D1" w:rsidRPr="00D41DE2">
          <w:rPr>
            <w:rStyle w:val="Hyperlink"/>
          </w:rPr>
          <w:t xml:space="preserve"> al. 2012</w:t>
        </w:r>
      </w:hyperlink>
      <w:r>
        <w:rPr>
          <w:rStyle w:val="Hyperlink"/>
        </w:rPr>
        <w:t>, Cassell et al. 2018,</w:t>
      </w:r>
      <w:r w:rsidR="00D754D1">
        <w:t xml:space="preserve"> and </w:t>
      </w:r>
      <w:hyperlink r:id="rId10" w:history="1">
        <w:r w:rsidR="00D754D1" w:rsidRPr="00D41DE2">
          <w:rPr>
            <w:rStyle w:val="Hyperlink"/>
          </w:rPr>
          <w:t>Health Foundation, 2018</w:t>
        </w:r>
      </w:hyperlink>
      <w:r w:rsidR="00D754D1">
        <w:t xml:space="preserve">) also </w:t>
      </w:r>
      <w:r w:rsidR="00D754D1">
        <w:rPr>
          <w:rFonts w:cs="Arial"/>
        </w:rPr>
        <w:t>found</w:t>
      </w:r>
      <w:r w:rsidR="00962108">
        <w:rPr>
          <w:rFonts w:cs="Arial"/>
        </w:rPr>
        <w:t xml:space="preserve"> </w:t>
      </w:r>
      <w:r>
        <w:rPr>
          <w:rFonts w:cs="Arial"/>
        </w:rPr>
        <w:t xml:space="preserve">similar results. </w:t>
      </w:r>
    </w:p>
    <w:p w14:paraId="00370E2D" w14:textId="5AC39D06" w:rsidR="00BF3B64" w:rsidRDefault="00BF3B64" w:rsidP="009D17CF">
      <w:pPr>
        <w:pStyle w:val="Paragraph"/>
        <w:rPr>
          <w:rFonts w:cs="Arial"/>
        </w:rPr>
      </w:pPr>
      <w:r>
        <w:rPr>
          <w:rFonts w:cs="Arial"/>
        </w:rPr>
        <w:t>Table 1: Percentage of people in general practice with long term conditions</w:t>
      </w:r>
    </w:p>
    <w:tbl>
      <w:tblPr>
        <w:tblStyle w:val="TableGrid"/>
        <w:tblW w:w="8296" w:type="dxa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2"/>
        <w:gridCol w:w="1383"/>
        <w:gridCol w:w="1383"/>
      </w:tblGrid>
      <w:tr w:rsidR="008E1557" w:rsidRPr="00AE72CB" w14:paraId="16814196" w14:textId="77777777" w:rsidTr="00F634C7">
        <w:tc>
          <w:tcPr>
            <w:tcW w:w="1382" w:type="dxa"/>
          </w:tcPr>
          <w:p w14:paraId="33FBD037" w14:textId="52BBDD34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Number of conditions</w:t>
            </w:r>
          </w:p>
        </w:tc>
        <w:tc>
          <w:tcPr>
            <w:tcW w:w="1383" w:type="dxa"/>
          </w:tcPr>
          <w:p w14:paraId="7DA0C13A" w14:textId="1658E5CA" w:rsidR="008E1557" w:rsidRPr="00F72F52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hyperlink r:id="rId11" w:history="1">
              <w:r w:rsidRPr="00F72F52">
                <w:rPr>
                  <w:rFonts w:cs="Arial"/>
                  <w:sz w:val="20"/>
                  <w:szCs w:val="20"/>
                </w:rPr>
                <w:t>Barnet et al.</w:t>
              </w:r>
            </w:hyperlink>
            <w:r w:rsidRPr="00F72F52">
              <w:rPr>
                <w:rFonts w:cs="Arial"/>
                <w:sz w:val="20"/>
                <w:szCs w:val="20"/>
              </w:rPr>
              <w:t xml:space="preserve"> 2012 </w:t>
            </w:r>
          </w:p>
          <w:p w14:paraId="5E6FAD36" w14:textId="1B21CAE7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F72F52">
              <w:rPr>
                <w:rFonts w:cs="Arial"/>
                <w:sz w:val="20"/>
                <w:szCs w:val="20"/>
              </w:rPr>
              <w:t>(all ages)</w:t>
            </w:r>
          </w:p>
        </w:tc>
        <w:tc>
          <w:tcPr>
            <w:tcW w:w="1383" w:type="dxa"/>
          </w:tcPr>
          <w:p w14:paraId="4471C866" w14:textId="77777777" w:rsidR="008E1557" w:rsidRPr="00F72F52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hyperlink r:id="rId12" w:history="1">
              <w:r w:rsidRPr="00F72F52">
                <w:rPr>
                  <w:rFonts w:cs="Arial"/>
                  <w:sz w:val="20"/>
                  <w:szCs w:val="20"/>
                </w:rPr>
                <w:t>Health Foundation</w:t>
              </w:r>
            </w:hyperlink>
            <w:r w:rsidRPr="00F72F52">
              <w:rPr>
                <w:rFonts w:cs="Arial"/>
                <w:sz w:val="20"/>
                <w:szCs w:val="20"/>
              </w:rPr>
              <w:t xml:space="preserve"> 2018</w:t>
            </w:r>
          </w:p>
          <w:p w14:paraId="7D54EBA5" w14:textId="5C21C32D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F72F52">
              <w:rPr>
                <w:rFonts w:cs="Arial"/>
                <w:sz w:val="20"/>
                <w:szCs w:val="20"/>
              </w:rPr>
              <w:t>(all ages - tbc)</w:t>
            </w:r>
          </w:p>
        </w:tc>
        <w:tc>
          <w:tcPr>
            <w:tcW w:w="1382" w:type="dxa"/>
          </w:tcPr>
          <w:p w14:paraId="03D0A510" w14:textId="3C396E3A" w:rsidR="008E1557" w:rsidDel="00F72F52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Cassell et al. 2018</w:t>
            </w:r>
          </w:p>
        </w:tc>
        <w:tc>
          <w:tcPr>
            <w:tcW w:w="1383" w:type="dxa"/>
          </w:tcPr>
          <w:p w14:paraId="386A39EE" w14:textId="00E0D001" w:rsidR="008E1557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NEQOS analysis </w:t>
            </w:r>
            <w:r w:rsidRPr="00F72F52">
              <w:rPr>
                <w:rFonts w:cs="Arial"/>
                <w:sz w:val="20"/>
                <w:szCs w:val="20"/>
              </w:rPr>
              <w:t>SPIRE30</w:t>
            </w:r>
          </w:p>
          <w:p w14:paraId="2374A355" w14:textId="4B98759A" w:rsidR="008E1557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Conditions</w:t>
            </w:r>
            <w:r w:rsidRPr="00F72F52">
              <w:rPr>
                <w:rFonts w:cs="Arial"/>
                <w:sz w:val="20"/>
                <w:szCs w:val="20"/>
              </w:rPr>
              <w:t xml:space="preserve"> </w:t>
            </w:r>
          </w:p>
          <w:p w14:paraId="3DE122E3" w14:textId="6983739F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(age 18+)</w:t>
            </w:r>
          </w:p>
        </w:tc>
        <w:tc>
          <w:tcPr>
            <w:tcW w:w="1383" w:type="dxa"/>
          </w:tcPr>
          <w:p w14:paraId="70D94A9C" w14:textId="023B5DFC" w:rsidR="008E1557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NEQOS analysis SPIRE30 </w:t>
            </w:r>
          </w:p>
          <w:p w14:paraId="396B6D1A" w14:textId="778A3DDC" w:rsidR="008E1557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Clusters</w:t>
            </w:r>
          </w:p>
          <w:p w14:paraId="01042161" w14:textId="5B102B45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(age 18+)</w:t>
            </w:r>
          </w:p>
        </w:tc>
      </w:tr>
      <w:tr w:rsidR="008E1557" w:rsidRPr="00AE72CB" w14:paraId="64037693" w14:textId="77777777" w:rsidTr="00F634C7">
        <w:tc>
          <w:tcPr>
            <w:tcW w:w="1382" w:type="dxa"/>
          </w:tcPr>
          <w:p w14:paraId="77BDC592" w14:textId="0C21F959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14:paraId="46517294" w14:textId="712C8225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914903">
              <w:rPr>
                <w:sz w:val="20"/>
                <w:szCs w:val="20"/>
              </w:rPr>
              <w:t>57.8%</w:t>
            </w:r>
          </w:p>
        </w:tc>
        <w:tc>
          <w:tcPr>
            <w:tcW w:w="1383" w:type="dxa"/>
          </w:tcPr>
          <w:p w14:paraId="3DA575A7" w14:textId="639EC8A8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914903">
              <w:rPr>
                <w:sz w:val="20"/>
                <w:szCs w:val="20"/>
              </w:rPr>
              <w:t>54.0%</w:t>
            </w:r>
          </w:p>
        </w:tc>
        <w:tc>
          <w:tcPr>
            <w:tcW w:w="1382" w:type="dxa"/>
          </w:tcPr>
          <w:p w14:paraId="4FE9D631" w14:textId="20647155" w:rsidR="008E1557" w:rsidRDefault="008E1557" w:rsidP="00F72F52">
            <w:pPr>
              <w:pStyle w:val="Paragrap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14:paraId="0F9F5200" w14:textId="7659038B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43.6%</w:t>
            </w:r>
          </w:p>
        </w:tc>
        <w:tc>
          <w:tcPr>
            <w:tcW w:w="1383" w:type="dxa"/>
          </w:tcPr>
          <w:p w14:paraId="6E1984AB" w14:textId="43FB020C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43.6%</w:t>
            </w:r>
          </w:p>
        </w:tc>
      </w:tr>
      <w:tr w:rsidR="008E1557" w:rsidRPr="00AE72CB" w14:paraId="440BDD11" w14:textId="77777777" w:rsidTr="00F634C7">
        <w:tc>
          <w:tcPr>
            <w:tcW w:w="1382" w:type="dxa"/>
          </w:tcPr>
          <w:p w14:paraId="73E8D950" w14:textId="332260C0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1+</w:t>
            </w:r>
          </w:p>
        </w:tc>
        <w:tc>
          <w:tcPr>
            <w:tcW w:w="1383" w:type="dxa"/>
          </w:tcPr>
          <w:p w14:paraId="46E5D231" w14:textId="7B0315EF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914903">
              <w:rPr>
                <w:sz w:val="20"/>
                <w:szCs w:val="20"/>
              </w:rPr>
              <w:t>42.1%</w:t>
            </w:r>
          </w:p>
        </w:tc>
        <w:tc>
          <w:tcPr>
            <w:tcW w:w="1383" w:type="dxa"/>
          </w:tcPr>
          <w:p w14:paraId="79BD6CA7" w14:textId="42014530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914903">
              <w:rPr>
                <w:sz w:val="20"/>
                <w:szCs w:val="20"/>
              </w:rPr>
              <w:t>46.0%</w:t>
            </w:r>
          </w:p>
        </w:tc>
        <w:tc>
          <w:tcPr>
            <w:tcW w:w="1382" w:type="dxa"/>
          </w:tcPr>
          <w:p w14:paraId="001E0CCD" w14:textId="485C98B5" w:rsidR="008E1557" w:rsidRDefault="008E1557" w:rsidP="00F72F52">
            <w:pPr>
              <w:pStyle w:val="Paragrap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14:paraId="72FE2E1D" w14:textId="58CB08D1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56.4%</w:t>
            </w:r>
          </w:p>
        </w:tc>
        <w:tc>
          <w:tcPr>
            <w:tcW w:w="1383" w:type="dxa"/>
          </w:tcPr>
          <w:p w14:paraId="1C3BFAA9" w14:textId="0F8A4F1E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56.4%</w:t>
            </w:r>
          </w:p>
        </w:tc>
      </w:tr>
      <w:tr w:rsidR="008E1557" w:rsidRPr="00AE72CB" w14:paraId="3D956EAC" w14:textId="77777777" w:rsidTr="00F634C7">
        <w:tc>
          <w:tcPr>
            <w:tcW w:w="1382" w:type="dxa"/>
          </w:tcPr>
          <w:p w14:paraId="162CAD72" w14:textId="4EF0078F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2+</w:t>
            </w:r>
          </w:p>
        </w:tc>
        <w:tc>
          <w:tcPr>
            <w:tcW w:w="1383" w:type="dxa"/>
          </w:tcPr>
          <w:p w14:paraId="4B06A0D7" w14:textId="7A64C69B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914903">
              <w:rPr>
                <w:sz w:val="20"/>
                <w:szCs w:val="20"/>
              </w:rPr>
              <w:t>23.1%</w:t>
            </w:r>
          </w:p>
        </w:tc>
        <w:tc>
          <w:tcPr>
            <w:tcW w:w="1383" w:type="dxa"/>
          </w:tcPr>
          <w:p w14:paraId="58553B4F" w14:textId="1027A771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914903">
              <w:rPr>
                <w:sz w:val="20"/>
                <w:szCs w:val="20"/>
              </w:rPr>
              <w:t>24.0%</w:t>
            </w:r>
          </w:p>
        </w:tc>
        <w:tc>
          <w:tcPr>
            <w:tcW w:w="1382" w:type="dxa"/>
          </w:tcPr>
          <w:p w14:paraId="25B14DF0" w14:textId="021FFE1E" w:rsidR="008E1557" w:rsidRDefault="008E1557" w:rsidP="00F72F52">
            <w:pPr>
              <w:pStyle w:val="Paragraph"/>
              <w:spacing w:before="120" w:after="120" w:line="240" w:lineRule="auto"/>
              <w:rPr>
                <w:sz w:val="20"/>
                <w:szCs w:val="20"/>
              </w:rPr>
            </w:pPr>
            <w:r w:rsidRPr="008E1557">
              <w:rPr>
                <w:sz w:val="20"/>
                <w:szCs w:val="20"/>
              </w:rPr>
              <w:t>27.2%</w:t>
            </w:r>
          </w:p>
        </w:tc>
        <w:tc>
          <w:tcPr>
            <w:tcW w:w="1383" w:type="dxa"/>
          </w:tcPr>
          <w:p w14:paraId="58D1326B" w14:textId="1BDDC3E8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28.1%</w:t>
            </w:r>
          </w:p>
        </w:tc>
        <w:tc>
          <w:tcPr>
            <w:tcW w:w="1383" w:type="dxa"/>
          </w:tcPr>
          <w:p w14:paraId="6C882236" w14:textId="4809F3AF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25.8%</w:t>
            </w:r>
          </w:p>
        </w:tc>
      </w:tr>
      <w:tr w:rsidR="008E1557" w:rsidRPr="00AE72CB" w14:paraId="1B44EC11" w14:textId="77777777" w:rsidTr="00F634C7">
        <w:tc>
          <w:tcPr>
            <w:tcW w:w="1382" w:type="dxa"/>
          </w:tcPr>
          <w:p w14:paraId="28C39C78" w14:textId="78028772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3+</w:t>
            </w:r>
          </w:p>
        </w:tc>
        <w:tc>
          <w:tcPr>
            <w:tcW w:w="1383" w:type="dxa"/>
          </w:tcPr>
          <w:p w14:paraId="73567537" w14:textId="13BB0AB9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914903">
              <w:rPr>
                <w:sz w:val="20"/>
                <w:szCs w:val="20"/>
              </w:rPr>
              <w:t>13.5%</w:t>
            </w:r>
          </w:p>
        </w:tc>
        <w:tc>
          <w:tcPr>
            <w:tcW w:w="1383" w:type="dxa"/>
          </w:tcPr>
          <w:p w14:paraId="56DBC613" w14:textId="065F9B9E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914903">
              <w:rPr>
                <w:sz w:val="20"/>
                <w:szCs w:val="20"/>
              </w:rPr>
              <w:t>13.8%</w:t>
            </w:r>
          </w:p>
        </w:tc>
        <w:tc>
          <w:tcPr>
            <w:tcW w:w="1382" w:type="dxa"/>
          </w:tcPr>
          <w:p w14:paraId="270FF791" w14:textId="235B2588" w:rsidR="008E1557" w:rsidRDefault="008E1557" w:rsidP="00F72F52">
            <w:pPr>
              <w:pStyle w:val="Paragrap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14:paraId="484AB3EC" w14:textId="1E07A9F6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13.8%</w:t>
            </w:r>
          </w:p>
        </w:tc>
        <w:tc>
          <w:tcPr>
            <w:tcW w:w="1383" w:type="dxa"/>
          </w:tcPr>
          <w:p w14:paraId="74E54996" w14:textId="40D66CD9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10.3%</w:t>
            </w:r>
          </w:p>
        </w:tc>
      </w:tr>
      <w:tr w:rsidR="008E1557" w:rsidRPr="00AE72CB" w14:paraId="65F9FACE" w14:textId="77777777" w:rsidTr="00F634C7">
        <w:tc>
          <w:tcPr>
            <w:tcW w:w="1382" w:type="dxa"/>
          </w:tcPr>
          <w:p w14:paraId="3E21034B" w14:textId="3B3931C5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4+</w:t>
            </w:r>
          </w:p>
        </w:tc>
        <w:tc>
          <w:tcPr>
            <w:tcW w:w="1383" w:type="dxa"/>
          </w:tcPr>
          <w:p w14:paraId="13883A27" w14:textId="632D1ECA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914903">
              <w:rPr>
                <w:sz w:val="20"/>
                <w:szCs w:val="20"/>
              </w:rPr>
              <w:t>7.8%</w:t>
            </w:r>
          </w:p>
        </w:tc>
        <w:tc>
          <w:tcPr>
            <w:tcW w:w="1383" w:type="dxa"/>
          </w:tcPr>
          <w:p w14:paraId="6C2B9ED7" w14:textId="722DF362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914903">
              <w:rPr>
                <w:sz w:val="20"/>
                <w:szCs w:val="20"/>
              </w:rPr>
              <w:t>7.7%</w:t>
            </w:r>
          </w:p>
        </w:tc>
        <w:tc>
          <w:tcPr>
            <w:tcW w:w="1382" w:type="dxa"/>
          </w:tcPr>
          <w:p w14:paraId="56588EF4" w14:textId="77777777" w:rsidR="008E1557" w:rsidRDefault="008E1557" w:rsidP="00F72F52">
            <w:pPr>
              <w:pStyle w:val="Paragraph"/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14:paraId="6079928B" w14:textId="2A994E2B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6.8%</w:t>
            </w:r>
          </w:p>
        </w:tc>
        <w:tc>
          <w:tcPr>
            <w:tcW w:w="1383" w:type="dxa"/>
          </w:tcPr>
          <w:p w14:paraId="32F7C2D4" w14:textId="7D1A865D" w:rsidR="008E1557" w:rsidRPr="00F72F52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F72F52">
              <w:rPr>
                <w:sz w:val="20"/>
                <w:szCs w:val="20"/>
              </w:rPr>
              <w:t>3.5%</w:t>
            </w:r>
          </w:p>
        </w:tc>
      </w:tr>
      <w:tr w:rsidR="008E1557" w:rsidRPr="00AE72CB" w14:paraId="300FE75C" w14:textId="77777777" w:rsidTr="00F634C7">
        <w:tc>
          <w:tcPr>
            <w:tcW w:w="1382" w:type="dxa"/>
          </w:tcPr>
          <w:p w14:paraId="45D61798" w14:textId="36DBA19B" w:rsidR="008E1557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5+</w:t>
            </w:r>
          </w:p>
        </w:tc>
        <w:tc>
          <w:tcPr>
            <w:tcW w:w="1383" w:type="dxa"/>
          </w:tcPr>
          <w:p w14:paraId="415401D4" w14:textId="039302E7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914903">
              <w:rPr>
                <w:sz w:val="20"/>
                <w:szCs w:val="20"/>
              </w:rPr>
              <w:t>1.2%</w:t>
            </w:r>
          </w:p>
        </w:tc>
        <w:tc>
          <w:tcPr>
            <w:tcW w:w="1383" w:type="dxa"/>
          </w:tcPr>
          <w:p w14:paraId="4ED6F32A" w14:textId="32FD82ED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14:paraId="6FB94587" w14:textId="7ABB9AB5" w:rsidR="008E1557" w:rsidRDefault="008E1557" w:rsidP="00F72F52">
            <w:pPr>
              <w:pStyle w:val="Paragrap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14:paraId="273B613C" w14:textId="1E70FD7C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3.2%</w:t>
            </w:r>
          </w:p>
        </w:tc>
        <w:tc>
          <w:tcPr>
            <w:tcW w:w="1383" w:type="dxa"/>
          </w:tcPr>
          <w:p w14:paraId="2C0DFF82" w14:textId="7DA18D33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0.96%</w:t>
            </w:r>
          </w:p>
        </w:tc>
      </w:tr>
      <w:tr w:rsidR="008E1557" w:rsidRPr="00AE72CB" w14:paraId="3CEEB03D" w14:textId="77777777" w:rsidTr="00F634C7">
        <w:tc>
          <w:tcPr>
            <w:tcW w:w="1382" w:type="dxa"/>
          </w:tcPr>
          <w:p w14:paraId="65140AE4" w14:textId="1228096E" w:rsidR="008E1557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6+</w:t>
            </w:r>
          </w:p>
        </w:tc>
        <w:tc>
          <w:tcPr>
            <w:tcW w:w="1383" w:type="dxa"/>
          </w:tcPr>
          <w:p w14:paraId="4CF2B67A" w14:textId="5FEA4C1B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914903">
              <w:rPr>
                <w:sz w:val="20"/>
                <w:szCs w:val="20"/>
              </w:rPr>
              <w:t>2.4%</w:t>
            </w:r>
          </w:p>
        </w:tc>
        <w:tc>
          <w:tcPr>
            <w:tcW w:w="1383" w:type="dxa"/>
          </w:tcPr>
          <w:p w14:paraId="164F4482" w14:textId="42948162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14:paraId="5C36CDF7" w14:textId="0A2B1CD3" w:rsidR="008E1557" w:rsidRDefault="008E1557" w:rsidP="00F72F52">
            <w:pPr>
              <w:pStyle w:val="Paragrap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14:paraId="7A03EF10" w14:textId="31AD30D3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1.5%</w:t>
            </w:r>
          </w:p>
        </w:tc>
        <w:tc>
          <w:tcPr>
            <w:tcW w:w="1383" w:type="dxa"/>
          </w:tcPr>
          <w:p w14:paraId="03F72FBA" w14:textId="39B2E1A0" w:rsidR="008E1557" w:rsidRPr="00AE72CB" w:rsidRDefault="008E1557" w:rsidP="00F72F52">
            <w:pPr>
              <w:pStyle w:val="Paragraph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0.19%</w:t>
            </w:r>
          </w:p>
        </w:tc>
      </w:tr>
    </w:tbl>
    <w:p w14:paraId="6F97B2F5" w14:textId="2DA4E363" w:rsidR="009D17CF" w:rsidRDefault="00D754D1" w:rsidP="009D17CF">
      <w:pPr>
        <w:pStyle w:val="Paragraph"/>
        <w:rPr>
          <w:rFonts w:cs="Arial"/>
        </w:rPr>
      </w:pPr>
      <w:r>
        <w:rPr>
          <w:rFonts w:cs="Arial"/>
        </w:rPr>
        <w:t>T</w:t>
      </w:r>
      <w:r w:rsidR="00EE329B">
        <w:rPr>
          <w:rFonts w:cs="Arial"/>
        </w:rPr>
        <w:t xml:space="preserve">his </w:t>
      </w:r>
      <w:r>
        <w:rPr>
          <w:rFonts w:cs="Arial"/>
        </w:rPr>
        <w:t xml:space="preserve">NICE </w:t>
      </w:r>
      <w:r w:rsidR="00EE329B">
        <w:rPr>
          <w:rFonts w:cs="Arial"/>
        </w:rPr>
        <w:t xml:space="preserve">indicator </w:t>
      </w:r>
      <w:r w:rsidR="009D17CF" w:rsidRPr="009D17CF">
        <w:rPr>
          <w:rFonts w:cs="Arial"/>
        </w:rPr>
        <w:t>us</w:t>
      </w:r>
      <w:r w:rsidR="00EE329B">
        <w:rPr>
          <w:rFonts w:cs="Arial"/>
        </w:rPr>
        <w:t>es</w:t>
      </w:r>
      <w:r w:rsidR="009D17CF" w:rsidRPr="009D17CF">
        <w:rPr>
          <w:rFonts w:cs="Arial"/>
        </w:rPr>
        <w:t xml:space="preserve"> the presence of 4 or more condition </w:t>
      </w:r>
      <w:r w:rsidR="00AE72CB">
        <w:rPr>
          <w:rFonts w:cs="Arial"/>
        </w:rPr>
        <w:t>clusters</w:t>
      </w:r>
      <w:r w:rsidR="00AE72CB" w:rsidRPr="009D17CF">
        <w:rPr>
          <w:rFonts w:cs="Arial"/>
        </w:rPr>
        <w:t xml:space="preserve"> </w:t>
      </w:r>
      <w:r w:rsidR="00EE329B">
        <w:rPr>
          <w:rFonts w:cs="Arial"/>
        </w:rPr>
        <w:t xml:space="preserve">as </w:t>
      </w:r>
      <w:r w:rsidR="00EE329B" w:rsidRPr="009D17CF">
        <w:rPr>
          <w:rFonts w:cs="Arial"/>
        </w:rPr>
        <w:t>a pragmatic definition of severe multimorbidity</w:t>
      </w:r>
      <w:r w:rsidR="00EE329B">
        <w:rPr>
          <w:rFonts w:cs="Arial"/>
        </w:rPr>
        <w:t xml:space="preserve"> that balances clinical validity with the size of the population identified. It </w:t>
      </w:r>
      <w:r w:rsidR="009D17CF" w:rsidRPr="009D17CF">
        <w:rPr>
          <w:rFonts w:cs="Arial"/>
        </w:rPr>
        <w:t>reflects an appraisal of international evidence, analysis of primary care data, and discussions with national academic, GP and clinical leads alongside the NICE Indicator Advisory Committee</w:t>
      </w:r>
      <w:r w:rsidR="00EE329B">
        <w:rPr>
          <w:rFonts w:cs="Arial"/>
        </w:rPr>
        <w:t xml:space="preserve"> to agree an acceptable and practical population size on which to focus subsequent interventions. </w:t>
      </w:r>
      <w:r w:rsidR="009D17CF" w:rsidRPr="00A81F47">
        <w:rPr>
          <w:rFonts w:cs="Arial"/>
        </w:rPr>
        <w:t xml:space="preserve">The indicator makes use of existing data to allow </w:t>
      </w:r>
      <w:r w:rsidR="008E1557">
        <w:rPr>
          <w:rFonts w:cs="Arial"/>
        </w:rPr>
        <w:t>the</w:t>
      </w:r>
      <w:r w:rsidR="009D17CF" w:rsidRPr="00A81F47">
        <w:rPr>
          <w:rFonts w:cs="Arial"/>
        </w:rPr>
        <w:t xml:space="preserve"> register of people with multiple conditions to be constructed. </w:t>
      </w:r>
    </w:p>
    <w:p w14:paraId="5EABF694" w14:textId="63489E1E" w:rsidR="00445BD9" w:rsidRDefault="00445BD9">
      <w:r>
        <w:br w:type="page"/>
      </w:r>
    </w:p>
    <w:p w14:paraId="73E6D8F6" w14:textId="0AEE2CEB" w:rsidR="008E1557" w:rsidRDefault="008E1557">
      <w:pPr>
        <w:rPr>
          <w:rFonts w:ascii="Arial" w:hAnsi="Arial" w:cs="Arial"/>
          <w:b/>
          <w:bCs/>
        </w:rPr>
      </w:pPr>
      <w:r w:rsidRPr="001D3E62">
        <w:rPr>
          <w:rFonts w:ascii="Arial" w:hAnsi="Arial" w:cs="Arial"/>
          <w:b/>
          <w:bCs/>
        </w:rPr>
        <w:lastRenderedPageBreak/>
        <w:t>Table 2: Condition clusters</w:t>
      </w:r>
      <w:r w:rsidR="001D3E62" w:rsidRPr="001D3E62">
        <w:rPr>
          <w:rFonts w:ascii="Arial" w:hAnsi="Arial" w:cs="Arial"/>
          <w:b/>
          <w:bCs/>
        </w:rPr>
        <w:t xml:space="preserve">: </w:t>
      </w:r>
      <w:r w:rsidR="001D3E62" w:rsidRPr="001D3E62">
        <w:rPr>
          <w:rFonts w:ascii="Arial" w:hAnsi="Arial" w:cs="Arial"/>
          <w:b/>
          <w:bCs/>
        </w:rPr>
        <w:t>Multimorbidity register – people with conditions in 4 or more clusters</w:t>
      </w:r>
    </w:p>
    <w:p w14:paraId="6E3DDE61" w14:textId="77777777" w:rsidR="001D3E62" w:rsidRPr="001D3E62" w:rsidRDefault="001D3E62">
      <w:pPr>
        <w:rPr>
          <w:rFonts w:ascii="Arial" w:hAnsi="Arial" w:cs="Arial"/>
          <w:b/>
          <w:bCs/>
        </w:rPr>
      </w:pPr>
    </w:p>
    <w:tbl>
      <w:tblPr>
        <w:tblStyle w:val="TableGrid"/>
        <w:tblW w:w="8983" w:type="dxa"/>
        <w:tblLook w:val="04A0" w:firstRow="1" w:lastRow="0" w:firstColumn="1" w:lastColumn="0" w:noHBand="0" w:noVBand="1"/>
      </w:tblPr>
      <w:tblGrid>
        <w:gridCol w:w="2547"/>
        <w:gridCol w:w="6436"/>
      </w:tblGrid>
      <w:tr w:rsidR="00D26B52" w:rsidRPr="00962108" w14:paraId="09C7235D" w14:textId="332B2198" w:rsidTr="001D3E62">
        <w:tc>
          <w:tcPr>
            <w:tcW w:w="2547" w:type="dxa"/>
          </w:tcPr>
          <w:p w14:paraId="10419C06" w14:textId="6F6994CE" w:rsidR="00D26B52" w:rsidRPr="00445BD9" w:rsidRDefault="00D26B52" w:rsidP="009D253C">
            <w:pPr>
              <w:pStyle w:val="Paragraph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Cluster</w:t>
            </w:r>
            <w:r w:rsidRPr="00445BD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36" w:type="dxa"/>
          </w:tcPr>
          <w:p w14:paraId="400B3A44" w14:textId="77777777" w:rsidR="00D26B52" w:rsidRPr="00445BD9" w:rsidRDefault="00D26B52" w:rsidP="009D253C">
            <w:pPr>
              <w:pStyle w:val="Paragraph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b/>
                <w:bCs/>
                <w:sz w:val="18"/>
                <w:szCs w:val="18"/>
              </w:rPr>
              <w:t xml:space="preserve">Condition </w:t>
            </w:r>
          </w:p>
        </w:tc>
      </w:tr>
      <w:tr w:rsidR="00D26B52" w:rsidRPr="00962108" w14:paraId="4C0EE4C4" w14:textId="61CA9205" w:rsidTr="001D3E62">
        <w:tc>
          <w:tcPr>
            <w:tcW w:w="2547" w:type="dxa"/>
          </w:tcPr>
          <w:p w14:paraId="37A46666" w14:textId="77777777" w:rsidR="00D26B52" w:rsidRPr="00445BD9" w:rsidRDefault="00D26B52" w:rsidP="009D253C">
            <w:pPr>
              <w:pStyle w:val="Paragraph"/>
              <w:spacing w:before="120" w:after="120" w:line="204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 xml:space="preserve">Cancer </w:t>
            </w:r>
          </w:p>
        </w:tc>
        <w:tc>
          <w:tcPr>
            <w:tcW w:w="6436" w:type="dxa"/>
          </w:tcPr>
          <w:p w14:paraId="38F93910" w14:textId="77777777" w:rsidR="00D26B52" w:rsidRPr="00445BD9" w:rsidRDefault="00D26B52" w:rsidP="009D253C">
            <w:pPr>
              <w:pStyle w:val="Paragraph"/>
              <w:spacing w:before="120" w:after="120" w:line="204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 xml:space="preserve">Cancer </w:t>
            </w:r>
          </w:p>
        </w:tc>
      </w:tr>
      <w:tr w:rsidR="00D26B52" w:rsidRPr="00962108" w14:paraId="400D0FF3" w14:textId="398BDFB8" w:rsidTr="001D3E62">
        <w:tc>
          <w:tcPr>
            <w:tcW w:w="2547" w:type="dxa"/>
          </w:tcPr>
          <w:p w14:paraId="726B17C1" w14:textId="77777777" w:rsidR="00D26B52" w:rsidRPr="00445BD9" w:rsidRDefault="00D26B52" w:rsidP="009D253C">
            <w:pPr>
              <w:pStyle w:val="Paragraph"/>
              <w:spacing w:before="120" w:after="120" w:line="204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 xml:space="preserve">Chronic pain </w:t>
            </w:r>
          </w:p>
        </w:tc>
        <w:tc>
          <w:tcPr>
            <w:tcW w:w="6436" w:type="dxa"/>
          </w:tcPr>
          <w:p w14:paraId="117B3E2D" w14:textId="1A5759A1" w:rsidR="00D26B52" w:rsidRPr="00445BD9" w:rsidRDefault="00D26B52" w:rsidP="009D253C">
            <w:pPr>
              <w:pStyle w:val="Paragraph"/>
              <w:spacing w:before="120" w:after="120" w:line="204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>Painful condition</w:t>
            </w:r>
            <w:r w:rsidR="00B912BC">
              <w:rPr>
                <w:rFonts w:cs="Arial"/>
                <w:sz w:val="18"/>
                <w:szCs w:val="18"/>
              </w:rPr>
              <w:t xml:space="preserve"> (</w:t>
            </w:r>
            <w:r w:rsidR="00B912BC" w:rsidRPr="00B912BC">
              <w:rPr>
                <w:rFonts w:cs="Arial"/>
                <w:sz w:val="18"/>
                <w:szCs w:val="18"/>
              </w:rPr>
              <w:t>4 or more prescription only medicine analgesic prescriptions or 4 or more specified anti-epileptics in the absence of an epilepsy Read code in last 12 months</w:t>
            </w:r>
            <w:r w:rsidR="00B912BC">
              <w:rPr>
                <w:rFonts w:cs="Arial"/>
                <w:sz w:val="18"/>
                <w:szCs w:val="18"/>
              </w:rPr>
              <w:t>)</w:t>
            </w:r>
            <w:r w:rsidR="00B912BC" w:rsidRPr="00B912BC" w:rsidDel="00D26B52">
              <w:rPr>
                <w:rStyle w:val="FootnoteReference"/>
                <w:rFonts w:cs="Arial"/>
                <w:sz w:val="18"/>
                <w:szCs w:val="18"/>
                <w:vertAlign w:val="baseline"/>
              </w:rPr>
              <w:t xml:space="preserve"> </w:t>
            </w:r>
          </w:p>
        </w:tc>
      </w:tr>
      <w:tr w:rsidR="00D26B52" w:rsidRPr="00962108" w14:paraId="0EC261C4" w14:textId="4AC0F05A" w:rsidTr="001D3E62">
        <w:tc>
          <w:tcPr>
            <w:tcW w:w="2547" w:type="dxa"/>
          </w:tcPr>
          <w:p w14:paraId="5029C1AE" w14:textId="77777777" w:rsidR="00D26B52" w:rsidRPr="00445BD9" w:rsidRDefault="00D26B52" w:rsidP="009D253C">
            <w:pPr>
              <w:pStyle w:val="Paragraph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 xml:space="preserve">Circulatory conditions </w:t>
            </w:r>
          </w:p>
        </w:tc>
        <w:tc>
          <w:tcPr>
            <w:tcW w:w="6436" w:type="dxa"/>
          </w:tcPr>
          <w:p w14:paraId="6CF81955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Coronary heart disease </w:t>
            </w:r>
          </w:p>
          <w:p w14:paraId="04F0CC04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Atrial fibrillation or atrial flutter </w:t>
            </w:r>
          </w:p>
          <w:p w14:paraId="24CF6BEE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Heart failure </w:t>
            </w:r>
          </w:p>
          <w:p w14:paraId="446C3EF6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Hypertension </w:t>
            </w:r>
          </w:p>
          <w:p w14:paraId="07B8315F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Stroke or TIA </w:t>
            </w:r>
          </w:p>
          <w:p w14:paraId="404AC05C" w14:textId="77777777" w:rsidR="00D26B52" w:rsidRPr="00445BD9" w:rsidRDefault="00D26B52" w:rsidP="009D253C">
            <w:pPr>
              <w:pStyle w:val="Paragraph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 xml:space="preserve">Peripheral vascular disease </w:t>
            </w:r>
          </w:p>
        </w:tc>
      </w:tr>
      <w:tr w:rsidR="00D26B52" w:rsidRPr="00962108" w14:paraId="2FC83FDB" w14:textId="0F4B45A2" w:rsidTr="001D3E62">
        <w:trPr>
          <w:trHeight w:val="284"/>
        </w:trPr>
        <w:tc>
          <w:tcPr>
            <w:tcW w:w="2547" w:type="dxa"/>
          </w:tcPr>
          <w:p w14:paraId="522D5599" w14:textId="77777777" w:rsidR="00D26B52" w:rsidRPr="00445BD9" w:rsidRDefault="00D26B52" w:rsidP="009D253C">
            <w:pPr>
              <w:pStyle w:val="Paragraph"/>
              <w:spacing w:before="120" w:after="120" w:line="204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 xml:space="preserve">Diabetes </w:t>
            </w:r>
          </w:p>
        </w:tc>
        <w:tc>
          <w:tcPr>
            <w:tcW w:w="6436" w:type="dxa"/>
          </w:tcPr>
          <w:p w14:paraId="3039ADAB" w14:textId="77777777" w:rsidR="00D26B52" w:rsidRPr="00445BD9" w:rsidRDefault="00D26B52" w:rsidP="009D253C">
            <w:pPr>
              <w:pStyle w:val="Paragraph"/>
              <w:spacing w:before="120" w:after="120" w:line="204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 xml:space="preserve">Diabetes </w:t>
            </w:r>
          </w:p>
        </w:tc>
      </w:tr>
      <w:tr w:rsidR="00D26B52" w:rsidRPr="00962108" w14:paraId="21ED9AE2" w14:textId="0677471E" w:rsidTr="001D3E62">
        <w:tc>
          <w:tcPr>
            <w:tcW w:w="2547" w:type="dxa"/>
          </w:tcPr>
          <w:p w14:paraId="30467A05" w14:textId="77777777" w:rsidR="00D26B52" w:rsidRPr="00445BD9" w:rsidRDefault="00D26B52" w:rsidP="009D253C">
            <w:pPr>
              <w:pStyle w:val="Paragraph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 xml:space="preserve">Digestive system conditions </w:t>
            </w:r>
          </w:p>
        </w:tc>
        <w:tc>
          <w:tcPr>
            <w:tcW w:w="6436" w:type="dxa"/>
          </w:tcPr>
          <w:p w14:paraId="1AC3D3E8" w14:textId="24164451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Currently treated </w:t>
            </w:r>
            <w:r w:rsidRPr="00445BD9">
              <w:rPr>
                <w:rFonts w:ascii="Arial" w:hAnsi="Arial" w:cs="Arial"/>
                <w:color w:val="auto"/>
                <w:sz w:val="18"/>
                <w:szCs w:val="18"/>
              </w:rPr>
              <w:t>constipation</w:t>
            </w:r>
            <w:r w:rsidR="00B912BC" w:rsidRPr="00F634C7">
              <w:rPr>
                <w:rFonts w:ascii="Arial" w:hAnsi="Arial" w:cs="Arial"/>
                <w:color w:val="auto"/>
                <w:sz w:val="18"/>
                <w:szCs w:val="18"/>
              </w:rPr>
              <w:t xml:space="preserve"> (Four or more laxative prescriptions in the last 12 months)</w:t>
            </w:r>
          </w:p>
          <w:p w14:paraId="65A526B3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Diverticular disease of intestine </w:t>
            </w:r>
          </w:p>
          <w:p w14:paraId="0BCA7C72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Inflammatory bowel disease </w:t>
            </w:r>
          </w:p>
          <w:p w14:paraId="7214C59A" w14:textId="77777777" w:rsidR="00D26B52" w:rsidRPr="00445BD9" w:rsidRDefault="00D26B52" w:rsidP="009D253C">
            <w:pPr>
              <w:pStyle w:val="Paragraph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 xml:space="preserve">Chronic liver disease </w:t>
            </w:r>
          </w:p>
        </w:tc>
      </w:tr>
      <w:tr w:rsidR="00D26B52" w:rsidRPr="00962108" w14:paraId="27DF0D59" w14:textId="1BD7C688" w:rsidTr="001D3E62">
        <w:tc>
          <w:tcPr>
            <w:tcW w:w="2547" w:type="dxa"/>
          </w:tcPr>
          <w:p w14:paraId="335BA658" w14:textId="77777777" w:rsidR="00D26B52" w:rsidRPr="00445BD9" w:rsidRDefault="00D26B52" w:rsidP="009D253C">
            <w:pPr>
              <w:pStyle w:val="Paragraph"/>
              <w:spacing w:before="120" w:after="120" w:line="204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 xml:space="preserve">Learning disability </w:t>
            </w:r>
          </w:p>
        </w:tc>
        <w:tc>
          <w:tcPr>
            <w:tcW w:w="6436" w:type="dxa"/>
          </w:tcPr>
          <w:p w14:paraId="5E095A6E" w14:textId="77777777" w:rsidR="00D26B52" w:rsidRPr="00445BD9" w:rsidRDefault="00D26B52" w:rsidP="009D253C">
            <w:pPr>
              <w:pStyle w:val="Paragraph"/>
              <w:spacing w:before="120" w:after="120" w:line="204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 xml:space="preserve">Learning disability </w:t>
            </w:r>
          </w:p>
        </w:tc>
      </w:tr>
      <w:tr w:rsidR="00D26B52" w:rsidRPr="00962108" w14:paraId="459C006F" w14:textId="41FFF291" w:rsidTr="001D3E62">
        <w:tc>
          <w:tcPr>
            <w:tcW w:w="2547" w:type="dxa"/>
          </w:tcPr>
          <w:p w14:paraId="330FCB93" w14:textId="77777777" w:rsidR="00D26B52" w:rsidRPr="00445BD9" w:rsidRDefault="00D26B52" w:rsidP="009D253C">
            <w:pPr>
              <w:pStyle w:val="Paragraph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 xml:space="preserve">Mental health </w:t>
            </w:r>
          </w:p>
        </w:tc>
        <w:tc>
          <w:tcPr>
            <w:tcW w:w="6436" w:type="dxa"/>
          </w:tcPr>
          <w:p w14:paraId="0001A1BF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Anorexia or Bulimia </w:t>
            </w:r>
          </w:p>
          <w:p w14:paraId="59A6B99C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Anxiety &amp; other neurotic, stress related and somatoform disorders </w:t>
            </w:r>
          </w:p>
          <w:p w14:paraId="6C2B695E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Dementia (including Alzheimer’s) </w:t>
            </w:r>
          </w:p>
          <w:p w14:paraId="58761EBA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Depression </w:t>
            </w:r>
          </w:p>
          <w:p w14:paraId="4685AED8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Schizophrenia and related non-organic psychosis </w:t>
            </w:r>
          </w:p>
          <w:p w14:paraId="1191762E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Bipolar disorder </w:t>
            </w:r>
          </w:p>
          <w:p w14:paraId="146F70CB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Alcohol problems </w:t>
            </w:r>
          </w:p>
          <w:p w14:paraId="1246EA6D" w14:textId="77777777" w:rsidR="00D26B52" w:rsidRPr="00445BD9" w:rsidRDefault="00D26B52" w:rsidP="009D253C">
            <w:pPr>
              <w:pStyle w:val="Paragraph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445BD9">
              <w:rPr>
                <w:rFonts w:cs="Arial"/>
                <w:sz w:val="18"/>
                <w:szCs w:val="18"/>
              </w:rPr>
              <w:t xml:space="preserve">Psychoactive substance misuse </w:t>
            </w:r>
          </w:p>
        </w:tc>
      </w:tr>
      <w:tr w:rsidR="00D26B52" w:rsidRPr="00962108" w14:paraId="18250CE2" w14:textId="6FF68C39" w:rsidTr="001D3E62">
        <w:tc>
          <w:tcPr>
            <w:tcW w:w="2547" w:type="dxa"/>
          </w:tcPr>
          <w:p w14:paraId="0CC97BF1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Musculoskeletal conditions </w:t>
            </w:r>
          </w:p>
        </w:tc>
        <w:tc>
          <w:tcPr>
            <w:tcW w:w="6436" w:type="dxa"/>
          </w:tcPr>
          <w:p w14:paraId="28A48952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Rheumatoid arthritis </w:t>
            </w:r>
          </w:p>
          <w:p w14:paraId="4B34CE2E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Other inflammatory </w:t>
            </w:r>
            <w:proofErr w:type="spellStart"/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polyarthropathies</w:t>
            </w:r>
            <w:proofErr w:type="spellEnd"/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43D687D0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Systemic connective tissue disorders </w:t>
            </w:r>
          </w:p>
        </w:tc>
      </w:tr>
      <w:tr w:rsidR="00D26B52" w:rsidRPr="00962108" w14:paraId="71F37FC1" w14:textId="05B6D2AC" w:rsidTr="001D3E62">
        <w:tc>
          <w:tcPr>
            <w:tcW w:w="2547" w:type="dxa"/>
          </w:tcPr>
          <w:p w14:paraId="606BF72B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Neurological conditions </w:t>
            </w:r>
          </w:p>
        </w:tc>
        <w:tc>
          <w:tcPr>
            <w:tcW w:w="6436" w:type="dxa"/>
          </w:tcPr>
          <w:p w14:paraId="28F607E3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Currently treated epilepsy </w:t>
            </w:r>
          </w:p>
          <w:p w14:paraId="01994C16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Multiple sclerosis </w:t>
            </w:r>
          </w:p>
          <w:p w14:paraId="71089971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Parkinson’s (of any cause) </w:t>
            </w:r>
          </w:p>
        </w:tc>
      </w:tr>
      <w:tr w:rsidR="00D26B52" w:rsidRPr="00962108" w14:paraId="5B96C9A0" w14:textId="51F8A310" w:rsidTr="001D3E62">
        <w:tc>
          <w:tcPr>
            <w:tcW w:w="2547" w:type="dxa"/>
          </w:tcPr>
          <w:p w14:paraId="257916A9" w14:textId="77777777" w:rsidR="00D26B52" w:rsidRPr="00445BD9" w:rsidRDefault="00D26B52" w:rsidP="009D253C">
            <w:pPr>
              <w:pStyle w:val="Default"/>
              <w:spacing w:before="120" w:after="120" w:line="204" w:lineRule="auto"/>
              <w:rPr>
                <w:rFonts w:ascii="Arial" w:hAnsi="Arial" w:cs="Times New Roman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Times New Roman"/>
                <w:color w:val="auto"/>
                <w:sz w:val="18"/>
                <w:szCs w:val="18"/>
                <w:lang w:eastAsia="en-US"/>
              </w:rPr>
              <w:t xml:space="preserve">Renal conditions </w:t>
            </w:r>
          </w:p>
        </w:tc>
        <w:tc>
          <w:tcPr>
            <w:tcW w:w="6436" w:type="dxa"/>
          </w:tcPr>
          <w:p w14:paraId="31671B80" w14:textId="77777777" w:rsidR="00D26B52" w:rsidRPr="00445BD9" w:rsidRDefault="00D26B52" w:rsidP="009D253C">
            <w:pPr>
              <w:pStyle w:val="Default"/>
              <w:spacing w:before="120" w:after="120" w:line="204" w:lineRule="auto"/>
              <w:rPr>
                <w:rFonts w:ascii="Arial" w:hAnsi="Arial" w:cs="Times New Roman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Times New Roman"/>
                <w:color w:val="auto"/>
                <w:sz w:val="18"/>
                <w:szCs w:val="18"/>
                <w:lang w:eastAsia="en-US"/>
              </w:rPr>
              <w:t xml:space="preserve">Chronic kidney disease </w:t>
            </w:r>
          </w:p>
        </w:tc>
      </w:tr>
      <w:tr w:rsidR="00D26B52" w:rsidRPr="00962108" w14:paraId="212D60AC" w14:textId="3F927412" w:rsidTr="001D3E62">
        <w:tc>
          <w:tcPr>
            <w:tcW w:w="2547" w:type="dxa"/>
          </w:tcPr>
          <w:p w14:paraId="42C1EDF2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Times New Roman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Times New Roman"/>
                <w:color w:val="auto"/>
                <w:sz w:val="18"/>
                <w:szCs w:val="18"/>
                <w:lang w:eastAsia="en-US"/>
              </w:rPr>
              <w:t xml:space="preserve">Respiratory conditions </w:t>
            </w:r>
          </w:p>
        </w:tc>
        <w:tc>
          <w:tcPr>
            <w:tcW w:w="6436" w:type="dxa"/>
          </w:tcPr>
          <w:p w14:paraId="24D22931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Times New Roman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Times New Roman"/>
                <w:color w:val="auto"/>
                <w:sz w:val="18"/>
                <w:szCs w:val="18"/>
                <w:lang w:eastAsia="en-US"/>
              </w:rPr>
              <w:t xml:space="preserve">Currently treated asthma </w:t>
            </w:r>
          </w:p>
          <w:p w14:paraId="2D831332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Times New Roman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Times New Roman"/>
                <w:color w:val="auto"/>
                <w:sz w:val="18"/>
                <w:szCs w:val="18"/>
                <w:lang w:eastAsia="en-US"/>
              </w:rPr>
              <w:t xml:space="preserve">COPD </w:t>
            </w:r>
          </w:p>
          <w:p w14:paraId="18842934" w14:textId="77777777" w:rsidR="00D26B52" w:rsidRPr="00445BD9" w:rsidRDefault="00D26B52" w:rsidP="009D253C">
            <w:pPr>
              <w:pStyle w:val="Default"/>
              <w:spacing w:before="120" w:after="120"/>
              <w:rPr>
                <w:rFonts w:ascii="Arial" w:hAnsi="Arial" w:cs="Times New Roman"/>
                <w:color w:val="auto"/>
                <w:sz w:val="18"/>
                <w:szCs w:val="18"/>
                <w:lang w:eastAsia="en-US"/>
              </w:rPr>
            </w:pPr>
            <w:r w:rsidRPr="00445BD9">
              <w:rPr>
                <w:rFonts w:ascii="Arial" w:hAnsi="Arial" w:cs="Times New Roman"/>
                <w:color w:val="auto"/>
                <w:sz w:val="18"/>
                <w:szCs w:val="18"/>
                <w:lang w:eastAsia="en-US"/>
              </w:rPr>
              <w:t xml:space="preserve">Bronchiectasis </w:t>
            </w:r>
          </w:p>
        </w:tc>
      </w:tr>
    </w:tbl>
    <w:p w14:paraId="4405E1D6" w14:textId="77777777" w:rsidR="009D6466" w:rsidRDefault="009D6466">
      <w:pPr>
        <w:rPr>
          <w:rFonts w:ascii="Arial" w:hAnsi="Arial"/>
          <w:b/>
          <w:bCs/>
          <w:kern w:val="32"/>
          <w:sz w:val="28"/>
          <w:szCs w:val="32"/>
        </w:rPr>
      </w:pPr>
      <w:r>
        <w:rPr>
          <w:rFonts w:ascii="Arial" w:hAnsi="Arial"/>
          <w:b/>
          <w:bCs/>
          <w:kern w:val="32"/>
          <w:sz w:val="28"/>
          <w:szCs w:val="32"/>
        </w:rPr>
        <w:br w:type="page"/>
      </w:r>
    </w:p>
    <w:p w14:paraId="4E2D6682" w14:textId="77777777" w:rsidR="009D6466" w:rsidRDefault="009D6466">
      <w:pPr>
        <w:rPr>
          <w:rFonts w:ascii="Arial" w:hAnsi="Arial"/>
          <w:b/>
          <w:bCs/>
          <w:kern w:val="32"/>
          <w:sz w:val="28"/>
          <w:szCs w:val="32"/>
        </w:rPr>
      </w:pPr>
    </w:p>
    <w:p w14:paraId="69D4A75D" w14:textId="08B56A5B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133EEDAD" w:rsidR="00D141B1" w:rsidRPr="00BD6253" w:rsidRDefault="001D3E62" w:rsidP="00D141B1">
      <w:pPr>
        <w:pStyle w:val="NICEnormal"/>
      </w:pPr>
      <w:hyperlink r:id="rId13" w:history="1">
        <w:r w:rsidR="000A0F7B" w:rsidRPr="000A0F7B">
          <w:rPr>
            <w:rStyle w:val="Hyperlink"/>
            <w:rFonts w:cs="Arial"/>
          </w:rPr>
          <w:t>Multimorbidity: clinical assessment and management</w:t>
        </w:r>
      </w:hyperlink>
      <w:r w:rsidR="000A0F7B" w:rsidRPr="00BD6253">
        <w:t xml:space="preserve"> </w:t>
      </w:r>
      <w:r w:rsidR="00D141B1" w:rsidRPr="00BD6253">
        <w:t>(</w:t>
      </w:r>
      <w:r w:rsidR="000A0F7B">
        <w:t>2016</w:t>
      </w:r>
      <w:r w:rsidR="00D141B1" w:rsidRPr="00BD6253">
        <w:t>) NICE guideline</w:t>
      </w:r>
      <w:r w:rsidR="000A0F7B">
        <w:t xml:space="preserve"> NG56</w:t>
      </w:r>
      <w:r w:rsidR="00D141B1" w:rsidRPr="00BD6253">
        <w:t>, recommendation</w:t>
      </w:r>
      <w:r w:rsidR="000A0F7B">
        <w:t xml:space="preserve">s </w:t>
      </w:r>
      <w:r w:rsidR="000A0F7B" w:rsidRPr="000A0F7B">
        <w:t>1.1.1</w:t>
      </w:r>
      <w:r w:rsidR="000A0F7B">
        <w:t xml:space="preserve"> and</w:t>
      </w:r>
      <w:r w:rsidR="000A0F7B" w:rsidRPr="000A0F7B">
        <w:t xml:space="preserve"> 1.3.</w:t>
      </w:r>
      <w:r w:rsidR="000A0F7B">
        <w:t>1</w:t>
      </w:r>
      <w:r w:rsidR="00D141B1" w:rsidRPr="00BD6253">
        <w:t xml:space="preserve">.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61702892" w14:textId="108286CF" w:rsidR="00C63666" w:rsidRDefault="00C63666" w:rsidP="00C63666">
      <w:pPr>
        <w:pStyle w:val="NICEnormal"/>
      </w:pPr>
      <w:r w:rsidRPr="00E44668">
        <w:t xml:space="preserve">A register of people with </w:t>
      </w:r>
      <w:r>
        <w:t xml:space="preserve">four or more condition </w:t>
      </w:r>
      <w:r w:rsidR="00B94EB7">
        <w:t xml:space="preserve">clusters or a determination what they would benefit from </w:t>
      </w:r>
      <w:r w:rsidR="00B94EB7" w:rsidRPr="00B94EB7">
        <w:t>a tailored approach to care</w:t>
      </w:r>
      <w:r w:rsidRPr="00E44668">
        <w:t>.</w:t>
      </w:r>
    </w:p>
    <w:p w14:paraId="200701E0" w14:textId="092F05A0" w:rsidR="00D141B1" w:rsidRDefault="00D141B1" w:rsidP="00D141B1">
      <w:pPr>
        <w:pStyle w:val="NICEnormal"/>
      </w:pPr>
      <w:r>
        <w:t xml:space="preserve">Exclusions: </w:t>
      </w:r>
      <w:r w:rsidR="003119C7" w:rsidRPr="00FE0FC0">
        <w:t xml:space="preserve">People </w:t>
      </w:r>
      <w:r w:rsidR="003E37B3">
        <w:t>under</w:t>
      </w:r>
      <w:r w:rsidR="003119C7" w:rsidRPr="00FE0FC0">
        <w:t xml:space="preserve"> </w:t>
      </w:r>
      <w:r w:rsidR="00C63666">
        <w:t>18</w:t>
      </w:r>
      <w:r w:rsidR="00C63666" w:rsidRPr="00FE0FC0">
        <w:t xml:space="preserve"> </w:t>
      </w:r>
      <w:r w:rsidR="003119C7" w:rsidRPr="00FE0FC0">
        <w:t xml:space="preserve">years. </w:t>
      </w:r>
      <w:r w:rsidR="00DF45AD">
        <w:t xml:space="preserve"> </w:t>
      </w:r>
    </w:p>
    <w:p w14:paraId="129ECA00" w14:textId="1BB02C27" w:rsidR="0009195D" w:rsidRPr="0009195D" w:rsidRDefault="0009195D" w:rsidP="0009195D">
      <w:pPr>
        <w:pStyle w:val="Heading1"/>
      </w:pPr>
      <w:r w:rsidRPr="0009195D">
        <w:t>Further information</w:t>
      </w:r>
    </w:p>
    <w:p w14:paraId="526EF71D" w14:textId="77777777" w:rsidR="00AB3026" w:rsidRPr="0009195D" w:rsidRDefault="00AB3026" w:rsidP="00AB3026">
      <w:pPr>
        <w:pStyle w:val="NICEnormal"/>
      </w:pPr>
      <w:r w:rsidRPr="0009195D">
        <w:t xml:space="preserve">This is NICE indicator guidance, which is part of the </w:t>
      </w:r>
      <w:hyperlink r:id="rId14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</w:p>
    <w:p w14:paraId="70B822BC" w14:textId="6D9D9BCD" w:rsidR="0009195D" w:rsidRPr="0009195D" w:rsidRDefault="0009195D" w:rsidP="00AB3026">
      <w:pPr>
        <w:pStyle w:val="NICEnormal"/>
      </w:pPr>
    </w:p>
    <w:sectPr w:rsidR="0009195D" w:rsidRPr="0009195D" w:rsidSect="003D61BE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DAB60" w14:textId="77777777" w:rsidR="00694765" w:rsidRDefault="00694765" w:rsidP="00446BEE">
      <w:r>
        <w:separator/>
      </w:r>
    </w:p>
  </w:endnote>
  <w:endnote w:type="continuationSeparator" w:id="0">
    <w:p w14:paraId="109F5168" w14:textId="77777777" w:rsidR="00694765" w:rsidRDefault="0069476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70E1B06F" w:rsidR="00245B12" w:rsidRPr="00EA7F52" w:rsidRDefault="00D141B1" w:rsidP="00D141B1">
    <w:pPr>
      <w:pStyle w:val="Footer"/>
    </w:pPr>
    <w:r>
      <w:t xml:space="preserve">NICE indicator guidance: </w:t>
    </w:r>
    <w:r w:rsidR="000434F0">
      <w:t>NM1</w:t>
    </w:r>
    <w:r w:rsidR="00333742">
      <w:t>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2B37" w14:textId="77777777" w:rsidR="00694765" w:rsidRDefault="00694765" w:rsidP="00446BEE">
      <w:r>
        <w:separator/>
      </w:r>
    </w:p>
  </w:footnote>
  <w:footnote w:type="continuationSeparator" w:id="0">
    <w:p w14:paraId="5B8D5C77" w14:textId="77777777" w:rsidR="00694765" w:rsidRDefault="0069476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F381395"/>
    <w:multiLevelType w:val="hybridMultilevel"/>
    <w:tmpl w:val="DDF0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2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8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12"/>
  </w:num>
  <w:num w:numId="21">
    <w:abstractNumId w:val="15"/>
  </w:num>
  <w:num w:numId="22">
    <w:abstractNumId w:val="19"/>
  </w:num>
  <w:num w:numId="23">
    <w:abstractNumId w:val="20"/>
  </w:num>
  <w:num w:numId="24">
    <w:abstractNumId w:val="24"/>
  </w:num>
  <w:num w:numId="25">
    <w:abstractNumId w:val="22"/>
  </w:num>
  <w:num w:numId="26">
    <w:abstractNumId w:val="29"/>
  </w:num>
  <w:num w:numId="27">
    <w:abstractNumId w:val="28"/>
  </w:num>
  <w:num w:numId="28">
    <w:abstractNumId w:val="31"/>
  </w:num>
  <w:num w:numId="29">
    <w:abstractNumId w:val="16"/>
  </w:num>
  <w:num w:numId="30">
    <w:abstractNumId w:val="17"/>
  </w:num>
  <w:num w:numId="31">
    <w:abstractNumId w:val="11"/>
  </w:num>
  <w:num w:numId="32">
    <w:abstractNumId w:val="26"/>
  </w:num>
  <w:num w:numId="33">
    <w:abstractNumId w:val="30"/>
  </w:num>
  <w:num w:numId="34">
    <w:abstractNumId w:val="21"/>
  </w:num>
  <w:num w:numId="35">
    <w:abstractNumId w:val="10"/>
  </w:num>
  <w:num w:numId="36">
    <w:abstractNumId w:val="24"/>
  </w:num>
  <w:num w:numId="37">
    <w:abstractNumId w:val="25"/>
  </w:num>
  <w:num w:numId="38">
    <w:abstractNumId w:val="23"/>
  </w:num>
  <w:num w:numId="39">
    <w:abstractNumId w:val="1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10B0"/>
    <w:rsid w:val="00042E54"/>
    <w:rsid w:val="000434F0"/>
    <w:rsid w:val="00043AA2"/>
    <w:rsid w:val="00045996"/>
    <w:rsid w:val="000472DC"/>
    <w:rsid w:val="00050659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0F7B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506B"/>
    <w:rsid w:val="001C7C0D"/>
    <w:rsid w:val="001D0FBE"/>
    <w:rsid w:val="001D3E62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4A3C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9C7"/>
    <w:rsid w:val="00311ED0"/>
    <w:rsid w:val="00312208"/>
    <w:rsid w:val="00312B41"/>
    <w:rsid w:val="00313297"/>
    <w:rsid w:val="00333742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7B3"/>
    <w:rsid w:val="003E38A5"/>
    <w:rsid w:val="003F2329"/>
    <w:rsid w:val="00402391"/>
    <w:rsid w:val="00402436"/>
    <w:rsid w:val="00402958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5BD9"/>
    <w:rsid w:val="00446BEE"/>
    <w:rsid w:val="00450284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D21F4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572D"/>
    <w:rsid w:val="00610F28"/>
    <w:rsid w:val="006203A9"/>
    <w:rsid w:val="006241CC"/>
    <w:rsid w:val="00631D73"/>
    <w:rsid w:val="00633DB7"/>
    <w:rsid w:val="00640781"/>
    <w:rsid w:val="00640BC8"/>
    <w:rsid w:val="00644681"/>
    <w:rsid w:val="006628FD"/>
    <w:rsid w:val="00662ABE"/>
    <w:rsid w:val="00670D33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3A06"/>
    <w:rsid w:val="006D43D7"/>
    <w:rsid w:val="006D71D4"/>
    <w:rsid w:val="006E3BEB"/>
    <w:rsid w:val="006E5201"/>
    <w:rsid w:val="006F0A86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2CDD"/>
    <w:rsid w:val="00787D75"/>
    <w:rsid w:val="00794AAC"/>
    <w:rsid w:val="00794DA0"/>
    <w:rsid w:val="007A17B3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1557"/>
    <w:rsid w:val="008E6DAD"/>
    <w:rsid w:val="008F5E30"/>
    <w:rsid w:val="009016B9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2108"/>
    <w:rsid w:val="00963B89"/>
    <w:rsid w:val="009729A4"/>
    <w:rsid w:val="00975E10"/>
    <w:rsid w:val="0098788C"/>
    <w:rsid w:val="00993DD3"/>
    <w:rsid w:val="00994DDF"/>
    <w:rsid w:val="009C0BD9"/>
    <w:rsid w:val="009D037B"/>
    <w:rsid w:val="009D17CF"/>
    <w:rsid w:val="009D28EE"/>
    <w:rsid w:val="009D3369"/>
    <w:rsid w:val="009D400A"/>
    <w:rsid w:val="009D6466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026"/>
    <w:rsid w:val="00AC39B9"/>
    <w:rsid w:val="00AC40E7"/>
    <w:rsid w:val="00AD2B6F"/>
    <w:rsid w:val="00AD4960"/>
    <w:rsid w:val="00AD75F4"/>
    <w:rsid w:val="00AE008D"/>
    <w:rsid w:val="00AE46B3"/>
    <w:rsid w:val="00AE6DA6"/>
    <w:rsid w:val="00AE6E33"/>
    <w:rsid w:val="00AE72CB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12BC"/>
    <w:rsid w:val="00B940DC"/>
    <w:rsid w:val="00B94EB7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3C43"/>
    <w:rsid w:val="00BE58AF"/>
    <w:rsid w:val="00BE645F"/>
    <w:rsid w:val="00BE69B6"/>
    <w:rsid w:val="00BF04C9"/>
    <w:rsid w:val="00BF3B64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366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26B52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54D1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7DE7"/>
    <w:rsid w:val="00E02ADB"/>
    <w:rsid w:val="00E05591"/>
    <w:rsid w:val="00E06D6C"/>
    <w:rsid w:val="00E131B5"/>
    <w:rsid w:val="00E169C0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5A91"/>
    <w:rsid w:val="00E86111"/>
    <w:rsid w:val="00E87113"/>
    <w:rsid w:val="00EA6CE3"/>
    <w:rsid w:val="00EA7F52"/>
    <w:rsid w:val="00EB2DFC"/>
    <w:rsid w:val="00EB3F3F"/>
    <w:rsid w:val="00EC142C"/>
    <w:rsid w:val="00EC2405"/>
    <w:rsid w:val="00EC3275"/>
    <w:rsid w:val="00EC6C08"/>
    <w:rsid w:val="00EC76D6"/>
    <w:rsid w:val="00ED3673"/>
    <w:rsid w:val="00EE0E05"/>
    <w:rsid w:val="00EE329B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34C7"/>
    <w:rsid w:val="00F72F52"/>
    <w:rsid w:val="00F829F3"/>
    <w:rsid w:val="00F85171"/>
    <w:rsid w:val="00F9515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7260911C"/>
  <w15:docId w15:val="{4FA72433-0650-42FA-B97A-521091E2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1422"/>
  </w:style>
  <w:style w:type="character" w:styleId="FootnoteReference">
    <w:name w:val="footnote reference"/>
    <w:uiPriority w:val="99"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uiPriority w:val="39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56" TargetMode="External"/><Relationship Id="rId13" Type="http://schemas.openxmlformats.org/officeDocument/2006/relationships/hyperlink" Target="https://www.nice.org.uk/guidance/ng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alth.org.uk/sites/default/files/upload/publications/2018/Understanding%20the%20health%20care%20needs%20of%20people%20with%20multiple%20health%20conditions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lancet.com/action/showPdf?pii=S0140-6736%2812%2960240-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ealth.org.uk/sites/default/files/upload/publications/2018/Understanding%20the%20health%20care%20needs%20of%20people%20with%20multiple%20health%20condi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lancet.com/journals/lancet/article/PIIS0140-6736(12)60240-2/fulltext" TargetMode="External"/><Relationship Id="rId14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35F5-8358-464B-A700-51E5E37F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691AF884</Template>
  <TotalTime>211</TotalTime>
  <Pages>4</Pages>
  <Words>681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5508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Stevenson</dc:creator>
  <cp:lastModifiedBy>Esther Clifford</cp:lastModifiedBy>
  <cp:revision>26</cp:revision>
  <cp:lastPrinted>2015-01-21T13:24:00Z</cp:lastPrinted>
  <dcterms:created xsi:type="dcterms:W3CDTF">2019-06-27T10:08:00Z</dcterms:created>
  <dcterms:modified xsi:type="dcterms:W3CDTF">2019-07-25T11:50:00Z</dcterms:modified>
</cp:coreProperties>
</file>