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227D03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4366D149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0B5751">
        <w:t>August 201</w:t>
      </w:r>
      <w:r w:rsidR="00384332">
        <w:t>1</w:t>
      </w:r>
    </w:p>
    <w:p w14:paraId="06BAB3FE" w14:textId="1349FFC5" w:rsidR="00B8026E" w:rsidRPr="00126C3F" w:rsidRDefault="00B8026E" w:rsidP="00B8026E">
      <w:pPr>
        <w:pStyle w:val="NICEnormal"/>
        <w:rPr>
          <w:b/>
        </w:rPr>
      </w:pPr>
      <w:r>
        <w:t>Last u</w:t>
      </w:r>
      <w:r w:rsidRPr="000B5751">
        <w:t xml:space="preserve">pdate: </w:t>
      </w:r>
      <w:r w:rsidR="005B34EB">
        <w:t>March</w:t>
      </w:r>
      <w:r w:rsidR="00CB0E72">
        <w:t xml:space="preserve"> 2020</w:t>
      </w:r>
    </w:p>
    <w:p w14:paraId="6107852F" w14:textId="2F40B7D8" w:rsidR="006F0A86" w:rsidRDefault="006F0A86" w:rsidP="00227D03">
      <w:pPr>
        <w:pStyle w:val="Heading2"/>
      </w:pPr>
      <w:r w:rsidRPr="00126C3F">
        <w:t xml:space="preserve">Indicator </w:t>
      </w:r>
      <w:r w:rsidR="000B5751">
        <w:t>NM29</w:t>
      </w:r>
    </w:p>
    <w:p w14:paraId="684629AA" w14:textId="77777777" w:rsidR="000B5751" w:rsidRDefault="000B5751" w:rsidP="000B5751">
      <w:pPr>
        <w:pStyle w:val="Paragraph"/>
      </w:pPr>
      <w:r>
        <w:t>The contractor establishes and maintains a register of patients:</w:t>
      </w:r>
    </w:p>
    <w:p w14:paraId="6F06D28D" w14:textId="4C1F2822" w:rsidR="000B5751" w:rsidRDefault="000B5751" w:rsidP="000B5751">
      <w:pPr>
        <w:pStyle w:val="Paragraph"/>
      </w:pPr>
      <w:r>
        <w:t>1. Aged 50 or over and who have not attained the age of 75 with a record of a fragility fracture on or after 1 April 2012 and a diagnosis of osteoporosis confirmed on DXA scan, and</w:t>
      </w:r>
    </w:p>
    <w:p w14:paraId="0A6C169D" w14:textId="38E50B91" w:rsidR="00611A1D" w:rsidRPr="00611A1D" w:rsidRDefault="000B5751" w:rsidP="000B5751">
      <w:pPr>
        <w:pStyle w:val="Paragraph"/>
      </w:pPr>
      <w:r>
        <w:t>2. Aged 75 or over with a record of a fragility fracture on or after 1 April 2014 and a diagnosis of osteoporosis.</w:t>
      </w:r>
    </w:p>
    <w:p w14:paraId="18778417" w14:textId="333A8E39" w:rsidR="00806B97" w:rsidRDefault="00806B97" w:rsidP="00227D03">
      <w:pPr>
        <w:pStyle w:val="Heading2"/>
      </w:pPr>
      <w:r w:rsidRPr="00806B97">
        <w:t xml:space="preserve">Indicator type </w:t>
      </w:r>
    </w:p>
    <w:p w14:paraId="1F16E37E" w14:textId="54E70293" w:rsidR="00F6535D" w:rsidRPr="000B5751" w:rsidRDefault="001C31E9" w:rsidP="00F6535D">
      <w:pPr>
        <w:pStyle w:val="Paragraph"/>
      </w:pPr>
      <w:r w:rsidRPr="000B5751">
        <w:t>General practice indicator suitable for use in the Quality and Outcomes Framework.</w:t>
      </w:r>
    </w:p>
    <w:p w14:paraId="5CBA37E8" w14:textId="6F58C6BE" w:rsidR="006F0A86" w:rsidRDefault="006F0A86" w:rsidP="00227D03">
      <w:pPr>
        <w:pStyle w:val="Heading2"/>
        <w:rPr>
          <w:i/>
        </w:rPr>
      </w:pPr>
      <w:r w:rsidRPr="00011273">
        <w:t>Rationale</w:t>
      </w:r>
    </w:p>
    <w:p w14:paraId="6EFFAA47" w14:textId="7C27A968" w:rsidR="006F0A86" w:rsidRDefault="00A7317D" w:rsidP="005B34EB">
      <w:pPr>
        <w:pStyle w:val="NICEnormal"/>
        <w:spacing w:before="240"/>
      </w:pPr>
      <w:r>
        <w:t xml:space="preserve">Fragility fractures are fractures that result from mechanical forces that would not ordinarily result in fracture, known as low-level (or 'low energy') trauma. Reduced bone density is a major risk factor for fragility fracture. Other factors that may affect the risk of fragility fracture include the use of oral or systemic glucocorticoids, age, sex, previous </w:t>
      </w:r>
      <w:proofErr w:type="gramStart"/>
      <w:r>
        <w:t>fractures</w:t>
      </w:r>
      <w:proofErr w:type="gramEnd"/>
      <w:r>
        <w:t xml:space="preserve"> and family history of osteoporosis. There is increased bone loss after the menopause in women, and age-related bone loss in both women and men.</w:t>
      </w:r>
      <w:r w:rsidR="0036372C">
        <w:t xml:space="preserve"> </w:t>
      </w:r>
      <w:r w:rsidR="00520A3A">
        <w:t xml:space="preserve">Identifying people with a fragility fracture and a diagnosis of osteoporosis enables treatment </w:t>
      </w:r>
      <w:r w:rsidR="00A663FA">
        <w:t xml:space="preserve">initiation </w:t>
      </w:r>
      <w:r w:rsidR="00520A3A">
        <w:t xml:space="preserve">to prevent further </w:t>
      </w:r>
      <w:r w:rsidR="00A663FA">
        <w:t>fractures.</w:t>
      </w:r>
    </w:p>
    <w:p w14:paraId="69D4A75D" w14:textId="77777777" w:rsidR="00D141B1" w:rsidRDefault="00D141B1" w:rsidP="00227D03">
      <w:pPr>
        <w:pStyle w:val="Heading2"/>
        <w:rPr>
          <w:i/>
        </w:rPr>
      </w:pPr>
      <w:r w:rsidRPr="001F2B33">
        <w:lastRenderedPageBreak/>
        <w:t xml:space="preserve">Source guidance </w:t>
      </w:r>
    </w:p>
    <w:p w14:paraId="68BDD7A9" w14:textId="59795951" w:rsidR="00520A3A" w:rsidRDefault="00087057" w:rsidP="005B34EB">
      <w:pPr>
        <w:pStyle w:val="NICEnormal"/>
        <w:spacing w:before="240"/>
      </w:pPr>
      <w:hyperlink r:id="rId7" w:history="1">
        <w:r w:rsidR="005B34EB">
          <w:rPr>
            <w:rStyle w:val="Hyperlink"/>
          </w:rPr>
          <w:t>Osteoporosis: assessing the risk of fragility fracture. NICE guideline CG146</w:t>
        </w:r>
      </w:hyperlink>
      <w:r w:rsidR="001E139E">
        <w:t xml:space="preserve"> (2012)</w:t>
      </w:r>
      <w:r w:rsidR="00045258">
        <w:t>.</w:t>
      </w:r>
    </w:p>
    <w:p w14:paraId="04C3236E" w14:textId="56CC2784" w:rsidR="001E139E" w:rsidRDefault="00087057" w:rsidP="005B34EB">
      <w:pPr>
        <w:pStyle w:val="NICEnormal"/>
        <w:spacing w:before="240"/>
      </w:pPr>
      <w:hyperlink r:id="rId8" w:history="1">
        <w:r w:rsidR="00131FF2">
          <w:rPr>
            <w:rStyle w:val="Hyperlink"/>
          </w:rPr>
          <w:t>Raloxifene for the primary prevention of osteoporotic fragility fractures in postmenopausal women. NICE technology appraisal guidance TA160</w:t>
        </w:r>
      </w:hyperlink>
      <w:r w:rsidR="005B34EB">
        <w:t xml:space="preserve"> </w:t>
      </w:r>
      <w:r w:rsidR="00520A3A">
        <w:t>(2008)</w:t>
      </w:r>
      <w:r w:rsidR="00045258">
        <w:t>.</w:t>
      </w:r>
    </w:p>
    <w:p w14:paraId="5AE6593A" w14:textId="49823111" w:rsidR="00520A3A" w:rsidRDefault="00087057" w:rsidP="005B34EB">
      <w:pPr>
        <w:pStyle w:val="NICEnormal"/>
        <w:spacing w:before="240"/>
      </w:pPr>
      <w:hyperlink r:id="rId9" w:history="1">
        <w:r w:rsidR="00131FF2">
          <w:rPr>
            <w:rStyle w:val="Hyperlink"/>
          </w:rPr>
          <w:t>Raloxifene and teriparatide for the secondary prevention of osteoporotic fragility fractures in postmenopausal women. NICE technology appraisal guidance TA161</w:t>
        </w:r>
      </w:hyperlink>
      <w:r w:rsidR="005B34EB">
        <w:t xml:space="preserve"> </w:t>
      </w:r>
      <w:r w:rsidR="00520A3A">
        <w:t>(2008)</w:t>
      </w:r>
      <w:r w:rsidR="00045258">
        <w:t>.</w:t>
      </w:r>
    </w:p>
    <w:p w14:paraId="05AD89C4" w14:textId="77777777" w:rsidR="00D141B1" w:rsidRDefault="00D141B1" w:rsidP="00227D03">
      <w:pPr>
        <w:pStyle w:val="Heading2"/>
      </w:pPr>
      <w:r>
        <w:t xml:space="preserve">Specification </w:t>
      </w:r>
    </w:p>
    <w:p w14:paraId="06F7BF31" w14:textId="35DEDAA6" w:rsidR="00F9741E" w:rsidRDefault="00F9741E" w:rsidP="005B34EB">
      <w:pPr>
        <w:pStyle w:val="NICEnormal"/>
        <w:spacing w:before="240"/>
      </w:pPr>
      <w:r w:rsidRPr="00F9741E">
        <w:t xml:space="preserve">A register of people with a diagnosis of </w:t>
      </w:r>
      <w:r w:rsidR="001E139E">
        <w:t>osteoporos</w:t>
      </w:r>
      <w:r w:rsidR="001E139E" w:rsidRPr="001E139E">
        <w:t>is</w:t>
      </w:r>
      <w:r w:rsidRPr="001E139E">
        <w:t>.</w:t>
      </w:r>
    </w:p>
    <w:p w14:paraId="5FB9D950" w14:textId="43FD9813" w:rsidR="00984D8C" w:rsidRDefault="00984D8C" w:rsidP="005B34EB">
      <w:pPr>
        <w:pStyle w:val="NICEnormal"/>
        <w:spacing w:before="240"/>
      </w:pPr>
      <w:r>
        <w:t>Exclusions: None</w:t>
      </w:r>
    </w:p>
    <w:p w14:paraId="72BFF921" w14:textId="7BF6EAFA" w:rsidR="00A44726" w:rsidRDefault="00A44726" w:rsidP="005B34EB">
      <w:pPr>
        <w:pStyle w:val="NICEnormal"/>
        <w:spacing w:before="240"/>
      </w:pPr>
      <w:r w:rsidRPr="00A44726"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227D03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5B34EB">
      <w:pPr>
        <w:pStyle w:val="NICEnormal"/>
        <w:spacing w:before="240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C3A65" w14:textId="77777777" w:rsidR="00087057" w:rsidRDefault="00087057" w:rsidP="00446BEE">
      <w:r>
        <w:separator/>
      </w:r>
    </w:p>
  </w:endnote>
  <w:endnote w:type="continuationSeparator" w:id="0">
    <w:p w14:paraId="4892F632" w14:textId="77777777" w:rsidR="00087057" w:rsidRDefault="0008705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2ADA823D" w:rsidR="00245B12" w:rsidRPr="00EA7F52" w:rsidRDefault="00D141B1" w:rsidP="00D141B1">
    <w:pPr>
      <w:pStyle w:val="Footer"/>
    </w:pPr>
    <w:r>
      <w:t xml:space="preserve">NICE indicator guidance: </w:t>
    </w:r>
    <w:r w:rsidR="001E139E">
      <w:t>NM29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51410" w14:textId="77777777" w:rsidR="00087057" w:rsidRDefault="00087057" w:rsidP="00446BEE">
      <w:r>
        <w:separator/>
      </w:r>
    </w:p>
  </w:footnote>
  <w:footnote w:type="continuationSeparator" w:id="0">
    <w:p w14:paraId="03A6F3E3" w14:textId="77777777" w:rsidR="00087057" w:rsidRDefault="00087057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6D7566A7"/>
    <w:multiLevelType w:val="hybridMultilevel"/>
    <w:tmpl w:val="BA48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9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258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87057"/>
    <w:rsid w:val="000915BF"/>
    <w:rsid w:val="0009195D"/>
    <w:rsid w:val="00092AE4"/>
    <w:rsid w:val="000A19A3"/>
    <w:rsid w:val="000A2698"/>
    <w:rsid w:val="000A4FEE"/>
    <w:rsid w:val="000A5B01"/>
    <w:rsid w:val="000B15A4"/>
    <w:rsid w:val="000B5751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1FF2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139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27D03"/>
    <w:rsid w:val="00232A20"/>
    <w:rsid w:val="002408EA"/>
    <w:rsid w:val="002421E3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07B02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332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0A3A"/>
    <w:rsid w:val="00521BB3"/>
    <w:rsid w:val="005224A9"/>
    <w:rsid w:val="005309E5"/>
    <w:rsid w:val="005312F6"/>
    <w:rsid w:val="005444CE"/>
    <w:rsid w:val="0055064B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34EB"/>
    <w:rsid w:val="005B6057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4D8C"/>
    <w:rsid w:val="0098788C"/>
    <w:rsid w:val="00993DD3"/>
    <w:rsid w:val="00994DDF"/>
    <w:rsid w:val="00997A22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2A60"/>
    <w:rsid w:val="00A3325A"/>
    <w:rsid w:val="00A36A8D"/>
    <w:rsid w:val="00A36C84"/>
    <w:rsid w:val="00A421A8"/>
    <w:rsid w:val="00A43013"/>
    <w:rsid w:val="00A44726"/>
    <w:rsid w:val="00A47556"/>
    <w:rsid w:val="00A52C72"/>
    <w:rsid w:val="00A547C9"/>
    <w:rsid w:val="00A57046"/>
    <w:rsid w:val="00A663FA"/>
    <w:rsid w:val="00A7317D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4C5F"/>
    <w:rsid w:val="00B940DC"/>
    <w:rsid w:val="00B95EE0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0E72"/>
    <w:rsid w:val="00CB2C9F"/>
    <w:rsid w:val="00CB52E4"/>
    <w:rsid w:val="00CC2B2E"/>
    <w:rsid w:val="00CD21D5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1EBB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E4DD0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1DFC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227D03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27D03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1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ta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2020-01-07T13:17:00Z</dcterms:created>
  <dcterms:modified xsi:type="dcterms:W3CDTF">2020-11-02T13:50:00Z</dcterms:modified>
</cp:coreProperties>
</file>