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50DC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BFDACF5" w14:textId="77777777" w:rsidR="00674B80" w:rsidRPr="00794DA0" w:rsidRDefault="00674B80" w:rsidP="00674B80">
      <w:pPr>
        <w:pStyle w:val="Title"/>
      </w:pPr>
      <w:r w:rsidRPr="00697B97">
        <w:t xml:space="preserve">NICE </w:t>
      </w:r>
      <w:r>
        <w:t>indicator guidance</w:t>
      </w:r>
    </w:p>
    <w:p w14:paraId="6DE0FD68" w14:textId="77777777" w:rsidR="00674B80" w:rsidRDefault="00674B80" w:rsidP="00674B80">
      <w:pPr>
        <w:pStyle w:val="NICEnormal"/>
      </w:pPr>
      <w:r>
        <w:t>Date first published on NICE menu: August 2016</w:t>
      </w:r>
    </w:p>
    <w:p w14:paraId="4134A729" w14:textId="6AE35EF4" w:rsidR="00674B80" w:rsidRPr="00674B80" w:rsidRDefault="00674B80" w:rsidP="00674B80">
      <w:pPr>
        <w:pStyle w:val="NICEnormal"/>
        <w:rPr>
          <w:rStyle w:val="Heading1Char"/>
          <w:bCs w:val="0"/>
          <w:kern w:val="0"/>
          <w:sz w:val="24"/>
          <w:szCs w:val="24"/>
        </w:rPr>
      </w:pPr>
      <w:r>
        <w:t>Last update</w:t>
      </w:r>
      <w:r w:rsidRPr="00B8026E">
        <w:t xml:space="preserve">: </w:t>
      </w:r>
      <w:r w:rsidR="009D2682">
        <w:t>August</w:t>
      </w:r>
      <w:r w:rsidR="009D748C">
        <w:t xml:space="preserve"> 202</w:t>
      </w:r>
      <w:r w:rsidR="009D2682">
        <w:t>1</w:t>
      </w:r>
    </w:p>
    <w:p w14:paraId="3464DE1A" w14:textId="4C50575F" w:rsidR="000A01B0" w:rsidRDefault="000A01B0" w:rsidP="00012303">
      <w:pPr>
        <w:pStyle w:val="Paragraphnonumbers"/>
        <w:spacing w:after="120" w:line="240" w:lineRule="auto"/>
        <w:rPr>
          <w:rStyle w:val="Heading1Char"/>
          <w:lang w:val="en-US" w:eastAsia="en-US"/>
        </w:rPr>
      </w:pPr>
      <w:r>
        <w:rPr>
          <w:rStyle w:val="Heading1Char"/>
        </w:rPr>
        <w:t>I</w:t>
      </w:r>
      <w:r w:rsidRPr="00631D73">
        <w:rPr>
          <w:rStyle w:val="Heading1Char"/>
        </w:rPr>
        <w:t>ndicator</w:t>
      </w:r>
      <w:r>
        <w:rPr>
          <w:rStyle w:val="Heading1Char"/>
        </w:rPr>
        <w:t>:</w:t>
      </w:r>
      <w:r w:rsidRPr="000A01B0">
        <w:t xml:space="preserve"> </w:t>
      </w:r>
      <w:r w:rsidR="00241B61">
        <w:rPr>
          <w:rStyle w:val="Heading1Char"/>
        </w:rPr>
        <w:t>NM</w:t>
      </w:r>
      <w:r w:rsidR="001546F4">
        <w:rPr>
          <w:rStyle w:val="Heading1Char"/>
        </w:rPr>
        <w:t>84</w:t>
      </w:r>
    </w:p>
    <w:p w14:paraId="6A640D6E" w14:textId="653E9C52" w:rsidR="001546F4" w:rsidRDefault="00401C8A" w:rsidP="00D062D6">
      <w:pPr>
        <w:pStyle w:val="NICEnormal"/>
        <w:spacing w:before="240"/>
        <w:rPr>
          <w:lang w:val="en-GB"/>
        </w:rPr>
      </w:pPr>
      <w:r w:rsidRPr="00401C8A">
        <w:rPr>
          <w:lang w:val="en-GB"/>
        </w:rPr>
        <w:t>The percentage of patients on the CKD register who have hypertension and proteinuria and who are currently being treated with an angiotensin-receptor blocker or an angiotensin-converting enzyme inhibitor</w:t>
      </w:r>
      <w:r w:rsidR="001546F4" w:rsidRPr="00900331">
        <w:rPr>
          <w:lang w:val="en-GB"/>
        </w:rPr>
        <w:t>.</w:t>
      </w:r>
    </w:p>
    <w:p w14:paraId="5C201083" w14:textId="77777777" w:rsidR="00674B80" w:rsidRPr="00674B80" w:rsidRDefault="00674B80" w:rsidP="00674B80">
      <w:pPr>
        <w:keepNext/>
        <w:spacing w:before="240" w:after="120"/>
        <w:outlineLvl w:val="0"/>
        <w:rPr>
          <w:rFonts w:ascii="Arial" w:hAnsi="Arial"/>
          <w:b/>
          <w:bCs/>
          <w:kern w:val="32"/>
          <w:sz w:val="28"/>
          <w:szCs w:val="32"/>
        </w:rPr>
      </w:pPr>
      <w:r w:rsidRPr="00674B80">
        <w:rPr>
          <w:rFonts w:ascii="Arial" w:hAnsi="Arial"/>
          <w:b/>
          <w:bCs/>
          <w:kern w:val="32"/>
          <w:sz w:val="28"/>
          <w:szCs w:val="32"/>
        </w:rPr>
        <w:t xml:space="preserve">Indicator type </w:t>
      </w:r>
    </w:p>
    <w:p w14:paraId="060E79BA" w14:textId="3B3D169F" w:rsidR="00674B80" w:rsidRDefault="00674B80" w:rsidP="00674B80">
      <w:pPr>
        <w:spacing w:before="240" w:after="240" w:line="360" w:lineRule="auto"/>
        <w:rPr>
          <w:rFonts w:ascii="Arial" w:hAnsi="Arial"/>
        </w:rPr>
      </w:pPr>
      <w:r w:rsidRPr="00674B80">
        <w:rPr>
          <w:rFonts w:ascii="Arial" w:hAnsi="Arial"/>
        </w:rPr>
        <w:t>General practice indicator suitable for use in the Quality and Outcomes Framework.</w:t>
      </w:r>
    </w:p>
    <w:p w14:paraId="31999BB8" w14:textId="06B92919" w:rsidR="00A0108A" w:rsidRPr="00A0108A" w:rsidRDefault="00A15BBD" w:rsidP="00674B80">
      <w:pPr>
        <w:spacing w:before="240" w:after="240" w:line="36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Assessment of available data indicate that the average practice population is 20 patients per practice</w:t>
      </w:r>
      <w:r w:rsidR="00A0108A">
        <w:rPr>
          <w:rFonts w:ascii="Arial" w:hAnsi="Arial"/>
          <w:i/>
          <w:iCs/>
        </w:rPr>
        <w:t xml:space="preserve">. This should be considered if the indicator is to be used for incentivisation. </w:t>
      </w:r>
    </w:p>
    <w:p w14:paraId="59F3F13F" w14:textId="17422584" w:rsidR="006839FB" w:rsidRPr="00011273" w:rsidRDefault="006839FB" w:rsidP="00012303">
      <w:pPr>
        <w:pStyle w:val="Heading2"/>
        <w:spacing w:after="120"/>
        <w:rPr>
          <w:i w:val="0"/>
        </w:rPr>
      </w:pPr>
      <w:r w:rsidRPr="00011273">
        <w:rPr>
          <w:i w:val="0"/>
        </w:rPr>
        <w:t>Rationale</w:t>
      </w:r>
    </w:p>
    <w:p w14:paraId="27D9893D" w14:textId="15850D91" w:rsidR="001546F4" w:rsidRPr="00900331" w:rsidRDefault="00445389" w:rsidP="00D062D6">
      <w:pPr>
        <w:pStyle w:val="NICEnormal"/>
        <w:spacing w:before="240"/>
      </w:pPr>
      <w:r>
        <w:rPr>
          <w:lang w:val="en-GB"/>
        </w:rPr>
        <w:t>T</w:t>
      </w:r>
      <w:r w:rsidR="001546F4" w:rsidRPr="00900331">
        <w:rPr>
          <w:lang w:val="en-GB"/>
        </w:rPr>
        <w:t xml:space="preserve">reatment </w:t>
      </w:r>
      <w:r>
        <w:rPr>
          <w:lang w:val="en-GB"/>
        </w:rPr>
        <w:t>with</w:t>
      </w:r>
      <w:r w:rsidRPr="006B4A4E">
        <w:rPr>
          <w:lang w:val="en-GB"/>
        </w:rPr>
        <w:t xml:space="preserve"> renin–angiotensin system antagonist</w:t>
      </w:r>
      <w:r>
        <w:rPr>
          <w:lang w:val="en-GB"/>
        </w:rPr>
        <w:t>s</w:t>
      </w:r>
      <w:r w:rsidRPr="00900331">
        <w:rPr>
          <w:lang w:val="en-GB"/>
        </w:rPr>
        <w:t xml:space="preserve"> </w:t>
      </w:r>
      <w:r>
        <w:rPr>
          <w:lang w:val="en-GB"/>
        </w:rPr>
        <w:t xml:space="preserve">for people with CKD and </w:t>
      </w:r>
      <w:r w:rsidRPr="006B4A4E">
        <w:rPr>
          <w:lang w:val="en-GB"/>
        </w:rPr>
        <w:t xml:space="preserve">hypertension </w:t>
      </w:r>
      <w:r w:rsidR="001546F4" w:rsidRPr="00900331">
        <w:rPr>
          <w:lang w:val="en-GB"/>
        </w:rPr>
        <w:t xml:space="preserve">can prevent or delay the progression of CKD, </w:t>
      </w:r>
      <w:proofErr w:type="gramStart"/>
      <w:r w:rsidR="001546F4" w:rsidRPr="00900331">
        <w:rPr>
          <w:lang w:val="en-GB"/>
        </w:rPr>
        <w:t>reduce</w:t>
      </w:r>
      <w:proofErr w:type="gramEnd"/>
      <w:r w:rsidR="001546F4" w:rsidRPr="00900331">
        <w:rPr>
          <w:lang w:val="en-GB"/>
        </w:rPr>
        <w:t xml:space="preserve"> or prevent the development of complications, and reduce the risk of cardiovascular disease.</w:t>
      </w:r>
    </w:p>
    <w:p w14:paraId="703E471D" w14:textId="5AAD6E84" w:rsidR="000A01B0" w:rsidRPr="001F2B33" w:rsidRDefault="000A01B0" w:rsidP="00012303">
      <w:pPr>
        <w:pStyle w:val="Heading2"/>
        <w:spacing w:after="120"/>
        <w:rPr>
          <w:i w:val="0"/>
        </w:rPr>
      </w:pPr>
      <w:r w:rsidRPr="001F2B33">
        <w:rPr>
          <w:i w:val="0"/>
        </w:rPr>
        <w:t xml:space="preserve">Source guidance </w:t>
      </w:r>
    </w:p>
    <w:p w14:paraId="3703186D" w14:textId="1FEBE576" w:rsidR="00A0108A" w:rsidRDefault="00D9591A" w:rsidP="00D062D6">
      <w:pPr>
        <w:pStyle w:val="Paragraphnonumbers"/>
      </w:pPr>
      <w:r>
        <w:fldChar w:fldCharType="begin"/>
      </w:r>
      <w:r>
        <w:instrText>HYPERLINK "https://www.nice.org.uk/guidance/ng203"</w:instrText>
      </w:r>
      <w:r>
        <w:fldChar w:fldCharType="separate"/>
      </w:r>
      <w:r w:rsidR="006756F4">
        <w:rPr>
          <w:rStyle w:val="Hyperlink"/>
        </w:rPr>
        <w:t>Chronic kidney disease. NICE guideline NG203</w:t>
      </w:r>
      <w:r>
        <w:rPr>
          <w:rStyle w:val="Hyperlink"/>
        </w:rPr>
        <w:fldChar w:fldCharType="end"/>
      </w:r>
      <w:r w:rsidR="00A0108A" w:rsidRPr="008B1E8A">
        <w:t xml:space="preserve"> </w:t>
      </w:r>
      <w:r w:rsidR="00A0108A">
        <w:t>(20</w:t>
      </w:r>
      <w:r w:rsidR="009D2682">
        <w:t>21</w:t>
      </w:r>
      <w:r w:rsidR="00A0108A">
        <w:t>), recommendation 1.6.</w:t>
      </w:r>
      <w:r w:rsidR="00401C8A">
        <w:t>5</w:t>
      </w:r>
      <w:r w:rsidR="006D1179">
        <w:t>.</w:t>
      </w:r>
    </w:p>
    <w:p w14:paraId="7A5C74FE" w14:textId="1A189433" w:rsidR="001F2B33" w:rsidRDefault="00A0108A" w:rsidP="00012303">
      <w:pPr>
        <w:pStyle w:val="Heading2"/>
        <w:spacing w:after="120"/>
        <w:rPr>
          <w:i w:val="0"/>
        </w:rPr>
      </w:pPr>
      <w:r w:rsidRPr="00A0108A">
        <w:rPr>
          <w:i w:val="0"/>
        </w:rPr>
        <w:t>Specification</w:t>
      </w:r>
    </w:p>
    <w:p w14:paraId="3315A8D0" w14:textId="3F2568A1" w:rsidR="00EE5238" w:rsidRDefault="00EE5238" w:rsidP="00D062D6">
      <w:pPr>
        <w:pStyle w:val="NICEnormal"/>
        <w:spacing w:before="240"/>
      </w:pPr>
      <w:r>
        <w:t>Numerator:</w:t>
      </w:r>
      <w:r w:rsidR="00F520F6">
        <w:t xml:space="preserve"> The number of patients </w:t>
      </w:r>
      <w:r w:rsidR="00DC007C">
        <w:t>in the denominator</w:t>
      </w:r>
      <w:r w:rsidR="00F520F6">
        <w:t xml:space="preserve"> </w:t>
      </w:r>
      <w:r w:rsidR="00F520F6" w:rsidRPr="00F520F6">
        <w:t>who are currently treated with renin-angiotensin system antagonists.</w:t>
      </w:r>
    </w:p>
    <w:p w14:paraId="60FA09CE" w14:textId="192BCD7F" w:rsidR="00EE5238" w:rsidRDefault="00EE5238" w:rsidP="00EE5238">
      <w:pPr>
        <w:pStyle w:val="NICEnormal"/>
      </w:pPr>
      <w:r>
        <w:lastRenderedPageBreak/>
        <w:t>Denominator:</w:t>
      </w:r>
      <w:r w:rsidRPr="00EE5238">
        <w:t xml:space="preserve"> </w:t>
      </w:r>
      <w:r w:rsidR="00793338">
        <w:t>T</w:t>
      </w:r>
      <w:r w:rsidR="00F520F6">
        <w:t>he n</w:t>
      </w:r>
      <w:r>
        <w:t xml:space="preserve">umber of </w:t>
      </w:r>
      <w:r w:rsidRPr="002F7A1B">
        <w:t xml:space="preserve">patients </w:t>
      </w:r>
      <w:r>
        <w:t xml:space="preserve">on </w:t>
      </w:r>
      <w:r w:rsidR="00DC007C">
        <w:t xml:space="preserve">the </w:t>
      </w:r>
      <w:r>
        <w:t>CKD register</w:t>
      </w:r>
      <w:r w:rsidR="004A5183" w:rsidRPr="004A5183">
        <w:t xml:space="preserve"> </w:t>
      </w:r>
      <w:r w:rsidR="004A5183" w:rsidRPr="00F520F6">
        <w:t xml:space="preserve">with hypertension and proteinuria </w:t>
      </w:r>
    </w:p>
    <w:p w14:paraId="7357004B" w14:textId="59CACCDA" w:rsidR="00EE5238" w:rsidRDefault="00EE5238" w:rsidP="00EE5238">
      <w:pPr>
        <w:pStyle w:val="NICEnormal"/>
      </w:pPr>
      <w:r>
        <w:t xml:space="preserve">Calculation: </w:t>
      </w:r>
      <w:r w:rsidR="00D062D6">
        <w:t>(</w:t>
      </w:r>
      <w:r w:rsidR="00F520F6" w:rsidRPr="00F520F6">
        <w:t>Numerator/</w:t>
      </w:r>
      <w:proofErr w:type="gramStart"/>
      <w:r w:rsidR="00F520F6" w:rsidRPr="00F520F6">
        <w:t>denominator</w:t>
      </w:r>
      <w:r w:rsidR="00D062D6">
        <w:t>)</w:t>
      </w:r>
      <w:r w:rsidR="00F520F6" w:rsidRPr="00F520F6">
        <w:t>*</w:t>
      </w:r>
      <w:proofErr w:type="gramEnd"/>
      <w:r w:rsidR="00F520F6" w:rsidRPr="00F520F6">
        <w:t>100</w:t>
      </w:r>
    </w:p>
    <w:p w14:paraId="64B06D3E" w14:textId="77777777" w:rsidR="00EE5238" w:rsidRDefault="00EE5238" w:rsidP="00D062D6">
      <w:pPr>
        <w:pStyle w:val="NICEnormal"/>
        <w:spacing w:after="0"/>
      </w:pPr>
      <w:r>
        <w:t xml:space="preserve">Exclusions: </w:t>
      </w:r>
    </w:p>
    <w:p w14:paraId="7D0566DA" w14:textId="303189D5" w:rsidR="00F520F6" w:rsidRDefault="00F520F6" w:rsidP="00D062D6">
      <w:pPr>
        <w:pStyle w:val="Bulletleft1"/>
      </w:pPr>
      <w:r>
        <w:t xml:space="preserve">patients </w:t>
      </w:r>
      <w:r w:rsidRPr="00F520F6">
        <w:t>who had a CKD exception reporting code in the 12 months leading up to and including the payment period end date</w:t>
      </w:r>
    </w:p>
    <w:p w14:paraId="435309DC" w14:textId="4FCACF42" w:rsidR="00823422" w:rsidRDefault="00823422" w:rsidP="00D062D6">
      <w:pPr>
        <w:pStyle w:val="Bulletleft1"/>
      </w:pPr>
      <w:r>
        <w:t xml:space="preserve">patients </w:t>
      </w:r>
      <w:r w:rsidRPr="00823422">
        <w:t xml:space="preserve">who </w:t>
      </w:r>
      <w:r>
        <w:t xml:space="preserve">had </w:t>
      </w:r>
      <w:r w:rsidRPr="00823422">
        <w:t>an ACE inhibitor contraindication</w:t>
      </w:r>
    </w:p>
    <w:p w14:paraId="327DE401" w14:textId="177A39D4" w:rsidR="00823422" w:rsidRDefault="00823422" w:rsidP="00D062D6">
      <w:pPr>
        <w:pStyle w:val="Bulletleft1"/>
      </w:pPr>
      <w:r>
        <w:t>p</w:t>
      </w:r>
      <w:r w:rsidRPr="00823422">
        <w:t>atient’s latest expiring ACE inhibitor contraindication was recorded at least 12 months prior to the payment period end date</w:t>
      </w:r>
    </w:p>
    <w:p w14:paraId="530ECB12" w14:textId="77777777" w:rsidR="00823422" w:rsidRDefault="00823422" w:rsidP="00D062D6">
      <w:pPr>
        <w:pStyle w:val="Bulletleft1"/>
      </w:pPr>
      <w:r>
        <w:t xml:space="preserve">patients who had </w:t>
      </w:r>
      <w:r w:rsidRPr="00823422">
        <w:t>an AII inhibitor contraindication</w:t>
      </w:r>
    </w:p>
    <w:p w14:paraId="0DB40033" w14:textId="77777777" w:rsidR="00B60E4E" w:rsidRDefault="00823422" w:rsidP="00D062D6">
      <w:pPr>
        <w:pStyle w:val="Bulletleft1"/>
      </w:pPr>
      <w:r>
        <w:t>p</w:t>
      </w:r>
      <w:r w:rsidRPr="00823422">
        <w:t>atient’s latest expiring AII inhibitor contraindication was recorded at least 12 months prior to the payment period end date</w:t>
      </w:r>
    </w:p>
    <w:p w14:paraId="4C870489" w14:textId="35BA2703" w:rsidR="00B60E4E" w:rsidRDefault="00B60E4E" w:rsidP="00401C8A">
      <w:pPr>
        <w:pStyle w:val="Bulletleft1"/>
        <w:numPr>
          <w:ilvl w:val="0"/>
          <w:numId w:val="0"/>
        </w:numPr>
      </w:pPr>
    </w:p>
    <w:p w14:paraId="42F74FC8" w14:textId="7F35C301" w:rsidR="004A5183" w:rsidRDefault="004A5183" w:rsidP="00B60E4E">
      <w:pPr>
        <w:pStyle w:val="NICEnormal"/>
      </w:pPr>
      <w:r>
        <w:t xml:space="preserve">Minimum population: </w:t>
      </w:r>
      <w:r w:rsidRPr="002F7A1B">
        <w:t xml:space="preserve">The indicator is appropriate to assess performance at individual general practice level. </w:t>
      </w:r>
    </w:p>
    <w:p w14:paraId="51252747" w14:textId="77777777" w:rsidR="000A01B0" w:rsidRPr="00076DB9" w:rsidRDefault="000A01B0" w:rsidP="00012303">
      <w:pPr>
        <w:pStyle w:val="Heading2"/>
        <w:spacing w:after="120"/>
        <w:rPr>
          <w:i w:val="0"/>
        </w:rPr>
      </w:pPr>
      <w:r w:rsidRPr="00076DB9">
        <w:rPr>
          <w:i w:val="0"/>
        </w:rPr>
        <w:t>Further information</w:t>
      </w:r>
    </w:p>
    <w:p w14:paraId="007B2D4A" w14:textId="6385ABB1" w:rsidR="00DC047A" w:rsidRPr="000A01B0" w:rsidRDefault="00A0108A" w:rsidP="00D062D6">
      <w:pPr>
        <w:pStyle w:val="NICEnormal"/>
        <w:spacing w:before="240"/>
      </w:pPr>
      <w:bookmarkStart w:id="0" w:name="_Hlk14183092"/>
      <w:r w:rsidRPr="0009195D">
        <w:t xml:space="preserve">This is NICE indicator guidance, which is part of the </w:t>
      </w:r>
      <w:hyperlink r:id="rId7" w:history="1">
        <w:r w:rsidRPr="008541A5">
          <w:rPr>
            <w:rStyle w:val="Hyperlink"/>
          </w:rPr>
          <w:t>NICE menu of indicators</w:t>
        </w:r>
      </w:hyperlink>
      <w:r w:rsidRPr="0009195D">
        <w:t>. This document does not represent formal NICE guidance.</w:t>
      </w:r>
      <w:bookmarkEnd w:id="0"/>
    </w:p>
    <w:sectPr w:rsidR="00DC047A" w:rsidRPr="000A01B0" w:rsidSect="003D61B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D4D3" w14:textId="77777777" w:rsidR="00694765" w:rsidRDefault="00694765" w:rsidP="00446BEE">
      <w:r>
        <w:separator/>
      </w:r>
    </w:p>
  </w:endnote>
  <w:endnote w:type="continuationSeparator" w:id="0">
    <w:p w14:paraId="553090C6" w14:textId="77777777" w:rsidR="00694765" w:rsidRDefault="0069476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1EE3" w14:textId="0996EBEA" w:rsidR="00EA7F52" w:rsidRPr="00EA7F52" w:rsidRDefault="004A5183" w:rsidP="00EA7F52">
    <w:pPr>
      <w:pStyle w:val="Footer"/>
    </w:pPr>
    <w:r>
      <w:t xml:space="preserve">NICE indicator guidance: </w:t>
    </w:r>
    <w:r w:rsidR="007B5CC6">
      <w:t>NM</w:t>
    </w:r>
    <w:r w:rsidR="001546F4">
      <w:t>84</w:t>
    </w:r>
  </w:p>
  <w:p w14:paraId="6E50E81E" w14:textId="77777777" w:rsidR="00245B12" w:rsidRPr="00EA7F52" w:rsidRDefault="003C3A79" w:rsidP="00EA7F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486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1340" w14:textId="77777777" w:rsidR="00694765" w:rsidRDefault="00694765" w:rsidP="00446BEE">
      <w:r>
        <w:separator/>
      </w:r>
    </w:p>
  </w:footnote>
  <w:footnote w:type="continuationSeparator" w:id="0">
    <w:p w14:paraId="238AA08E" w14:textId="77777777" w:rsidR="00694765" w:rsidRDefault="00694765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31841"/>
    <w:multiLevelType w:val="hybridMultilevel"/>
    <w:tmpl w:val="BE66FC3C"/>
    <w:lvl w:ilvl="0" w:tplc="73E46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6" w15:restartNumberingAfterBreak="0">
    <w:nsid w:val="1A445AB3"/>
    <w:multiLevelType w:val="hybridMultilevel"/>
    <w:tmpl w:val="44B06D1E"/>
    <w:lvl w:ilvl="0" w:tplc="FB4C587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4006F"/>
    <w:multiLevelType w:val="hybridMultilevel"/>
    <w:tmpl w:val="2B6C2ECA"/>
    <w:lvl w:ilvl="0" w:tplc="A01A96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6487A"/>
    <w:multiLevelType w:val="hybridMultilevel"/>
    <w:tmpl w:val="07406A62"/>
    <w:lvl w:ilvl="0" w:tplc="33FCCA64">
      <w:start w:val="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8" w15:restartNumberingAfterBreak="0">
    <w:nsid w:val="710D5FD8"/>
    <w:multiLevelType w:val="hybridMultilevel"/>
    <w:tmpl w:val="0E96006A"/>
    <w:lvl w:ilvl="0" w:tplc="73E46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3"/>
  </w:num>
  <w:num w:numId="21">
    <w:abstractNumId w:val="14"/>
  </w:num>
  <w:num w:numId="22">
    <w:abstractNumId w:val="20"/>
  </w:num>
  <w:num w:numId="23">
    <w:abstractNumId w:val="21"/>
  </w:num>
  <w:num w:numId="24">
    <w:abstractNumId w:val="25"/>
  </w:num>
  <w:num w:numId="25">
    <w:abstractNumId w:val="22"/>
  </w:num>
  <w:num w:numId="26">
    <w:abstractNumId w:val="30"/>
  </w:num>
  <w:num w:numId="27">
    <w:abstractNumId w:val="29"/>
  </w:num>
  <w:num w:numId="28">
    <w:abstractNumId w:val="31"/>
  </w:num>
  <w:num w:numId="29">
    <w:abstractNumId w:val="15"/>
  </w:num>
  <w:num w:numId="30">
    <w:abstractNumId w:val="17"/>
  </w:num>
  <w:num w:numId="31">
    <w:abstractNumId w:val="12"/>
  </w:num>
  <w:num w:numId="32">
    <w:abstractNumId w:val="26"/>
  </w:num>
  <w:num w:numId="33">
    <w:abstractNumId w:val="10"/>
  </w:num>
  <w:num w:numId="34">
    <w:abstractNumId w:val="16"/>
  </w:num>
  <w:num w:numId="35">
    <w:abstractNumId w:val="28"/>
  </w:num>
  <w:num w:numId="36">
    <w:abstractNumId w:val="11"/>
  </w:num>
  <w:num w:numId="37">
    <w:abstractNumId w:val="18"/>
  </w:num>
  <w:num w:numId="38">
    <w:abstractNumId w:val="2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5C"/>
    <w:rsid w:val="00004C89"/>
    <w:rsid w:val="000053F8"/>
    <w:rsid w:val="00010E88"/>
    <w:rsid w:val="00010FE2"/>
    <w:rsid w:val="00011273"/>
    <w:rsid w:val="00011320"/>
    <w:rsid w:val="00012303"/>
    <w:rsid w:val="0001564F"/>
    <w:rsid w:val="000245DB"/>
    <w:rsid w:val="00024D0A"/>
    <w:rsid w:val="0002745B"/>
    <w:rsid w:val="00027A18"/>
    <w:rsid w:val="00027FCB"/>
    <w:rsid w:val="000311D6"/>
    <w:rsid w:val="0003192A"/>
    <w:rsid w:val="00035404"/>
    <w:rsid w:val="000373EE"/>
    <w:rsid w:val="00042E54"/>
    <w:rsid w:val="00043AA2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2AE4"/>
    <w:rsid w:val="000A01B0"/>
    <w:rsid w:val="000A19A3"/>
    <w:rsid w:val="000A2698"/>
    <w:rsid w:val="000A4FEE"/>
    <w:rsid w:val="000A5B01"/>
    <w:rsid w:val="000B5939"/>
    <w:rsid w:val="000C2B7B"/>
    <w:rsid w:val="000C3267"/>
    <w:rsid w:val="000C751D"/>
    <w:rsid w:val="000D1DDA"/>
    <w:rsid w:val="000D2996"/>
    <w:rsid w:val="000E0D4A"/>
    <w:rsid w:val="000F2A39"/>
    <w:rsid w:val="00100706"/>
    <w:rsid w:val="00104C5A"/>
    <w:rsid w:val="00107EDC"/>
    <w:rsid w:val="00110085"/>
    <w:rsid w:val="00111CCE"/>
    <w:rsid w:val="001134E7"/>
    <w:rsid w:val="001546F4"/>
    <w:rsid w:val="0015655B"/>
    <w:rsid w:val="00156AF4"/>
    <w:rsid w:val="001630B3"/>
    <w:rsid w:val="0017169E"/>
    <w:rsid w:val="00172282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506B"/>
    <w:rsid w:val="001C7C0D"/>
    <w:rsid w:val="001D0FBE"/>
    <w:rsid w:val="001F2B33"/>
    <w:rsid w:val="00201EFB"/>
    <w:rsid w:val="00201FB8"/>
    <w:rsid w:val="002040A1"/>
    <w:rsid w:val="002042FC"/>
    <w:rsid w:val="0022030D"/>
    <w:rsid w:val="00232A20"/>
    <w:rsid w:val="002408EA"/>
    <w:rsid w:val="00241B61"/>
    <w:rsid w:val="00245B12"/>
    <w:rsid w:val="00261E15"/>
    <w:rsid w:val="0026635F"/>
    <w:rsid w:val="00276273"/>
    <w:rsid w:val="002819D7"/>
    <w:rsid w:val="002826F0"/>
    <w:rsid w:val="002A31EA"/>
    <w:rsid w:val="002A7C29"/>
    <w:rsid w:val="002B30C6"/>
    <w:rsid w:val="002B69F1"/>
    <w:rsid w:val="002C06F1"/>
    <w:rsid w:val="002C1A7E"/>
    <w:rsid w:val="002C2CA8"/>
    <w:rsid w:val="002C5F59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50F6F"/>
    <w:rsid w:val="00352F88"/>
    <w:rsid w:val="0035406C"/>
    <w:rsid w:val="00355DA8"/>
    <w:rsid w:val="003600E7"/>
    <w:rsid w:val="0036071C"/>
    <w:rsid w:val="0036097D"/>
    <w:rsid w:val="00362E7E"/>
    <w:rsid w:val="003648C5"/>
    <w:rsid w:val="003667A5"/>
    <w:rsid w:val="00366E8E"/>
    <w:rsid w:val="003722FA"/>
    <w:rsid w:val="00373F1E"/>
    <w:rsid w:val="00384D2A"/>
    <w:rsid w:val="00391208"/>
    <w:rsid w:val="00391CCC"/>
    <w:rsid w:val="0039208F"/>
    <w:rsid w:val="0039354B"/>
    <w:rsid w:val="003C3A79"/>
    <w:rsid w:val="003C7AAF"/>
    <w:rsid w:val="003D61BE"/>
    <w:rsid w:val="003D6D57"/>
    <w:rsid w:val="003E1C96"/>
    <w:rsid w:val="003E38A5"/>
    <w:rsid w:val="00401C8A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4024"/>
    <w:rsid w:val="0044093B"/>
    <w:rsid w:val="00443C7B"/>
    <w:rsid w:val="00445389"/>
    <w:rsid w:val="00446BEE"/>
    <w:rsid w:val="00450284"/>
    <w:rsid w:val="00451ACF"/>
    <w:rsid w:val="00454E37"/>
    <w:rsid w:val="0045724B"/>
    <w:rsid w:val="004626EE"/>
    <w:rsid w:val="0047074B"/>
    <w:rsid w:val="00470B59"/>
    <w:rsid w:val="0047350D"/>
    <w:rsid w:val="004834D6"/>
    <w:rsid w:val="004838C9"/>
    <w:rsid w:val="004963BB"/>
    <w:rsid w:val="00496A45"/>
    <w:rsid w:val="004A5183"/>
    <w:rsid w:val="004A7B2D"/>
    <w:rsid w:val="004B22C8"/>
    <w:rsid w:val="004C4C2D"/>
    <w:rsid w:val="004C6A5C"/>
    <w:rsid w:val="004D0D69"/>
    <w:rsid w:val="004D2326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B07"/>
    <w:rsid w:val="00512DA2"/>
    <w:rsid w:val="00515295"/>
    <w:rsid w:val="005224A9"/>
    <w:rsid w:val="005309E5"/>
    <w:rsid w:val="005312F6"/>
    <w:rsid w:val="005444CE"/>
    <w:rsid w:val="00551A8A"/>
    <w:rsid w:val="00554F77"/>
    <w:rsid w:val="00556D18"/>
    <w:rsid w:val="005652AD"/>
    <w:rsid w:val="00570384"/>
    <w:rsid w:val="00575003"/>
    <w:rsid w:val="00576B75"/>
    <w:rsid w:val="0058465D"/>
    <w:rsid w:val="0059615A"/>
    <w:rsid w:val="005A09DB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572D"/>
    <w:rsid w:val="00610F28"/>
    <w:rsid w:val="006203A9"/>
    <w:rsid w:val="006241CC"/>
    <w:rsid w:val="00631D73"/>
    <w:rsid w:val="00633DB7"/>
    <w:rsid w:val="00640BC8"/>
    <w:rsid w:val="0065486D"/>
    <w:rsid w:val="006628FD"/>
    <w:rsid w:val="00662ABE"/>
    <w:rsid w:val="00674B80"/>
    <w:rsid w:val="006756F4"/>
    <w:rsid w:val="00677315"/>
    <w:rsid w:val="00683309"/>
    <w:rsid w:val="006839FB"/>
    <w:rsid w:val="00687C11"/>
    <w:rsid w:val="006921E1"/>
    <w:rsid w:val="00692255"/>
    <w:rsid w:val="00694765"/>
    <w:rsid w:val="00697B97"/>
    <w:rsid w:val="006A43D7"/>
    <w:rsid w:val="006B25F1"/>
    <w:rsid w:val="006B668C"/>
    <w:rsid w:val="006B7D26"/>
    <w:rsid w:val="006C4C54"/>
    <w:rsid w:val="006D1179"/>
    <w:rsid w:val="006D316E"/>
    <w:rsid w:val="006D43D7"/>
    <w:rsid w:val="006D71D4"/>
    <w:rsid w:val="006E3BEB"/>
    <w:rsid w:val="006F4B25"/>
    <w:rsid w:val="00704765"/>
    <w:rsid w:val="0070521F"/>
    <w:rsid w:val="00707ABC"/>
    <w:rsid w:val="00711FED"/>
    <w:rsid w:val="00720A6A"/>
    <w:rsid w:val="00723404"/>
    <w:rsid w:val="007249BB"/>
    <w:rsid w:val="00725022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3338"/>
    <w:rsid w:val="00794AAC"/>
    <w:rsid w:val="00794DA0"/>
    <w:rsid w:val="00795EE9"/>
    <w:rsid w:val="007A17B3"/>
    <w:rsid w:val="007A7DFB"/>
    <w:rsid w:val="007B0F36"/>
    <w:rsid w:val="007B5B4D"/>
    <w:rsid w:val="007B5CC6"/>
    <w:rsid w:val="007C6EDB"/>
    <w:rsid w:val="007E5A42"/>
    <w:rsid w:val="007E7021"/>
    <w:rsid w:val="007F5B50"/>
    <w:rsid w:val="007F7022"/>
    <w:rsid w:val="007F7863"/>
    <w:rsid w:val="00801B8E"/>
    <w:rsid w:val="00804009"/>
    <w:rsid w:val="008216E2"/>
    <w:rsid w:val="00823422"/>
    <w:rsid w:val="00825E9B"/>
    <w:rsid w:val="00826160"/>
    <w:rsid w:val="008355CB"/>
    <w:rsid w:val="0083657D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A50EC"/>
    <w:rsid w:val="008C1650"/>
    <w:rsid w:val="008D36D5"/>
    <w:rsid w:val="008E09B9"/>
    <w:rsid w:val="008F5E30"/>
    <w:rsid w:val="009018F5"/>
    <w:rsid w:val="009027D5"/>
    <w:rsid w:val="00914D7F"/>
    <w:rsid w:val="0091747A"/>
    <w:rsid w:val="00922271"/>
    <w:rsid w:val="00926564"/>
    <w:rsid w:val="00926B7A"/>
    <w:rsid w:val="00933BF9"/>
    <w:rsid w:val="00937A0D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682"/>
    <w:rsid w:val="009D28EE"/>
    <w:rsid w:val="009D3369"/>
    <w:rsid w:val="009D400A"/>
    <w:rsid w:val="009D717F"/>
    <w:rsid w:val="009D748C"/>
    <w:rsid w:val="009E680B"/>
    <w:rsid w:val="009F0C5C"/>
    <w:rsid w:val="009F1B55"/>
    <w:rsid w:val="009F2995"/>
    <w:rsid w:val="00A0108A"/>
    <w:rsid w:val="00A053BA"/>
    <w:rsid w:val="00A064FB"/>
    <w:rsid w:val="00A07CED"/>
    <w:rsid w:val="00A132A2"/>
    <w:rsid w:val="00A132E3"/>
    <w:rsid w:val="00A134B1"/>
    <w:rsid w:val="00A15A1F"/>
    <w:rsid w:val="00A15BBD"/>
    <w:rsid w:val="00A273A6"/>
    <w:rsid w:val="00A3325A"/>
    <w:rsid w:val="00A35313"/>
    <w:rsid w:val="00A36A8D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A2C"/>
    <w:rsid w:val="00AB2242"/>
    <w:rsid w:val="00AC39B9"/>
    <w:rsid w:val="00AC40E7"/>
    <w:rsid w:val="00AC42E0"/>
    <w:rsid w:val="00AD2B6F"/>
    <w:rsid w:val="00AD4960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B01D8F"/>
    <w:rsid w:val="00B02E55"/>
    <w:rsid w:val="00B036C1"/>
    <w:rsid w:val="00B15469"/>
    <w:rsid w:val="00B17B0B"/>
    <w:rsid w:val="00B22F24"/>
    <w:rsid w:val="00B236FF"/>
    <w:rsid w:val="00B2706C"/>
    <w:rsid w:val="00B4245E"/>
    <w:rsid w:val="00B5431F"/>
    <w:rsid w:val="00B54674"/>
    <w:rsid w:val="00B54C74"/>
    <w:rsid w:val="00B55000"/>
    <w:rsid w:val="00B5550A"/>
    <w:rsid w:val="00B6011C"/>
    <w:rsid w:val="00B60E4E"/>
    <w:rsid w:val="00B61BE4"/>
    <w:rsid w:val="00B7049E"/>
    <w:rsid w:val="00B77578"/>
    <w:rsid w:val="00B82792"/>
    <w:rsid w:val="00B940DC"/>
    <w:rsid w:val="00B968B4"/>
    <w:rsid w:val="00BA02F9"/>
    <w:rsid w:val="00BA0F05"/>
    <w:rsid w:val="00BA2026"/>
    <w:rsid w:val="00BB4B36"/>
    <w:rsid w:val="00BC05E2"/>
    <w:rsid w:val="00BC4FA5"/>
    <w:rsid w:val="00BC6478"/>
    <w:rsid w:val="00BD08A8"/>
    <w:rsid w:val="00BE0F18"/>
    <w:rsid w:val="00BE4E9D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E49C1"/>
    <w:rsid w:val="00CF58B7"/>
    <w:rsid w:val="00D00C6A"/>
    <w:rsid w:val="00D035AB"/>
    <w:rsid w:val="00D03BAC"/>
    <w:rsid w:val="00D05D63"/>
    <w:rsid w:val="00D062D6"/>
    <w:rsid w:val="00D10A48"/>
    <w:rsid w:val="00D1189B"/>
    <w:rsid w:val="00D15E0F"/>
    <w:rsid w:val="00D16170"/>
    <w:rsid w:val="00D17456"/>
    <w:rsid w:val="00D219AA"/>
    <w:rsid w:val="00D23D74"/>
    <w:rsid w:val="00D263CE"/>
    <w:rsid w:val="00D306D5"/>
    <w:rsid w:val="00D323B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6A6"/>
    <w:rsid w:val="00D65433"/>
    <w:rsid w:val="00D70963"/>
    <w:rsid w:val="00D81F38"/>
    <w:rsid w:val="00D81F78"/>
    <w:rsid w:val="00D86BF0"/>
    <w:rsid w:val="00D8732A"/>
    <w:rsid w:val="00D94AAE"/>
    <w:rsid w:val="00D9591A"/>
    <w:rsid w:val="00DA5875"/>
    <w:rsid w:val="00DA7D68"/>
    <w:rsid w:val="00DB0256"/>
    <w:rsid w:val="00DC007C"/>
    <w:rsid w:val="00DC047A"/>
    <w:rsid w:val="00DC06BC"/>
    <w:rsid w:val="00DC28B0"/>
    <w:rsid w:val="00DD6008"/>
    <w:rsid w:val="00DE1024"/>
    <w:rsid w:val="00DE4457"/>
    <w:rsid w:val="00DF7DE7"/>
    <w:rsid w:val="00E02ADB"/>
    <w:rsid w:val="00E05591"/>
    <w:rsid w:val="00E06D6C"/>
    <w:rsid w:val="00E131B5"/>
    <w:rsid w:val="00E202F5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75F00"/>
    <w:rsid w:val="00E83609"/>
    <w:rsid w:val="00E84C88"/>
    <w:rsid w:val="00E86111"/>
    <w:rsid w:val="00EA7F52"/>
    <w:rsid w:val="00EC142C"/>
    <w:rsid w:val="00EC2405"/>
    <w:rsid w:val="00EC3275"/>
    <w:rsid w:val="00EC6C08"/>
    <w:rsid w:val="00ED3673"/>
    <w:rsid w:val="00EE4BF3"/>
    <w:rsid w:val="00EE50CE"/>
    <w:rsid w:val="00EE5238"/>
    <w:rsid w:val="00EF0440"/>
    <w:rsid w:val="00F025CE"/>
    <w:rsid w:val="00F050A1"/>
    <w:rsid w:val="00F055F1"/>
    <w:rsid w:val="00F07B2C"/>
    <w:rsid w:val="00F1141C"/>
    <w:rsid w:val="00F13F5B"/>
    <w:rsid w:val="00F35DD0"/>
    <w:rsid w:val="00F362B0"/>
    <w:rsid w:val="00F472B7"/>
    <w:rsid w:val="00F520F6"/>
    <w:rsid w:val="00F546AA"/>
    <w:rsid w:val="00F553DE"/>
    <w:rsid w:val="00F56D0B"/>
    <w:rsid w:val="00F610AF"/>
    <w:rsid w:val="00F829F3"/>
    <w:rsid w:val="00F85171"/>
    <w:rsid w:val="00F9515E"/>
    <w:rsid w:val="00FA01FB"/>
    <w:rsid w:val="00FA09FA"/>
    <w:rsid w:val="00FA152E"/>
    <w:rsid w:val="00FA2C5A"/>
    <w:rsid w:val="00FA5251"/>
    <w:rsid w:val="00FB4668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01E4D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uiPriority="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customStyle="1" w:styleId="Bulletleft2">
    <w:name w:val="Bullet left 2"/>
    <w:basedOn w:val="NICEnormal"/>
    <w:rsid w:val="00AC42E0"/>
    <w:pPr>
      <w:numPr>
        <w:ilvl w:val="1"/>
        <w:numId w:val="36"/>
      </w:numPr>
      <w:spacing w:after="0"/>
      <w:ind w:left="568" w:hanging="284"/>
    </w:pPr>
    <w:rPr>
      <w:lang w:val="en-GB"/>
    </w:rPr>
  </w:style>
  <w:style w:type="paragraph" w:customStyle="1" w:styleId="Bulletleft1last">
    <w:name w:val="Bullet left 1 last"/>
    <w:basedOn w:val="NICEnormal"/>
    <w:rsid w:val="00795EE9"/>
    <w:pPr>
      <w:numPr>
        <w:numId w:val="37"/>
      </w:numPr>
    </w:pPr>
    <w:rPr>
      <w:rFonts w:cs="Arial"/>
    </w:rPr>
  </w:style>
  <w:style w:type="paragraph" w:styleId="ListParagraph">
    <w:name w:val="List Paragraph"/>
    <w:basedOn w:val="Normal"/>
    <w:uiPriority w:val="34"/>
    <w:semiHidden/>
    <w:qFormat/>
    <w:rsid w:val="00F5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2020-10-26T17:23:00Z</dcterms:created>
  <dcterms:modified xsi:type="dcterms:W3CDTF">2021-08-26T15:06:00Z</dcterms:modified>
</cp:coreProperties>
</file>