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E8F6" w14:textId="0D08A2B7" w:rsidR="000E61C8" w:rsidRDefault="000E61C8" w:rsidP="000E61C8">
      <w:pPr>
        <w:pStyle w:val="Title"/>
      </w:pPr>
      <w:r>
        <w:t>Indicator development programme</w:t>
      </w:r>
    </w:p>
    <w:p w14:paraId="737BF173" w14:textId="707A6668" w:rsidR="00594C3A" w:rsidRDefault="000E61C8" w:rsidP="000E61C8">
      <w:pPr>
        <w:pStyle w:val="Title"/>
      </w:pPr>
      <w:r>
        <w:t xml:space="preserve">New </w:t>
      </w:r>
      <w:r w:rsidR="008953B3">
        <w:t xml:space="preserve">and retired </w:t>
      </w:r>
      <w:r>
        <w:t xml:space="preserve">NICE indicators </w:t>
      </w:r>
      <w:r w:rsidR="009F7273">
        <w:t>October </w:t>
      </w:r>
      <w:r>
        <w:t>202</w:t>
      </w:r>
      <w:r w:rsidR="00404657">
        <w:t>3</w:t>
      </w:r>
    </w:p>
    <w:p w14:paraId="0CDB96BF" w14:textId="66E4C241" w:rsidR="000E61C8" w:rsidRDefault="000E61C8" w:rsidP="000E61C8">
      <w:pPr>
        <w:pStyle w:val="Paragraph"/>
        <w:rPr>
          <w:lang w:eastAsia="en-GB"/>
        </w:rPr>
      </w:pPr>
      <w:r>
        <w:rPr>
          <w:lang w:eastAsia="en-GB"/>
        </w:rPr>
        <w:t>This paper provides the latest set of new indicators NICE has published on the NICE indicator menu (</w:t>
      </w:r>
      <w:hyperlink w:anchor="_Table_1:_New" w:history="1">
        <w:r w:rsidRPr="000E61C8">
          <w:rPr>
            <w:rStyle w:val="Hyperlink"/>
            <w:lang w:eastAsia="en-GB"/>
          </w:rPr>
          <w:t>table 1</w:t>
        </w:r>
      </w:hyperlink>
      <w:r>
        <w:rPr>
          <w:lang w:eastAsia="en-GB"/>
        </w:rPr>
        <w:t xml:space="preserve">). </w:t>
      </w:r>
      <w:r w:rsidR="008953B3">
        <w:rPr>
          <w:lang w:eastAsia="en-GB"/>
        </w:rPr>
        <w:t xml:space="preserve">New register indicators align to current QOF registers are being included for completeness. </w:t>
      </w:r>
      <w:r w:rsidR="002A20FE">
        <w:rPr>
          <w:lang w:eastAsia="en-GB"/>
        </w:rPr>
        <w:t xml:space="preserve">Retired indicators are included in </w:t>
      </w:r>
      <w:hyperlink w:anchor="_Table_2:_Retired" w:history="1">
        <w:r w:rsidR="002A20FE" w:rsidRPr="002A20FE">
          <w:rPr>
            <w:rStyle w:val="Hyperlink"/>
            <w:lang w:eastAsia="en-GB"/>
          </w:rPr>
          <w:t>table 2</w:t>
        </w:r>
      </w:hyperlink>
      <w:r w:rsidR="002A20FE">
        <w:rPr>
          <w:lang w:eastAsia="en-GB"/>
        </w:rPr>
        <w:t xml:space="preserve">. </w:t>
      </w:r>
    </w:p>
    <w:p w14:paraId="5F32D9DA" w14:textId="77777777" w:rsidR="000E61C8" w:rsidRDefault="000E61C8" w:rsidP="000E61C8">
      <w:pPr>
        <w:pStyle w:val="Paragraph"/>
        <w:rPr>
          <w:lang w:eastAsia="en-GB"/>
        </w:rPr>
      </w:pPr>
      <w:r>
        <w:rPr>
          <w:lang w:eastAsia="en-GB"/>
        </w:rPr>
        <w:t>NICE indicators may be assessed as suitable for inclusion in the Quality and Outcomes Framework (QOF). In England, the content of QOF is determined through contract negotiations between NHS England and the BMA’s General Practitioners Committee (GPC). NICE and the NICE indicator advisory committee have no role in these negotiations.</w:t>
      </w:r>
    </w:p>
    <w:p w14:paraId="3CDC7070" w14:textId="08D14DAA" w:rsidR="000E61C8" w:rsidRDefault="000E61C8" w:rsidP="000E61C8">
      <w:pPr>
        <w:pStyle w:val="Paragraph"/>
        <w:rPr>
          <w:lang w:eastAsia="en-GB"/>
        </w:rPr>
      </w:pPr>
      <w:r>
        <w:rPr>
          <w:lang w:eastAsia="en-GB"/>
        </w:rPr>
        <w:t xml:space="preserve">Indicators that are suitable for inclusion in the QOF are marked as ‘suitable for </w:t>
      </w:r>
      <w:r w:rsidR="001A0B9C">
        <w:rPr>
          <w:lang w:eastAsia="en-GB"/>
        </w:rPr>
        <w:t>use</w:t>
      </w:r>
      <w:r>
        <w:rPr>
          <w:lang w:eastAsia="en-GB"/>
        </w:rPr>
        <w:t xml:space="preserve"> in the QOF’. </w:t>
      </w:r>
    </w:p>
    <w:p w14:paraId="12FA7D15" w14:textId="18A8CE73" w:rsidR="000E61C8" w:rsidRDefault="000E61C8" w:rsidP="000E61C8">
      <w:pPr>
        <w:pStyle w:val="Paragraph"/>
        <w:rPr>
          <w:lang w:eastAsia="en-GB"/>
        </w:rPr>
      </w:pPr>
      <w:r>
        <w:rPr>
          <w:lang w:eastAsia="en-GB"/>
        </w:rPr>
        <w:t xml:space="preserve">The full NICE indicator menu and the associated supporting documentation are available on the </w:t>
      </w:r>
      <w:hyperlink r:id="rId8" w:history="1">
        <w:r w:rsidRPr="000E61C8">
          <w:rPr>
            <w:rStyle w:val="Hyperlink"/>
            <w:lang w:eastAsia="en-GB"/>
          </w:rPr>
          <w:t>NICE website</w:t>
        </w:r>
      </w:hyperlink>
      <w:r>
        <w:rPr>
          <w:lang w:eastAsia="en-GB"/>
        </w:rPr>
        <w:t>.</w:t>
      </w:r>
    </w:p>
    <w:p w14:paraId="2ACDA32C" w14:textId="1BBCF4C0" w:rsidR="000E61C8" w:rsidRDefault="000E61C8">
      <w:pPr>
        <w:rPr>
          <w:rFonts w:ascii="Arial" w:hAnsi="Arial"/>
        </w:rPr>
      </w:pPr>
      <w:bookmarkStart w:id="0" w:name="_Table_1:_New"/>
      <w:bookmarkEnd w:id="0"/>
      <w:r>
        <w:br w:type="page"/>
      </w:r>
    </w:p>
    <w:p w14:paraId="489EA2FE" w14:textId="77777777" w:rsidR="000E61C8" w:rsidRDefault="000E61C8" w:rsidP="000E61C8">
      <w:pPr>
        <w:pStyle w:val="Heading1"/>
        <w:sectPr w:rsidR="000E61C8" w:rsidSect="000E61C8">
          <w:footerReference w:type="default" r:id="rId9"/>
          <w:headerReference w:type="first" r:id="rId10"/>
          <w:footerReference w:type="first" r:id="rId11"/>
          <w:pgSz w:w="11906" w:h="16838" w:code="9"/>
          <w:pgMar w:top="1440" w:right="1797" w:bottom="1440" w:left="1797" w:header="709" w:footer="709" w:gutter="0"/>
          <w:cols w:space="708"/>
          <w:titlePg/>
          <w:docGrid w:linePitch="360"/>
        </w:sectPr>
      </w:pPr>
    </w:p>
    <w:p w14:paraId="3B062A57" w14:textId="63B4833C" w:rsidR="000E61C8" w:rsidRDefault="000E61C8" w:rsidP="000E61C8">
      <w:pPr>
        <w:pStyle w:val="Heading1"/>
      </w:pPr>
      <w:r w:rsidRPr="000E61C8">
        <w:lastRenderedPageBreak/>
        <w:t>Table 1: New indicators added to the NICE indicator menu</w:t>
      </w:r>
    </w:p>
    <w:tbl>
      <w:tblPr>
        <w:tblStyle w:val="TableGrid6"/>
        <w:tblW w:w="13892" w:type="dxa"/>
        <w:tblInd w:w="-5" w:type="dxa"/>
        <w:tblLook w:val="04A0" w:firstRow="1" w:lastRow="0" w:firstColumn="1" w:lastColumn="0" w:noHBand="0" w:noVBand="1"/>
      </w:tblPr>
      <w:tblGrid>
        <w:gridCol w:w="993"/>
        <w:gridCol w:w="1984"/>
        <w:gridCol w:w="3936"/>
        <w:gridCol w:w="6979"/>
      </w:tblGrid>
      <w:tr w:rsidR="009F7273" w:rsidRPr="009F7273" w14:paraId="6BB432E4" w14:textId="77777777" w:rsidTr="00333257">
        <w:trPr>
          <w:cantSplit/>
          <w:tblHeader/>
        </w:trPr>
        <w:tc>
          <w:tcPr>
            <w:tcW w:w="993" w:type="dxa"/>
            <w:shd w:val="clear" w:color="auto" w:fill="auto"/>
            <w:vAlign w:val="center"/>
          </w:tcPr>
          <w:p w14:paraId="48859A65" w14:textId="77777777" w:rsidR="009F7273" w:rsidRPr="009F7273" w:rsidRDefault="009F7273" w:rsidP="009F7273">
            <w:pPr>
              <w:spacing w:before="120" w:after="120"/>
              <w:rPr>
                <w:rFonts w:ascii="Arial" w:hAnsi="Arial" w:cs="Arial"/>
                <w:b/>
                <w:bCs/>
                <w:sz w:val="20"/>
                <w:szCs w:val="20"/>
              </w:rPr>
            </w:pPr>
            <w:bookmarkStart w:id="1" w:name="_Hlk110261986"/>
            <w:r w:rsidRPr="009F7273">
              <w:rPr>
                <w:rFonts w:ascii="Arial" w:hAnsi="Arial" w:cs="Arial"/>
                <w:b/>
                <w:bCs/>
                <w:sz w:val="20"/>
                <w:szCs w:val="20"/>
              </w:rPr>
              <w:t>NICE ID</w:t>
            </w:r>
          </w:p>
        </w:tc>
        <w:tc>
          <w:tcPr>
            <w:tcW w:w="1984" w:type="dxa"/>
            <w:shd w:val="clear" w:color="auto" w:fill="auto"/>
            <w:vAlign w:val="center"/>
          </w:tcPr>
          <w:p w14:paraId="4880FFC4" w14:textId="77777777" w:rsidR="009F7273" w:rsidRPr="009F7273" w:rsidRDefault="009F7273" w:rsidP="009F7273">
            <w:pPr>
              <w:spacing w:before="120" w:after="120"/>
              <w:rPr>
                <w:rFonts w:ascii="Arial" w:hAnsi="Arial" w:cs="Arial"/>
                <w:b/>
                <w:bCs/>
                <w:sz w:val="20"/>
                <w:szCs w:val="20"/>
              </w:rPr>
            </w:pPr>
            <w:r w:rsidRPr="009F7273">
              <w:rPr>
                <w:rFonts w:ascii="Arial" w:hAnsi="Arial" w:cs="Arial"/>
                <w:b/>
                <w:bCs/>
                <w:sz w:val="20"/>
                <w:szCs w:val="20"/>
              </w:rPr>
              <w:t>Indicator type</w:t>
            </w:r>
          </w:p>
        </w:tc>
        <w:tc>
          <w:tcPr>
            <w:tcW w:w="3936" w:type="dxa"/>
            <w:shd w:val="clear" w:color="auto" w:fill="auto"/>
            <w:vAlign w:val="center"/>
          </w:tcPr>
          <w:p w14:paraId="17E0CB56" w14:textId="77777777" w:rsidR="009F7273" w:rsidRPr="009F7273" w:rsidRDefault="009F7273" w:rsidP="009F7273">
            <w:pPr>
              <w:spacing w:before="120" w:after="120"/>
              <w:rPr>
                <w:rFonts w:ascii="Arial" w:hAnsi="Arial" w:cs="Arial"/>
                <w:b/>
                <w:bCs/>
                <w:sz w:val="20"/>
                <w:szCs w:val="20"/>
              </w:rPr>
            </w:pPr>
            <w:r w:rsidRPr="009F7273">
              <w:rPr>
                <w:rFonts w:ascii="Arial" w:hAnsi="Arial" w:cs="Arial"/>
                <w:b/>
                <w:bCs/>
                <w:sz w:val="20"/>
                <w:szCs w:val="20"/>
              </w:rPr>
              <w:t xml:space="preserve">Indicator wording </w:t>
            </w:r>
          </w:p>
        </w:tc>
        <w:tc>
          <w:tcPr>
            <w:tcW w:w="6979" w:type="dxa"/>
            <w:shd w:val="clear" w:color="auto" w:fill="auto"/>
            <w:vAlign w:val="center"/>
          </w:tcPr>
          <w:p w14:paraId="25E56082" w14:textId="77777777" w:rsidR="009F7273" w:rsidRPr="009F7273" w:rsidRDefault="009F7273" w:rsidP="009F7273">
            <w:pPr>
              <w:spacing w:before="120" w:after="120"/>
              <w:rPr>
                <w:rFonts w:ascii="Arial" w:hAnsi="Arial" w:cs="Arial"/>
                <w:b/>
                <w:bCs/>
                <w:sz w:val="20"/>
                <w:szCs w:val="20"/>
              </w:rPr>
            </w:pPr>
            <w:r w:rsidRPr="009F7273">
              <w:rPr>
                <w:rFonts w:ascii="Arial" w:hAnsi="Arial" w:cs="Arial"/>
                <w:b/>
                <w:bCs/>
                <w:color w:val="000000"/>
                <w:sz w:val="20"/>
                <w:szCs w:val="20"/>
              </w:rPr>
              <w:t>Evidence base, rationale and specific</w:t>
            </w:r>
            <w:r w:rsidRPr="009F7273">
              <w:rPr>
                <w:rFonts w:ascii="Arial" w:hAnsi="Arial" w:cs="Arial"/>
                <w:b/>
                <w:bCs/>
                <w:i/>
                <w:iCs/>
                <w:color w:val="000000"/>
                <w:sz w:val="20"/>
                <w:szCs w:val="20"/>
              </w:rPr>
              <w:t xml:space="preserve"> </w:t>
            </w:r>
            <w:r w:rsidRPr="009F7273">
              <w:rPr>
                <w:rFonts w:ascii="Arial" w:hAnsi="Arial" w:cs="Arial"/>
                <w:b/>
                <w:bCs/>
                <w:color w:val="000000"/>
                <w:sz w:val="20"/>
                <w:szCs w:val="20"/>
              </w:rPr>
              <w:t>committee</w:t>
            </w:r>
            <w:r w:rsidRPr="009F7273">
              <w:rPr>
                <w:rFonts w:ascii="Arial" w:hAnsi="Arial" w:cs="Arial"/>
                <w:b/>
                <w:bCs/>
                <w:i/>
                <w:iCs/>
                <w:color w:val="000000"/>
                <w:sz w:val="20"/>
                <w:szCs w:val="20"/>
              </w:rPr>
              <w:t xml:space="preserve"> </w:t>
            </w:r>
            <w:r w:rsidRPr="009F7273">
              <w:rPr>
                <w:rFonts w:ascii="Arial" w:hAnsi="Arial" w:cs="Arial"/>
                <w:b/>
                <w:bCs/>
                <w:color w:val="000000"/>
                <w:sz w:val="20"/>
                <w:szCs w:val="20"/>
              </w:rPr>
              <w:t>considerations</w:t>
            </w:r>
          </w:p>
        </w:tc>
      </w:tr>
      <w:tr w:rsidR="009F7273" w:rsidRPr="009F7273" w14:paraId="51F26A00" w14:textId="77777777" w:rsidTr="00333257">
        <w:trPr>
          <w:cantSplit/>
        </w:trPr>
        <w:tc>
          <w:tcPr>
            <w:tcW w:w="993" w:type="dxa"/>
            <w:vAlign w:val="center"/>
          </w:tcPr>
          <w:p w14:paraId="7B114298"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NM249</w:t>
            </w:r>
          </w:p>
        </w:tc>
        <w:tc>
          <w:tcPr>
            <w:tcW w:w="1984" w:type="dxa"/>
            <w:vAlign w:val="center"/>
          </w:tcPr>
          <w:p w14:paraId="6034C577"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General practice indicator suitable for use in the QOF</w:t>
            </w:r>
          </w:p>
        </w:tc>
        <w:tc>
          <w:tcPr>
            <w:tcW w:w="3936" w:type="dxa"/>
            <w:vAlign w:val="center"/>
          </w:tcPr>
          <w:p w14:paraId="638856FF"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The percentage of patients on the learning disability register who received a learning disability health check and a had completed health action plan in the preceding 12 months.</w:t>
            </w:r>
          </w:p>
        </w:tc>
        <w:tc>
          <w:tcPr>
            <w:tcW w:w="6979" w:type="dxa"/>
            <w:vAlign w:val="center"/>
          </w:tcPr>
          <w:p w14:paraId="007E5CA4"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 xml:space="preserve">Based on NICE’s guidelines on </w:t>
            </w:r>
            <w:hyperlink r:id="rId12" w:history="1">
              <w:r w:rsidRPr="009F7273">
                <w:rPr>
                  <w:rFonts w:ascii="Arial" w:hAnsi="Arial" w:cs="Arial"/>
                  <w:color w:val="0000FF"/>
                  <w:sz w:val="20"/>
                  <w:szCs w:val="20"/>
                  <w:u w:val="single"/>
                </w:rPr>
                <w:t>care and support of people growing older with learning disabilities</w:t>
              </w:r>
            </w:hyperlink>
            <w:r w:rsidRPr="009F7273">
              <w:rPr>
                <w:rFonts w:ascii="Arial" w:hAnsi="Arial" w:cs="Arial"/>
                <w:sz w:val="20"/>
                <w:szCs w:val="20"/>
              </w:rPr>
              <w:t xml:space="preserve"> (2018) and </w:t>
            </w:r>
            <w:hyperlink r:id="rId13" w:history="1">
              <w:r w:rsidRPr="009F7273">
                <w:rPr>
                  <w:rFonts w:ascii="Arial" w:hAnsi="Arial" w:cs="Arial"/>
                  <w:color w:val="0000FF"/>
                  <w:sz w:val="20"/>
                  <w:szCs w:val="20"/>
                  <w:u w:val="single"/>
                </w:rPr>
                <w:t>challenging behaviour and learning disabilities</w:t>
              </w:r>
            </w:hyperlink>
            <w:r w:rsidRPr="009F7273">
              <w:rPr>
                <w:rFonts w:ascii="Arial" w:hAnsi="Arial" w:cs="Arial"/>
                <w:sz w:val="20"/>
                <w:szCs w:val="20"/>
              </w:rPr>
              <w:t xml:space="preserve"> (2015).</w:t>
            </w:r>
          </w:p>
          <w:p w14:paraId="0AB4B78E"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People with a learning disability often have poorer physical and mental health, with higher rates of avoidable death. An annual health check can identify health concerns at an early stage and promote actions to address identified health needs such as vaccinations, blood tests, breast and testicular screening, dental review and vision and hearing assessment. The health action plan is an integral part of the requirements around a learning disability health check. The provision of annual health checks for people 14 years and over is already part of Directed Enhanced Services for Primary Medical Services.</w:t>
            </w:r>
          </w:p>
        </w:tc>
      </w:tr>
      <w:tr w:rsidR="009F7273" w:rsidRPr="009F7273" w14:paraId="578D311D" w14:textId="77777777" w:rsidTr="00333257">
        <w:trPr>
          <w:cantSplit/>
        </w:trPr>
        <w:tc>
          <w:tcPr>
            <w:tcW w:w="993" w:type="dxa"/>
            <w:vAlign w:val="center"/>
          </w:tcPr>
          <w:p w14:paraId="5BD955CE"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lastRenderedPageBreak/>
              <w:t>NM250</w:t>
            </w:r>
          </w:p>
        </w:tc>
        <w:tc>
          <w:tcPr>
            <w:tcW w:w="1984" w:type="dxa"/>
            <w:vAlign w:val="center"/>
          </w:tcPr>
          <w:p w14:paraId="3BBDB33A"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General practice indicator suitable for use in the QOF</w:t>
            </w:r>
          </w:p>
        </w:tc>
        <w:tc>
          <w:tcPr>
            <w:tcW w:w="3936" w:type="dxa"/>
            <w:vAlign w:val="center"/>
          </w:tcPr>
          <w:p w14:paraId="7791876B"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The percentage of patients on the learning disability register who:</w:t>
            </w:r>
          </w:p>
          <w:p w14:paraId="2504FB6D" w14:textId="77777777" w:rsidR="009F7273" w:rsidRPr="009F7273" w:rsidRDefault="009F7273" w:rsidP="009F7273">
            <w:pPr>
              <w:numPr>
                <w:ilvl w:val="0"/>
                <w:numId w:val="27"/>
              </w:numPr>
              <w:spacing w:before="120" w:after="120"/>
              <w:contextualSpacing/>
              <w:rPr>
                <w:rFonts w:ascii="Arial" w:hAnsi="Arial" w:cs="Arial"/>
                <w:sz w:val="20"/>
                <w:szCs w:val="20"/>
              </w:rPr>
            </w:pPr>
            <w:r w:rsidRPr="009F7273">
              <w:rPr>
                <w:rFonts w:ascii="Arial" w:hAnsi="Arial" w:cs="Arial"/>
                <w:sz w:val="20"/>
                <w:szCs w:val="20"/>
              </w:rPr>
              <w:t>received a learning disability health check and had a completed health action plan in the preceding 12 months and</w:t>
            </w:r>
          </w:p>
          <w:p w14:paraId="4B2E3946" w14:textId="77777777" w:rsidR="009F7273" w:rsidRPr="009F7273" w:rsidRDefault="009F7273" w:rsidP="009F7273">
            <w:pPr>
              <w:numPr>
                <w:ilvl w:val="0"/>
                <w:numId w:val="27"/>
              </w:numPr>
              <w:spacing w:before="120" w:after="120"/>
              <w:contextualSpacing/>
              <w:rPr>
                <w:rFonts w:ascii="Arial" w:hAnsi="Arial" w:cs="Arial"/>
                <w:sz w:val="20"/>
                <w:szCs w:val="20"/>
              </w:rPr>
            </w:pPr>
            <w:r w:rsidRPr="009F7273">
              <w:rPr>
                <w:rFonts w:ascii="Arial" w:hAnsi="Arial" w:cs="Arial"/>
                <w:sz w:val="20"/>
                <w:szCs w:val="20"/>
              </w:rPr>
              <w:t>have a recording of ethnicity.</w:t>
            </w:r>
          </w:p>
        </w:tc>
        <w:tc>
          <w:tcPr>
            <w:tcW w:w="6979" w:type="dxa"/>
            <w:vAlign w:val="center"/>
          </w:tcPr>
          <w:p w14:paraId="47580081"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 xml:space="preserve">Based on NICE’s guidelines on </w:t>
            </w:r>
            <w:hyperlink r:id="rId14" w:history="1">
              <w:r w:rsidRPr="009F7273">
                <w:rPr>
                  <w:rFonts w:ascii="Arial" w:hAnsi="Arial" w:cs="Arial"/>
                  <w:color w:val="0000FF"/>
                  <w:sz w:val="20"/>
                  <w:szCs w:val="20"/>
                  <w:u w:val="single"/>
                </w:rPr>
                <w:t>care and support of people growing older with learning disabilities</w:t>
              </w:r>
            </w:hyperlink>
            <w:r w:rsidRPr="009F7273">
              <w:rPr>
                <w:rFonts w:ascii="Arial" w:hAnsi="Arial" w:cs="Arial"/>
                <w:sz w:val="20"/>
                <w:szCs w:val="20"/>
              </w:rPr>
              <w:t xml:space="preserve"> (2018) and </w:t>
            </w:r>
            <w:hyperlink r:id="rId15" w:history="1">
              <w:r w:rsidRPr="009F7273">
                <w:rPr>
                  <w:rFonts w:ascii="Arial" w:hAnsi="Arial" w:cs="Arial"/>
                  <w:color w:val="0000FF"/>
                  <w:sz w:val="20"/>
                  <w:szCs w:val="20"/>
                  <w:u w:val="single"/>
                </w:rPr>
                <w:t>challenging behaviour and learning disabilities</w:t>
              </w:r>
            </w:hyperlink>
            <w:r w:rsidRPr="009F7273">
              <w:rPr>
                <w:rFonts w:ascii="Arial" w:hAnsi="Arial" w:cs="Arial"/>
                <w:sz w:val="20"/>
                <w:szCs w:val="20"/>
              </w:rPr>
              <w:t xml:space="preserve"> (2015).</w:t>
            </w:r>
          </w:p>
          <w:p w14:paraId="1618390C"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People with a learning disability often have poorer physical and mental health, with higher rates of avoidable death. An annual health check can identify health concerns at an early stage and promote actions to address identified health needs such as vaccinations, blood tests, breast and testicular screening, dental review and vision and hearing assessment. The health action plan is an integral part of the requirements around a learning disability health check. The provision of annual health checks for people 14 years and over is already part of Directed Enhanced Services for Primary Medical Services.</w:t>
            </w:r>
          </w:p>
          <w:p w14:paraId="3A512F37"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This indicator also requires a recording of ethnicity: increasing levels of premature mortality are noted in people with a learning disability from a minority ethnic family background.</w:t>
            </w:r>
          </w:p>
        </w:tc>
      </w:tr>
      <w:tr w:rsidR="009F7273" w:rsidRPr="009F7273" w14:paraId="44E03C2C" w14:textId="77777777" w:rsidTr="00333257">
        <w:trPr>
          <w:cantSplit/>
        </w:trPr>
        <w:tc>
          <w:tcPr>
            <w:tcW w:w="993" w:type="dxa"/>
            <w:vAlign w:val="center"/>
          </w:tcPr>
          <w:p w14:paraId="5EA20119" w14:textId="77777777" w:rsidR="009F7273" w:rsidRPr="009F7273" w:rsidRDefault="009F7273" w:rsidP="009F7273">
            <w:pPr>
              <w:spacing w:before="120" w:after="120"/>
              <w:rPr>
                <w:rFonts w:ascii="Arial" w:hAnsi="Arial" w:cs="Arial"/>
                <w:sz w:val="20"/>
                <w:szCs w:val="20"/>
              </w:rPr>
            </w:pPr>
            <w:r w:rsidRPr="009F7273">
              <w:rPr>
                <w:rFonts w:ascii="Arial" w:hAnsi="Arial" w:cs="Arial"/>
                <w:color w:val="000000"/>
                <w:sz w:val="20"/>
                <w:szCs w:val="20"/>
              </w:rPr>
              <w:t>NM251</w:t>
            </w:r>
          </w:p>
        </w:tc>
        <w:tc>
          <w:tcPr>
            <w:tcW w:w="1984" w:type="dxa"/>
            <w:vAlign w:val="center"/>
          </w:tcPr>
          <w:p w14:paraId="0810F493"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General practice indicator suitable for use in the QOF</w:t>
            </w:r>
          </w:p>
        </w:tc>
        <w:tc>
          <w:tcPr>
            <w:tcW w:w="3936" w:type="dxa"/>
            <w:vAlign w:val="center"/>
          </w:tcPr>
          <w:p w14:paraId="0D8372BD"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The percentage of lower gastrointestinal two week wait (fast track) cancer referrals accompanied by a faecal immunochemical test (FIT) result, with the result recorded in the twenty-one days leading up to the referral.</w:t>
            </w:r>
          </w:p>
        </w:tc>
        <w:tc>
          <w:tcPr>
            <w:tcW w:w="6979" w:type="dxa"/>
            <w:vAlign w:val="center"/>
          </w:tcPr>
          <w:p w14:paraId="06D56D25"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 xml:space="preserve">Based on NICE’s guideline for </w:t>
            </w:r>
            <w:hyperlink r:id="rId16" w:history="1">
              <w:r w:rsidRPr="009F7273">
                <w:rPr>
                  <w:rFonts w:ascii="Arial" w:hAnsi="Arial" w:cs="Arial"/>
                  <w:color w:val="0000FF"/>
                  <w:sz w:val="20"/>
                  <w:szCs w:val="20"/>
                  <w:u w:val="single"/>
                </w:rPr>
                <w:t>quantitative faecal immunochemical testing to guide colorectal cancer pathway referral in primary care</w:t>
              </w:r>
            </w:hyperlink>
            <w:r w:rsidRPr="009F7273">
              <w:rPr>
                <w:rFonts w:ascii="Arial" w:hAnsi="Arial" w:cs="Arial"/>
                <w:sz w:val="20"/>
                <w:szCs w:val="20"/>
              </w:rPr>
              <w:t xml:space="preserve"> (2023) and </w:t>
            </w:r>
            <w:hyperlink r:id="rId17" w:history="1">
              <w:r w:rsidRPr="009F7273">
                <w:rPr>
                  <w:rFonts w:ascii="Arial" w:hAnsi="Arial" w:cs="Arial"/>
                  <w:color w:val="0000FF"/>
                  <w:sz w:val="20"/>
                  <w:szCs w:val="20"/>
                  <w:u w:val="single"/>
                </w:rPr>
                <w:t>suspected cancer</w:t>
              </w:r>
            </w:hyperlink>
            <w:r w:rsidRPr="009F7273">
              <w:rPr>
                <w:rFonts w:ascii="Arial" w:hAnsi="Arial" w:cs="Arial"/>
                <w:sz w:val="20"/>
                <w:szCs w:val="20"/>
              </w:rPr>
              <w:t xml:space="preserve"> (2015, updated 2023)</w:t>
            </w:r>
          </w:p>
          <w:p w14:paraId="44C8C58F"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Comprehensive use of FIT is critical to improving bowel cancer survival in England, ensuring patients on the lower GI pathway can be diagnosed promptly and that available colonoscopy capacity is used in the most effective way. The risk of colorectal cancer in those with a negative result, a normal examination and full blood count is less than 0.1%.</w:t>
            </w:r>
          </w:p>
          <w:p w14:paraId="654FE3BA"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 xml:space="preserve">The indicator matches an existing indicator currently in use as part of the </w:t>
            </w:r>
            <w:hyperlink r:id="rId18" w:history="1">
              <w:r w:rsidRPr="009F7273">
                <w:rPr>
                  <w:rFonts w:ascii="Arial" w:hAnsi="Arial" w:cs="Arial"/>
                  <w:color w:val="0000FF"/>
                  <w:sz w:val="20"/>
                  <w:szCs w:val="20"/>
                  <w:u w:val="single"/>
                </w:rPr>
                <w:t>Investment and Impact Fund 2023/24</w:t>
              </w:r>
            </w:hyperlink>
            <w:r w:rsidRPr="009F7273">
              <w:rPr>
                <w:rFonts w:ascii="Arial" w:hAnsi="Arial" w:cs="Arial"/>
                <w:sz w:val="20"/>
                <w:szCs w:val="20"/>
              </w:rPr>
              <w:t xml:space="preserve">. The timeframe of 21 days is a pragmatic window for data extraction purposes. People with anal ulceration, anal mass or rectal mass would be removed via personalised care adjustments. </w:t>
            </w:r>
          </w:p>
        </w:tc>
      </w:tr>
      <w:bookmarkEnd w:id="1"/>
    </w:tbl>
    <w:p w14:paraId="1F1B827F" w14:textId="77777777" w:rsidR="000E61C8" w:rsidRDefault="000E61C8" w:rsidP="000E61C8">
      <w:pPr>
        <w:pStyle w:val="Paragraph"/>
      </w:pPr>
    </w:p>
    <w:p w14:paraId="5F37A411" w14:textId="77777777" w:rsidR="002A20FE" w:rsidRPr="002A20FE" w:rsidRDefault="002A20FE" w:rsidP="002A20FE">
      <w:pPr>
        <w:pStyle w:val="Heading1"/>
      </w:pPr>
      <w:bookmarkStart w:id="2" w:name="_Table_2:_Retired"/>
      <w:bookmarkEnd w:id="2"/>
      <w:r w:rsidRPr="002A20FE">
        <w:lastRenderedPageBreak/>
        <w:t xml:space="preserve">Table 2: Retired NICE indicators </w:t>
      </w:r>
    </w:p>
    <w:tbl>
      <w:tblPr>
        <w:tblStyle w:val="TableGrid7"/>
        <w:tblW w:w="13892" w:type="dxa"/>
        <w:tblInd w:w="-5" w:type="dxa"/>
        <w:tblLook w:val="04A0" w:firstRow="1" w:lastRow="0" w:firstColumn="1" w:lastColumn="0" w:noHBand="0" w:noVBand="1"/>
      </w:tblPr>
      <w:tblGrid>
        <w:gridCol w:w="993"/>
        <w:gridCol w:w="1984"/>
        <w:gridCol w:w="3936"/>
        <w:gridCol w:w="6979"/>
      </w:tblGrid>
      <w:tr w:rsidR="009F7273" w:rsidRPr="009F7273" w14:paraId="26EE40D0" w14:textId="77777777" w:rsidTr="00333257">
        <w:trPr>
          <w:cantSplit/>
          <w:tblHeader/>
        </w:trPr>
        <w:tc>
          <w:tcPr>
            <w:tcW w:w="993" w:type="dxa"/>
            <w:shd w:val="clear" w:color="auto" w:fill="auto"/>
            <w:vAlign w:val="center"/>
          </w:tcPr>
          <w:p w14:paraId="0CBD7442" w14:textId="77777777" w:rsidR="009F7273" w:rsidRPr="009F7273" w:rsidRDefault="009F7273" w:rsidP="009F7273">
            <w:pPr>
              <w:spacing w:before="120" w:after="120"/>
              <w:rPr>
                <w:rFonts w:ascii="Arial" w:hAnsi="Arial" w:cs="Arial"/>
                <w:b/>
                <w:bCs/>
                <w:sz w:val="20"/>
                <w:szCs w:val="20"/>
              </w:rPr>
            </w:pPr>
            <w:r w:rsidRPr="009F7273">
              <w:rPr>
                <w:rFonts w:ascii="Arial" w:hAnsi="Arial" w:cs="Arial"/>
                <w:b/>
                <w:bCs/>
                <w:sz w:val="20"/>
                <w:szCs w:val="20"/>
              </w:rPr>
              <w:t>NICE ID</w:t>
            </w:r>
          </w:p>
        </w:tc>
        <w:tc>
          <w:tcPr>
            <w:tcW w:w="1984" w:type="dxa"/>
            <w:shd w:val="clear" w:color="auto" w:fill="auto"/>
            <w:vAlign w:val="center"/>
          </w:tcPr>
          <w:p w14:paraId="5B21B9F4" w14:textId="77777777" w:rsidR="009F7273" w:rsidRPr="009F7273" w:rsidRDefault="009F7273" w:rsidP="009F7273">
            <w:pPr>
              <w:spacing w:before="120" w:after="120"/>
              <w:rPr>
                <w:rFonts w:ascii="Arial" w:hAnsi="Arial" w:cs="Arial"/>
                <w:b/>
                <w:bCs/>
                <w:sz w:val="20"/>
                <w:szCs w:val="20"/>
              </w:rPr>
            </w:pPr>
            <w:r w:rsidRPr="009F7273">
              <w:rPr>
                <w:rFonts w:ascii="Arial" w:hAnsi="Arial" w:cs="Arial"/>
                <w:b/>
                <w:bCs/>
                <w:sz w:val="20"/>
                <w:szCs w:val="20"/>
              </w:rPr>
              <w:t>Indicator type</w:t>
            </w:r>
          </w:p>
        </w:tc>
        <w:tc>
          <w:tcPr>
            <w:tcW w:w="3936" w:type="dxa"/>
            <w:shd w:val="clear" w:color="auto" w:fill="auto"/>
            <w:vAlign w:val="center"/>
          </w:tcPr>
          <w:p w14:paraId="37E7A566" w14:textId="77777777" w:rsidR="009F7273" w:rsidRPr="009F7273" w:rsidRDefault="009F7273" w:rsidP="009F7273">
            <w:pPr>
              <w:spacing w:before="120" w:after="120"/>
              <w:rPr>
                <w:rFonts w:ascii="Arial" w:hAnsi="Arial" w:cs="Arial"/>
                <w:b/>
                <w:bCs/>
                <w:sz w:val="20"/>
                <w:szCs w:val="20"/>
              </w:rPr>
            </w:pPr>
            <w:r w:rsidRPr="009F7273">
              <w:rPr>
                <w:rFonts w:ascii="Arial" w:hAnsi="Arial" w:cs="Arial"/>
                <w:b/>
                <w:bCs/>
                <w:sz w:val="20"/>
                <w:szCs w:val="20"/>
              </w:rPr>
              <w:t xml:space="preserve">Indicator wording </w:t>
            </w:r>
          </w:p>
        </w:tc>
        <w:tc>
          <w:tcPr>
            <w:tcW w:w="6979" w:type="dxa"/>
            <w:shd w:val="clear" w:color="auto" w:fill="auto"/>
            <w:vAlign w:val="center"/>
          </w:tcPr>
          <w:p w14:paraId="4CC11923" w14:textId="77777777" w:rsidR="009F7273" w:rsidRPr="009F7273" w:rsidRDefault="009F7273" w:rsidP="009F7273">
            <w:pPr>
              <w:spacing w:before="120" w:after="120"/>
              <w:rPr>
                <w:rFonts w:ascii="Arial" w:hAnsi="Arial" w:cs="Arial"/>
                <w:b/>
                <w:bCs/>
                <w:sz w:val="20"/>
                <w:szCs w:val="20"/>
              </w:rPr>
            </w:pPr>
            <w:r w:rsidRPr="009F7273">
              <w:rPr>
                <w:rFonts w:ascii="Arial" w:hAnsi="Arial" w:cs="Arial"/>
                <w:b/>
                <w:bCs/>
                <w:color w:val="000000"/>
                <w:sz w:val="20"/>
                <w:szCs w:val="20"/>
              </w:rPr>
              <w:t>Rationale</w:t>
            </w:r>
          </w:p>
        </w:tc>
      </w:tr>
      <w:tr w:rsidR="009F7273" w:rsidRPr="009F7273" w14:paraId="047D946D" w14:textId="77777777" w:rsidTr="00333257">
        <w:trPr>
          <w:cantSplit/>
        </w:trPr>
        <w:tc>
          <w:tcPr>
            <w:tcW w:w="993" w:type="dxa"/>
            <w:vAlign w:val="center"/>
          </w:tcPr>
          <w:p w14:paraId="1D393106"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CCG10</w:t>
            </w:r>
          </w:p>
        </w:tc>
        <w:tc>
          <w:tcPr>
            <w:tcW w:w="1984" w:type="dxa"/>
            <w:vAlign w:val="center"/>
          </w:tcPr>
          <w:p w14:paraId="361A7544"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 xml:space="preserve">Commissioning level indicator </w:t>
            </w:r>
          </w:p>
        </w:tc>
        <w:tc>
          <w:tcPr>
            <w:tcW w:w="3936" w:type="dxa"/>
            <w:vAlign w:val="center"/>
          </w:tcPr>
          <w:p w14:paraId="3011937C"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The proportion of people admitted for coronary heart disease referred for cardiac rehabilitation within 5 days of admission</w:t>
            </w:r>
          </w:p>
        </w:tc>
        <w:tc>
          <w:tcPr>
            <w:tcW w:w="6979" w:type="dxa"/>
            <w:vAlign w:val="center"/>
          </w:tcPr>
          <w:p w14:paraId="2D53D776"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Published on NICE menu in 2013 and originally included in the CCGOIS (Indicator 1.24). Data on referral within 5 days is no longer included in the Cardiac Rehabilitation Audit (the stated data source).</w:t>
            </w:r>
          </w:p>
        </w:tc>
      </w:tr>
      <w:tr w:rsidR="009F7273" w:rsidRPr="009F7273" w14:paraId="526E1EA8" w14:textId="77777777" w:rsidTr="00333257">
        <w:trPr>
          <w:cantSplit/>
        </w:trPr>
        <w:tc>
          <w:tcPr>
            <w:tcW w:w="993" w:type="dxa"/>
            <w:vAlign w:val="center"/>
          </w:tcPr>
          <w:p w14:paraId="60B3C2CE"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CCG46</w:t>
            </w:r>
          </w:p>
        </w:tc>
        <w:tc>
          <w:tcPr>
            <w:tcW w:w="1984" w:type="dxa"/>
            <w:vAlign w:val="center"/>
          </w:tcPr>
          <w:p w14:paraId="6B45554A"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Commissioning level indicator</w:t>
            </w:r>
          </w:p>
        </w:tc>
        <w:tc>
          <w:tcPr>
            <w:tcW w:w="3936" w:type="dxa"/>
            <w:vAlign w:val="center"/>
          </w:tcPr>
          <w:p w14:paraId="5DE5ECC5"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The proportion of people who receive psychological support for mood, behaviour or cognitive disturbance 6 months after an admission to hospital with a stroke.</w:t>
            </w:r>
          </w:p>
        </w:tc>
        <w:tc>
          <w:tcPr>
            <w:tcW w:w="6979" w:type="dxa"/>
            <w:vAlign w:val="center"/>
          </w:tcPr>
          <w:p w14:paraId="58B92931" w14:textId="77777777" w:rsidR="009F7273" w:rsidRPr="009F7273" w:rsidRDefault="009F7273" w:rsidP="009F7273">
            <w:pPr>
              <w:spacing w:before="120" w:after="120"/>
              <w:rPr>
                <w:rFonts w:ascii="Arial" w:hAnsi="Arial" w:cs="Arial"/>
                <w:sz w:val="20"/>
                <w:szCs w:val="20"/>
              </w:rPr>
            </w:pPr>
            <w:r w:rsidRPr="009F7273">
              <w:rPr>
                <w:rFonts w:ascii="Arial" w:hAnsi="Arial" w:cs="Arial"/>
                <w:sz w:val="20"/>
                <w:szCs w:val="20"/>
              </w:rPr>
              <w:t>Published on NICE menu in 2012 but not included in any national performance framework. The Sentinel Stroke National Audit (the stated data source) no longer reports separately on receipt of psychological support at 6 months.</w:t>
            </w:r>
          </w:p>
        </w:tc>
      </w:tr>
    </w:tbl>
    <w:p w14:paraId="674B4507" w14:textId="77777777" w:rsidR="002A20FE" w:rsidRPr="000E61C8" w:rsidRDefault="002A20FE" w:rsidP="000E61C8">
      <w:pPr>
        <w:pStyle w:val="Paragraph"/>
      </w:pPr>
    </w:p>
    <w:sectPr w:rsidR="002A20FE" w:rsidRPr="000E61C8" w:rsidSect="000E61C8">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BA790" w14:textId="77777777" w:rsidR="000E61C8" w:rsidRDefault="000E61C8" w:rsidP="00446BEE">
      <w:r>
        <w:separator/>
      </w:r>
    </w:p>
  </w:endnote>
  <w:endnote w:type="continuationSeparator" w:id="0">
    <w:p w14:paraId="511BFCF9" w14:textId="77777777" w:rsidR="000E61C8" w:rsidRDefault="000E61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FCEA" w14:textId="119D49FD" w:rsidR="00446BEE" w:rsidRDefault="000E61C8">
    <w:pPr>
      <w:pStyle w:val="Footer"/>
    </w:pPr>
    <w:r>
      <w:t>New</w:t>
    </w:r>
    <w:r w:rsidR="002A20FE">
      <w:t xml:space="preserve"> and retired</w:t>
    </w:r>
    <w:r>
      <w:t xml:space="preserve"> NICE indicators</w:t>
    </w:r>
    <w:r w:rsidR="00404657">
      <w:t xml:space="preserve"> </w:t>
    </w:r>
    <w:r w:rsidR="009F7273">
      <w:t>October</w:t>
    </w:r>
    <w:r w:rsidR="00404657">
      <w:t xml:space="preserve"> 2023</w:t>
    </w:r>
    <w:r w:rsidR="00446BEE">
      <w:tab/>
    </w:r>
    <w:r>
      <w:tab/>
    </w:r>
    <w:r>
      <w:tab/>
    </w:r>
    <w:r>
      <w:tab/>
    </w:r>
    <w:r>
      <w:tab/>
    </w:r>
    <w:r>
      <w:tab/>
    </w:r>
    <w:r>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C224A6">
      <w:fldChar w:fldCharType="begin"/>
    </w:r>
    <w:r w:rsidR="00C224A6">
      <w:instrText xml:space="preserve"> NUMPAGES  </w:instrText>
    </w:r>
    <w:r w:rsidR="00C224A6">
      <w:fldChar w:fldCharType="separate"/>
    </w:r>
    <w:r w:rsidR="00FA2C5A">
      <w:rPr>
        <w:noProof/>
      </w:rPr>
      <w:t>1</w:t>
    </w:r>
    <w:r w:rsidR="00C224A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40E1A9F3" w14:textId="1E0FCFC7" w:rsidR="008E7826" w:rsidRDefault="000E61C8" w:rsidP="008E7826">
            <w:pPr>
              <w:pStyle w:val="Footer"/>
            </w:pPr>
            <w:r>
              <w:t xml:space="preserve">New </w:t>
            </w:r>
            <w:r w:rsidR="000C27DF">
              <w:t xml:space="preserve">and retired </w:t>
            </w:r>
            <w:r>
              <w:t xml:space="preserve">NICE indicators </w:t>
            </w:r>
            <w:r w:rsidR="009F7273">
              <w:t>October</w:t>
            </w:r>
            <w:r w:rsidR="00404657">
              <w:t xml:space="preserve"> 2023</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C224A6">
              <w:fldChar w:fldCharType="begin"/>
            </w:r>
            <w:r w:rsidR="00C224A6">
              <w:instrText xml:space="preserve"> NUMPAGES  </w:instrText>
            </w:r>
            <w:r w:rsidR="00C224A6">
              <w:fldChar w:fldCharType="separate"/>
            </w:r>
            <w:r w:rsidR="008E7826" w:rsidRPr="008E7826">
              <w:rPr>
                <w:noProof/>
              </w:rPr>
              <w:t>2</w:t>
            </w:r>
            <w:r w:rsidR="00C224A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AEC0" w14:textId="77777777" w:rsidR="000E61C8" w:rsidRDefault="000E61C8" w:rsidP="00446BEE">
      <w:r>
        <w:separator/>
      </w:r>
    </w:p>
  </w:footnote>
  <w:footnote w:type="continuationSeparator" w:id="0">
    <w:p w14:paraId="0E90C32A" w14:textId="77777777" w:rsidR="000E61C8" w:rsidRDefault="000E61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7959" w14:textId="4CA1EC6F" w:rsidR="000E61C8" w:rsidRDefault="008F6FB7">
    <w:pPr>
      <w:pStyle w:val="Header"/>
    </w:pPr>
    <w:r>
      <w:rPr>
        <w:noProof/>
      </w:rPr>
      <w:drawing>
        <wp:inline distT="0" distB="0" distL="0" distR="0" wp14:anchorId="394A5510" wp14:editId="7426892B">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04CE6"/>
    <w:multiLevelType w:val="hybridMultilevel"/>
    <w:tmpl w:val="95A4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B651C1"/>
    <w:multiLevelType w:val="hybridMultilevel"/>
    <w:tmpl w:val="29D8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7" w15:restartNumberingAfterBreak="0">
    <w:nsid w:val="72B97D04"/>
    <w:multiLevelType w:val="hybridMultilevel"/>
    <w:tmpl w:val="C8DE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A24BD"/>
    <w:multiLevelType w:val="hybridMultilevel"/>
    <w:tmpl w:val="3246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12"/>
  </w:num>
  <w:num w:numId="2" w16cid:durableId="1271931310">
    <w:abstractNumId w:val="15"/>
  </w:num>
  <w:num w:numId="3" w16cid:durableId="987441700">
    <w:abstractNumId w:val="15"/>
    <w:lvlOverride w:ilvl="0">
      <w:startOverride w:val="1"/>
    </w:lvlOverride>
  </w:num>
  <w:num w:numId="4" w16cid:durableId="1499422565">
    <w:abstractNumId w:val="15"/>
    <w:lvlOverride w:ilvl="0">
      <w:startOverride w:val="1"/>
    </w:lvlOverride>
  </w:num>
  <w:num w:numId="5" w16cid:durableId="2069916214">
    <w:abstractNumId w:val="15"/>
    <w:lvlOverride w:ilvl="0">
      <w:startOverride w:val="1"/>
    </w:lvlOverride>
  </w:num>
  <w:num w:numId="6" w16cid:durableId="1714303981">
    <w:abstractNumId w:val="15"/>
    <w:lvlOverride w:ilvl="0">
      <w:startOverride w:val="1"/>
    </w:lvlOverride>
  </w:num>
  <w:num w:numId="7" w16cid:durableId="1383334273">
    <w:abstractNumId w:val="15"/>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0"/>
  </w:num>
  <w:num w:numId="19" w16cid:durableId="1373924523">
    <w:abstractNumId w:val="10"/>
    <w:lvlOverride w:ilvl="0">
      <w:startOverride w:val="1"/>
    </w:lvlOverride>
  </w:num>
  <w:num w:numId="20" w16cid:durableId="399716702">
    <w:abstractNumId w:val="12"/>
  </w:num>
  <w:num w:numId="21" w16cid:durableId="1595244151">
    <w:abstractNumId w:val="15"/>
  </w:num>
  <w:num w:numId="22" w16cid:durableId="368646558">
    <w:abstractNumId w:val="10"/>
  </w:num>
  <w:num w:numId="23" w16cid:durableId="534393170">
    <w:abstractNumId w:val="14"/>
  </w:num>
  <w:num w:numId="24" w16cid:durableId="609512517">
    <w:abstractNumId w:val="16"/>
  </w:num>
  <w:num w:numId="25" w16cid:durableId="820468261">
    <w:abstractNumId w:val="13"/>
  </w:num>
  <w:num w:numId="26" w16cid:durableId="1905872478">
    <w:abstractNumId w:val="17"/>
  </w:num>
  <w:num w:numId="27" w16cid:durableId="1130592006">
    <w:abstractNumId w:val="11"/>
  </w:num>
  <w:num w:numId="28" w16cid:durableId="5106116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C8"/>
    <w:rsid w:val="000053F8"/>
    <w:rsid w:val="00024D0A"/>
    <w:rsid w:val="00070065"/>
    <w:rsid w:val="000A4FEE"/>
    <w:rsid w:val="000B5939"/>
    <w:rsid w:val="000C27DF"/>
    <w:rsid w:val="000E61C8"/>
    <w:rsid w:val="001134E7"/>
    <w:rsid w:val="001336FF"/>
    <w:rsid w:val="00136206"/>
    <w:rsid w:val="00141ABF"/>
    <w:rsid w:val="00157BBE"/>
    <w:rsid w:val="0017169E"/>
    <w:rsid w:val="001A0B9C"/>
    <w:rsid w:val="001A6635"/>
    <w:rsid w:val="001B0EE9"/>
    <w:rsid w:val="001B65B3"/>
    <w:rsid w:val="001E60D6"/>
    <w:rsid w:val="002124D5"/>
    <w:rsid w:val="002408EA"/>
    <w:rsid w:val="0025603E"/>
    <w:rsid w:val="00257161"/>
    <w:rsid w:val="002819D7"/>
    <w:rsid w:val="002A20FE"/>
    <w:rsid w:val="002C1A7E"/>
    <w:rsid w:val="002D3376"/>
    <w:rsid w:val="00311ED0"/>
    <w:rsid w:val="003648C5"/>
    <w:rsid w:val="003722FA"/>
    <w:rsid w:val="003C7AAF"/>
    <w:rsid w:val="003F0A04"/>
    <w:rsid w:val="003F1C1C"/>
    <w:rsid w:val="00404657"/>
    <w:rsid w:val="004075B6"/>
    <w:rsid w:val="00420952"/>
    <w:rsid w:val="00446BEE"/>
    <w:rsid w:val="005025A1"/>
    <w:rsid w:val="005119B7"/>
    <w:rsid w:val="005268C3"/>
    <w:rsid w:val="00594C3A"/>
    <w:rsid w:val="005A02D5"/>
    <w:rsid w:val="005B714C"/>
    <w:rsid w:val="005D52D0"/>
    <w:rsid w:val="00624140"/>
    <w:rsid w:val="006709A9"/>
    <w:rsid w:val="006802A7"/>
    <w:rsid w:val="006921E1"/>
    <w:rsid w:val="00696C0A"/>
    <w:rsid w:val="006A28FB"/>
    <w:rsid w:val="00736348"/>
    <w:rsid w:val="0077376B"/>
    <w:rsid w:val="00781C41"/>
    <w:rsid w:val="00826541"/>
    <w:rsid w:val="00833D8A"/>
    <w:rsid w:val="00861B92"/>
    <w:rsid w:val="008814FB"/>
    <w:rsid w:val="008953B3"/>
    <w:rsid w:val="008A41BF"/>
    <w:rsid w:val="008E7826"/>
    <w:rsid w:val="008F5E30"/>
    <w:rsid w:val="008F6FB7"/>
    <w:rsid w:val="00914D7F"/>
    <w:rsid w:val="0097305A"/>
    <w:rsid w:val="009E680B"/>
    <w:rsid w:val="009F7273"/>
    <w:rsid w:val="00A15A1F"/>
    <w:rsid w:val="00A3325A"/>
    <w:rsid w:val="00A43013"/>
    <w:rsid w:val="00AD2AB3"/>
    <w:rsid w:val="00AE60B2"/>
    <w:rsid w:val="00AF108A"/>
    <w:rsid w:val="00B02E55"/>
    <w:rsid w:val="00B036C1"/>
    <w:rsid w:val="00B5431F"/>
    <w:rsid w:val="00B65A11"/>
    <w:rsid w:val="00BB305A"/>
    <w:rsid w:val="00BC184B"/>
    <w:rsid w:val="00BF7FE0"/>
    <w:rsid w:val="00C224A6"/>
    <w:rsid w:val="00C36044"/>
    <w:rsid w:val="00C77C66"/>
    <w:rsid w:val="00C85682"/>
    <w:rsid w:val="00C96411"/>
    <w:rsid w:val="00CB2369"/>
    <w:rsid w:val="00CF2E5C"/>
    <w:rsid w:val="00CF58B7"/>
    <w:rsid w:val="00D02A8F"/>
    <w:rsid w:val="00D1699D"/>
    <w:rsid w:val="00D351C1"/>
    <w:rsid w:val="00D35EFB"/>
    <w:rsid w:val="00D47D55"/>
    <w:rsid w:val="00D504B3"/>
    <w:rsid w:val="00D86BD2"/>
    <w:rsid w:val="00D86BF0"/>
    <w:rsid w:val="00DB7C10"/>
    <w:rsid w:val="00E51079"/>
    <w:rsid w:val="00E51920"/>
    <w:rsid w:val="00E64120"/>
    <w:rsid w:val="00E660A1"/>
    <w:rsid w:val="00E72AE9"/>
    <w:rsid w:val="00E851C4"/>
    <w:rsid w:val="00EB096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902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table" w:customStyle="1" w:styleId="TableGrid1">
    <w:name w:val="Table Grid1"/>
    <w:basedOn w:val="TableNormal"/>
    <w:next w:val="TableGrid"/>
    <w:uiPriority w:val="39"/>
    <w:rsid w:val="000E61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E61C8"/>
    <w:rPr>
      <w:color w:val="605E5C"/>
      <w:shd w:val="clear" w:color="auto" w:fill="E1DFDD"/>
    </w:rPr>
  </w:style>
  <w:style w:type="table" w:customStyle="1" w:styleId="TableGrid2">
    <w:name w:val="Table Grid2"/>
    <w:basedOn w:val="TableNormal"/>
    <w:next w:val="TableGrid"/>
    <w:uiPriority w:val="39"/>
    <w:rsid w:val="000E61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0E61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semiHidden/>
    <w:qFormat/>
    <w:rsid w:val="00404657"/>
    <w:pPr>
      <w:ind w:left="720"/>
      <w:contextualSpacing/>
    </w:pPr>
  </w:style>
  <w:style w:type="table" w:customStyle="1" w:styleId="TableGrid4">
    <w:name w:val="Table Grid4"/>
    <w:basedOn w:val="TableNormal"/>
    <w:next w:val="TableGrid"/>
    <w:uiPriority w:val="39"/>
    <w:rsid w:val="002A2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2A2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9F7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rsid w:val="009F7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hyperlink" Target="https://www.nice.org.uk/guidance/ng11" TargetMode="External"/><Relationship Id="rId18" Type="http://schemas.openxmlformats.org/officeDocument/2006/relationships/hyperlink" Target="https://www.england.nhs.uk/publication/network-contract-des-investment-and-impact-fund-iif-guidance-for-2023-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96/" TargetMode="External"/><Relationship Id="rId17" Type="http://schemas.openxmlformats.org/officeDocument/2006/relationships/hyperlink" Target="https://www.nice.org.uk/guidance/ng12" TargetMode="External"/><Relationship Id="rId2" Type="http://schemas.openxmlformats.org/officeDocument/2006/relationships/numbering" Target="numbering.xml"/><Relationship Id="rId16" Type="http://schemas.openxmlformats.org/officeDocument/2006/relationships/hyperlink" Target="https://www.nice.org.uk/guidance/dg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ce.org.uk/guidance/ng11"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guidance/ng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5053</Characters>
  <Application>Microsoft Office Word</Application>
  <DocSecurity>4</DocSecurity>
  <Lines>42</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2023-10-31T10:21:00Z</dcterms:created>
  <dcterms:modified xsi:type="dcterms:W3CDTF">2023-10-31T10:21:00Z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2023-10-11T13:34:28Z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c5d8b98c-0fd3-4c46-b2f4-0d566bf26396</vt:lpwstr>
  </property>
  <property fmtid="{D5CDD505-2E9C-101B-9397-08002B2CF9AE}" pid="8" name="MSIP_Label_c69d85d5-6d9e-4305-a294-1f636ec0f2d6_ContentBits">
    <vt:lpwstr>0</vt:lpwstr>
  </property>
</Properties>
</file>