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71F" w:rsidRPr="0094571F" w:rsidRDefault="0094571F" w:rsidP="0094571F">
      <w:pPr>
        <w:pStyle w:val="Heading2"/>
        <w:rPr>
          <w:sz w:val="28"/>
        </w:rPr>
      </w:pPr>
      <w:r>
        <w:t xml:space="preserve">      </w:t>
      </w:r>
      <w:r w:rsidR="00C230A1">
        <w:t xml:space="preserve">  East Sussex Medicines Optimisation Project- </w:t>
      </w:r>
      <w:r w:rsidR="005F018A" w:rsidRPr="0094571F">
        <w:rPr>
          <w:sz w:val="28"/>
        </w:rPr>
        <w:t xml:space="preserve">Type 2 </w:t>
      </w:r>
      <w:r w:rsidR="00A12B33" w:rsidRPr="0094571F">
        <w:rPr>
          <w:sz w:val="28"/>
        </w:rPr>
        <w:t>Diabetes</w:t>
      </w:r>
      <w:r w:rsidR="00C230A1">
        <w:rPr>
          <w:sz w:val="28"/>
        </w:rPr>
        <w:t xml:space="preserve"> Frailty Reviews</w:t>
      </w:r>
    </w:p>
    <w:p w:rsidR="0094571F" w:rsidRPr="0094571F" w:rsidRDefault="00073110" w:rsidP="0094571F">
      <w:pPr>
        <w:pStyle w:val="Heading2"/>
      </w:pPr>
      <w:r w:rsidRPr="0094571F">
        <w:t>Background</w:t>
      </w:r>
    </w:p>
    <w:p w:rsidR="009D10F9" w:rsidRPr="0094571F" w:rsidRDefault="00930B01" w:rsidP="0094571F">
      <w:pPr>
        <w:pStyle w:val="NoSpacing"/>
      </w:pPr>
      <w:r w:rsidRPr="0094571F">
        <w:t>The number of o</w:t>
      </w:r>
      <w:r w:rsidR="00D122C3" w:rsidRPr="0094571F">
        <w:t xml:space="preserve">lder people with </w:t>
      </w:r>
      <w:r w:rsidRPr="0094571F">
        <w:t xml:space="preserve">type 2 </w:t>
      </w:r>
      <w:r w:rsidR="00D122C3" w:rsidRPr="0094571F">
        <w:t>diabetes and frailty</w:t>
      </w:r>
      <w:r w:rsidRPr="0094571F">
        <w:t xml:space="preserve"> is growing. Th</w:t>
      </w:r>
      <w:r w:rsidR="00AF7357" w:rsidRPr="0094571F">
        <w:t xml:space="preserve">ese </w:t>
      </w:r>
      <w:r w:rsidR="00601AFE" w:rsidRPr="0094571F">
        <w:t>patients are</w:t>
      </w:r>
      <w:r w:rsidR="00D122C3" w:rsidRPr="0094571F">
        <w:t xml:space="preserve"> at increased risk of adverse effects from blood glucose lowering therapies</w:t>
      </w:r>
      <w:r w:rsidR="007E7754" w:rsidRPr="0094571F">
        <w:t xml:space="preserve"> including hospital admissions</w:t>
      </w:r>
      <w:r w:rsidR="00D122C3" w:rsidRPr="0094571F">
        <w:t xml:space="preserve">. </w:t>
      </w:r>
      <w:r w:rsidR="007E7754" w:rsidRPr="0094571F">
        <w:t>Severe hypoglycaemia is the second commonest cause of hospital admission for drug related adverse events and is associated with an increased risk of CVD events or death, particularly in people with pre-existing CVD.</w:t>
      </w:r>
      <w:r w:rsidR="00D83876" w:rsidRPr="0094571F">
        <w:t xml:space="preserve"> </w:t>
      </w:r>
    </w:p>
    <w:p w:rsidR="009D10F9" w:rsidRPr="0094571F" w:rsidRDefault="009D10F9" w:rsidP="0094571F">
      <w:pPr>
        <w:pStyle w:val="NoSpacing"/>
      </w:pPr>
    </w:p>
    <w:p w:rsidR="00D122C3" w:rsidRPr="0094571F" w:rsidRDefault="00CB0F64" w:rsidP="0094571F">
      <w:pPr>
        <w:pStyle w:val="NoSpacing"/>
      </w:pPr>
      <w:r w:rsidRPr="0094571F">
        <w:t xml:space="preserve">There </w:t>
      </w:r>
      <w:r w:rsidR="006F47B9" w:rsidRPr="0094571F">
        <w:t>are growing</w:t>
      </w:r>
      <w:r w:rsidRPr="0094571F">
        <w:t xml:space="preserve"> concern</w:t>
      </w:r>
      <w:r w:rsidR="006F47B9" w:rsidRPr="0094571F">
        <w:t>s</w:t>
      </w:r>
      <w:r w:rsidRPr="0094571F">
        <w:t xml:space="preserve"> that </w:t>
      </w:r>
      <w:r w:rsidR="00FA73A0" w:rsidRPr="0094571F">
        <w:t>intensive treatment with insulin and sulfonylureas in older people with low HbA1c (&lt;53mmol/</w:t>
      </w:r>
      <w:proofErr w:type="spellStart"/>
      <w:r w:rsidR="00FA73A0" w:rsidRPr="0094571F">
        <w:t>mol</w:t>
      </w:r>
      <w:proofErr w:type="spellEnd"/>
      <w:r w:rsidR="00FA73A0" w:rsidRPr="0094571F">
        <w:t>) increases</w:t>
      </w:r>
      <w:r w:rsidR="007E7754" w:rsidRPr="0094571F">
        <w:t xml:space="preserve"> the ri</w:t>
      </w:r>
      <w:r w:rsidR="009D10F9" w:rsidRPr="0094571F">
        <w:t>sk of hypoglycaemia</w:t>
      </w:r>
      <w:r w:rsidR="00FA73A0" w:rsidRPr="0094571F">
        <w:t xml:space="preserve">, </w:t>
      </w:r>
      <w:r w:rsidR="0094571F" w:rsidRPr="0094571F">
        <w:t xml:space="preserve">morbidity and </w:t>
      </w:r>
      <w:r w:rsidR="007E7754" w:rsidRPr="0094571F">
        <w:t>mortality.</w:t>
      </w:r>
      <w:r w:rsidR="00CA3DEF">
        <w:t xml:space="preserve"> </w:t>
      </w:r>
      <w:r w:rsidR="00CA3DEF" w:rsidRPr="00CA3DEF">
        <w:t>Frailty and dementia are risk factors for hypoglycaemia setting a vicious circle. </w:t>
      </w:r>
      <w:r w:rsidR="00464082" w:rsidRPr="0094571F">
        <w:t>Older people</w:t>
      </w:r>
      <w:r w:rsidR="00D122C3" w:rsidRPr="0094571F">
        <w:t xml:space="preserve"> are</w:t>
      </w:r>
      <w:r w:rsidR="00464082" w:rsidRPr="0094571F">
        <w:t xml:space="preserve"> also</w:t>
      </w:r>
      <w:r w:rsidR="00D122C3" w:rsidRPr="0094571F">
        <w:t xml:space="preserve"> less likely to benefit from the long term protective effects of good glycaemic control and are at risk of inappropriate polypharmacy due to co-morbidities. </w:t>
      </w:r>
    </w:p>
    <w:p w:rsidR="00D122C3" w:rsidRPr="0094571F" w:rsidRDefault="00D122C3" w:rsidP="0094571F">
      <w:pPr>
        <w:pStyle w:val="NoSpacing"/>
        <w:rPr>
          <w:rFonts w:cstheme="majorBidi"/>
        </w:rPr>
      </w:pPr>
      <w:r w:rsidRPr="0094571F">
        <w:t xml:space="preserve"> </w:t>
      </w:r>
    </w:p>
    <w:p w:rsidR="00D122C3" w:rsidRDefault="00FF0679" w:rsidP="0094571F">
      <w:pPr>
        <w:pStyle w:val="NoSpacing"/>
      </w:pPr>
      <w:r w:rsidRPr="0094571F">
        <w:t>Concerns over</w:t>
      </w:r>
      <w:r w:rsidR="00CB0F64" w:rsidRPr="0094571F">
        <w:t xml:space="preserve"> </w:t>
      </w:r>
      <w:r w:rsidR="00E16C03" w:rsidRPr="0094571F">
        <w:t xml:space="preserve">the </w:t>
      </w:r>
      <w:r w:rsidR="00CB0F64" w:rsidRPr="0094571F">
        <w:t>har</w:t>
      </w:r>
      <w:r w:rsidR="00E16C03" w:rsidRPr="0094571F">
        <w:t xml:space="preserve">ms from </w:t>
      </w:r>
      <w:r w:rsidR="006F47B9" w:rsidRPr="0094571F">
        <w:t xml:space="preserve">hypoglycaemic agents </w:t>
      </w:r>
      <w:r w:rsidRPr="0094571F">
        <w:t xml:space="preserve">in the treatment of </w:t>
      </w:r>
      <w:r w:rsidR="00464082" w:rsidRPr="0094571F">
        <w:t>type 2 diabetes</w:t>
      </w:r>
      <w:r w:rsidR="00D97B2E">
        <w:t xml:space="preserve"> has</w:t>
      </w:r>
      <w:r w:rsidR="00CB0F64" w:rsidRPr="0094571F">
        <w:t xml:space="preserve"> led to revised NICE guidance</w:t>
      </w:r>
      <w:r w:rsidR="00601AFE" w:rsidRPr="0094571F">
        <w:t xml:space="preserve"> </w:t>
      </w:r>
      <w:r w:rsidR="002B5773" w:rsidRPr="0094571F">
        <w:t>recommending</w:t>
      </w:r>
      <w:r w:rsidR="00CB0F64" w:rsidRPr="0094571F">
        <w:t xml:space="preserve"> </w:t>
      </w:r>
      <w:r w:rsidR="00CB0F64" w:rsidRPr="0094571F">
        <w:rPr>
          <w:bCs/>
        </w:rPr>
        <w:t xml:space="preserve">an </w:t>
      </w:r>
      <w:r w:rsidR="00E16C03" w:rsidRPr="0094571F">
        <w:rPr>
          <w:bCs/>
        </w:rPr>
        <w:t xml:space="preserve">individualised approach </w:t>
      </w:r>
      <w:r w:rsidR="00CB0F64" w:rsidRPr="0094571F">
        <w:rPr>
          <w:bCs/>
        </w:rPr>
        <w:t>wit</w:t>
      </w:r>
      <w:r w:rsidR="00E16C03" w:rsidRPr="0094571F">
        <w:rPr>
          <w:bCs/>
        </w:rPr>
        <w:t xml:space="preserve">h more relaxed HbA1c targets for </w:t>
      </w:r>
      <w:r w:rsidR="00D122C3" w:rsidRPr="0094571F">
        <w:rPr>
          <w:bCs/>
        </w:rPr>
        <w:t>older people at high risk of hypoglycaemia</w:t>
      </w:r>
      <w:r w:rsidR="002C67CA">
        <w:rPr>
          <w:bCs/>
        </w:rPr>
        <w:t xml:space="preserve"> utilising shared decision making with patients</w:t>
      </w:r>
      <w:r w:rsidR="00D122C3" w:rsidRPr="0094571F">
        <w:rPr>
          <w:bCs/>
        </w:rPr>
        <w:t xml:space="preserve">. </w:t>
      </w:r>
      <w:r w:rsidR="002C67CA">
        <w:rPr>
          <w:rFonts w:cs="Minion Pro"/>
          <w:color w:val="000000"/>
        </w:rPr>
        <w:t>NICE</w:t>
      </w:r>
      <w:r w:rsidRPr="0094571F">
        <w:rPr>
          <w:rFonts w:cs="Minion Pro"/>
          <w:color w:val="000000"/>
        </w:rPr>
        <w:t xml:space="preserve"> guidance advises </w:t>
      </w:r>
      <w:r w:rsidR="00D122C3" w:rsidRPr="0094571F">
        <w:rPr>
          <w:rFonts w:cs="Minion Pro"/>
          <w:color w:val="000000"/>
        </w:rPr>
        <w:t>that HbA1</w:t>
      </w:r>
      <w:r w:rsidR="00D97B2E">
        <w:rPr>
          <w:rFonts w:cs="Minion Pro"/>
          <w:color w:val="000000"/>
        </w:rPr>
        <w:t>c targets of less than 58 mmol/</w:t>
      </w:r>
      <w:r w:rsidR="00D122C3" w:rsidRPr="0094571F">
        <w:rPr>
          <w:rFonts w:cs="Minion Pro"/>
          <w:color w:val="000000"/>
        </w:rPr>
        <w:t xml:space="preserve">mol may not be appropriate for people at older ages, those with impaired renal function, co-morbidities, limited life expectancy, interacting medication, previous hypoglycaemia or inability to self-manage treatment. </w:t>
      </w:r>
      <w:r w:rsidR="00AF50B2" w:rsidRPr="0094571F">
        <w:t>Similar recommendations are supported in European and American guidance.</w:t>
      </w:r>
      <w:r w:rsidR="00CB0F64" w:rsidRPr="0094571F">
        <w:t xml:space="preserve"> </w:t>
      </w:r>
    </w:p>
    <w:p w:rsidR="0094571F" w:rsidRPr="0094571F" w:rsidRDefault="0094571F" w:rsidP="0094571F">
      <w:pPr>
        <w:pStyle w:val="NoSpacing"/>
        <w:rPr>
          <w:rFonts w:cs="Minion Pro"/>
          <w:color w:val="000000"/>
        </w:rPr>
      </w:pPr>
    </w:p>
    <w:p w:rsidR="0094571F" w:rsidRPr="0094571F" w:rsidRDefault="008516BD" w:rsidP="0094571F">
      <w:pPr>
        <w:pStyle w:val="NoSpacing"/>
        <w:rPr>
          <w:b/>
        </w:rPr>
      </w:pPr>
      <w:r w:rsidRPr="0094571F">
        <w:t>This project</w:t>
      </w:r>
      <w:r w:rsidR="00513F96" w:rsidRPr="0094571F">
        <w:t xml:space="preserve"> was undertaken </w:t>
      </w:r>
      <w:r w:rsidR="007E11FC" w:rsidRPr="0094571F">
        <w:t>to</w:t>
      </w:r>
      <w:r w:rsidR="00C7089C" w:rsidRPr="0094571F">
        <w:t xml:space="preserve"> support</w:t>
      </w:r>
      <w:r w:rsidR="00513F96" w:rsidRPr="0094571F">
        <w:t xml:space="preserve"> primary care diabetes teams </w:t>
      </w:r>
      <w:r w:rsidR="00930B01" w:rsidRPr="0094571F">
        <w:t>in working with patients</w:t>
      </w:r>
      <w:r w:rsidR="00FF0679" w:rsidRPr="0094571F">
        <w:t xml:space="preserve"> to optimise </w:t>
      </w:r>
      <w:r w:rsidR="007E11FC" w:rsidRPr="0094571F">
        <w:t>prescribing through</w:t>
      </w:r>
      <w:r w:rsidR="00926A78" w:rsidRPr="0094571F">
        <w:t xml:space="preserve"> implementation</w:t>
      </w:r>
      <w:r w:rsidR="00C7089C" w:rsidRPr="0094571F">
        <w:t xml:space="preserve"> of </w:t>
      </w:r>
      <w:r w:rsidR="00260AA7" w:rsidRPr="0094571F">
        <w:t>NICE guidelines to</w:t>
      </w:r>
      <w:r w:rsidR="007E11FC" w:rsidRPr="0094571F">
        <w:t xml:space="preserve"> adapt an individualised approach to diabetes care</w:t>
      </w:r>
      <w:r w:rsidR="00260AA7" w:rsidRPr="0094571F">
        <w:t xml:space="preserve"> </w:t>
      </w:r>
      <w:r w:rsidR="00AF7357" w:rsidRPr="0094571F">
        <w:t>considering</w:t>
      </w:r>
      <w:r w:rsidR="00260AA7" w:rsidRPr="0094571F">
        <w:t xml:space="preserve"> the need for relaxed individualised HbA1c targets for older people with frailty balancing the drive for tight glycaemic targets and prevention of harm </w:t>
      </w:r>
      <w:r w:rsidR="00C7089C" w:rsidRPr="0094571F">
        <w:t>generating significant savings to the prescribing budget.</w:t>
      </w:r>
      <w:r w:rsidR="007E11FC" w:rsidRPr="0094571F">
        <w:t xml:space="preserve"> </w:t>
      </w:r>
      <w:r w:rsidR="00412C3C" w:rsidRPr="0094571F">
        <w:t xml:space="preserve"> </w:t>
      </w:r>
    </w:p>
    <w:p w:rsidR="00B66576" w:rsidRDefault="00B66576" w:rsidP="00B66576">
      <w:pPr>
        <w:pStyle w:val="NoSpacing"/>
      </w:pPr>
    </w:p>
    <w:p w:rsidR="001B079A" w:rsidRDefault="00AF7357" w:rsidP="00B66576">
      <w:pPr>
        <w:pStyle w:val="NoSpacing"/>
      </w:pPr>
      <w:r w:rsidRPr="0094571F">
        <w:rPr>
          <w:rStyle w:val="Heading2Char"/>
        </w:rPr>
        <w:t>Aim</w:t>
      </w:r>
      <w:r w:rsidRPr="0094571F">
        <w:t xml:space="preserve">         </w:t>
      </w:r>
    </w:p>
    <w:p w:rsidR="00B66576" w:rsidRPr="00B66576" w:rsidRDefault="001B079A" w:rsidP="00B66576">
      <w:pPr>
        <w:pStyle w:val="NoSpacing"/>
      </w:pPr>
      <w:r>
        <w:t>To reduce</w:t>
      </w:r>
      <w:r w:rsidR="001F6E8F">
        <w:t xml:space="preserve"> </w:t>
      </w:r>
      <w:r>
        <w:t>harm</w:t>
      </w:r>
      <w:r w:rsidR="001F6E8F">
        <w:t xml:space="preserve"> by </w:t>
      </w:r>
      <w:r w:rsidRPr="0094571F">
        <w:t>moving towards an individualised approach</w:t>
      </w:r>
      <w:r w:rsidR="00C25D5C">
        <w:t xml:space="preserve"> </w:t>
      </w:r>
      <w:r w:rsidR="001F6E8F">
        <w:t>for managing type 2 diabetes in older people</w:t>
      </w:r>
      <w:r w:rsidR="00F85B3E">
        <w:t xml:space="preserve"> with frailty</w:t>
      </w:r>
      <w:r w:rsidRPr="0094571F">
        <w:t>.</w:t>
      </w:r>
      <w:r w:rsidR="001F6E8F">
        <w:t xml:space="preserve"> </w:t>
      </w:r>
      <w:r w:rsidR="00F85B3E">
        <w:t xml:space="preserve">The main objective was to </w:t>
      </w:r>
      <w:r w:rsidR="0034114C" w:rsidRPr="0094571F">
        <w:t>agree</w:t>
      </w:r>
      <w:r w:rsidR="00601AFE" w:rsidRPr="0094571F">
        <w:t xml:space="preserve"> </w:t>
      </w:r>
      <w:r w:rsidR="0034114C" w:rsidRPr="0094571F">
        <w:t>individualised HbA1C targets</w:t>
      </w:r>
      <w:r w:rsidR="00EC08FA">
        <w:t xml:space="preserve"> </w:t>
      </w:r>
      <w:r w:rsidR="00C25D5C">
        <w:t xml:space="preserve">using shared decision making with patients by </w:t>
      </w:r>
      <w:r w:rsidR="00EC08FA">
        <w:t xml:space="preserve">taking into account factors such as </w:t>
      </w:r>
      <w:r w:rsidR="00EC08FA" w:rsidRPr="00EC08FA">
        <w:t>co-morbidities</w:t>
      </w:r>
      <w:r w:rsidR="00EC08FA">
        <w:t>,</w:t>
      </w:r>
      <w:r w:rsidR="00EC08FA" w:rsidRPr="00EC08FA">
        <w:t xml:space="preserve"> </w:t>
      </w:r>
      <w:r w:rsidR="00EC08FA">
        <w:t xml:space="preserve">impaired renal function and </w:t>
      </w:r>
      <w:r w:rsidR="00EC08FA" w:rsidRPr="00EC08FA">
        <w:t xml:space="preserve">life expectancy </w:t>
      </w:r>
      <w:r w:rsidR="00C25D5C">
        <w:t xml:space="preserve">to reduce </w:t>
      </w:r>
      <w:r w:rsidR="00EC08FA">
        <w:t>the harms associated</w:t>
      </w:r>
      <w:r w:rsidR="008D1E20" w:rsidRPr="0094571F">
        <w:t xml:space="preserve"> </w:t>
      </w:r>
      <w:r w:rsidR="00EC08FA">
        <w:t xml:space="preserve">with </w:t>
      </w:r>
      <w:r w:rsidR="008D1E20" w:rsidRPr="0094571F">
        <w:t>problematic</w:t>
      </w:r>
      <w:r w:rsidR="00601AFE" w:rsidRPr="0094571F">
        <w:t xml:space="preserve"> polypharmacy</w:t>
      </w:r>
      <w:r w:rsidR="00C25D5C">
        <w:t>, improve</w:t>
      </w:r>
      <w:r w:rsidR="00F85B3E">
        <w:t xml:space="preserve"> patient safety and quality of life for</w:t>
      </w:r>
      <w:r w:rsidR="00EC08FA">
        <w:t xml:space="preserve"> older pe</w:t>
      </w:r>
      <w:r w:rsidR="00F85B3E">
        <w:t xml:space="preserve">ople living with type </w:t>
      </w:r>
      <w:proofErr w:type="gramStart"/>
      <w:r w:rsidR="00F85B3E">
        <w:t>2 diabetes</w:t>
      </w:r>
      <w:proofErr w:type="gramEnd"/>
      <w:r w:rsidR="00F85B3E">
        <w:t>.</w:t>
      </w:r>
    </w:p>
    <w:p w:rsidR="00FA73A0" w:rsidRPr="0094571F" w:rsidRDefault="00CF5A8B" w:rsidP="0094571F">
      <w:pPr>
        <w:pStyle w:val="Heading2"/>
      </w:pPr>
      <w:r w:rsidRPr="0094571F">
        <w:t>Method</w:t>
      </w:r>
      <w:r w:rsidR="0094571F">
        <w:tab/>
      </w:r>
    </w:p>
    <w:p w:rsidR="00132E7A" w:rsidRDefault="00F24DA4" w:rsidP="0094571F">
      <w:pPr>
        <w:pStyle w:val="NoSpacing"/>
      </w:pPr>
      <w:r w:rsidRPr="0094571F">
        <w:t xml:space="preserve">The project was included </w:t>
      </w:r>
      <w:r w:rsidR="001649C5">
        <w:t>in our CCG</w:t>
      </w:r>
      <w:r w:rsidR="008F7041" w:rsidRPr="0094571F">
        <w:t xml:space="preserve"> prescribing support scheme</w:t>
      </w:r>
      <w:r w:rsidR="00220702">
        <w:t xml:space="preserve"> which incentivises GP practices </w:t>
      </w:r>
      <w:r w:rsidR="001649C5">
        <w:t xml:space="preserve">to invest time in reducing unwarranted variation in diabetes prescribing. CCG pharmacists reviewed cohorts of patients </w:t>
      </w:r>
      <w:r w:rsidR="00AC4E82">
        <w:t>with frailty within all our GP practices</w:t>
      </w:r>
      <w:r w:rsidR="009C7617">
        <w:t xml:space="preserve"> through running locally developed searches on the prescribing systems</w:t>
      </w:r>
      <w:r w:rsidR="00AC4E82">
        <w:t xml:space="preserve">. </w:t>
      </w:r>
      <w:r w:rsidR="00132E7A" w:rsidRPr="0094571F">
        <w:t xml:space="preserve">Practices were </w:t>
      </w:r>
      <w:r w:rsidR="00AC4E82">
        <w:t xml:space="preserve">then </w:t>
      </w:r>
      <w:r w:rsidR="00132E7A" w:rsidRPr="0094571F">
        <w:t xml:space="preserve">required to meet with </w:t>
      </w:r>
      <w:r w:rsidR="001649C5">
        <w:t xml:space="preserve">a senior CCG pharmacist </w:t>
      </w:r>
      <w:r w:rsidR="00132E7A" w:rsidRPr="0094571F">
        <w:t xml:space="preserve">to discuss </w:t>
      </w:r>
      <w:r w:rsidR="00AC4E82">
        <w:t xml:space="preserve">the </w:t>
      </w:r>
      <w:r w:rsidR="00132E7A" w:rsidRPr="0094571F">
        <w:t>patient level diabetes medication reviews</w:t>
      </w:r>
      <w:r w:rsidR="006877FB" w:rsidRPr="0094571F">
        <w:t xml:space="preserve"> </w:t>
      </w:r>
      <w:r w:rsidR="00AC4E82">
        <w:t>and agree</w:t>
      </w:r>
      <w:r w:rsidR="00132E7A" w:rsidRPr="0094571F">
        <w:t xml:space="preserve"> action plan</w:t>
      </w:r>
      <w:r w:rsidR="00AC4E82">
        <w:t>s</w:t>
      </w:r>
      <w:r w:rsidR="00132E7A" w:rsidRPr="0094571F">
        <w:t xml:space="preserve"> to i</w:t>
      </w:r>
      <w:r w:rsidR="00312B9E" w:rsidRPr="0094571F">
        <w:t>ndividualise</w:t>
      </w:r>
      <w:r w:rsidR="00132E7A" w:rsidRPr="0094571F">
        <w:t xml:space="preserve"> </w:t>
      </w:r>
      <w:r w:rsidR="00312B9E" w:rsidRPr="0094571F">
        <w:t>diabetes care in older people</w:t>
      </w:r>
      <w:r w:rsidR="00A42B2E" w:rsidRPr="0094571F">
        <w:t>.</w:t>
      </w:r>
    </w:p>
    <w:p w:rsidR="0094571F" w:rsidRPr="0094571F" w:rsidRDefault="0094571F" w:rsidP="0094571F">
      <w:pPr>
        <w:pStyle w:val="NoSpacing"/>
      </w:pPr>
    </w:p>
    <w:p w:rsidR="003A1EEA" w:rsidRDefault="008F7041" w:rsidP="0094571F">
      <w:pPr>
        <w:pStyle w:val="NoSpacing"/>
      </w:pPr>
      <w:r w:rsidRPr="0094571F">
        <w:t>K</w:t>
      </w:r>
      <w:r w:rsidR="00F24DA4" w:rsidRPr="0094571F">
        <w:t xml:space="preserve">ey stakeholders </w:t>
      </w:r>
      <w:r w:rsidR="00A72ECC" w:rsidRPr="0094571F">
        <w:t>were consulted during the project development</w:t>
      </w:r>
      <w:r w:rsidRPr="0094571F">
        <w:t xml:space="preserve"> and updated regularly</w:t>
      </w:r>
      <w:r w:rsidR="00A72ECC" w:rsidRPr="0094571F">
        <w:t xml:space="preserve">. </w:t>
      </w:r>
      <w:r w:rsidR="00312B9E" w:rsidRPr="0094571F">
        <w:t xml:space="preserve">Our diabetes formulary was refreshed and clinical guidelines and pathways for blood glucose management in Type 2 diabetes were developed with individualising targets and treatment at the heart. </w:t>
      </w:r>
      <w:r w:rsidR="00A72ECC" w:rsidRPr="0094571F">
        <w:t>Opportunities to educate clinicians</w:t>
      </w:r>
      <w:r w:rsidR="00CF4E00" w:rsidRPr="0094571F">
        <w:t xml:space="preserve"> on diabetes medicines optimisation</w:t>
      </w:r>
      <w:r w:rsidR="00780B4D" w:rsidRPr="0094571F">
        <w:t xml:space="preserve"> and share details of our project</w:t>
      </w:r>
      <w:r w:rsidR="00A72ECC" w:rsidRPr="0094571F">
        <w:t xml:space="preserve"> were utilised during </w:t>
      </w:r>
      <w:r w:rsidR="00312B9E" w:rsidRPr="0094571F">
        <w:t xml:space="preserve">GP engagement </w:t>
      </w:r>
      <w:r w:rsidR="00AF7357" w:rsidRPr="0094571F">
        <w:t>and community pharmacy events. I</w:t>
      </w:r>
      <w:r w:rsidR="00CF4E00" w:rsidRPr="0094571F">
        <w:t xml:space="preserve">nspirational </w:t>
      </w:r>
      <w:r w:rsidRPr="0094571F">
        <w:t xml:space="preserve">clinical </w:t>
      </w:r>
      <w:r w:rsidR="00CF4E00" w:rsidRPr="0094571F">
        <w:t>speakers delivered key note sessions at GP education event</w:t>
      </w:r>
      <w:r w:rsidR="00312B9E" w:rsidRPr="0094571F">
        <w:t>s</w:t>
      </w:r>
      <w:r w:rsidR="00B44117" w:rsidRPr="0094571F">
        <w:t xml:space="preserve">. </w:t>
      </w:r>
    </w:p>
    <w:p w:rsidR="0094571F" w:rsidRPr="0094571F" w:rsidRDefault="0094571F" w:rsidP="0094571F">
      <w:pPr>
        <w:pStyle w:val="NoSpacing"/>
      </w:pPr>
    </w:p>
    <w:p w:rsidR="00AF7357" w:rsidRDefault="008E4EAA" w:rsidP="0094571F">
      <w:pPr>
        <w:pStyle w:val="NoSpacing"/>
      </w:pPr>
      <w:r w:rsidRPr="0094571F">
        <w:t>Training was provided</w:t>
      </w:r>
      <w:r w:rsidR="00312B9E" w:rsidRPr="0094571F">
        <w:t xml:space="preserve"> by </w:t>
      </w:r>
      <w:r w:rsidR="008D1E20" w:rsidRPr="0094571F">
        <w:t>the Effective Diabetes Education (</w:t>
      </w:r>
      <w:r w:rsidR="00312B9E" w:rsidRPr="0094571F">
        <w:t>EDEN</w:t>
      </w:r>
      <w:r w:rsidR="008D1E20" w:rsidRPr="0094571F">
        <w:t xml:space="preserve">) group </w:t>
      </w:r>
      <w:r w:rsidRPr="0094571F">
        <w:t xml:space="preserve">for </w:t>
      </w:r>
      <w:r w:rsidR="00F24DA4" w:rsidRPr="0094571F">
        <w:t>pharmacists</w:t>
      </w:r>
      <w:r w:rsidR="00780B4D" w:rsidRPr="0094571F">
        <w:t xml:space="preserve"> undertaking</w:t>
      </w:r>
      <w:r w:rsidRPr="0094571F">
        <w:t xml:space="preserve"> </w:t>
      </w:r>
      <w:r w:rsidR="00780B4D" w:rsidRPr="0094571F">
        <w:t>reviews</w:t>
      </w:r>
      <w:r w:rsidR="00F24DA4" w:rsidRPr="0094571F">
        <w:t xml:space="preserve">. </w:t>
      </w:r>
      <w:r w:rsidRPr="0094571F">
        <w:t>K</w:t>
      </w:r>
      <w:r w:rsidR="00780B4D" w:rsidRPr="0094571F">
        <w:t>ey resourc</w:t>
      </w:r>
      <w:r w:rsidRPr="0094571F">
        <w:t xml:space="preserve">es </w:t>
      </w:r>
      <w:r w:rsidR="00704A79" w:rsidRPr="0094571F">
        <w:t xml:space="preserve">including </w:t>
      </w:r>
      <w:r w:rsidRPr="0094571F">
        <w:t xml:space="preserve">searches and an EMIS template </w:t>
      </w:r>
      <w:r w:rsidR="00D87CD1" w:rsidRPr="0094571F">
        <w:t xml:space="preserve">were developed to standardise data collection. </w:t>
      </w:r>
      <w:r w:rsidR="00A42B2E" w:rsidRPr="0094571F">
        <w:t xml:space="preserve">Searches </w:t>
      </w:r>
      <w:r w:rsidR="001C0D9B" w:rsidRPr="0094571F">
        <w:t xml:space="preserve">were built to </w:t>
      </w:r>
      <w:r w:rsidR="00A42B2E" w:rsidRPr="0094571F">
        <w:t>identif</w:t>
      </w:r>
      <w:r w:rsidR="001C0D9B" w:rsidRPr="0094571F">
        <w:t>y</w:t>
      </w:r>
      <w:r w:rsidR="00A42B2E" w:rsidRPr="0094571F">
        <w:t xml:space="preserve"> </w:t>
      </w:r>
      <w:r w:rsidR="00AF7357" w:rsidRPr="0094571F">
        <w:t xml:space="preserve">frail </w:t>
      </w:r>
      <w:r w:rsidR="00A42B2E" w:rsidRPr="0094571F">
        <w:t xml:space="preserve">patients over </w:t>
      </w:r>
      <w:r w:rsidR="00264DED" w:rsidRPr="0094571F">
        <w:t>65</w:t>
      </w:r>
      <w:r w:rsidR="00A42B2E" w:rsidRPr="0094571F">
        <w:t xml:space="preserve"> years old </w:t>
      </w:r>
      <w:r w:rsidR="00AF7357" w:rsidRPr="0094571F">
        <w:t xml:space="preserve">with low </w:t>
      </w:r>
      <w:r w:rsidR="00A42B2E" w:rsidRPr="0094571F">
        <w:t>HbA1c</w:t>
      </w:r>
      <w:r w:rsidR="001C0D9B" w:rsidRPr="0094571F">
        <w:t xml:space="preserve"> prescribed </w:t>
      </w:r>
      <w:r w:rsidR="00AF7357" w:rsidRPr="0094571F">
        <w:t xml:space="preserve">blood glucose lowering agents. </w:t>
      </w:r>
    </w:p>
    <w:p w:rsidR="0094571F" w:rsidRPr="0094571F" w:rsidRDefault="0094571F" w:rsidP="0094571F">
      <w:pPr>
        <w:pStyle w:val="NoSpacing"/>
      </w:pPr>
    </w:p>
    <w:p w:rsidR="003E1C6E" w:rsidRPr="0094571F" w:rsidRDefault="00D87CD1" w:rsidP="0094571F">
      <w:pPr>
        <w:pStyle w:val="NoSpacing"/>
      </w:pPr>
      <w:r w:rsidRPr="0094571F">
        <w:t>Pharmacists</w:t>
      </w:r>
      <w:r w:rsidR="004C504B" w:rsidRPr="0094571F">
        <w:t xml:space="preserve"> conducted notes based reviews and arranged</w:t>
      </w:r>
      <w:r w:rsidR="00B44117" w:rsidRPr="0094571F">
        <w:t xml:space="preserve"> </w:t>
      </w:r>
      <w:r w:rsidRPr="0094571F">
        <w:t>MDT meeting</w:t>
      </w:r>
      <w:r w:rsidR="00B44117" w:rsidRPr="0094571F">
        <w:t>s</w:t>
      </w:r>
      <w:r w:rsidRPr="0094571F">
        <w:t xml:space="preserve"> with key clinicians to discuss medication</w:t>
      </w:r>
      <w:r w:rsidR="00B44117" w:rsidRPr="0094571F">
        <w:t xml:space="preserve"> optimisation </w:t>
      </w:r>
      <w:r w:rsidR="003126DA" w:rsidRPr="0094571F">
        <w:t>recommendations</w:t>
      </w:r>
      <w:r w:rsidR="00BC5CAE" w:rsidRPr="0094571F">
        <w:t xml:space="preserve"> and share key messages</w:t>
      </w:r>
      <w:r w:rsidRPr="0094571F">
        <w:t>.</w:t>
      </w:r>
      <w:r w:rsidR="003A1EEA" w:rsidRPr="0094571F">
        <w:t xml:space="preserve"> </w:t>
      </w:r>
      <w:r w:rsidR="004C504B" w:rsidRPr="0094571F">
        <w:t>T</w:t>
      </w:r>
      <w:r w:rsidR="00264DED" w:rsidRPr="0094571F">
        <w:t xml:space="preserve">he project focused on diabetes medication </w:t>
      </w:r>
      <w:r w:rsidR="004C504B" w:rsidRPr="0094571F">
        <w:t>optimisation;</w:t>
      </w:r>
      <w:r w:rsidR="00AF7357" w:rsidRPr="0094571F">
        <w:t xml:space="preserve"> </w:t>
      </w:r>
      <w:r w:rsidR="004C504B" w:rsidRPr="0094571F">
        <w:t xml:space="preserve">however, </w:t>
      </w:r>
      <w:r w:rsidR="00264DED" w:rsidRPr="0094571F">
        <w:t xml:space="preserve">other polypharmacy issues </w:t>
      </w:r>
      <w:r w:rsidR="00AF7357" w:rsidRPr="0094571F">
        <w:t xml:space="preserve">identified during the reviews were </w:t>
      </w:r>
      <w:r w:rsidR="004C504B" w:rsidRPr="0094571F">
        <w:t xml:space="preserve">also </w:t>
      </w:r>
      <w:r w:rsidR="00AF7357" w:rsidRPr="0094571F">
        <w:t>discussed</w:t>
      </w:r>
      <w:r w:rsidR="006D772F" w:rsidRPr="0094571F">
        <w:t xml:space="preserve">. </w:t>
      </w:r>
      <w:r w:rsidR="003A1EEA" w:rsidRPr="0094571F">
        <w:t>A</w:t>
      </w:r>
      <w:r w:rsidR="003E1C6E" w:rsidRPr="0094571F">
        <w:t>ction plans were agre</w:t>
      </w:r>
      <w:r w:rsidR="003A1EEA" w:rsidRPr="0094571F">
        <w:t>ed to ensure key messages became</w:t>
      </w:r>
      <w:r w:rsidR="003E1C6E" w:rsidRPr="0094571F">
        <w:t xml:space="preserve"> embedded into normal practice</w:t>
      </w:r>
      <w:r w:rsidR="001747DE" w:rsidRPr="0094571F">
        <w:t xml:space="preserve"> and practices obtained feedback quarterly via </w:t>
      </w:r>
      <w:r w:rsidR="003126DA" w:rsidRPr="0094571F">
        <w:t>the p</w:t>
      </w:r>
      <w:r w:rsidR="001747DE" w:rsidRPr="0094571F">
        <w:t xml:space="preserve">rescribing </w:t>
      </w:r>
      <w:r w:rsidR="003126DA" w:rsidRPr="0094571F">
        <w:t>d</w:t>
      </w:r>
      <w:r w:rsidR="001747DE" w:rsidRPr="0094571F">
        <w:t>ashboard.</w:t>
      </w:r>
      <w:r w:rsidR="003E1C6E" w:rsidRPr="0094571F">
        <w:t xml:space="preserve"> </w:t>
      </w:r>
      <w:r w:rsidR="00704A79" w:rsidRPr="0094571F">
        <w:t xml:space="preserve">Implementation of agreed actions </w:t>
      </w:r>
      <w:r w:rsidR="003E1C6E" w:rsidRPr="0094571F">
        <w:t xml:space="preserve">was </w:t>
      </w:r>
      <w:r w:rsidR="00704A79" w:rsidRPr="0094571F">
        <w:t>assessed by audit at year end</w:t>
      </w:r>
      <w:r w:rsidR="003E1C6E" w:rsidRPr="0094571F">
        <w:t xml:space="preserve">. </w:t>
      </w:r>
    </w:p>
    <w:p w:rsidR="0094571F" w:rsidRDefault="0094571F" w:rsidP="0094571F">
      <w:pPr>
        <w:pStyle w:val="NoSpacing"/>
      </w:pPr>
    </w:p>
    <w:p w:rsidR="000978FD" w:rsidRPr="0094571F" w:rsidRDefault="00B40589" w:rsidP="0094571F">
      <w:pPr>
        <w:pStyle w:val="Heading2"/>
        <w:rPr>
          <w:color w:val="FF0000"/>
        </w:rPr>
      </w:pPr>
      <w:r w:rsidRPr="0094571F">
        <w:lastRenderedPageBreak/>
        <w:t>Results</w:t>
      </w:r>
      <w:r w:rsidR="00CF5A8B" w:rsidRPr="0094571F">
        <w:rPr>
          <w:color w:val="FF0000"/>
        </w:rPr>
        <w:t xml:space="preserve"> </w:t>
      </w:r>
    </w:p>
    <w:p w:rsidR="0094571F" w:rsidRDefault="008D1E20" w:rsidP="0094571F">
      <w:pPr>
        <w:pStyle w:val="NoSpacing"/>
      </w:pPr>
      <w:r w:rsidRPr="0094571F">
        <w:t>All practices</w:t>
      </w:r>
      <w:r w:rsidR="00B253CC">
        <w:t xml:space="preserve"> took part in the project and</w:t>
      </w:r>
      <w:r w:rsidRPr="0094571F">
        <w:t xml:space="preserve"> </w:t>
      </w:r>
      <w:r w:rsidR="00B253CC">
        <w:t>worked</w:t>
      </w:r>
      <w:r w:rsidR="0013179C">
        <w:t xml:space="preserve"> </w:t>
      </w:r>
      <w:r w:rsidR="00B253CC">
        <w:t xml:space="preserve">collaboratively </w:t>
      </w:r>
      <w:r w:rsidR="00E03DCE">
        <w:t xml:space="preserve">to reduce </w:t>
      </w:r>
      <w:r w:rsidR="00B253CC">
        <w:t>polypharmacy and the harms a</w:t>
      </w:r>
      <w:r w:rsidR="00E03DCE">
        <w:t>ssociated with aiming for tight</w:t>
      </w:r>
      <w:r w:rsidR="00B253CC">
        <w:t xml:space="preserve"> HbA1c</w:t>
      </w:r>
      <w:r w:rsidR="00E03DCE">
        <w:t xml:space="preserve"> targets</w:t>
      </w:r>
      <w:r w:rsidR="00B253CC">
        <w:t xml:space="preserve"> in people with type </w:t>
      </w:r>
      <w:proofErr w:type="gramStart"/>
      <w:r w:rsidR="00B253CC">
        <w:t>2 diabetes</w:t>
      </w:r>
      <w:proofErr w:type="gramEnd"/>
      <w:r w:rsidR="00B253CC">
        <w:t xml:space="preserve"> and frailty</w:t>
      </w:r>
      <w:r w:rsidR="000A643E" w:rsidRPr="0094571F">
        <w:t>. M</w:t>
      </w:r>
      <w:r w:rsidR="004C504B" w:rsidRPr="0094571F">
        <w:t>eetings took place with</w:t>
      </w:r>
      <w:r w:rsidR="00610D6C" w:rsidRPr="0094571F">
        <w:t xml:space="preserve"> 43 </w:t>
      </w:r>
      <w:r w:rsidR="00AC4E82">
        <w:t>GPs</w:t>
      </w:r>
      <w:r w:rsidR="0013179C">
        <w:t xml:space="preserve"> and i</w:t>
      </w:r>
      <w:r w:rsidR="00AC4E82">
        <w:t>n most cases, practice nurses and pharmacists also attended.</w:t>
      </w:r>
    </w:p>
    <w:p w:rsidR="00AC4E82" w:rsidRPr="0094571F" w:rsidRDefault="00AC4E82" w:rsidP="0094571F">
      <w:pPr>
        <w:pStyle w:val="NoSpacing"/>
      </w:pPr>
    </w:p>
    <w:p w:rsidR="00A030BC" w:rsidRDefault="006877FB" w:rsidP="00CA3DEF">
      <w:pPr>
        <w:pStyle w:val="NoSpacing"/>
      </w:pPr>
      <w:r w:rsidRPr="0094571F">
        <w:t xml:space="preserve">Over 400 patient records were </w:t>
      </w:r>
      <w:r w:rsidR="00CA3DEF">
        <w:t>reviewed by the MM pharmacists</w:t>
      </w:r>
      <w:r w:rsidR="0013179C">
        <w:t>. M</w:t>
      </w:r>
      <w:r w:rsidR="00CB5DB3" w:rsidRPr="0094571F">
        <w:t xml:space="preserve">any practices chose to review </w:t>
      </w:r>
      <w:r w:rsidR="00CB5DB3">
        <w:t xml:space="preserve">more patients </w:t>
      </w:r>
      <w:r w:rsidR="00AC4E82">
        <w:t xml:space="preserve">once the level of risk had become apparent. </w:t>
      </w:r>
    </w:p>
    <w:p w:rsidR="00A030BC" w:rsidRDefault="00A030BC" w:rsidP="00CA3DEF">
      <w:pPr>
        <w:pStyle w:val="NoSpacing"/>
      </w:pPr>
    </w:p>
    <w:p w:rsidR="009C7617" w:rsidRDefault="00CA3DEF" w:rsidP="009C7617">
      <w:pPr>
        <w:pStyle w:val="NoSpacing"/>
      </w:pPr>
      <w:r>
        <w:t xml:space="preserve">93% </w:t>
      </w:r>
      <w:r w:rsidR="00D45DD1">
        <w:t xml:space="preserve">(n=436) </w:t>
      </w:r>
      <w:r>
        <w:t xml:space="preserve">of recommendations made by the MM pharmacists </w:t>
      </w:r>
      <w:r w:rsidRPr="0094571F">
        <w:t xml:space="preserve">to de-escalate treatment </w:t>
      </w:r>
      <w:r>
        <w:t>were</w:t>
      </w:r>
      <w:r w:rsidRPr="0094571F">
        <w:t xml:space="preserve"> accepted</w:t>
      </w:r>
      <w:r>
        <w:t xml:space="preserve">. </w:t>
      </w:r>
      <w:r w:rsidR="009C7617">
        <w:t xml:space="preserve"> </w:t>
      </w:r>
      <w:r w:rsidR="00B253CC">
        <w:t>As a result of</w:t>
      </w:r>
      <w:r w:rsidR="00C47799">
        <w:t xml:space="preserve"> our</w:t>
      </w:r>
      <w:r w:rsidR="009C7617">
        <w:t xml:space="preserve"> CCG MM</w:t>
      </w:r>
      <w:r w:rsidR="00B253CC">
        <w:t xml:space="preserve"> pharmacist led reviews, </w:t>
      </w:r>
      <w:r>
        <w:t>55%</w:t>
      </w:r>
      <w:r w:rsidR="00D45DD1">
        <w:t xml:space="preserve"> (n=</w:t>
      </w:r>
      <w:r w:rsidR="00D45DD1" w:rsidRPr="00D45DD1">
        <w:rPr>
          <w:rFonts w:eastAsiaTheme="minorEastAsia" w:hAnsi="Calibri"/>
          <w:color w:val="000000" w:themeColor="text1"/>
          <w:kern w:val="24"/>
        </w:rPr>
        <w:t xml:space="preserve"> </w:t>
      </w:r>
      <w:r w:rsidR="00D45DD1">
        <w:t>238)</w:t>
      </w:r>
      <w:r>
        <w:t xml:space="preserve"> </w:t>
      </w:r>
      <w:r w:rsidR="00160C23">
        <w:t>of</w:t>
      </w:r>
      <w:r w:rsidR="0013179C">
        <w:t xml:space="preserve"> patients had a blood glucose lowering agent stopped</w:t>
      </w:r>
      <w:r w:rsidR="00C47799">
        <w:t xml:space="preserve">. </w:t>
      </w:r>
      <w:r>
        <w:t>45%</w:t>
      </w:r>
      <w:r w:rsidR="00D45DD1">
        <w:t xml:space="preserve"> (n=198)</w:t>
      </w:r>
      <w:r>
        <w:t xml:space="preserve"> </w:t>
      </w:r>
      <w:r w:rsidR="00B253CC">
        <w:t xml:space="preserve">of </w:t>
      </w:r>
      <w:r w:rsidR="0013179C">
        <w:t>patient</w:t>
      </w:r>
      <w:r w:rsidR="00B253CC">
        <w:t>s</w:t>
      </w:r>
      <w:r w:rsidR="0013179C">
        <w:t xml:space="preserve"> had a </w:t>
      </w:r>
      <w:r w:rsidR="00B253CC">
        <w:t xml:space="preserve">medication change </w:t>
      </w:r>
      <w:r w:rsidR="0013179C">
        <w:t>whereby the blood glucose lowering agent was continued</w:t>
      </w:r>
      <w:r w:rsidR="00C47799">
        <w:t>,</w:t>
      </w:r>
      <w:r>
        <w:t xml:space="preserve"> </w:t>
      </w:r>
      <w:r w:rsidR="00D45DD1">
        <w:t xml:space="preserve">but </w:t>
      </w:r>
      <w:r>
        <w:t>at a lowered dose</w:t>
      </w:r>
      <w:r w:rsidR="00CB5DB3">
        <w:t xml:space="preserve">. </w:t>
      </w:r>
      <w:r w:rsidR="002C67CA">
        <w:t>I</w:t>
      </w:r>
      <w:r w:rsidR="009C7617">
        <w:t>nappropriate prescribing</w:t>
      </w:r>
      <w:r w:rsidR="002C67CA">
        <w:t xml:space="preserve"> due to</w:t>
      </w:r>
      <w:r w:rsidR="009C7617">
        <w:t xml:space="preserve"> polypharmacy, </w:t>
      </w:r>
      <w:r w:rsidR="002C67CA">
        <w:t xml:space="preserve">drug interactions, </w:t>
      </w:r>
      <w:r w:rsidR="009C7617">
        <w:t xml:space="preserve">co-morbidities, renal impairment, lack of evidence </w:t>
      </w:r>
      <w:r w:rsidR="002C67CA">
        <w:t xml:space="preserve">and/or </w:t>
      </w:r>
      <w:r w:rsidR="009C7617">
        <w:t>not meeting NICE targets</w:t>
      </w:r>
      <w:r w:rsidR="002C67CA">
        <w:t xml:space="preserve"> to continue were the main reasons for therapy changes. </w:t>
      </w:r>
    </w:p>
    <w:p w:rsidR="009C7617" w:rsidRDefault="009C7617" w:rsidP="00CA3DEF">
      <w:pPr>
        <w:pStyle w:val="NoSpacing"/>
      </w:pPr>
    </w:p>
    <w:p w:rsidR="00CA3DEF" w:rsidRDefault="00CB5DB3" w:rsidP="00CA3DEF">
      <w:pPr>
        <w:pStyle w:val="NoSpacing"/>
      </w:pPr>
      <w:r>
        <w:t>The chart below shows a breakdown of the agents stopped/reduced as a re</w:t>
      </w:r>
      <w:r w:rsidR="00D45DD1">
        <w:t>sult</w:t>
      </w:r>
      <w:r w:rsidR="000C3087">
        <w:t xml:space="preserve"> of </w:t>
      </w:r>
      <w:r w:rsidR="00D45DD1">
        <w:t xml:space="preserve">MM led reviews. Approximately 20% (n=79) </w:t>
      </w:r>
      <w:r w:rsidR="000C3087">
        <w:t xml:space="preserve">of </w:t>
      </w:r>
      <w:r w:rsidR="00D45DD1">
        <w:t>r</w:t>
      </w:r>
      <w:r w:rsidR="000C3087">
        <w:t>ecommendations</w:t>
      </w:r>
      <w:r w:rsidR="00D45DD1">
        <w:t xml:space="preserve"> </w:t>
      </w:r>
      <w:r w:rsidR="00EE71AA">
        <w:t xml:space="preserve">were owing to </w:t>
      </w:r>
      <w:r w:rsidR="00D45DD1">
        <w:t>renal</w:t>
      </w:r>
      <w:r w:rsidR="00EE71AA">
        <w:t xml:space="preserve"> function decline where blood glucose lowering therapies should have been reduced/stopped in line with manufacture recommendations</w:t>
      </w:r>
      <w:r w:rsidR="00D45DD1">
        <w:t xml:space="preserve">. </w:t>
      </w:r>
    </w:p>
    <w:p w:rsidR="00160C23" w:rsidRDefault="00160C23" w:rsidP="00CA3DEF">
      <w:pPr>
        <w:pStyle w:val="NoSpacing"/>
      </w:pPr>
    </w:p>
    <w:p w:rsidR="00160C23" w:rsidRDefault="00CB5DB3" w:rsidP="00CA3DEF">
      <w:pPr>
        <w:pStyle w:val="NoSpacing"/>
      </w:pPr>
      <w:r>
        <w:rPr>
          <w:noProof/>
          <w:lang w:eastAsia="en-GB"/>
        </w:rPr>
        <w:drawing>
          <wp:anchor distT="0" distB="0" distL="114300" distR="114300" simplePos="0" relativeHeight="251658240" behindDoc="0" locked="0" layoutInCell="1" allowOverlap="1" wp14:anchorId="519ABBC3" wp14:editId="3822116A">
            <wp:simplePos x="0" y="0"/>
            <wp:positionH relativeFrom="column">
              <wp:posOffset>224286</wp:posOffset>
            </wp:positionH>
            <wp:positionV relativeFrom="paragraph">
              <wp:posOffset>35608</wp:posOffset>
            </wp:positionV>
            <wp:extent cx="6254151" cy="2656936"/>
            <wp:effectExtent l="0" t="0" r="13335" b="1016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CA3DEF" w:rsidRDefault="00CA3DEF" w:rsidP="0094571F">
      <w:pPr>
        <w:pStyle w:val="NoSpacing"/>
      </w:pPr>
    </w:p>
    <w:p w:rsidR="00160C23" w:rsidRDefault="00160C23" w:rsidP="0094571F">
      <w:pPr>
        <w:pStyle w:val="NoSpacing"/>
      </w:pPr>
    </w:p>
    <w:p w:rsidR="00160C23" w:rsidRDefault="00160C23" w:rsidP="0094571F">
      <w:pPr>
        <w:pStyle w:val="NoSpacing"/>
      </w:pPr>
    </w:p>
    <w:p w:rsidR="00160C23" w:rsidRDefault="00160C23" w:rsidP="0094571F">
      <w:pPr>
        <w:pStyle w:val="NoSpacing"/>
      </w:pPr>
    </w:p>
    <w:p w:rsidR="00160C23" w:rsidRDefault="00160C23" w:rsidP="0094571F">
      <w:pPr>
        <w:pStyle w:val="NoSpacing"/>
      </w:pPr>
    </w:p>
    <w:p w:rsidR="00160C23" w:rsidRDefault="00160C23" w:rsidP="0094571F">
      <w:pPr>
        <w:pStyle w:val="NoSpacing"/>
      </w:pPr>
    </w:p>
    <w:p w:rsidR="00160C23" w:rsidRDefault="00160C23" w:rsidP="0094571F">
      <w:pPr>
        <w:pStyle w:val="NoSpacing"/>
      </w:pPr>
    </w:p>
    <w:p w:rsidR="00160C23" w:rsidRDefault="00160C23" w:rsidP="0094571F">
      <w:pPr>
        <w:pStyle w:val="NoSpacing"/>
      </w:pPr>
    </w:p>
    <w:p w:rsidR="00160C23" w:rsidRDefault="00160C23" w:rsidP="0094571F">
      <w:pPr>
        <w:pStyle w:val="NoSpacing"/>
      </w:pPr>
    </w:p>
    <w:p w:rsidR="00160C23" w:rsidRDefault="00160C23" w:rsidP="0094571F">
      <w:pPr>
        <w:pStyle w:val="NoSpacing"/>
      </w:pPr>
    </w:p>
    <w:p w:rsidR="00160C23" w:rsidRDefault="00160C23" w:rsidP="0094571F">
      <w:pPr>
        <w:pStyle w:val="NoSpacing"/>
      </w:pPr>
    </w:p>
    <w:p w:rsidR="00160C23" w:rsidRDefault="00160C23" w:rsidP="0094571F">
      <w:pPr>
        <w:pStyle w:val="NoSpacing"/>
      </w:pPr>
    </w:p>
    <w:p w:rsidR="00160C23" w:rsidRDefault="00160C23" w:rsidP="0094571F">
      <w:pPr>
        <w:pStyle w:val="NoSpacing"/>
      </w:pPr>
    </w:p>
    <w:p w:rsidR="00160C23" w:rsidRDefault="00160C23" w:rsidP="0094571F">
      <w:pPr>
        <w:pStyle w:val="NoSpacing"/>
      </w:pPr>
    </w:p>
    <w:p w:rsidR="009C7617" w:rsidRDefault="009C7617" w:rsidP="0094571F">
      <w:pPr>
        <w:pStyle w:val="NoSpacing"/>
      </w:pPr>
      <w:r>
        <w:t xml:space="preserve"> </w:t>
      </w:r>
    </w:p>
    <w:p w:rsidR="00EE71AA" w:rsidRDefault="00B253CC" w:rsidP="0094571F">
      <w:pPr>
        <w:pStyle w:val="NoSpacing"/>
      </w:pPr>
      <w:r>
        <w:t xml:space="preserve">                </w:t>
      </w:r>
      <w:r w:rsidR="009C7617">
        <w:t xml:space="preserve">                             </w:t>
      </w:r>
      <w:r>
        <w:t xml:space="preserve"> *N</w:t>
      </w:r>
      <w:r w:rsidR="0013179C">
        <w:t xml:space="preserve">ote- </w:t>
      </w:r>
      <w:r>
        <w:t>some patients had more than one intervention per patient</w:t>
      </w:r>
      <w:r w:rsidR="0013179C">
        <w:t xml:space="preserve"> </w:t>
      </w:r>
    </w:p>
    <w:p w:rsidR="0013179C" w:rsidRDefault="0013179C" w:rsidP="0094571F">
      <w:pPr>
        <w:pStyle w:val="NoSpacing"/>
      </w:pPr>
    </w:p>
    <w:p w:rsidR="0013179C" w:rsidRDefault="0013179C" w:rsidP="0013179C">
      <w:pPr>
        <w:pStyle w:val="NoSpacing"/>
      </w:pPr>
      <w:r>
        <w:t>541 medication optimisation recommendations not relating to blood glucose management were also made.</w:t>
      </w:r>
    </w:p>
    <w:p w:rsidR="009C7617" w:rsidRDefault="009C7617" w:rsidP="00D45DD1">
      <w:pPr>
        <w:pStyle w:val="NoSpacing"/>
      </w:pPr>
    </w:p>
    <w:p w:rsidR="00D45DD1" w:rsidRDefault="00D45DD1" w:rsidP="00D45DD1">
      <w:pPr>
        <w:pStyle w:val="NoSpacing"/>
      </w:pPr>
      <w:r>
        <w:t xml:space="preserve">Of the </w:t>
      </w:r>
      <w:r w:rsidR="00C47799">
        <w:t xml:space="preserve">elderly </w:t>
      </w:r>
      <w:r>
        <w:t>patients re</w:t>
      </w:r>
      <w:r w:rsidR="00380307">
        <w:t xml:space="preserve">viewed, </w:t>
      </w:r>
      <w:r>
        <w:t>60%</w:t>
      </w:r>
      <w:r w:rsidR="00F9432C">
        <w:t xml:space="preserve"> (n=204)</w:t>
      </w:r>
      <w:r>
        <w:t xml:space="preserve"> </w:t>
      </w:r>
      <w:r w:rsidR="00F9432C">
        <w:t>were fou</w:t>
      </w:r>
      <w:r w:rsidR="00EE71AA">
        <w:t>nd to have a recent</w:t>
      </w:r>
      <w:r w:rsidR="00F9432C">
        <w:t xml:space="preserve"> </w:t>
      </w:r>
      <w:r w:rsidR="00380307">
        <w:t>HbA1c</w:t>
      </w:r>
      <w:r w:rsidR="00F9432C">
        <w:t xml:space="preserve"> of ≤</w:t>
      </w:r>
      <w:r w:rsidR="00380307">
        <w:t>48mmol/</w:t>
      </w:r>
      <w:proofErr w:type="spellStart"/>
      <w:r w:rsidR="00380307">
        <w:t>mol</w:t>
      </w:r>
      <w:proofErr w:type="spellEnd"/>
      <w:r w:rsidR="00EE71AA">
        <w:t>,</w:t>
      </w:r>
      <w:r w:rsidR="00F9432C">
        <w:t xml:space="preserve"> of which 19% (n=66)</w:t>
      </w:r>
      <w:r w:rsidR="00EE71AA">
        <w:t xml:space="preserve"> had</w:t>
      </w:r>
      <w:r w:rsidR="00F9432C">
        <w:t xml:space="preserve"> an HbA1c ≤</w:t>
      </w:r>
      <w:r w:rsidR="00EE71AA">
        <w:t xml:space="preserve"> </w:t>
      </w:r>
      <w:r w:rsidR="00F9432C">
        <w:t>42mmol/mol.</w:t>
      </w:r>
      <w:r w:rsidR="00EE71AA">
        <w:t xml:space="preserve"> All these patients were</w:t>
      </w:r>
      <w:r w:rsidR="00F9432C">
        <w:t xml:space="preserve"> receiving bl</w:t>
      </w:r>
      <w:r w:rsidR="00E03DCE">
        <w:t>ood glucose lowe</w:t>
      </w:r>
      <w:r w:rsidR="00BA6A9B">
        <w:t>ring therapies. Where HbA1c was deemed unreliable for</w:t>
      </w:r>
      <w:r w:rsidR="00E03DCE">
        <w:t xml:space="preserve"> example</w:t>
      </w:r>
      <w:r w:rsidR="00BA6A9B">
        <w:t xml:space="preserve"> due to</w:t>
      </w:r>
      <w:r w:rsidR="00E03DCE">
        <w:t xml:space="preserve"> severe CKD, these reading were excluded. </w:t>
      </w:r>
      <w:r w:rsidR="00F9432C">
        <w:t xml:space="preserve"> The graph below details the breakdown of patients according to HbA1c categories. </w:t>
      </w:r>
    </w:p>
    <w:p w:rsidR="00F9432C" w:rsidRDefault="008B35F0" w:rsidP="00D45DD1">
      <w:pPr>
        <w:pStyle w:val="NoSpacing"/>
      </w:pPr>
      <w:r>
        <w:rPr>
          <w:noProof/>
          <w:lang w:eastAsia="en-GB"/>
        </w:rPr>
        <w:drawing>
          <wp:anchor distT="0" distB="0" distL="114300" distR="114300" simplePos="0" relativeHeight="251659264" behindDoc="0" locked="0" layoutInCell="1" allowOverlap="1" wp14:anchorId="0FFD77D3" wp14:editId="09EA9E24">
            <wp:simplePos x="0" y="0"/>
            <wp:positionH relativeFrom="column">
              <wp:posOffset>1190445</wp:posOffset>
            </wp:positionH>
            <wp:positionV relativeFrom="paragraph">
              <wp:posOffset>100965</wp:posOffset>
            </wp:positionV>
            <wp:extent cx="4287329" cy="2337758"/>
            <wp:effectExtent l="0" t="0" r="18415" b="2476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F9432C" w:rsidRDefault="00F9432C" w:rsidP="00D45DD1">
      <w:pPr>
        <w:pStyle w:val="NoSpacing"/>
      </w:pPr>
    </w:p>
    <w:p w:rsidR="00D45DD1" w:rsidRDefault="00D45DD1" w:rsidP="0094571F">
      <w:pPr>
        <w:pStyle w:val="NoSpacing"/>
      </w:pPr>
    </w:p>
    <w:p w:rsidR="00F9432C" w:rsidRDefault="00F9432C" w:rsidP="0094571F">
      <w:pPr>
        <w:pStyle w:val="NoSpacing"/>
      </w:pPr>
    </w:p>
    <w:p w:rsidR="00F9432C" w:rsidRDefault="00F9432C" w:rsidP="0094571F">
      <w:pPr>
        <w:pStyle w:val="NoSpacing"/>
      </w:pPr>
    </w:p>
    <w:p w:rsidR="00F9432C" w:rsidRDefault="00F9432C" w:rsidP="0094571F">
      <w:pPr>
        <w:pStyle w:val="NoSpacing"/>
      </w:pPr>
    </w:p>
    <w:p w:rsidR="00F9432C" w:rsidRDefault="00F9432C" w:rsidP="0094571F">
      <w:pPr>
        <w:pStyle w:val="NoSpacing"/>
      </w:pPr>
    </w:p>
    <w:p w:rsidR="00F9432C" w:rsidRDefault="00F9432C" w:rsidP="0094571F">
      <w:pPr>
        <w:pStyle w:val="NoSpacing"/>
      </w:pPr>
    </w:p>
    <w:p w:rsidR="00F9432C" w:rsidRDefault="00F9432C" w:rsidP="0094571F">
      <w:pPr>
        <w:pStyle w:val="NoSpacing"/>
      </w:pPr>
    </w:p>
    <w:p w:rsidR="00F9432C" w:rsidRDefault="00F9432C" w:rsidP="0094571F">
      <w:pPr>
        <w:pStyle w:val="NoSpacing"/>
      </w:pPr>
    </w:p>
    <w:p w:rsidR="00F9432C" w:rsidRDefault="00F9432C" w:rsidP="0094571F">
      <w:pPr>
        <w:pStyle w:val="NoSpacing"/>
      </w:pPr>
    </w:p>
    <w:p w:rsidR="00F9432C" w:rsidRDefault="00F9432C" w:rsidP="0094571F">
      <w:pPr>
        <w:pStyle w:val="NoSpacing"/>
      </w:pPr>
    </w:p>
    <w:p w:rsidR="00F9432C" w:rsidRDefault="00F9432C" w:rsidP="0094571F">
      <w:pPr>
        <w:pStyle w:val="NoSpacing"/>
      </w:pPr>
    </w:p>
    <w:p w:rsidR="00F9432C" w:rsidRDefault="00F9432C" w:rsidP="0094571F">
      <w:pPr>
        <w:pStyle w:val="NoSpacing"/>
      </w:pPr>
    </w:p>
    <w:p w:rsidR="00F9432C" w:rsidRDefault="00F9432C" w:rsidP="0094571F">
      <w:pPr>
        <w:pStyle w:val="NoSpacing"/>
      </w:pPr>
    </w:p>
    <w:p w:rsidR="00492292" w:rsidRDefault="00CA3AC7" w:rsidP="0094571F">
      <w:pPr>
        <w:pStyle w:val="NoSpacing"/>
      </w:pPr>
      <w:r>
        <w:lastRenderedPageBreak/>
        <w:t xml:space="preserve">Throughout </w:t>
      </w:r>
      <w:r w:rsidR="00492292">
        <w:t>the project, MM pharmacists delivered a number of education and training</w:t>
      </w:r>
      <w:r w:rsidR="0004704F">
        <w:t xml:space="preserve"> sessions, both at practice and</w:t>
      </w:r>
      <w:r w:rsidR="00492292">
        <w:t xml:space="preserve"> CCG level. Key events included CCG diabetes locally co</w:t>
      </w:r>
      <w:r w:rsidR="00F203FF">
        <w:t>m</w:t>
      </w:r>
      <w:r w:rsidR="00492292">
        <w:t>missioned service update meetings</w:t>
      </w:r>
      <w:r w:rsidR="00CE152E">
        <w:t xml:space="preserve">, healthy living pharmacy events and a local Royal Pharmaceutical Society (RPS) </w:t>
      </w:r>
      <w:r w:rsidR="00492292">
        <w:t>evening</w:t>
      </w:r>
      <w:r w:rsidR="00CE152E">
        <w:t xml:space="preserve"> event. The table below outlines the quantitative feedback from these focused events.</w:t>
      </w:r>
    </w:p>
    <w:p w:rsidR="00CE152E" w:rsidRDefault="00CE152E" w:rsidP="0094571F">
      <w:pPr>
        <w:pStyle w:val="NoSpacing"/>
      </w:pPr>
    </w:p>
    <w:tbl>
      <w:tblPr>
        <w:tblW w:w="9423" w:type="dxa"/>
        <w:tblInd w:w="525" w:type="dxa"/>
        <w:tblLook w:val="04A0" w:firstRow="1" w:lastRow="0" w:firstColumn="1" w:lastColumn="0" w:noHBand="0" w:noVBand="1"/>
      </w:tblPr>
      <w:tblGrid>
        <w:gridCol w:w="5019"/>
        <w:gridCol w:w="1367"/>
        <w:gridCol w:w="1010"/>
        <w:gridCol w:w="1017"/>
        <w:gridCol w:w="1010"/>
      </w:tblGrid>
      <w:tr w:rsidR="00444C5B" w:rsidRPr="00444C5B" w:rsidTr="00BA6A9B">
        <w:trPr>
          <w:trHeight w:val="188"/>
        </w:trPr>
        <w:tc>
          <w:tcPr>
            <w:tcW w:w="50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4C5B" w:rsidRPr="00BA6A9B" w:rsidRDefault="00444C5B" w:rsidP="00444C5B">
            <w:pPr>
              <w:spacing w:after="0" w:line="240" w:lineRule="auto"/>
              <w:rPr>
                <w:rFonts w:ascii="Calibri" w:eastAsia="Times New Roman" w:hAnsi="Calibri" w:cs="Times New Roman"/>
                <w:b/>
                <w:bCs/>
                <w:color w:val="000000"/>
                <w:lang w:eastAsia="en-GB"/>
              </w:rPr>
            </w:pPr>
            <w:r w:rsidRPr="00BA6A9B">
              <w:rPr>
                <w:rFonts w:ascii="Calibri" w:eastAsia="Times New Roman" w:hAnsi="Calibri" w:cs="Times New Roman"/>
                <w:b/>
                <w:bCs/>
                <w:color w:val="000000"/>
                <w:lang w:eastAsia="en-GB"/>
              </w:rPr>
              <w:t xml:space="preserve">Event </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444C5B" w:rsidRPr="00BA6A9B" w:rsidRDefault="00444C5B" w:rsidP="00444C5B">
            <w:pPr>
              <w:spacing w:after="0" w:line="240" w:lineRule="auto"/>
              <w:rPr>
                <w:rFonts w:ascii="Calibri" w:eastAsia="Times New Roman" w:hAnsi="Calibri" w:cs="Times New Roman"/>
                <w:b/>
                <w:bCs/>
                <w:color w:val="000000"/>
                <w:lang w:eastAsia="en-GB"/>
              </w:rPr>
            </w:pPr>
            <w:r w:rsidRPr="00BA6A9B">
              <w:rPr>
                <w:rFonts w:ascii="Calibri" w:eastAsia="Times New Roman" w:hAnsi="Calibri" w:cs="Times New Roman"/>
                <w:b/>
                <w:bCs/>
                <w:color w:val="000000"/>
                <w:lang w:eastAsia="en-GB"/>
              </w:rPr>
              <w:t>Excellent</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444C5B" w:rsidRPr="00BA6A9B" w:rsidRDefault="00444C5B" w:rsidP="00444C5B">
            <w:pPr>
              <w:spacing w:after="0" w:line="240" w:lineRule="auto"/>
              <w:rPr>
                <w:rFonts w:ascii="Calibri" w:eastAsia="Times New Roman" w:hAnsi="Calibri" w:cs="Times New Roman"/>
                <w:b/>
                <w:bCs/>
                <w:color w:val="000000"/>
                <w:lang w:eastAsia="en-GB"/>
              </w:rPr>
            </w:pPr>
            <w:r w:rsidRPr="00BA6A9B">
              <w:rPr>
                <w:rFonts w:ascii="Calibri" w:eastAsia="Times New Roman" w:hAnsi="Calibri" w:cs="Times New Roman"/>
                <w:b/>
                <w:bCs/>
                <w:color w:val="000000"/>
                <w:lang w:eastAsia="en-GB"/>
              </w:rPr>
              <w:t>Good</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444C5B" w:rsidRPr="00BA6A9B" w:rsidRDefault="00444C5B" w:rsidP="00444C5B">
            <w:pPr>
              <w:spacing w:after="0" w:line="240" w:lineRule="auto"/>
              <w:rPr>
                <w:rFonts w:ascii="Calibri" w:eastAsia="Times New Roman" w:hAnsi="Calibri" w:cs="Times New Roman"/>
                <w:b/>
                <w:bCs/>
                <w:color w:val="000000"/>
                <w:lang w:eastAsia="en-GB"/>
              </w:rPr>
            </w:pPr>
            <w:r w:rsidRPr="00BA6A9B">
              <w:rPr>
                <w:rFonts w:ascii="Calibri" w:eastAsia="Times New Roman" w:hAnsi="Calibri" w:cs="Times New Roman"/>
                <w:b/>
                <w:bCs/>
                <w:color w:val="000000"/>
                <w:lang w:eastAsia="en-GB"/>
              </w:rPr>
              <w:t>Average</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444C5B" w:rsidRPr="00BA6A9B" w:rsidRDefault="00444C5B" w:rsidP="00444C5B">
            <w:pPr>
              <w:spacing w:after="0" w:line="240" w:lineRule="auto"/>
              <w:rPr>
                <w:rFonts w:ascii="Calibri" w:eastAsia="Times New Roman" w:hAnsi="Calibri" w:cs="Times New Roman"/>
                <w:b/>
                <w:bCs/>
                <w:color w:val="000000"/>
                <w:lang w:eastAsia="en-GB"/>
              </w:rPr>
            </w:pPr>
            <w:r w:rsidRPr="00BA6A9B">
              <w:rPr>
                <w:rFonts w:ascii="Calibri" w:eastAsia="Times New Roman" w:hAnsi="Calibri" w:cs="Times New Roman"/>
                <w:b/>
                <w:bCs/>
                <w:color w:val="000000"/>
                <w:lang w:eastAsia="en-GB"/>
              </w:rPr>
              <w:t>Poor</w:t>
            </w:r>
          </w:p>
        </w:tc>
      </w:tr>
      <w:tr w:rsidR="00444C5B" w:rsidRPr="00444C5B" w:rsidTr="00BA6A9B">
        <w:trPr>
          <w:trHeight w:val="583"/>
        </w:trPr>
        <w:tc>
          <w:tcPr>
            <w:tcW w:w="5019" w:type="dxa"/>
            <w:tcBorders>
              <w:top w:val="nil"/>
              <w:left w:val="single" w:sz="4" w:space="0" w:color="auto"/>
              <w:bottom w:val="single" w:sz="4" w:space="0" w:color="auto"/>
              <w:right w:val="single" w:sz="4" w:space="0" w:color="auto"/>
            </w:tcBorders>
            <w:shd w:val="clear" w:color="auto" w:fill="auto"/>
            <w:vAlign w:val="bottom"/>
            <w:hideMark/>
          </w:tcPr>
          <w:p w:rsidR="00444C5B" w:rsidRPr="00BA6A9B" w:rsidRDefault="00444C5B" w:rsidP="00444C5B">
            <w:pPr>
              <w:spacing w:after="0" w:line="240" w:lineRule="auto"/>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GP Practices LCS update. Feedback given by 22 GPs, 28 Practice Nurses and 4 other HCPs</w:t>
            </w:r>
          </w:p>
        </w:tc>
        <w:tc>
          <w:tcPr>
            <w:tcW w:w="1367" w:type="dxa"/>
            <w:tcBorders>
              <w:top w:val="nil"/>
              <w:left w:val="nil"/>
              <w:bottom w:val="single" w:sz="4" w:space="0" w:color="auto"/>
              <w:right w:val="single" w:sz="4" w:space="0" w:color="auto"/>
            </w:tcBorders>
            <w:shd w:val="clear" w:color="000000" w:fill="FFFFFF"/>
            <w:noWrap/>
            <w:vAlign w:val="bottom"/>
            <w:hideMark/>
          </w:tcPr>
          <w:p w:rsidR="00444C5B" w:rsidRPr="00BA6A9B" w:rsidRDefault="00444C5B" w:rsidP="00444C5B">
            <w:pPr>
              <w:spacing w:after="0" w:line="240" w:lineRule="auto"/>
              <w:jc w:val="right"/>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31</w:t>
            </w:r>
          </w:p>
        </w:tc>
        <w:tc>
          <w:tcPr>
            <w:tcW w:w="1010" w:type="dxa"/>
            <w:tcBorders>
              <w:top w:val="nil"/>
              <w:left w:val="nil"/>
              <w:bottom w:val="single" w:sz="4" w:space="0" w:color="auto"/>
              <w:right w:val="single" w:sz="4" w:space="0" w:color="auto"/>
            </w:tcBorders>
            <w:shd w:val="clear" w:color="000000" w:fill="FFFFFF"/>
            <w:noWrap/>
            <w:vAlign w:val="bottom"/>
            <w:hideMark/>
          </w:tcPr>
          <w:p w:rsidR="00444C5B" w:rsidRPr="00BA6A9B" w:rsidRDefault="00444C5B" w:rsidP="00444C5B">
            <w:pPr>
              <w:spacing w:after="0" w:line="240" w:lineRule="auto"/>
              <w:jc w:val="right"/>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22</w:t>
            </w:r>
          </w:p>
        </w:tc>
        <w:tc>
          <w:tcPr>
            <w:tcW w:w="1017" w:type="dxa"/>
            <w:tcBorders>
              <w:top w:val="nil"/>
              <w:left w:val="nil"/>
              <w:bottom w:val="single" w:sz="4" w:space="0" w:color="auto"/>
              <w:right w:val="single" w:sz="4" w:space="0" w:color="auto"/>
            </w:tcBorders>
            <w:shd w:val="clear" w:color="000000" w:fill="FFFFFF"/>
            <w:noWrap/>
            <w:vAlign w:val="bottom"/>
            <w:hideMark/>
          </w:tcPr>
          <w:p w:rsidR="00444C5B" w:rsidRPr="00BA6A9B" w:rsidRDefault="00444C5B" w:rsidP="00444C5B">
            <w:pPr>
              <w:spacing w:after="0" w:line="240" w:lineRule="auto"/>
              <w:jc w:val="right"/>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1</w:t>
            </w:r>
          </w:p>
        </w:tc>
        <w:tc>
          <w:tcPr>
            <w:tcW w:w="1010" w:type="dxa"/>
            <w:tcBorders>
              <w:top w:val="nil"/>
              <w:left w:val="nil"/>
              <w:bottom w:val="single" w:sz="4" w:space="0" w:color="auto"/>
              <w:right w:val="single" w:sz="4" w:space="0" w:color="auto"/>
            </w:tcBorders>
            <w:shd w:val="clear" w:color="000000" w:fill="FFFFFF"/>
            <w:noWrap/>
            <w:vAlign w:val="bottom"/>
            <w:hideMark/>
          </w:tcPr>
          <w:p w:rsidR="00444C5B" w:rsidRPr="00BA6A9B" w:rsidRDefault="00444C5B" w:rsidP="00444C5B">
            <w:pPr>
              <w:spacing w:after="0" w:line="240" w:lineRule="auto"/>
              <w:jc w:val="right"/>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0</w:t>
            </w:r>
          </w:p>
        </w:tc>
      </w:tr>
      <w:tr w:rsidR="00444C5B" w:rsidRPr="00444C5B" w:rsidTr="00BA6A9B">
        <w:trPr>
          <w:trHeight w:val="432"/>
        </w:trPr>
        <w:tc>
          <w:tcPr>
            <w:tcW w:w="5019" w:type="dxa"/>
            <w:tcBorders>
              <w:top w:val="nil"/>
              <w:left w:val="single" w:sz="4" w:space="0" w:color="auto"/>
              <w:bottom w:val="single" w:sz="4" w:space="0" w:color="auto"/>
              <w:right w:val="single" w:sz="4" w:space="0" w:color="auto"/>
            </w:tcBorders>
            <w:shd w:val="clear" w:color="auto" w:fill="auto"/>
            <w:vAlign w:val="bottom"/>
            <w:hideMark/>
          </w:tcPr>
          <w:p w:rsidR="00444C5B" w:rsidRPr="00BA6A9B" w:rsidRDefault="00444C5B" w:rsidP="00444C5B">
            <w:pPr>
              <w:spacing w:after="0" w:line="240" w:lineRule="auto"/>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 xml:space="preserve"> GP Practices LCS update. Feedback given by 17 GPs, 21 Practice Nurses and 6 other HCPs</w:t>
            </w:r>
          </w:p>
        </w:tc>
        <w:tc>
          <w:tcPr>
            <w:tcW w:w="1367" w:type="dxa"/>
            <w:tcBorders>
              <w:top w:val="nil"/>
              <w:left w:val="nil"/>
              <w:bottom w:val="single" w:sz="4" w:space="0" w:color="auto"/>
              <w:right w:val="single" w:sz="4" w:space="0" w:color="auto"/>
            </w:tcBorders>
            <w:shd w:val="clear" w:color="auto" w:fill="auto"/>
            <w:noWrap/>
            <w:vAlign w:val="bottom"/>
            <w:hideMark/>
          </w:tcPr>
          <w:p w:rsidR="00444C5B" w:rsidRPr="00BA6A9B" w:rsidRDefault="00444C5B" w:rsidP="00444C5B">
            <w:pPr>
              <w:spacing w:after="0" w:line="240" w:lineRule="auto"/>
              <w:jc w:val="right"/>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12</w:t>
            </w:r>
          </w:p>
        </w:tc>
        <w:tc>
          <w:tcPr>
            <w:tcW w:w="1010" w:type="dxa"/>
            <w:tcBorders>
              <w:top w:val="nil"/>
              <w:left w:val="nil"/>
              <w:bottom w:val="single" w:sz="4" w:space="0" w:color="auto"/>
              <w:right w:val="single" w:sz="4" w:space="0" w:color="auto"/>
            </w:tcBorders>
            <w:shd w:val="clear" w:color="auto" w:fill="auto"/>
            <w:noWrap/>
            <w:vAlign w:val="bottom"/>
            <w:hideMark/>
          </w:tcPr>
          <w:p w:rsidR="00444C5B" w:rsidRPr="00BA6A9B" w:rsidRDefault="00444C5B" w:rsidP="00444C5B">
            <w:pPr>
              <w:spacing w:after="0" w:line="240" w:lineRule="auto"/>
              <w:jc w:val="right"/>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27</w:t>
            </w:r>
          </w:p>
        </w:tc>
        <w:tc>
          <w:tcPr>
            <w:tcW w:w="1017" w:type="dxa"/>
            <w:tcBorders>
              <w:top w:val="nil"/>
              <w:left w:val="nil"/>
              <w:bottom w:val="single" w:sz="4" w:space="0" w:color="auto"/>
              <w:right w:val="single" w:sz="4" w:space="0" w:color="auto"/>
            </w:tcBorders>
            <w:shd w:val="clear" w:color="auto" w:fill="auto"/>
            <w:noWrap/>
            <w:vAlign w:val="bottom"/>
            <w:hideMark/>
          </w:tcPr>
          <w:p w:rsidR="00444C5B" w:rsidRPr="00BA6A9B" w:rsidRDefault="00444C5B" w:rsidP="00444C5B">
            <w:pPr>
              <w:spacing w:after="0" w:line="240" w:lineRule="auto"/>
              <w:jc w:val="right"/>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6</w:t>
            </w:r>
          </w:p>
        </w:tc>
        <w:tc>
          <w:tcPr>
            <w:tcW w:w="1010" w:type="dxa"/>
            <w:tcBorders>
              <w:top w:val="nil"/>
              <w:left w:val="nil"/>
              <w:bottom w:val="single" w:sz="4" w:space="0" w:color="auto"/>
              <w:right w:val="single" w:sz="4" w:space="0" w:color="auto"/>
            </w:tcBorders>
            <w:shd w:val="clear" w:color="auto" w:fill="auto"/>
            <w:noWrap/>
            <w:vAlign w:val="bottom"/>
            <w:hideMark/>
          </w:tcPr>
          <w:p w:rsidR="00444C5B" w:rsidRPr="00BA6A9B" w:rsidRDefault="00444C5B" w:rsidP="00444C5B">
            <w:pPr>
              <w:spacing w:after="0" w:line="240" w:lineRule="auto"/>
              <w:jc w:val="right"/>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0</w:t>
            </w:r>
          </w:p>
        </w:tc>
      </w:tr>
      <w:tr w:rsidR="00444C5B" w:rsidRPr="00444C5B" w:rsidTr="00BA6A9B">
        <w:trPr>
          <w:trHeight w:val="451"/>
        </w:trPr>
        <w:tc>
          <w:tcPr>
            <w:tcW w:w="5019" w:type="dxa"/>
            <w:tcBorders>
              <w:top w:val="nil"/>
              <w:left w:val="single" w:sz="4" w:space="0" w:color="auto"/>
              <w:bottom w:val="single" w:sz="4" w:space="0" w:color="auto"/>
              <w:right w:val="single" w:sz="4" w:space="0" w:color="auto"/>
            </w:tcBorders>
            <w:shd w:val="clear" w:color="auto" w:fill="auto"/>
            <w:vAlign w:val="bottom"/>
            <w:hideMark/>
          </w:tcPr>
          <w:p w:rsidR="00444C5B" w:rsidRPr="00BA6A9B" w:rsidRDefault="00444C5B" w:rsidP="00444C5B">
            <w:pPr>
              <w:spacing w:after="0" w:line="240" w:lineRule="auto"/>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GP Practices LCS update. Feedback given by 25 GPs, 31 Practice Nurses and 7 other HCPs</w:t>
            </w:r>
          </w:p>
        </w:tc>
        <w:tc>
          <w:tcPr>
            <w:tcW w:w="1367" w:type="dxa"/>
            <w:tcBorders>
              <w:top w:val="nil"/>
              <w:left w:val="nil"/>
              <w:bottom w:val="single" w:sz="4" w:space="0" w:color="auto"/>
              <w:right w:val="single" w:sz="4" w:space="0" w:color="auto"/>
            </w:tcBorders>
            <w:shd w:val="clear" w:color="auto" w:fill="auto"/>
            <w:noWrap/>
            <w:vAlign w:val="bottom"/>
            <w:hideMark/>
          </w:tcPr>
          <w:p w:rsidR="00444C5B" w:rsidRPr="00BA6A9B" w:rsidRDefault="00444C5B" w:rsidP="00444C5B">
            <w:pPr>
              <w:spacing w:after="0" w:line="240" w:lineRule="auto"/>
              <w:jc w:val="right"/>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18</w:t>
            </w:r>
          </w:p>
        </w:tc>
        <w:tc>
          <w:tcPr>
            <w:tcW w:w="1010" w:type="dxa"/>
            <w:tcBorders>
              <w:top w:val="nil"/>
              <w:left w:val="nil"/>
              <w:bottom w:val="single" w:sz="4" w:space="0" w:color="auto"/>
              <w:right w:val="single" w:sz="4" w:space="0" w:color="auto"/>
            </w:tcBorders>
            <w:shd w:val="clear" w:color="auto" w:fill="auto"/>
            <w:noWrap/>
            <w:vAlign w:val="bottom"/>
            <w:hideMark/>
          </w:tcPr>
          <w:p w:rsidR="00444C5B" w:rsidRPr="00BA6A9B" w:rsidRDefault="00444C5B" w:rsidP="00444C5B">
            <w:pPr>
              <w:spacing w:after="0" w:line="240" w:lineRule="auto"/>
              <w:jc w:val="right"/>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39</w:t>
            </w:r>
          </w:p>
        </w:tc>
        <w:tc>
          <w:tcPr>
            <w:tcW w:w="1017" w:type="dxa"/>
            <w:tcBorders>
              <w:top w:val="nil"/>
              <w:left w:val="nil"/>
              <w:bottom w:val="single" w:sz="4" w:space="0" w:color="auto"/>
              <w:right w:val="single" w:sz="4" w:space="0" w:color="auto"/>
            </w:tcBorders>
            <w:shd w:val="clear" w:color="auto" w:fill="auto"/>
            <w:noWrap/>
            <w:vAlign w:val="bottom"/>
            <w:hideMark/>
          </w:tcPr>
          <w:p w:rsidR="00444C5B" w:rsidRPr="00BA6A9B" w:rsidRDefault="00444C5B" w:rsidP="00444C5B">
            <w:pPr>
              <w:spacing w:after="0" w:line="240" w:lineRule="auto"/>
              <w:jc w:val="right"/>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5</w:t>
            </w:r>
          </w:p>
        </w:tc>
        <w:tc>
          <w:tcPr>
            <w:tcW w:w="1010" w:type="dxa"/>
            <w:tcBorders>
              <w:top w:val="nil"/>
              <w:left w:val="nil"/>
              <w:bottom w:val="single" w:sz="4" w:space="0" w:color="auto"/>
              <w:right w:val="single" w:sz="4" w:space="0" w:color="auto"/>
            </w:tcBorders>
            <w:shd w:val="clear" w:color="auto" w:fill="auto"/>
            <w:noWrap/>
            <w:vAlign w:val="bottom"/>
            <w:hideMark/>
          </w:tcPr>
          <w:p w:rsidR="00444C5B" w:rsidRPr="00BA6A9B" w:rsidRDefault="00444C5B" w:rsidP="00444C5B">
            <w:pPr>
              <w:spacing w:after="0" w:line="240" w:lineRule="auto"/>
              <w:jc w:val="right"/>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0</w:t>
            </w:r>
          </w:p>
        </w:tc>
      </w:tr>
      <w:tr w:rsidR="00444C5B" w:rsidRPr="00444C5B" w:rsidTr="00BA6A9B">
        <w:trPr>
          <w:trHeight w:val="442"/>
        </w:trPr>
        <w:tc>
          <w:tcPr>
            <w:tcW w:w="5019" w:type="dxa"/>
            <w:tcBorders>
              <w:top w:val="nil"/>
              <w:left w:val="single" w:sz="4" w:space="0" w:color="auto"/>
              <w:bottom w:val="single" w:sz="4" w:space="0" w:color="auto"/>
              <w:right w:val="single" w:sz="4" w:space="0" w:color="auto"/>
            </w:tcBorders>
            <w:shd w:val="clear" w:color="auto" w:fill="auto"/>
            <w:vAlign w:val="bottom"/>
            <w:hideMark/>
          </w:tcPr>
          <w:p w:rsidR="00444C5B" w:rsidRPr="00BA6A9B" w:rsidRDefault="00444C5B" w:rsidP="00444C5B">
            <w:pPr>
              <w:spacing w:after="0" w:line="240" w:lineRule="auto"/>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RPS Sussex event. Feedback given by 18 Pharmacy Professionals</w:t>
            </w:r>
          </w:p>
        </w:tc>
        <w:tc>
          <w:tcPr>
            <w:tcW w:w="1367" w:type="dxa"/>
            <w:tcBorders>
              <w:top w:val="nil"/>
              <w:left w:val="nil"/>
              <w:bottom w:val="single" w:sz="4" w:space="0" w:color="auto"/>
              <w:right w:val="single" w:sz="4" w:space="0" w:color="auto"/>
            </w:tcBorders>
            <w:shd w:val="clear" w:color="auto" w:fill="auto"/>
            <w:noWrap/>
            <w:vAlign w:val="bottom"/>
            <w:hideMark/>
          </w:tcPr>
          <w:p w:rsidR="00444C5B" w:rsidRPr="00BA6A9B" w:rsidRDefault="00444C5B" w:rsidP="00444C5B">
            <w:pPr>
              <w:spacing w:after="0" w:line="240" w:lineRule="auto"/>
              <w:jc w:val="right"/>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13</w:t>
            </w:r>
          </w:p>
        </w:tc>
        <w:tc>
          <w:tcPr>
            <w:tcW w:w="1010" w:type="dxa"/>
            <w:tcBorders>
              <w:top w:val="nil"/>
              <w:left w:val="nil"/>
              <w:bottom w:val="single" w:sz="4" w:space="0" w:color="auto"/>
              <w:right w:val="single" w:sz="4" w:space="0" w:color="auto"/>
            </w:tcBorders>
            <w:shd w:val="clear" w:color="auto" w:fill="auto"/>
            <w:noWrap/>
            <w:vAlign w:val="bottom"/>
            <w:hideMark/>
          </w:tcPr>
          <w:p w:rsidR="00444C5B" w:rsidRPr="00BA6A9B" w:rsidRDefault="00444C5B" w:rsidP="00444C5B">
            <w:pPr>
              <w:spacing w:after="0" w:line="240" w:lineRule="auto"/>
              <w:jc w:val="right"/>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5</w:t>
            </w:r>
          </w:p>
        </w:tc>
        <w:tc>
          <w:tcPr>
            <w:tcW w:w="1017" w:type="dxa"/>
            <w:tcBorders>
              <w:top w:val="nil"/>
              <w:left w:val="nil"/>
              <w:bottom w:val="single" w:sz="4" w:space="0" w:color="auto"/>
              <w:right w:val="single" w:sz="4" w:space="0" w:color="auto"/>
            </w:tcBorders>
            <w:shd w:val="clear" w:color="auto" w:fill="auto"/>
            <w:noWrap/>
            <w:vAlign w:val="bottom"/>
            <w:hideMark/>
          </w:tcPr>
          <w:p w:rsidR="00444C5B" w:rsidRPr="00BA6A9B" w:rsidRDefault="00444C5B" w:rsidP="00444C5B">
            <w:pPr>
              <w:spacing w:after="0" w:line="240" w:lineRule="auto"/>
              <w:jc w:val="right"/>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0</w:t>
            </w:r>
          </w:p>
        </w:tc>
        <w:tc>
          <w:tcPr>
            <w:tcW w:w="1010" w:type="dxa"/>
            <w:tcBorders>
              <w:top w:val="nil"/>
              <w:left w:val="nil"/>
              <w:bottom w:val="single" w:sz="4" w:space="0" w:color="auto"/>
              <w:right w:val="single" w:sz="4" w:space="0" w:color="auto"/>
            </w:tcBorders>
            <w:shd w:val="clear" w:color="auto" w:fill="auto"/>
            <w:noWrap/>
            <w:vAlign w:val="bottom"/>
            <w:hideMark/>
          </w:tcPr>
          <w:p w:rsidR="00444C5B" w:rsidRPr="00BA6A9B" w:rsidRDefault="00444C5B" w:rsidP="00444C5B">
            <w:pPr>
              <w:spacing w:after="0" w:line="240" w:lineRule="auto"/>
              <w:jc w:val="right"/>
              <w:rPr>
                <w:rFonts w:ascii="Calibri" w:eastAsia="Times New Roman" w:hAnsi="Calibri" w:cs="Times New Roman"/>
                <w:color w:val="000000"/>
                <w:lang w:eastAsia="en-GB"/>
              </w:rPr>
            </w:pPr>
            <w:r w:rsidRPr="00BA6A9B">
              <w:rPr>
                <w:rFonts w:ascii="Calibri" w:eastAsia="Times New Roman" w:hAnsi="Calibri" w:cs="Times New Roman"/>
                <w:color w:val="000000"/>
                <w:lang w:eastAsia="en-GB"/>
              </w:rPr>
              <w:t>0</w:t>
            </w:r>
          </w:p>
        </w:tc>
      </w:tr>
    </w:tbl>
    <w:p w:rsidR="0042091B" w:rsidRDefault="0042091B" w:rsidP="0094571F">
      <w:pPr>
        <w:pStyle w:val="NoSpacing"/>
      </w:pPr>
    </w:p>
    <w:p w:rsidR="00444C5B" w:rsidRDefault="00444C5B" w:rsidP="0094571F">
      <w:pPr>
        <w:pStyle w:val="NoSpacing"/>
      </w:pPr>
      <w:r>
        <w:t xml:space="preserve">Delegates were also asked </w:t>
      </w:r>
      <w:r w:rsidR="0042091B">
        <w:t>to comment on how they would apply their learning to</w:t>
      </w:r>
      <w:r>
        <w:t xml:space="preserve"> improve practice. A sample of the qualitative feedback received</w:t>
      </w:r>
      <w:r w:rsidR="00562E67">
        <w:t xml:space="preserve"> is shown below.</w:t>
      </w:r>
      <w:r>
        <w:t xml:space="preserve">   </w:t>
      </w:r>
    </w:p>
    <w:p w:rsidR="00562E67" w:rsidRDefault="00562E67" w:rsidP="0094571F">
      <w:pPr>
        <w:pStyle w:val="NoSpacing"/>
      </w:pPr>
      <w:r>
        <w:rPr>
          <w:noProof/>
          <w:lang w:eastAsia="en-GB"/>
        </w:rPr>
        <w:drawing>
          <wp:anchor distT="0" distB="0" distL="114300" distR="114300" simplePos="0" relativeHeight="251660288" behindDoc="0" locked="0" layoutInCell="1" allowOverlap="1" wp14:anchorId="7F5CA683" wp14:editId="206CFCD5">
            <wp:simplePos x="0" y="0"/>
            <wp:positionH relativeFrom="column">
              <wp:posOffset>793630</wp:posOffset>
            </wp:positionH>
            <wp:positionV relativeFrom="paragraph">
              <wp:posOffset>130797</wp:posOffset>
            </wp:positionV>
            <wp:extent cx="4744167" cy="3183147"/>
            <wp:effectExtent l="19050" t="19050" r="18415" b="17780"/>
            <wp:wrapNone/>
            <wp:docPr id="6" name="Picture 6" descr="\\sussex.nhs.uk\rdf\09f\SyedH002\Downloads\wordclou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ssex.nhs.uk\rdf\09f\SyedH002\Downloads\wordcloud (3).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0502" t="23087" r="12950" b="25551"/>
                    <a:stretch/>
                  </pic:blipFill>
                  <pic:spPr bwMode="auto">
                    <a:xfrm>
                      <a:off x="0" y="0"/>
                      <a:ext cx="4744167" cy="318314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62E67" w:rsidRDefault="00562E67" w:rsidP="0094571F">
      <w:pPr>
        <w:pStyle w:val="NoSpacing"/>
      </w:pPr>
    </w:p>
    <w:p w:rsidR="00562E67" w:rsidRDefault="0022206B" w:rsidP="0094571F">
      <w:pPr>
        <w:pStyle w:val="NoSpacing"/>
      </w:pPr>
      <w:r>
        <w:rPr>
          <w:noProof/>
          <w:lang w:eastAsia="en-GB"/>
        </w:rPr>
        <mc:AlternateContent>
          <mc:Choice Requires="wps">
            <w:drawing>
              <wp:anchor distT="0" distB="0" distL="114300" distR="114300" simplePos="0" relativeHeight="251662336" behindDoc="0" locked="0" layoutInCell="1" allowOverlap="1" wp14:anchorId="04432559" wp14:editId="1EFC77E3">
                <wp:simplePos x="0" y="0"/>
                <wp:positionH relativeFrom="column">
                  <wp:posOffset>3475619</wp:posOffset>
                </wp:positionH>
                <wp:positionV relativeFrom="paragraph">
                  <wp:posOffset>142875</wp:posOffset>
                </wp:positionV>
                <wp:extent cx="448573" cy="138023"/>
                <wp:effectExtent l="0" t="0" r="889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73" cy="138023"/>
                        </a:xfrm>
                        <a:prstGeom prst="rect">
                          <a:avLst/>
                        </a:prstGeom>
                        <a:solidFill>
                          <a:srgbClr val="FFFFFF"/>
                        </a:solidFill>
                        <a:ln w="9525">
                          <a:noFill/>
                          <a:miter lim="800000"/>
                          <a:headEnd/>
                          <a:tailEnd/>
                        </a:ln>
                      </wps:spPr>
                      <wps:txbx>
                        <w:txbxContent>
                          <w:p w:rsidR="0022206B" w:rsidRDefault="002220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3.65pt;margin-top:11.25pt;width:35.3pt;height:1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" stroked="f">
                <v:textbox>
                  <w:txbxContent>
                    <w:p w:rsidR="0022206B" w:rsidRDefault="0022206B"/>
                  </w:txbxContent>
                </v:textbox>
              </v:shape>
            </w:pict>
          </mc:Fallback>
        </mc:AlternateContent>
      </w:r>
    </w:p>
    <w:p w:rsidR="00562E67" w:rsidRDefault="00562E67" w:rsidP="0094571F">
      <w:pPr>
        <w:pStyle w:val="NoSpacing"/>
      </w:pPr>
    </w:p>
    <w:p w:rsidR="00562E67" w:rsidRDefault="00562E67" w:rsidP="0094571F">
      <w:pPr>
        <w:pStyle w:val="NoSpacing"/>
      </w:pPr>
    </w:p>
    <w:p w:rsidR="00562E67" w:rsidRDefault="00562E67" w:rsidP="0094571F">
      <w:pPr>
        <w:pStyle w:val="NoSpacing"/>
      </w:pPr>
    </w:p>
    <w:p w:rsidR="00562E67" w:rsidRDefault="00562E67" w:rsidP="0094571F">
      <w:pPr>
        <w:pStyle w:val="NoSpacing"/>
      </w:pPr>
    </w:p>
    <w:p w:rsidR="00562E67" w:rsidRDefault="00562E67" w:rsidP="0094571F">
      <w:pPr>
        <w:pStyle w:val="NoSpacing"/>
      </w:pPr>
    </w:p>
    <w:p w:rsidR="00562E67" w:rsidRDefault="00562E67" w:rsidP="0094571F">
      <w:pPr>
        <w:pStyle w:val="NoSpacing"/>
      </w:pPr>
    </w:p>
    <w:p w:rsidR="00562E67" w:rsidRDefault="00562E67" w:rsidP="0094571F">
      <w:pPr>
        <w:pStyle w:val="NoSpacing"/>
      </w:pPr>
    </w:p>
    <w:p w:rsidR="00562E67" w:rsidRDefault="00562E67" w:rsidP="0094571F">
      <w:pPr>
        <w:pStyle w:val="NoSpacing"/>
      </w:pPr>
    </w:p>
    <w:p w:rsidR="00562E67" w:rsidRDefault="00562E67" w:rsidP="0094571F">
      <w:pPr>
        <w:pStyle w:val="NoSpacing"/>
      </w:pPr>
    </w:p>
    <w:p w:rsidR="00562E67" w:rsidRDefault="00562E67" w:rsidP="0094571F">
      <w:pPr>
        <w:pStyle w:val="NoSpacing"/>
      </w:pPr>
    </w:p>
    <w:p w:rsidR="00562E67" w:rsidRDefault="00562E67" w:rsidP="0094571F">
      <w:pPr>
        <w:pStyle w:val="NoSpacing"/>
      </w:pPr>
    </w:p>
    <w:p w:rsidR="00562E67" w:rsidRDefault="00562E67" w:rsidP="0094571F">
      <w:pPr>
        <w:pStyle w:val="NoSpacing"/>
      </w:pPr>
    </w:p>
    <w:p w:rsidR="00562E67" w:rsidRDefault="00562E67" w:rsidP="0094571F">
      <w:pPr>
        <w:pStyle w:val="NoSpacing"/>
      </w:pPr>
    </w:p>
    <w:p w:rsidR="00562E67" w:rsidRDefault="00562E67" w:rsidP="0094571F">
      <w:pPr>
        <w:pStyle w:val="NoSpacing"/>
      </w:pPr>
    </w:p>
    <w:p w:rsidR="00444C5B" w:rsidRDefault="00444C5B" w:rsidP="0094571F">
      <w:pPr>
        <w:pStyle w:val="NoSpacing"/>
      </w:pPr>
    </w:p>
    <w:p w:rsidR="00562E67" w:rsidRDefault="00562E67" w:rsidP="0094571F">
      <w:pPr>
        <w:pStyle w:val="NoSpacing"/>
      </w:pPr>
    </w:p>
    <w:p w:rsidR="0042091B" w:rsidRDefault="0042091B" w:rsidP="0094571F">
      <w:pPr>
        <w:pStyle w:val="NoSpacing"/>
      </w:pPr>
    </w:p>
    <w:p w:rsidR="00BA6A9B" w:rsidRDefault="00BA6A9B" w:rsidP="0094571F">
      <w:pPr>
        <w:pStyle w:val="NoSpacing"/>
      </w:pPr>
      <w:r w:rsidRPr="0004704F">
        <w:t>Our CCG diabetes lead GP, Dr Binodh Chanthanath</w:t>
      </w:r>
      <w:r w:rsidR="0022206B">
        <w:t xml:space="preserve"> commented: </w:t>
      </w:r>
      <w:r w:rsidR="0004704F" w:rsidRPr="0004704F">
        <w:rPr>
          <w:i/>
        </w:rPr>
        <w:t>“</w:t>
      </w:r>
      <w:r w:rsidR="0004704F" w:rsidRPr="0004704F">
        <w:rPr>
          <w:rFonts w:ascii="Calibri" w:hAnsi="Calibri"/>
          <w:i/>
          <w:color w:val="000000"/>
          <w:shd w:val="clear" w:color="auto" w:fill="FFFFFF"/>
        </w:rPr>
        <w:t xml:space="preserve">This is a brilliant quality improvement </w:t>
      </w:r>
      <w:r w:rsidR="0022206B" w:rsidRPr="0004704F">
        <w:rPr>
          <w:rFonts w:ascii="Calibri" w:hAnsi="Calibri"/>
          <w:i/>
          <w:color w:val="000000"/>
          <w:shd w:val="clear" w:color="auto" w:fill="FFFFFF"/>
        </w:rPr>
        <w:t>project that</w:t>
      </w:r>
      <w:r w:rsidR="0004704F" w:rsidRPr="0004704F">
        <w:rPr>
          <w:rFonts w:ascii="Calibri" w:hAnsi="Calibri"/>
          <w:i/>
          <w:color w:val="000000"/>
          <w:shd w:val="clear" w:color="auto" w:fill="FFFFFF"/>
        </w:rPr>
        <w:t xml:space="preserve"> has conveyed the significance of individualised care in diabetes and probably taken it to the next level. The work has enlightened healthcare professionals, to be mindful of the risk of hypoglycaemia, when medications are prescribed or reviewed when managing older people with diabetes. We have now modified our annual care planning by incorporating a section to promote a partnership approach in medicine optimisation, which should facilitate a safe and individually tailored care”.  </w:t>
      </w:r>
    </w:p>
    <w:p w:rsidR="00BA6A9B" w:rsidRDefault="00BA6A9B" w:rsidP="0094571F">
      <w:pPr>
        <w:pStyle w:val="NoSpacing"/>
      </w:pPr>
    </w:p>
    <w:p w:rsidR="009614C8" w:rsidRDefault="00F6171B" w:rsidP="0094571F">
      <w:pPr>
        <w:pStyle w:val="NoSpacing"/>
      </w:pPr>
      <w:r w:rsidRPr="0094571F">
        <w:t xml:space="preserve">The </w:t>
      </w:r>
      <w:r w:rsidR="009614C8" w:rsidRPr="0094571F">
        <w:t xml:space="preserve">main </w:t>
      </w:r>
      <w:r w:rsidRPr="0094571F">
        <w:t xml:space="preserve">objective of this </w:t>
      </w:r>
      <w:r w:rsidR="00365180" w:rsidRPr="0094571F">
        <w:t>project was to reduce harms from medications and improve quality of l</w:t>
      </w:r>
      <w:r w:rsidR="00704D49" w:rsidRPr="0094571F">
        <w:t>ife for older people living with t</w:t>
      </w:r>
      <w:r w:rsidR="00365180" w:rsidRPr="0094571F">
        <w:t xml:space="preserve">ype 2 </w:t>
      </w:r>
      <w:r w:rsidR="00704D49" w:rsidRPr="0094571F">
        <w:t>diabetes;</w:t>
      </w:r>
      <w:r w:rsidR="00365180" w:rsidRPr="0094571F">
        <w:t xml:space="preserve"> however, the project did generate financial savings of £75K across both CCGs. This figure does not include where </w:t>
      </w:r>
      <w:r w:rsidR="0019215F" w:rsidRPr="0094571F">
        <w:t>practices continued to review patients beyond the requirements for the scheme nor the financial benefits to the health economy of preventing a hospital admission for hypoglycaemia which is £3K per patient per year</w:t>
      </w:r>
      <w:r w:rsidR="00017F5F">
        <w:t>. T</w:t>
      </w:r>
      <w:r w:rsidR="00704D49" w:rsidRPr="0094571F">
        <w:t>he</w:t>
      </w:r>
      <w:r w:rsidR="008B35F0">
        <w:t>refore,</w:t>
      </w:r>
      <w:r w:rsidR="00704D49" w:rsidRPr="0094571F">
        <w:t xml:space="preserve"> </w:t>
      </w:r>
      <w:r w:rsidR="008B35F0">
        <w:t xml:space="preserve">the </w:t>
      </w:r>
      <w:r w:rsidR="00704D49" w:rsidRPr="0094571F">
        <w:t>actual savings are likely to be higher than those recorded</w:t>
      </w:r>
      <w:r w:rsidR="008B35F0">
        <w:t xml:space="preserve"> by the CCG team</w:t>
      </w:r>
      <w:r w:rsidR="00704D49" w:rsidRPr="0094571F">
        <w:t xml:space="preserve">. </w:t>
      </w:r>
      <w:r w:rsidR="0019215F" w:rsidRPr="0094571F">
        <w:t xml:space="preserve"> </w:t>
      </w:r>
    </w:p>
    <w:p w:rsidR="005C3BDA" w:rsidRPr="0094571F" w:rsidRDefault="00331C6E" w:rsidP="0094571F">
      <w:pPr>
        <w:pStyle w:val="Heading2"/>
      </w:pPr>
      <w:r w:rsidRPr="0094571F">
        <w:t>D</w:t>
      </w:r>
      <w:r w:rsidR="007A2623" w:rsidRPr="0094571F">
        <w:t>iscussion</w:t>
      </w:r>
      <w:r w:rsidR="00761ABE" w:rsidRPr="0094571F">
        <w:t xml:space="preserve"> </w:t>
      </w:r>
    </w:p>
    <w:p w:rsidR="008B35F0" w:rsidRDefault="008B35F0" w:rsidP="008B35F0">
      <w:pPr>
        <w:pStyle w:val="NoSpacing"/>
      </w:pPr>
      <w:r>
        <w:t xml:space="preserve">During the initial stages of project development, some diabetes leads </w:t>
      </w:r>
      <w:r w:rsidRPr="0094571F">
        <w:t>did not feel</w:t>
      </w:r>
      <w:r>
        <w:t xml:space="preserve"> the</w:t>
      </w:r>
      <w:r w:rsidRPr="0094571F">
        <w:t xml:space="preserve"> </w:t>
      </w:r>
      <w:r>
        <w:t xml:space="preserve">overtreatment of type 2 diabetes in older people was a </w:t>
      </w:r>
      <w:r w:rsidRPr="0094571F">
        <w:t>problem locally owing to individualising targets being part of their routine practice. Case presentation of severely frail patients with low HbA1c’s treated with insulin and/or SUs foun</w:t>
      </w:r>
      <w:r>
        <w:t>d within our CCG helped</w:t>
      </w:r>
      <w:r w:rsidRPr="0094571F">
        <w:t xml:space="preserve"> justify the need for this project.</w:t>
      </w:r>
    </w:p>
    <w:p w:rsidR="008B35F0" w:rsidRDefault="008B35F0" w:rsidP="008B35F0">
      <w:pPr>
        <w:pStyle w:val="NoSpacing"/>
      </w:pPr>
    </w:p>
    <w:p w:rsidR="008B35F0" w:rsidRDefault="008B35F0" w:rsidP="008B35F0">
      <w:pPr>
        <w:pStyle w:val="NoSpacing"/>
      </w:pPr>
      <w:r w:rsidRPr="0094571F">
        <w:lastRenderedPageBreak/>
        <w:t>At practice level, we faced challenges from practice managers and some GP colleagues regarding the possible negative effect of this project on QOF targets. Here, it was evident that an individualised approach to diabetes care had not been adopted resulting in therapy remaining unchanged or being escalated to meet QOF targets for patients with frailty and comorbidities. Many of the HbA1c identified were very low</w:t>
      </w:r>
      <w:r>
        <w:t xml:space="preserve"> which was concerning. This also indicated that</w:t>
      </w:r>
      <w:r w:rsidRPr="0094571F">
        <w:t xml:space="preserve"> </w:t>
      </w:r>
      <w:r>
        <w:t xml:space="preserve">a significant increase in HbA1c would be required to affect QOF. </w:t>
      </w:r>
      <w:r w:rsidRPr="0094571F">
        <w:t xml:space="preserve">Towards the end of the project, the proposed changes to QOF </w:t>
      </w:r>
      <w:r>
        <w:t xml:space="preserve">taking into frailty </w:t>
      </w:r>
      <w:r w:rsidRPr="0094571F">
        <w:t xml:space="preserve">were </w:t>
      </w:r>
      <w:r>
        <w:t xml:space="preserve">released which supported our project. </w:t>
      </w:r>
    </w:p>
    <w:p w:rsidR="00551087" w:rsidRDefault="00551087" w:rsidP="00551087">
      <w:pPr>
        <w:pStyle w:val="NoSpacing"/>
      </w:pPr>
    </w:p>
    <w:p w:rsidR="00CA42A3" w:rsidRDefault="00CA42A3" w:rsidP="00CA42A3">
      <w:pPr>
        <w:pStyle w:val="NoSpacing"/>
      </w:pPr>
      <w:r>
        <w:t xml:space="preserve">For some patients, we found that frailty scores recorded on the clinical system did not accurately represent the patient. Through reviewing individual patient notes and MDT discussions, we were able to ascertain whether the recorded frailty score was true for each patient before discussing individualised targets. </w:t>
      </w:r>
    </w:p>
    <w:p w:rsidR="00CA42A3" w:rsidRDefault="00CA42A3" w:rsidP="00CA42A3">
      <w:pPr>
        <w:pStyle w:val="NoSpacing"/>
      </w:pPr>
    </w:p>
    <w:p w:rsidR="008B35F0" w:rsidRDefault="008B35F0" w:rsidP="008B35F0">
      <w:pPr>
        <w:pStyle w:val="NoSpacing"/>
        <w:rPr>
          <w:rFonts w:eastAsia="Calibri"/>
        </w:rPr>
      </w:pPr>
      <w:r w:rsidRPr="0094571F">
        <w:t xml:space="preserve">We </w:t>
      </w:r>
      <w:r>
        <w:t xml:space="preserve">also </w:t>
      </w:r>
      <w:r w:rsidRPr="0094571F">
        <w:t xml:space="preserve">identified challenges regarding responsibility for medication review within practices. Some nurse colleagues undertaking type 2 diabetic annual reviews reported that they did not feel supported in making therapy changes. </w:t>
      </w:r>
      <w:r w:rsidRPr="0094571F">
        <w:rPr>
          <w:rFonts w:eastAsia="Calibri"/>
        </w:rPr>
        <w:t xml:space="preserve"> Other barriers such as capacity and capability were also identified. </w:t>
      </w:r>
      <w:r w:rsidR="005A7214">
        <w:rPr>
          <w:rFonts w:eastAsia="Calibri"/>
        </w:rPr>
        <w:t xml:space="preserve"> </w:t>
      </w:r>
    </w:p>
    <w:p w:rsidR="008B35F0" w:rsidRDefault="008B35F0" w:rsidP="008B35F0">
      <w:pPr>
        <w:pStyle w:val="NoSpacing"/>
      </w:pPr>
    </w:p>
    <w:p w:rsidR="007F2B12" w:rsidRDefault="00753CE7" w:rsidP="0094571F">
      <w:pPr>
        <w:pStyle w:val="NoSpacing"/>
      </w:pPr>
      <w:r w:rsidRPr="0094571F">
        <w:t xml:space="preserve">The project was not without challenges; </w:t>
      </w:r>
      <w:r w:rsidR="00B443F2" w:rsidRPr="0094571F">
        <w:t>in some practices it was possible to observe difference in behaviour between individual clinicians, appearing to reflect the individual cli</w:t>
      </w:r>
      <w:r w:rsidR="008B35F0">
        <w:t xml:space="preserve">nician’s attitudes and beliefs therefore the practice action plan had to be flexible enough to capture different clinicians prescribing practice. </w:t>
      </w:r>
    </w:p>
    <w:p w:rsidR="005A7214" w:rsidRDefault="005A7214" w:rsidP="0094571F">
      <w:pPr>
        <w:pStyle w:val="NoSpacing"/>
      </w:pPr>
    </w:p>
    <w:p w:rsidR="00551087" w:rsidRDefault="00A30348" w:rsidP="007F75C9">
      <w:pPr>
        <w:pStyle w:val="NoSpacing"/>
      </w:pPr>
      <w:r w:rsidRPr="0094571F">
        <w:rPr>
          <w:rFonts w:eastAsia="Calibri"/>
        </w:rPr>
        <w:t xml:space="preserve">Throughout the project, we identified many cases of </w:t>
      </w:r>
      <w:r w:rsidR="00017F5F">
        <w:rPr>
          <w:rFonts w:eastAsia="Calibri"/>
        </w:rPr>
        <w:t xml:space="preserve">inappropriate </w:t>
      </w:r>
      <w:r w:rsidRPr="0094571F">
        <w:rPr>
          <w:rFonts w:eastAsia="Calibri"/>
        </w:rPr>
        <w:t xml:space="preserve">polypharmacy where blood glucose lowering therapies and blood pressure therapies had been escalated for patients older than 70 years with frailty and multiple co-morbidities. </w:t>
      </w:r>
      <w:r w:rsidRPr="0094571F">
        <w:t>In some cases, there was documentation to suggest symptoms of hypoglycaemia; however, ther</w:t>
      </w:r>
      <w:r w:rsidR="00551087">
        <w:t>apy remained the same</w:t>
      </w:r>
      <w:r w:rsidR="007F75C9">
        <w:t>.</w:t>
      </w:r>
      <w:r w:rsidRPr="0094571F">
        <w:t xml:space="preserve"> </w:t>
      </w:r>
    </w:p>
    <w:p w:rsidR="00551087" w:rsidRDefault="00551087" w:rsidP="007F75C9">
      <w:pPr>
        <w:pStyle w:val="NoSpacing"/>
      </w:pPr>
    </w:p>
    <w:p w:rsidR="007F75C9" w:rsidRPr="00551087" w:rsidRDefault="007F75C9" w:rsidP="007F75C9">
      <w:pPr>
        <w:pStyle w:val="NoSpacing"/>
        <w:rPr>
          <w:rFonts w:eastAsia="Calibri"/>
        </w:rPr>
      </w:pPr>
      <w:r w:rsidRPr="0094571F">
        <w:rPr>
          <w:rFonts w:eastAsia="Calibri"/>
        </w:rPr>
        <w:t xml:space="preserve">In addition, we </w:t>
      </w:r>
      <w:r>
        <w:rPr>
          <w:rFonts w:eastAsia="Calibri"/>
        </w:rPr>
        <w:t xml:space="preserve">also </w:t>
      </w:r>
      <w:r w:rsidRPr="0094571F">
        <w:rPr>
          <w:rFonts w:eastAsia="Calibri"/>
        </w:rPr>
        <w:t xml:space="preserve">identified </w:t>
      </w:r>
      <w:r>
        <w:rPr>
          <w:rFonts w:eastAsia="Calibri"/>
        </w:rPr>
        <w:t xml:space="preserve">many cases where </w:t>
      </w:r>
      <w:r w:rsidRPr="0094571F">
        <w:rPr>
          <w:rFonts w:eastAsia="Calibri"/>
        </w:rPr>
        <w:t>blood glucose lowering therapies should have been reduced</w:t>
      </w:r>
      <w:r>
        <w:rPr>
          <w:rFonts w:eastAsia="Calibri"/>
        </w:rPr>
        <w:t xml:space="preserve"> or stopped</w:t>
      </w:r>
      <w:r w:rsidRPr="0094571F">
        <w:rPr>
          <w:rFonts w:eastAsia="Calibri"/>
        </w:rPr>
        <w:t xml:space="preserve"> owing to renal impairment. </w:t>
      </w:r>
      <w:r w:rsidRPr="0094571F">
        <w:t>There was an apparent lack of awareness of guidance in relation to both initiation and monitoring of these agents. We used this opportunity to develop local guidance which we shared with clinicians du</w:t>
      </w:r>
      <w:r>
        <w:t>ring the meetings and used as</w:t>
      </w:r>
      <w:r w:rsidRPr="0094571F">
        <w:t xml:space="preserve"> education tool</w:t>
      </w:r>
      <w:r>
        <w:t>s</w:t>
      </w:r>
      <w:r w:rsidRPr="0094571F">
        <w:t>.</w:t>
      </w:r>
    </w:p>
    <w:p w:rsidR="004D0A9C" w:rsidRPr="0094571F" w:rsidRDefault="00B175C6" w:rsidP="0094571F">
      <w:pPr>
        <w:pStyle w:val="Heading2"/>
      </w:pPr>
      <w:r w:rsidRPr="0094571F">
        <w:t xml:space="preserve">Conclusion and </w:t>
      </w:r>
      <w:r w:rsidR="00753CE7" w:rsidRPr="0094571F">
        <w:t>Next steps</w:t>
      </w:r>
    </w:p>
    <w:p w:rsidR="007F75C9" w:rsidRDefault="007F75C9" w:rsidP="007F75C9">
      <w:pPr>
        <w:pStyle w:val="NoSpacing"/>
      </w:pPr>
      <w:r w:rsidRPr="0094571F">
        <w:t>Through undertaking holistic polypharmacy reviews, there was the opportunity to review inappropriate prescribing and rationalise therapy. This reduced the potential for harm</w:t>
      </w:r>
      <w:r w:rsidR="008B35F0">
        <w:t xml:space="preserve"> from inappropriate polypharmacy, improved patient safety and</w:t>
      </w:r>
      <w:r w:rsidRPr="0094571F">
        <w:t xml:space="preserve"> providing financial benefits to the health economy, (e.g. preventing an admission to hospital owing to hypoglycaemia) and the prescribing budget.</w:t>
      </w:r>
    </w:p>
    <w:p w:rsidR="007F75C9" w:rsidRDefault="007F75C9" w:rsidP="0094571F">
      <w:pPr>
        <w:pStyle w:val="NoSpacing"/>
      </w:pPr>
    </w:p>
    <w:p w:rsidR="00C4151A" w:rsidRDefault="00C4151A" w:rsidP="0094571F">
      <w:pPr>
        <w:pStyle w:val="NoSpacing"/>
      </w:pPr>
      <w:r w:rsidRPr="0094571F">
        <w:t xml:space="preserve">Overall, the key messages of the project were well received. There was a clear focus on improving quality of prescribing which clinicians valued. Feedback was very positive with clinicians commenting that </w:t>
      </w:r>
      <w:r w:rsidR="007F75C9">
        <w:t>they valued</w:t>
      </w:r>
      <w:r w:rsidRPr="0094571F">
        <w:t xml:space="preserve"> the opportunity to consider medicines</w:t>
      </w:r>
      <w:r w:rsidR="008B35F0">
        <w:t xml:space="preserve"> optimisation</w:t>
      </w:r>
      <w:r w:rsidRPr="0094571F">
        <w:t xml:space="preserve"> more holistically. </w:t>
      </w:r>
    </w:p>
    <w:p w:rsidR="0094571F" w:rsidRPr="0094571F" w:rsidRDefault="0094571F" w:rsidP="0094571F">
      <w:pPr>
        <w:pStyle w:val="NoSpacing"/>
      </w:pPr>
    </w:p>
    <w:p w:rsidR="00EE71AA" w:rsidRDefault="00A30348" w:rsidP="0094571F">
      <w:pPr>
        <w:pStyle w:val="NoSpacing"/>
      </w:pPr>
      <w:r w:rsidRPr="0094571F">
        <w:t>We will continue share the legacy messages of this</w:t>
      </w:r>
      <w:r w:rsidR="00B175C6" w:rsidRPr="0094571F">
        <w:t xml:space="preserve"> project </w:t>
      </w:r>
      <w:r w:rsidR="00C4151A" w:rsidRPr="0094571F">
        <w:t xml:space="preserve">and work with clinicians to improve diabetes medicines optimisation </w:t>
      </w:r>
      <w:r w:rsidR="00B175C6" w:rsidRPr="0094571F">
        <w:t>through</w:t>
      </w:r>
      <w:r w:rsidRPr="0094571F">
        <w:t xml:space="preserve"> </w:t>
      </w:r>
      <w:r w:rsidR="00B175C6" w:rsidRPr="0094571F">
        <w:t xml:space="preserve">encouraging clinicians </w:t>
      </w:r>
      <w:r w:rsidRPr="0094571F">
        <w:t xml:space="preserve">to </w:t>
      </w:r>
      <w:r w:rsidR="00B175C6" w:rsidRPr="0094571F">
        <w:t xml:space="preserve">champion an individualised approached to diabetes care taking into account factors such as frailty and co-morbidities. </w:t>
      </w:r>
    </w:p>
    <w:p w:rsidR="00EE71AA" w:rsidRDefault="00EE71AA" w:rsidP="0094571F">
      <w:pPr>
        <w:pStyle w:val="NoSpacing"/>
      </w:pPr>
    </w:p>
    <w:p w:rsidR="00B175C6" w:rsidRDefault="00A30348" w:rsidP="0094571F">
      <w:pPr>
        <w:pStyle w:val="NoSpacing"/>
      </w:pPr>
      <w:r w:rsidRPr="0094571F">
        <w:t xml:space="preserve">In developing this project, we produced local guidance on setting HbA1c targets which clinicians have </w:t>
      </w:r>
      <w:r w:rsidR="007F75C9">
        <w:t xml:space="preserve">reported </w:t>
      </w:r>
      <w:r w:rsidR="00EE71AA">
        <w:t>they really value and</w:t>
      </w:r>
      <w:r w:rsidR="007F75C9">
        <w:t xml:space="preserve"> </w:t>
      </w:r>
      <w:r w:rsidR="00EE71AA">
        <w:t xml:space="preserve">now </w:t>
      </w:r>
      <w:r w:rsidR="007F75C9">
        <w:t>use routinely in their practice</w:t>
      </w:r>
      <w:r w:rsidRPr="0094571F">
        <w:t xml:space="preserve">. </w:t>
      </w:r>
      <w:r w:rsidR="00B175C6" w:rsidRPr="0094571F">
        <w:t xml:space="preserve">These resources are available on our formulary website (available </w:t>
      </w:r>
      <w:hyperlink r:id="rId10" w:history="1">
        <w:r w:rsidR="00B175C6" w:rsidRPr="0094571F">
          <w:rPr>
            <w:rStyle w:val="Hyperlink"/>
            <w:rFonts w:cs="Arial"/>
          </w:rPr>
          <w:t>here</w:t>
        </w:r>
      </w:hyperlink>
      <w:r w:rsidR="00B175C6" w:rsidRPr="0094571F">
        <w:t xml:space="preserve">). </w:t>
      </w:r>
    </w:p>
    <w:p w:rsidR="00B66576" w:rsidRDefault="00B66576" w:rsidP="0094571F">
      <w:pPr>
        <w:pStyle w:val="NoSpacing"/>
      </w:pPr>
    </w:p>
    <w:p w:rsidR="00986388" w:rsidRDefault="009602EA" w:rsidP="0094571F">
      <w:pPr>
        <w:pStyle w:val="NoSpacing"/>
      </w:pPr>
      <w:proofErr w:type="gramStart"/>
      <w:r w:rsidRPr="0094571F">
        <w:t>Written by Hannah Syed</w:t>
      </w:r>
      <w:r w:rsidR="00986388">
        <w:t>-</w:t>
      </w:r>
      <w:r w:rsidR="00B66576">
        <w:t xml:space="preserve"> Medicines Management Adviser</w:t>
      </w:r>
      <w:r w:rsidR="00EE71AA">
        <w:t xml:space="preserve"> and Practice Pharmacist</w:t>
      </w:r>
      <w:r w:rsidR="00B66576">
        <w:t>.</w:t>
      </w:r>
      <w:proofErr w:type="gramEnd"/>
      <w:r w:rsidR="00B66576">
        <w:t xml:space="preserve"> </w:t>
      </w:r>
    </w:p>
    <w:p w:rsidR="00AD7F7D" w:rsidRPr="0094571F" w:rsidRDefault="00AD1CE1" w:rsidP="0094571F">
      <w:pPr>
        <w:pStyle w:val="NoSpacing"/>
      </w:pPr>
      <w:r>
        <w:t>June</w:t>
      </w:r>
      <w:bookmarkStart w:id="0" w:name="_GoBack"/>
      <w:bookmarkEnd w:id="0"/>
      <w:r w:rsidR="00B66576">
        <w:t xml:space="preserve"> 2019.                                                                                      </w:t>
      </w:r>
    </w:p>
    <w:sectPr w:rsidR="00AD7F7D" w:rsidRPr="0094571F" w:rsidSect="00C80D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79D"/>
    <w:multiLevelType w:val="hybridMultilevel"/>
    <w:tmpl w:val="5E4A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C12935"/>
    <w:multiLevelType w:val="hybridMultilevel"/>
    <w:tmpl w:val="2542D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B5486C"/>
    <w:multiLevelType w:val="hybridMultilevel"/>
    <w:tmpl w:val="4E66F13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nsid w:val="46905818"/>
    <w:multiLevelType w:val="hybridMultilevel"/>
    <w:tmpl w:val="C6BE2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E0505A5"/>
    <w:multiLevelType w:val="hybridMultilevel"/>
    <w:tmpl w:val="51FC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F6C"/>
    <w:rsid w:val="00005241"/>
    <w:rsid w:val="00006616"/>
    <w:rsid w:val="00011FEF"/>
    <w:rsid w:val="00017F5F"/>
    <w:rsid w:val="0004704F"/>
    <w:rsid w:val="00061287"/>
    <w:rsid w:val="00061A23"/>
    <w:rsid w:val="00073110"/>
    <w:rsid w:val="0007699D"/>
    <w:rsid w:val="0008399E"/>
    <w:rsid w:val="000978FD"/>
    <w:rsid w:val="000A643E"/>
    <w:rsid w:val="000C3087"/>
    <w:rsid w:val="000C7660"/>
    <w:rsid w:val="0011271C"/>
    <w:rsid w:val="00116B70"/>
    <w:rsid w:val="0013179C"/>
    <w:rsid w:val="00132E7A"/>
    <w:rsid w:val="00140661"/>
    <w:rsid w:val="001417B7"/>
    <w:rsid w:val="00151D67"/>
    <w:rsid w:val="001526A0"/>
    <w:rsid w:val="00160C23"/>
    <w:rsid w:val="00163265"/>
    <w:rsid w:val="001649C5"/>
    <w:rsid w:val="001657DD"/>
    <w:rsid w:val="001747DE"/>
    <w:rsid w:val="0019215F"/>
    <w:rsid w:val="001A2C8B"/>
    <w:rsid w:val="001B079A"/>
    <w:rsid w:val="001B6207"/>
    <w:rsid w:val="001C0D9B"/>
    <w:rsid w:val="001D2363"/>
    <w:rsid w:val="001D387A"/>
    <w:rsid w:val="001F4E6E"/>
    <w:rsid w:val="001F6E8F"/>
    <w:rsid w:val="00207A97"/>
    <w:rsid w:val="00210570"/>
    <w:rsid w:val="00220702"/>
    <w:rsid w:val="0022206B"/>
    <w:rsid w:val="0023743B"/>
    <w:rsid w:val="00250DF0"/>
    <w:rsid w:val="00253E96"/>
    <w:rsid w:val="00260AA7"/>
    <w:rsid w:val="00264DED"/>
    <w:rsid w:val="002B5773"/>
    <w:rsid w:val="002C0A01"/>
    <w:rsid w:val="002C2098"/>
    <w:rsid w:val="002C67CA"/>
    <w:rsid w:val="002D377D"/>
    <w:rsid w:val="002E1E7E"/>
    <w:rsid w:val="002E7F09"/>
    <w:rsid w:val="003039CE"/>
    <w:rsid w:val="003126DA"/>
    <w:rsid w:val="00312B9E"/>
    <w:rsid w:val="0033041F"/>
    <w:rsid w:val="00331C6E"/>
    <w:rsid w:val="0034114C"/>
    <w:rsid w:val="0035634A"/>
    <w:rsid w:val="00365180"/>
    <w:rsid w:val="00380307"/>
    <w:rsid w:val="0039068C"/>
    <w:rsid w:val="003A0574"/>
    <w:rsid w:val="003A1EEA"/>
    <w:rsid w:val="003A6D8C"/>
    <w:rsid w:val="003B68E3"/>
    <w:rsid w:val="003D6AA5"/>
    <w:rsid w:val="003E1C6E"/>
    <w:rsid w:val="00412C3C"/>
    <w:rsid w:val="0042091B"/>
    <w:rsid w:val="004306E9"/>
    <w:rsid w:val="00430D5F"/>
    <w:rsid w:val="00442AE1"/>
    <w:rsid w:val="00444C5B"/>
    <w:rsid w:val="00464082"/>
    <w:rsid w:val="00465F6C"/>
    <w:rsid w:val="0047173D"/>
    <w:rsid w:val="00474048"/>
    <w:rsid w:val="00487359"/>
    <w:rsid w:val="00492292"/>
    <w:rsid w:val="004C315A"/>
    <w:rsid w:val="004C504B"/>
    <w:rsid w:val="004D0A9C"/>
    <w:rsid w:val="004D1E14"/>
    <w:rsid w:val="004D7C17"/>
    <w:rsid w:val="004E03EF"/>
    <w:rsid w:val="004F6892"/>
    <w:rsid w:val="00502D9F"/>
    <w:rsid w:val="00513F96"/>
    <w:rsid w:val="005310F1"/>
    <w:rsid w:val="00544460"/>
    <w:rsid w:val="00551087"/>
    <w:rsid w:val="00560009"/>
    <w:rsid w:val="00562E67"/>
    <w:rsid w:val="00580BBC"/>
    <w:rsid w:val="00585F76"/>
    <w:rsid w:val="005A7214"/>
    <w:rsid w:val="005B62EE"/>
    <w:rsid w:val="005C0A39"/>
    <w:rsid w:val="005C3BDA"/>
    <w:rsid w:val="005F018A"/>
    <w:rsid w:val="00601AFE"/>
    <w:rsid w:val="006049D2"/>
    <w:rsid w:val="0061052C"/>
    <w:rsid w:val="00610D6C"/>
    <w:rsid w:val="006227A6"/>
    <w:rsid w:val="006522C6"/>
    <w:rsid w:val="006702B4"/>
    <w:rsid w:val="006776BB"/>
    <w:rsid w:val="006859AA"/>
    <w:rsid w:val="00686069"/>
    <w:rsid w:val="006877FB"/>
    <w:rsid w:val="006A76F7"/>
    <w:rsid w:val="006B625E"/>
    <w:rsid w:val="006D06F0"/>
    <w:rsid w:val="006D772F"/>
    <w:rsid w:val="006E400D"/>
    <w:rsid w:val="006E4E57"/>
    <w:rsid w:val="006F47B9"/>
    <w:rsid w:val="00704A79"/>
    <w:rsid w:val="00704D49"/>
    <w:rsid w:val="00714929"/>
    <w:rsid w:val="007313A5"/>
    <w:rsid w:val="00734F06"/>
    <w:rsid w:val="00753CE7"/>
    <w:rsid w:val="00761ABE"/>
    <w:rsid w:val="00767330"/>
    <w:rsid w:val="00772FEC"/>
    <w:rsid w:val="007809AE"/>
    <w:rsid w:val="00780B4D"/>
    <w:rsid w:val="007A030C"/>
    <w:rsid w:val="007A08D6"/>
    <w:rsid w:val="007A2623"/>
    <w:rsid w:val="007A3BEE"/>
    <w:rsid w:val="007A5567"/>
    <w:rsid w:val="007B22A5"/>
    <w:rsid w:val="007C062D"/>
    <w:rsid w:val="007C4FD8"/>
    <w:rsid w:val="007D52DD"/>
    <w:rsid w:val="007E11FC"/>
    <w:rsid w:val="007E47D4"/>
    <w:rsid w:val="007E7754"/>
    <w:rsid w:val="007F2B12"/>
    <w:rsid w:val="007F2DC6"/>
    <w:rsid w:val="007F435E"/>
    <w:rsid w:val="007F68E0"/>
    <w:rsid w:val="007F75C9"/>
    <w:rsid w:val="008516BD"/>
    <w:rsid w:val="00860FE2"/>
    <w:rsid w:val="0086362B"/>
    <w:rsid w:val="008946FA"/>
    <w:rsid w:val="008B102D"/>
    <w:rsid w:val="008B35F0"/>
    <w:rsid w:val="008B4552"/>
    <w:rsid w:val="008D18CD"/>
    <w:rsid w:val="008D1E20"/>
    <w:rsid w:val="008E4EAA"/>
    <w:rsid w:val="008F7041"/>
    <w:rsid w:val="00926A78"/>
    <w:rsid w:val="00930B01"/>
    <w:rsid w:val="00933CED"/>
    <w:rsid w:val="00937CC5"/>
    <w:rsid w:val="0094571F"/>
    <w:rsid w:val="00950133"/>
    <w:rsid w:val="009602EA"/>
    <w:rsid w:val="009605C3"/>
    <w:rsid w:val="00960FE0"/>
    <w:rsid w:val="009614C8"/>
    <w:rsid w:val="00986388"/>
    <w:rsid w:val="00986EC4"/>
    <w:rsid w:val="009916B2"/>
    <w:rsid w:val="009A5DAF"/>
    <w:rsid w:val="009A6159"/>
    <w:rsid w:val="009B1D68"/>
    <w:rsid w:val="009B34EE"/>
    <w:rsid w:val="009C7617"/>
    <w:rsid w:val="009D10F9"/>
    <w:rsid w:val="009D4993"/>
    <w:rsid w:val="009F0965"/>
    <w:rsid w:val="00A030BC"/>
    <w:rsid w:val="00A12B33"/>
    <w:rsid w:val="00A30348"/>
    <w:rsid w:val="00A36719"/>
    <w:rsid w:val="00A42B2E"/>
    <w:rsid w:val="00A45734"/>
    <w:rsid w:val="00A56688"/>
    <w:rsid w:val="00A57A26"/>
    <w:rsid w:val="00A63EFF"/>
    <w:rsid w:val="00A7220B"/>
    <w:rsid w:val="00A72ECC"/>
    <w:rsid w:val="00A9288D"/>
    <w:rsid w:val="00AA66C2"/>
    <w:rsid w:val="00AC0215"/>
    <w:rsid w:val="00AC4E82"/>
    <w:rsid w:val="00AD1CE1"/>
    <w:rsid w:val="00AD7F7D"/>
    <w:rsid w:val="00AF50B2"/>
    <w:rsid w:val="00AF7357"/>
    <w:rsid w:val="00B175C6"/>
    <w:rsid w:val="00B249A1"/>
    <w:rsid w:val="00B253CC"/>
    <w:rsid w:val="00B40589"/>
    <w:rsid w:val="00B424AF"/>
    <w:rsid w:val="00B44117"/>
    <w:rsid w:val="00B443F2"/>
    <w:rsid w:val="00B5600F"/>
    <w:rsid w:val="00B624FB"/>
    <w:rsid w:val="00B6489F"/>
    <w:rsid w:val="00B66576"/>
    <w:rsid w:val="00B70417"/>
    <w:rsid w:val="00BA4C47"/>
    <w:rsid w:val="00BA6A9B"/>
    <w:rsid w:val="00BC5CAE"/>
    <w:rsid w:val="00C022CF"/>
    <w:rsid w:val="00C13FD9"/>
    <w:rsid w:val="00C230A1"/>
    <w:rsid w:val="00C25D5C"/>
    <w:rsid w:val="00C26AA7"/>
    <w:rsid w:val="00C4151A"/>
    <w:rsid w:val="00C45717"/>
    <w:rsid w:val="00C47799"/>
    <w:rsid w:val="00C52E10"/>
    <w:rsid w:val="00C7089C"/>
    <w:rsid w:val="00C75777"/>
    <w:rsid w:val="00C75F3E"/>
    <w:rsid w:val="00C80D6B"/>
    <w:rsid w:val="00C84655"/>
    <w:rsid w:val="00C847E9"/>
    <w:rsid w:val="00C9490B"/>
    <w:rsid w:val="00CA3AC7"/>
    <w:rsid w:val="00CA3DEF"/>
    <w:rsid w:val="00CA42A3"/>
    <w:rsid w:val="00CB0F64"/>
    <w:rsid w:val="00CB5DB3"/>
    <w:rsid w:val="00CE152E"/>
    <w:rsid w:val="00CF4E00"/>
    <w:rsid w:val="00CF5A8B"/>
    <w:rsid w:val="00D122C3"/>
    <w:rsid w:val="00D16879"/>
    <w:rsid w:val="00D4036A"/>
    <w:rsid w:val="00D45DD1"/>
    <w:rsid w:val="00D632D4"/>
    <w:rsid w:val="00D67FDB"/>
    <w:rsid w:val="00D72838"/>
    <w:rsid w:val="00D82BCE"/>
    <w:rsid w:val="00D83876"/>
    <w:rsid w:val="00D84833"/>
    <w:rsid w:val="00D87CD1"/>
    <w:rsid w:val="00D97B2E"/>
    <w:rsid w:val="00DA0E41"/>
    <w:rsid w:val="00DA4904"/>
    <w:rsid w:val="00DC5089"/>
    <w:rsid w:val="00DE1C67"/>
    <w:rsid w:val="00DF3907"/>
    <w:rsid w:val="00E0341A"/>
    <w:rsid w:val="00E03DCE"/>
    <w:rsid w:val="00E11F0A"/>
    <w:rsid w:val="00E16C03"/>
    <w:rsid w:val="00E2776D"/>
    <w:rsid w:val="00E458C0"/>
    <w:rsid w:val="00E77CE9"/>
    <w:rsid w:val="00E853B3"/>
    <w:rsid w:val="00EA7560"/>
    <w:rsid w:val="00EB4CE1"/>
    <w:rsid w:val="00EC08FA"/>
    <w:rsid w:val="00EE71AA"/>
    <w:rsid w:val="00F203FF"/>
    <w:rsid w:val="00F24DA4"/>
    <w:rsid w:val="00F51E17"/>
    <w:rsid w:val="00F6171B"/>
    <w:rsid w:val="00F6245C"/>
    <w:rsid w:val="00F733BF"/>
    <w:rsid w:val="00F85B3E"/>
    <w:rsid w:val="00F9432C"/>
    <w:rsid w:val="00FA06B3"/>
    <w:rsid w:val="00FA6F32"/>
    <w:rsid w:val="00FA73A0"/>
    <w:rsid w:val="00FC4007"/>
    <w:rsid w:val="00FF0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23"/>
  </w:style>
  <w:style w:type="paragraph" w:styleId="Heading1">
    <w:name w:val="heading 1"/>
    <w:basedOn w:val="Normal"/>
    <w:next w:val="Normal"/>
    <w:link w:val="Heading1Char"/>
    <w:uiPriority w:val="9"/>
    <w:qFormat/>
    <w:rsid w:val="007E4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47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17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E96"/>
    <w:pPr>
      <w:ind w:left="720"/>
      <w:contextualSpacing/>
    </w:pPr>
  </w:style>
  <w:style w:type="character" w:customStyle="1" w:styleId="Heading1Char">
    <w:name w:val="Heading 1 Char"/>
    <w:basedOn w:val="DefaultParagraphFont"/>
    <w:link w:val="Heading1"/>
    <w:uiPriority w:val="9"/>
    <w:rsid w:val="007E47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47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17B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C7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660"/>
    <w:rPr>
      <w:rFonts w:ascii="Tahoma" w:hAnsi="Tahoma" w:cs="Tahoma"/>
      <w:sz w:val="16"/>
      <w:szCs w:val="16"/>
    </w:rPr>
  </w:style>
  <w:style w:type="character" w:styleId="CommentReference">
    <w:name w:val="annotation reference"/>
    <w:basedOn w:val="DefaultParagraphFont"/>
    <w:uiPriority w:val="99"/>
    <w:semiHidden/>
    <w:unhideWhenUsed/>
    <w:rsid w:val="00513F96"/>
    <w:rPr>
      <w:sz w:val="16"/>
      <w:szCs w:val="16"/>
    </w:rPr>
  </w:style>
  <w:style w:type="paragraph" w:styleId="CommentText">
    <w:name w:val="annotation text"/>
    <w:basedOn w:val="Normal"/>
    <w:link w:val="CommentTextChar"/>
    <w:uiPriority w:val="99"/>
    <w:semiHidden/>
    <w:unhideWhenUsed/>
    <w:rsid w:val="00513F96"/>
    <w:pPr>
      <w:spacing w:line="240" w:lineRule="auto"/>
    </w:pPr>
    <w:rPr>
      <w:sz w:val="20"/>
      <w:szCs w:val="20"/>
    </w:rPr>
  </w:style>
  <w:style w:type="character" w:customStyle="1" w:styleId="CommentTextChar">
    <w:name w:val="Comment Text Char"/>
    <w:basedOn w:val="DefaultParagraphFont"/>
    <w:link w:val="CommentText"/>
    <w:uiPriority w:val="99"/>
    <w:semiHidden/>
    <w:rsid w:val="00513F96"/>
    <w:rPr>
      <w:sz w:val="20"/>
      <w:szCs w:val="20"/>
    </w:rPr>
  </w:style>
  <w:style w:type="paragraph" w:styleId="CommentSubject">
    <w:name w:val="annotation subject"/>
    <w:basedOn w:val="CommentText"/>
    <w:next w:val="CommentText"/>
    <w:link w:val="CommentSubjectChar"/>
    <w:uiPriority w:val="99"/>
    <w:semiHidden/>
    <w:unhideWhenUsed/>
    <w:rsid w:val="00513F96"/>
    <w:rPr>
      <w:b/>
      <w:bCs/>
    </w:rPr>
  </w:style>
  <w:style w:type="character" w:customStyle="1" w:styleId="CommentSubjectChar">
    <w:name w:val="Comment Subject Char"/>
    <w:basedOn w:val="CommentTextChar"/>
    <w:link w:val="CommentSubject"/>
    <w:uiPriority w:val="99"/>
    <w:semiHidden/>
    <w:rsid w:val="00513F96"/>
    <w:rPr>
      <w:b/>
      <w:bCs/>
      <w:sz w:val="20"/>
      <w:szCs w:val="20"/>
    </w:rPr>
  </w:style>
  <w:style w:type="paragraph" w:styleId="NoSpacing">
    <w:name w:val="No Spacing"/>
    <w:uiPriority w:val="1"/>
    <w:qFormat/>
    <w:rsid w:val="005C3BDA"/>
    <w:pPr>
      <w:spacing w:after="0" w:line="240" w:lineRule="auto"/>
    </w:pPr>
  </w:style>
  <w:style w:type="character" w:styleId="Hyperlink">
    <w:name w:val="Hyperlink"/>
    <w:basedOn w:val="DefaultParagraphFont"/>
    <w:uiPriority w:val="99"/>
    <w:unhideWhenUsed/>
    <w:rsid w:val="000978FD"/>
    <w:rPr>
      <w:color w:val="0000FF" w:themeColor="hyperlink"/>
      <w:u w:val="single"/>
    </w:rPr>
  </w:style>
  <w:style w:type="paragraph" w:customStyle="1" w:styleId="Default">
    <w:name w:val="Default"/>
    <w:rsid w:val="007A5567"/>
    <w:pPr>
      <w:autoSpaceDE w:val="0"/>
      <w:autoSpaceDN w:val="0"/>
      <w:adjustRightInd w:val="0"/>
      <w:spacing w:after="0" w:line="240" w:lineRule="auto"/>
    </w:pPr>
    <w:rPr>
      <w:rFonts w:ascii="Minion Pro" w:hAnsi="Minion Pro" w:cs="Minion Pro"/>
      <w:color w:val="000000"/>
      <w:sz w:val="24"/>
      <w:szCs w:val="24"/>
    </w:rPr>
  </w:style>
  <w:style w:type="paragraph" w:customStyle="1" w:styleId="Pa25">
    <w:name w:val="Pa25"/>
    <w:basedOn w:val="Default"/>
    <w:next w:val="Default"/>
    <w:uiPriority w:val="99"/>
    <w:rsid w:val="007A5567"/>
    <w:pPr>
      <w:spacing w:line="201" w:lineRule="atLeast"/>
    </w:pPr>
    <w:rPr>
      <w:rFonts w:cstheme="minorBidi"/>
      <w:color w:val="auto"/>
    </w:rPr>
  </w:style>
  <w:style w:type="character" w:customStyle="1" w:styleId="A13">
    <w:name w:val="A13"/>
    <w:uiPriority w:val="99"/>
    <w:rsid w:val="007A5567"/>
    <w:rPr>
      <w:rFonts w:cs="Minion Pro"/>
      <w:color w:val="000000"/>
      <w:sz w:val="11"/>
      <w:szCs w:val="11"/>
    </w:rPr>
  </w:style>
  <w:style w:type="paragraph" w:styleId="NormalWeb">
    <w:name w:val="Normal (Web)"/>
    <w:basedOn w:val="Normal"/>
    <w:uiPriority w:val="99"/>
    <w:semiHidden/>
    <w:unhideWhenUsed/>
    <w:rsid w:val="00CA3D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44C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23"/>
  </w:style>
  <w:style w:type="paragraph" w:styleId="Heading1">
    <w:name w:val="heading 1"/>
    <w:basedOn w:val="Normal"/>
    <w:next w:val="Normal"/>
    <w:link w:val="Heading1Char"/>
    <w:uiPriority w:val="9"/>
    <w:qFormat/>
    <w:rsid w:val="007E4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47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17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E96"/>
    <w:pPr>
      <w:ind w:left="720"/>
      <w:contextualSpacing/>
    </w:pPr>
  </w:style>
  <w:style w:type="character" w:customStyle="1" w:styleId="Heading1Char">
    <w:name w:val="Heading 1 Char"/>
    <w:basedOn w:val="DefaultParagraphFont"/>
    <w:link w:val="Heading1"/>
    <w:uiPriority w:val="9"/>
    <w:rsid w:val="007E47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47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17B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C7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660"/>
    <w:rPr>
      <w:rFonts w:ascii="Tahoma" w:hAnsi="Tahoma" w:cs="Tahoma"/>
      <w:sz w:val="16"/>
      <w:szCs w:val="16"/>
    </w:rPr>
  </w:style>
  <w:style w:type="character" w:styleId="CommentReference">
    <w:name w:val="annotation reference"/>
    <w:basedOn w:val="DefaultParagraphFont"/>
    <w:uiPriority w:val="99"/>
    <w:semiHidden/>
    <w:unhideWhenUsed/>
    <w:rsid w:val="00513F96"/>
    <w:rPr>
      <w:sz w:val="16"/>
      <w:szCs w:val="16"/>
    </w:rPr>
  </w:style>
  <w:style w:type="paragraph" w:styleId="CommentText">
    <w:name w:val="annotation text"/>
    <w:basedOn w:val="Normal"/>
    <w:link w:val="CommentTextChar"/>
    <w:uiPriority w:val="99"/>
    <w:semiHidden/>
    <w:unhideWhenUsed/>
    <w:rsid w:val="00513F96"/>
    <w:pPr>
      <w:spacing w:line="240" w:lineRule="auto"/>
    </w:pPr>
    <w:rPr>
      <w:sz w:val="20"/>
      <w:szCs w:val="20"/>
    </w:rPr>
  </w:style>
  <w:style w:type="character" w:customStyle="1" w:styleId="CommentTextChar">
    <w:name w:val="Comment Text Char"/>
    <w:basedOn w:val="DefaultParagraphFont"/>
    <w:link w:val="CommentText"/>
    <w:uiPriority w:val="99"/>
    <w:semiHidden/>
    <w:rsid w:val="00513F96"/>
    <w:rPr>
      <w:sz w:val="20"/>
      <w:szCs w:val="20"/>
    </w:rPr>
  </w:style>
  <w:style w:type="paragraph" w:styleId="CommentSubject">
    <w:name w:val="annotation subject"/>
    <w:basedOn w:val="CommentText"/>
    <w:next w:val="CommentText"/>
    <w:link w:val="CommentSubjectChar"/>
    <w:uiPriority w:val="99"/>
    <w:semiHidden/>
    <w:unhideWhenUsed/>
    <w:rsid w:val="00513F96"/>
    <w:rPr>
      <w:b/>
      <w:bCs/>
    </w:rPr>
  </w:style>
  <w:style w:type="character" w:customStyle="1" w:styleId="CommentSubjectChar">
    <w:name w:val="Comment Subject Char"/>
    <w:basedOn w:val="CommentTextChar"/>
    <w:link w:val="CommentSubject"/>
    <w:uiPriority w:val="99"/>
    <w:semiHidden/>
    <w:rsid w:val="00513F96"/>
    <w:rPr>
      <w:b/>
      <w:bCs/>
      <w:sz w:val="20"/>
      <w:szCs w:val="20"/>
    </w:rPr>
  </w:style>
  <w:style w:type="paragraph" w:styleId="NoSpacing">
    <w:name w:val="No Spacing"/>
    <w:uiPriority w:val="1"/>
    <w:qFormat/>
    <w:rsid w:val="005C3BDA"/>
    <w:pPr>
      <w:spacing w:after="0" w:line="240" w:lineRule="auto"/>
    </w:pPr>
  </w:style>
  <w:style w:type="character" w:styleId="Hyperlink">
    <w:name w:val="Hyperlink"/>
    <w:basedOn w:val="DefaultParagraphFont"/>
    <w:uiPriority w:val="99"/>
    <w:unhideWhenUsed/>
    <w:rsid w:val="000978FD"/>
    <w:rPr>
      <w:color w:val="0000FF" w:themeColor="hyperlink"/>
      <w:u w:val="single"/>
    </w:rPr>
  </w:style>
  <w:style w:type="paragraph" w:customStyle="1" w:styleId="Default">
    <w:name w:val="Default"/>
    <w:rsid w:val="007A5567"/>
    <w:pPr>
      <w:autoSpaceDE w:val="0"/>
      <w:autoSpaceDN w:val="0"/>
      <w:adjustRightInd w:val="0"/>
      <w:spacing w:after="0" w:line="240" w:lineRule="auto"/>
    </w:pPr>
    <w:rPr>
      <w:rFonts w:ascii="Minion Pro" w:hAnsi="Minion Pro" w:cs="Minion Pro"/>
      <w:color w:val="000000"/>
      <w:sz w:val="24"/>
      <w:szCs w:val="24"/>
    </w:rPr>
  </w:style>
  <w:style w:type="paragraph" w:customStyle="1" w:styleId="Pa25">
    <w:name w:val="Pa25"/>
    <w:basedOn w:val="Default"/>
    <w:next w:val="Default"/>
    <w:uiPriority w:val="99"/>
    <w:rsid w:val="007A5567"/>
    <w:pPr>
      <w:spacing w:line="201" w:lineRule="atLeast"/>
    </w:pPr>
    <w:rPr>
      <w:rFonts w:cstheme="minorBidi"/>
      <w:color w:val="auto"/>
    </w:rPr>
  </w:style>
  <w:style w:type="character" w:customStyle="1" w:styleId="A13">
    <w:name w:val="A13"/>
    <w:uiPriority w:val="99"/>
    <w:rsid w:val="007A5567"/>
    <w:rPr>
      <w:rFonts w:cs="Minion Pro"/>
      <w:color w:val="000000"/>
      <w:sz w:val="11"/>
      <w:szCs w:val="11"/>
    </w:rPr>
  </w:style>
  <w:style w:type="paragraph" w:styleId="NormalWeb">
    <w:name w:val="Normal (Web)"/>
    <w:basedOn w:val="Normal"/>
    <w:uiPriority w:val="99"/>
    <w:semiHidden/>
    <w:unhideWhenUsed/>
    <w:rsid w:val="00CA3D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44C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8971">
      <w:bodyDiv w:val="1"/>
      <w:marLeft w:val="0"/>
      <w:marRight w:val="0"/>
      <w:marTop w:val="0"/>
      <w:marBottom w:val="0"/>
      <w:divBdr>
        <w:top w:val="none" w:sz="0" w:space="0" w:color="auto"/>
        <w:left w:val="none" w:sz="0" w:space="0" w:color="auto"/>
        <w:bottom w:val="none" w:sz="0" w:space="0" w:color="auto"/>
        <w:right w:val="none" w:sz="0" w:space="0" w:color="auto"/>
      </w:divBdr>
    </w:div>
    <w:div w:id="816070079">
      <w:bodyDiv w:val="1"/>
      <w:marLeft w:val="0"/>
      <w:marRight w:val="0"/>
      <w:marTop w:val="0"/>
      <w:marBottom w:val="0"/>
      <w:divBdr>
        <w:top w:val="none" w:sz="0" w:space="0" w:color="auto"/>
        <w:left w:val="none" w:sz="0" w:space="0" w:color="auto"/>
        <w:bottom w:val="none" w:sz="0" w:space="0" w:color="auto"/>
        <w:right w:val="none" w:sz="0" w:space="0" w:color="auto"/>
      </w:divBdr>
    </w:div>
    <w:div w:id="958609398">
      <w:bodyDiv w:val="1"/>
      <w:marLeft w:val="0"/>
      <w:marRight w:val="0"/>
      <w:marTop w:val="0"/>
      <w:marBottom w:val="0"/>
      <w:divBdr>
        <w:top w:val="none" w:sz="0" w:space="0" w:color="auto"/>
        <w:left w:val="none" w:sz="0" w:space="0" w:color="auto"/>
        <w:bottom w:val="none" w:sz="0" w:space="0" w:color="auto"/>
        <w:right w:val="none" w:sz="0" w:space="0" w:color="auto"/>
      </w:divBdr>
    </w:div>
    <w:div w:id="1185097553">
      <w:bodyDiv w:val="1"/>
      <w:marLeft w:val="0"/>
      <w:marRight w:val="0"/>
      <w:marTop w:val="0"/>
      <w:marBottom w:val="0"/>
      <w:divBdr>
        <w:top w:val="none" w:sz="0" w:space="0" w:color="auto"/>
        <w:left w:val="none" w:sz="0" w:space="0" w:color="auto"/>
        <w:bottom w:val="none" w:sz="0" w:space="0" w:color="auto"/>
        <w:right w:val="none" w:sz="0" w:space="0" w:color="auto"/>
      </w:divBdr>
    </w:div>
    <w:div w:id="171553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astsussexformulary.co.uk/therapeutic-sections/6-endocrine-system/61-drugs-used-in-diabetes/" TargetMode="External"/><Relationship Id="rId4" Type="http://schemas.microsoft.com/office/2007/relationships/stylesWithEffects" Target="stylesWithEffect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sussex.nhs.uk\rdf\09f\SyedH002\Desktop\SUMMARY%20OF%20ALL%20DM%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ussex.nhs.uk\rdf\09f\SyedH002\Desktop\SUMMARY%20OF%20ALL%20DM%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a:pPr>
            <a:r>
              <a:rPr lang="en-US" sz="1200" b="1"/>
              <a:t>Chart showing the</a:t>
            </a:r>
            <a:r>
              <a:rPr lang="en-US" sz="1200" b="1" baseline="0"/>
              <a:t> breakdown of agents stopped/reduced as a result of the MM led reviews</a:t>
            </a:r>
            <a:r>
              <a:rPr lang="en-US" sz="1200" b="1"/>
              <a:t>  </a:t>
            </a:r>
          </a:p>
        </c:rich>
      </c:tx>
      <c:layout>
        <c:manualLayout>
          <c:xMode val="edge"/>
          <c:yMode val="edge"/>
          <c:x val="0.1403138618189462"/>
          <c:y val="1.9896428538460832E-2"/>
        </c:manualLayout>
      </c:layout>
      <c:overlay val="0"/>
    </c:title>
    <c:autoTitleDeleted val="0"/>
    <c:plotArea>
      <c:layout>
        <c:manualLayout>
          <c:layoutTarget val="inner"/>
          <c:xMode val="edge"/>
          <c:yMode val="edge"/>
          <c:x val="0.11555497954460897"/>
          <c:y val="0.1124901887264092"/>
          <c:w val="0.87879530210348944"/>
          <c:h val="0.62787761977514001"/>
        </c:manualLayout>
      </c:layout>
      <c:barChart>
        <c:barDir val="col"/>
        <c:grouping val="stacked"/>
        <c:varyColors val="0"/>
        <c:ser>
          <c:idx val="4"/>
          <c:order val="0"/>
          <c:tx>
            <c:strRef>
              <c:f>'agreed charts'!$B$33</c:f>
              <c:strCache>
                <c:ptCount val="1"/>
                <c:pt idx="0">
                  <c:v>Reduced</c:v>
                </c:pt>
              </c:strCache>
            </c:strRef>
          </c:tx>
          <c:invertIfNegative val="0"/>
          <c:cat>
            <c:strRef>
              <c:f>'agreed charts'!$C$28:$J$28</c:f>
              <c:strCache>
                <c:ptCount val="8"/>
                <c:pt idx="0">
                  <c:v>SU </c:v>
                </c:pt>
                <c:pt idx="1">
                  <c:v>Insulin</c:v>
                </c:pt>
                <c:pt idx="2">
                  <c:v>Gliptins</c:v>
                </c:pt>
                <c:pt idx="3">
                  <c:v>SGLT2 inhibitors</c:v>
                </c:pt>
                <c:pt idx="4">
                  <c:v>GLP 1 mimetics</c:v>
                </c:pt>
                <c:pt idx="5">
                  <c:v>Metformin</c:v>
                </c:pt>
                <c:pt idx="6">
                  <c:v>Pioglitazone</c:v>
                </c:pt>
                <c:pt idx="7">
                  <c:v>BGT strips</c:v>
                </c:pt>
              </c:strCache>
            </c:strRef>
          </c:cat>
          <c:val>
            <c:numRef>
              <c:f>'agreed charts'!$C$33:$J$33</c:f>
              <c:numCache>
                <c:formatCode>General</c:formatCode>
                <c:ptCount val="8"/>
                <c:pt idx="0">
                  <c:v>86</c:v>
                </c:pt>
                <c:pt idx="1">
                  <c:v>73</c:v>
                </c:pt>
                <c:pt idx="2">
                  <c:v>9</c:v>
                </c:pt>
                <c:pt idx="3">
                  <c:v>0</c:v>
                </c:pt>
                <c:pt idx="4">
                  <c:v>3</c:v>
                </c:pt>
                <c:pt idx="5">
                  <c:v>27</c:v>
                </c:pt>
              </c:numCache>
            </c:numRef>
          </c:val>
        </c:ser>
        <c:ser>
          <c:idx val="0"/>
          <c:order val="1"/>
          <c:tx>
            <c:strRef>
              <c:f>'agreed charts'!$B$29</c:f>
              <c:strCache>
                <c:ptCount val="1"/>
                <c:pt idx="0">
                  <c:v>Stopped</c:v>
                </c:pt>
              </c:strCache>
            </c:strRef>
          </c:tx>
          <c:invertIfNegative val="0"/>
          <c:cat>
            <c:strRef>
              <c:f>'agreed charts'!$C$28:$J$28</c:f>
              <c:strCache>
                <c:ptCount val="8"/>
                <c:pt idx="0">
                  <c:v>SU </c:v>
                </c:pt>
                <c:pt idx="1">
                  <c:v>Insulin</c:v>
                </c:pt>
                <c:pt idx="2">
                  <c:v>Gliptins</c:v>
                </c:pt>
                <c:pt idx="3">
                  <c:v>SGLT2 inhibitors</c:v>
                </c:pt>
                <c:pt idx="4">
                  <c:v>GLP 1 mimetics</c:v>
                </c:pt>
                <c:pt idx="5">
                  <c:v>Metformin</c:v>
                </c:pt>
                <c:pt idx="6">
                  <c:v>Pioglitazone</c:v>
                </c:pt>
                <c:pt idx="7">
                  <c:v>BGT strips</c:v>
                </c:pt>
              </c:strCache>
            </c:strRef>
          </c:cat>
          <c:val>
            <c:numRef>
              <c:f>'agreed charts'!$C$29:$J$29</c:f>
              <c:numCache>
                <c:formatCode>General</c:formatCode>
                <c:ptCount val="8"/>
                <c:pt idx="0">
                  <c:v>122</c:v>
                </c:pt>
                <c:pt idx="1">
                  <c:v>15</c:v>
                </c:pt>
                <c:pt idx="2">
                  <c:v>17</c:v>
                </c:pt>
                <c:pt idx="3">
                  <c:v>4</c:v>
                </c:pt>
                <c:pt idx="4">
                  <c:v>3</c:v>
                </c:pt>
                <c:pt idx="5">
                  <c:v>10</c:v>
                </c:pt>
                <c:pt idx="6">
                  <c:v>6</c:v>
                </c:pt>
                <c:pt idx="7">
                  <c:v>61</c:v>
                </c:pt>
              </c:numCache>
            </c:numRef>
          </c:val>
        </c:ser>
        <c:ser>
          <c:idx val="1"/>
          <c:order val="2"/>
          <c:tx>
            <c:strRef>
              <c:f>'agreed charts'!$B$30</c:f>
              <c:strCache>
                <c:ptCount val="1"/>
              </c:strCache>
            </c:strRef>
          </c:tx>
          <c:invertIfNegative val="0"/>
          <c:cat>
            <c:strRef>
              <c:f>'agreed charts'!$C$28:$J$28</c:f>
              <c:strCache>
                <c:ptCount val="8"/>
                <c:pt idx="0">
                  <c:v>SU </c:v>
                </c:pt>
                <c:pt idx="1">
                  <c:v>Insulin</c:v>
                </c:pt>
                <c:pt idx="2">
                  <c:v>Gliptins</c:v>
                </c:pt>
                <c:pt idx="3">
                  <c:v>SGLT2 inhibitors</c:v>
                </c:pt>
                <c:pt idx="4">
                  <c:v>GLP 1 mimetics</c:v>
                </c:pt>
                <c:pt idx="5">
                  <c:v>Metformin</c:v>
                </c:pt>
                <c:pt idx="6">
                  <c:v>Pioglitazone</c:v>
                </c:pt>
                <c:pt idx="7">
                  <c:v>BGT strips</c:v>
                </c:pt>
              </c:strCache>
            </c:strRef>
          </c:cat>
          <c:val>
            <c:numRef>
              <c:f>'agreed charts'!$C$30:$J$30</c:f>
            </c:numRef>
          </c:val>
        </c:ser>
        <c:ser>
          <c:idx val="2"/>
          <c:order val="3"/>
          <c:tx>
            <c:strRef>
              <c:f>'agreed charts'!$B$31</c:f>
              <c:strCache>
                <c:ptCount val="1"/>
              </c:strCache>
            </c:strRef>
          </c:tx>
          <c:invertIfNegative val="0"/>
          <c:cat>
            <c:strRef>
              <c:f>'agreed charts'!$C$28:$J$28</c:f>
              <c:strCache>
                <c:ptCount val="8"/>
                <c:pt idx="0">
                  <c:v>SU </c:v>
                </c:pt>
                <c:pt idx="1">
                  <c:v>Insulin</c:v>
                </c:pt>
                <c:pt idx="2">
                  <c:v>Gliptins</c:v>
                </c:pt>
                <c:pt idx="3">
                  <c:v>SGLT2 inhibitors</c:v>
                </c:pt>
                <c:pt idx="4">
                  <c:v>GLP 1 mimetics</c:v>
                </c:pt>
                <c:pt idx="5">
                  <c:v>Metformin</c:v>
                </c:pt>
                <c:pt idx="6">
                  <c:v>Pioglitazone</c:v>
                </c:pt>
                <c:pt idx="7">
                  <c:v>BGT strips</c:v>
                </c:pt>
              </c:strCache>
            </c:strRef>
          </c:cat>
          <c:val>
            <c:numRef>
              <c:f>'agreed charts'!$C$31:$J$31</c:f>
            </c:numRef>
          </c:val>
        </c:ser>
        <c:ser>
          <c:idx val="3"/>
          <c:order val="4"/>
          <c:tx>
            <c:strRef>
              <c:f>'agreed charts'!$B$32</c:f>
              <c:strCache>
                <c:ptCount val="1"/>
              </c:strCache>
            </c:strRef>
          </c:tx>
          <c:invertIfNegative val="0"/>
          <c:cat>
            <c:strRef>
              <c:f>'agreed charts'!$C$28:$J$28</c:f>
              <c:strCache>
                <c:ptCount val="8"/>
                <c:pt idx="0">
                  <c:v>SU </c:v>
                </c:pt>
                <c:pt idx="1">
                  <c:v>Insulin</c:v>
                </c:pt>
                <c:pt idx="2">
                  <c:v>Gliptins</c:v>
                </c:pt>
                <c:pt idx="3">
                  <c:v>SGLT2 inhibitors</c:v>
                </c:pt>
                <c:pt idx="4">
                  <c:v>GLP 1 mimetics</c:v>
                </c:pt>
                <c:pt idx="5">
                  <c:v>Metformin</c:v>
                </c:pt>
                <c:pt idx="6">
                  <c:v>Pioglitazone</c:v>
                </c:pt>
                <c:pt idx="7">
                  <c:v>BGT strips</c:v>
                </c:pt>
              </c:strCache>
            </c:strRef>
          </c:cat>
          <c:val>
            <c:numRef>
              <c:f>'agreed charts'!$C$32:$J$32</c:f>
            </c:numRef>
          </c:val>
        </c:ser>
        <c:dLbls>
          <c:showLegendKey val="0"/>
          <c:showVal val="0"/>
          <c:showCatName val="0"/>
          <c:showSerName val="0"/>
          <c:showPercent val="0"/>
          <c:showBubbleSize val="0"/>
        </c:dLbls>
        <c:gapWidth val="150"/>
        <c:overlap val="100"/>
        <c:axId val="38363136"/>
        <c:axId val="38364672"/>
      </c:barChart>
      <c:catAx>
        <c:axId val="38363136"/>
        <c:scaling>
          <c:orientation val="minMax"/>
        </c:scaling>
        <c:delete val="0"/>
        <c:axPos val="b"/>
        <c:majorTickMark val="out"/>
        <c:minorTickMark val="none"/>
        <c:tickLblPos val="nextTo"/>
        <c:crossAx val="38364672"/>
        <c:crosses val="autoZero"/>
        <c:auto val="1"/>
        <c:lblAlgn val="ctr"/>
        <c:lblOffset val="100"/>
        <c:noMultiLvlLbl val="0"/>
      </c:catAx>
      <c:valAx>
        <c:axId val="38364672"/>
        <c:scaling>
          <c:orientation val="minMax"/>
          <c:max val="225"/>
          <c:min val="0"/>
        </c:scaling>
        <c:delete val="0"/>
        <c:axPos val="l"/>
        <c:majorGridlines/>
        <c:title>
          <c:tx>
            <c:rich>
              <a:bodyPr rot="-5400000" vert="horz"/>
              <a:lstStyle/>
              <a:p>
                <a:pPr>
                  <a:defRPr sz="1050" b="0"/>
                </a:pPr>
                <a:r>
                  <a:rPr lang="en-GB" sz="1050" b="0"/>
                  <a:t>Number of Patients</a:t>
                </a:r>
              </a:p>
            </c:rich>
          </c:tx>
          <c:layout>
            <c:manualLayout>
              <c:xMode val="edge"/>
              <c:yMode val="edge"/>
              <c:x val="2.4427480916030534E-2"/>
              <c:y val="0.21350856878184343"/>
            </c:manualLayout>
          </c:layout>
          <c:overlay val="0"/>
        </c:title>
        <c:numFmt formatCode="General" sourceLinked="1"/>
        <c:majorTickMark val="out"/>
        <c:minorTickMark val="none"/>
        <c:tickLblPos val="nextTo"/>
        <c:crossAx val="38363136"/>
        <c:crosses val="autoZero"/>
        <c:crossBetween val="between"/>
      </c:valAx>
      <c:dTable>
        <c:showHorzBorder val="1"/>
        <c:showVertBorder val="1"/>
        <c:showOutline val="1"/>
        <c:showKeys val="1"/>
      </c:dTable>
    </c:plotArea>
    <c:legend>
      <c:legendPos val="r"/>
      <c:layout>
        <c:manualLayout>
          <c:xMode val="edge"/>
          <c:yMode val="edge"/>
          <c:x val="0.80538755002887652"/>
          <c:y val="0.1833693410216648"/>
          <c:w val="0.14203395248670839"/>
          <c:h val="0.11114873820551643"/>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solidFill>
                <a:latin typeface="+mn-lt"/>
                <a:ea typeface="+mn-ea"/>
                <a:cs typeface="+mn-cs"/>
              </a:defRPr>
            </a:pPr>
            <a:r>
              <a:rPr lang="en-GB" sz="1100" b="1" i="0" baseline="0">
                <a:effectLst/>
              </a:rPr>
              <a:t>Chart showing % of patients according to HbA1c category</a:t>
            </a:r>
            <a:endParaRPr lang="en-GB" sz="1100">
              <a:effectLst/>
            </a:endParaRPr>
          </a:p>
          <a:p>
            <a:pPr marL="0" marR="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solidFill>
                <a:latin typeface="+mn-lt"/>
                <a:ea typeface="+mn-ea"/>
                <a:cs typeface="+mn-cs"/>
              </a:defRPr>
            </a:pPr>
            <a:endParaRPr lang="en-GB" sz="1100"/>
          </a:p>
        </c:rich>
      </c:tx>
      <c:layout>
        <c:manualLayout>
          <c:xMode val="edge"/>
          <c:yMode val="edge"/>
          <c:x val="0.11967871485943775"/>
          <c:y val="3.2863849765258218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0.19796657447158958"/>
          <c:w val="0.77962483248326009"/>
          <c:h val="0.72436795033872603"/>
        </c:manualLayout>
      </c:layout>
      <c:pie3DChart>
        <c:varyColors val="1"/>
        <c:ser>
          <c:idx val="0"/>
          <c:order val="0"/>
          <c:dPt>
            <c:idx val="0"/>
            <c:bubble3D val="0"/>
            <c:explosion val="9"/>
          </c:dPt>
          <c:dPt>
            <c:idx val="1"/>
            <c:bubble3D val="0"/>
            <c:explosion val="13"/>
          </c:dPt>
          <c:dPt>
            <c:idx val="2"/>
            <c:bubble3D val="0"/>
            <c:explosion val="1"/>
          </c:dPt>
          <c:dLbls>
            <c:showLegendKey val="0"/>
            <c:showVal val="0"/>
            <c:showCatName val="0"/>
            <c:showSerName val="0"/>
            <c:showPercent val="1"/>
            <c:showBubbleSize val="0"/>
            <c:showLeaderLines val="1"/>
          </c:dLbls>
          <c:cat>
            <c:strRef>
              <c:f>charts!$B$29:$D$29</c:f>
              <c:strCache>
                <c:ptCount val="3"/>
                <c:pt idx="0">
                  <c:v>HbA1C ≤ 42 </c:v>
                </c:pt>
                <c:pt idx="1">
                  <c:v>HbA1C: &gt; 42 ≤ 48</c:v>
                </c:pt>
                <c:pt idx="2">
                  <c:v>HbA1C &gt;48</c:v>
                </c:pt>
              </c:strCache>
            </c:strRef>
          </c:cat>
          <c:val>
            <c:numRef>
              <c:f>charts!$B$30:$D$30</c:f>
              <c:numCache>
                <c:formatCode>General</c:formatCode>
                <c:ptCount val="3"/>
                <c:pt idx="0">
                  <c:v>66</c:v>
                </c:pt>
                <c:pt idx="1">
                  <c:v>138</c:v>
                </c:pt>
                <c:pt idx="2">
                  <c:v>137</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73491399711685912"/>
          <c:y val="0.341569835067562"/>
          <c:w val="0.24791157105932438"/>
          <c:h val="0.2716216184250054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743C4-AA5D-42BD-8250-977C017B5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397EE71A</Template>
  <TotalTime>752</TotalTime>
  <Pages>4</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12761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Syed Hannah (EH&amp;S CCG)</cp:lastModifiedBy>
  <cp:revision>37</cp:revision>
  <cp:lastPrinted>2019-07-04T12:36:00Z</cp:lastPrinted>
  <dcterms:created xsi:type="dcterms:W3CDTF">2018-12-31T16:43:00Z</dcterms:created>
  <dcterms:modified xsi:type="dcterms:W3CDTF">2019-07-04T12:40:00Z</dcterms:modified>
</cp:coreProperties>
</file>