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BC" w:rsidRDefault="004408BC">
      <w:r>
        <w:t>Examples of how a safe prescribing template will appear on a saved consultation.</w:t>
      </w:r>
    </w:p>
    <w:tbl>
      <w:tblPr>
        <w:tblW w:w="10658" w:type="dxa"/>
        <w:tblInd w:w="61" w:type="dxa"/>
        <w:tblLayout w:type="fixed"/>
        <w:tblCellMar>
          <w:left w:w="61" w:type="dxa"/>
          <w:right w:w="43" w:type="dxa"/>
        </w:tblCellMar>
        <w:tblLook w:val="0000" w:firstRow="0" w:lastRow="0" w:firstColumn="0" w:lastColumn="0" w:noHBand="0" w:noVBand="0"/>
      </w:tblPr>
      <w:tblGrid>
        <w:gridCol w:w="2126"/>
        <w:gridCol w:w="114"/>
        <w:gridCol w:w="298"/>
        <w:gridCol w:w="133"/>
        <w:gridCol w:w="7443"/>
        <w:gridCol w:w="544"/>
      </w:tblGrid>
      <w:tr w:rsidR="004408BC" w:rsidTr="004408BC">
        <w:trPr>
          <w:cantSplit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color w:val="000000"/>
                <w:lang w:eastAsia="en-GB"/>
              </w:rPr>
              <w:t>Date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color w:val="000000"/>
                <w:lang w:eastAsia="en-GB"/>
              </w:rPr>
              <w:t>Consultation Text</w:t>
            </w: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25-Apr-2018 11:58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Amiodarone monitoring  • Thyroid function test  • Liver function test  • Urea and electrolytes  • 12 lead ECG</w:t>
            </w:r>
          </w:p>
        </w:tc>
      </w:tr>
      <w:tr w:rsidR="004408BC" w:rsidTr="004408BC">
        <w:trPr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[Inactive] Diary Entry Blood test due (14-Sep-2018)</w:t>
            </w:r>
          </w:p>
        </w:tc>
      </w:tr>
      <w:tr w:rsidR="004408BC" w:rsidTr="004408BC">
        <w:trPr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25-Apr-2018 11:41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Rheumatology drug monitoring - Sulfasalazine  • Full blood count - FBC  • Liver function test  • Urea and electrolytes</w:t>
            </w:r>
          </w:p>
        </w:tc>
      </w:tr>
      <w:tr w:rsidR="004408BC" w:rsidTr="004408BC">
        <w:trPr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[Inactive] Diary Entry Blood test due (08-Jun-2018)</w:t>
            </w:r>
          </w:p>
        </w:tc>
      </w:tr>
      <w:tr w:rsidR="004408BC" w:rsidTr="004408BC">
        <w:trPr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25-Apr-2018 11:22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Rheumatology drug monitoring - d-</w:t>
            </w:r>
            <w:proofErr w:type="spellStart"/>
            <w:r>
              <w:rPr>
                <w:rFonts w:eastAsiaTheme="minorEastAsia"/>
                <w:lang w:eastAsia="en-GB"/>
              </w:rPr>
              <w:t>penicillamine</w:t>
            </w:r>
            <w:proofErr w:type="spellEnd"/>
            <w:r>
              <w:rPr>
                <w:rFonts w:eastAsiaTheme="minorEastAsia"/>
                <w:lang w:eastAsia="en-GB"/>
              </w:rPr>
              <w:t xml:space="preserve">  • Full blood count - FBC  • Renal profile  • Liver function test  • Test strip urinalysis</w:t>
            </w:r>
          </w:p>
        </w:tc>
      </w:tr>
      <w:tr w:rsidR="004408BC" w:rsidTr="004408BC">
        <w:trPr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[Inactive] Diary Entry Blood test due (02-Jul-2018)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25-Apr-2018 11:09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 xml:space="preserve">Mycophenolate </w:t>
            </w:r>
            <w:proofErr w:type="spellStart"/>
            <w:r>
              <w:rPr>
                <w:rFonts w:eastAsiaTheme="minorEastAsia"/>
                <w:lang w:eastAsia="en-GB"/>
              </w:rPr>
              <w:t>mofetil</w:t>
            </w:r>
            <w:proofErr w:type="spellEnd"/>
            <w:r>
              <w:rPr>
                <w:rFonts w:eastAsiaTheme="minorEastAsia"/>
                <w:lang w:eastAsia="en-GB"/>
              </w:rPr>
              <w:t xml:space="preserve"> monitoring undertaken in primary care  • Full blood count - FBC  • Liver function test  • Renal profile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[Inactive] Diary Entry Blood test due (18-May-2018)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44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25-Apr-2018 10:49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Warfarin indicated </w:t>
            </w:r>
            <w:proofErr w:type="spellStart"/>
            <w:r>
              <w:rPr>
                <w:rFonts w:eastAsiaTheme="minorEastAsia"/>
                <w:lang w:eastAsia="en-GB"/>
              </w:rPr>
              <w:t>Atrila</w:t>
            </w:r>
            <w:proofErr w:type="spellEnd"/>
            <w:r>
              <w:rPr>
                <w:rFonts w:eastAsiaTheme="minorEastAsia"/>
                <w:lang w:eastAsia="en-GB"/>
              </w:rPr>
              <w:t xml:space="preserve"> Fibrillation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International normalised ratio 2.2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Diary Entry Annual warfarin assessment (14-Jan-2019)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23-Apr-2018 10:26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High risk drug monitoring - primary care </w:t>
            </w:r>
            <w:proofErr w:type="spellStart"/>
            <w:r>
              <w:rPr>
                <w:rFonts w:eastAsiaTheme="minorEastAsia"/>
                <w:lang w:eastAsia="en-GB"/>
              </w:rPr>
              <w:t>ciclosprin</w:t>
            </w:r>
            <w:proofErr w:type="spellEnd"/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 xml:space="preserve">Full blood count - FBC  • Renal profile  • Liver function test  • Blood glucose level 5.6 </w:t>
            </w:r>
            <w:proofErr w:type="spellStart"/>
            <w:r>
              <w:rPr>
                <w:rFonts w:eastAsiaTheme="minorEastAsia"/>
                <w:lang w:eastAsia="en-GB"/>
              </w:rPr>
              <w:t>mmol</w:t>
            </w:r>
            <w:proofErr w:type="spellEnd"/>
            <w:r>
              <w:rPr>
                <w:rFonts w:eastAsiaTheme="minorEastAsia"/>
                <w:lang w:eastAsia="en-GB"/>
              </w:rPr>
              <w:t>/L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[Inactive] Diary Entry Blood test due (18-Jun-2018)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23-Apr-2018 10:12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Rheumatology drug monitoring - Azathioprine  • Full blood count NOS  • Renal function tests  • Liver function tests NOS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Diary Entry Rheumatology drug monitoring - Azathioprine (27-Apr-2018) patient agreed to have bloods done on Friday.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23-Apr-2018 10:00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Rheumatology drug monitoring - Methotrexate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Diagnosis RA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Full blood count - FBC  • Liver function test  • Renal profile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Diary Entry Rheumatology drug monitoring - Methotrexate (11-May-2018)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23-Apr-2018 09:54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On lithium </w:t>
            </w:r>
            <w:proofErr w:type="spellStart"/>
            <w:r>
              <w:rPr>
                <w:rFonts w:eastAsiaTheme="minorEastAsia"/>
                <w:lang w:eastAsia="en-GB"/>
              </w:rPr>
              <w:t>Lithium</w:t>
            </w:r>
            <w:proofErr w:type="spellEnd"/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Diagnosis bipolar disorder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Renal profile  • Serum lithium level 1.3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Diary Entry Lithium monitoring (06-Jul-2018)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Assessment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 xml:space="preserve">Serum calcium 9.7 </w:t>
            </w:r>
            <w:proofErr w:type="spellStart"/>
            <w:r>
              <w:rPr>
                <w:rFonts w:eastAsiaTheme="minorEastAsia"/>
                <w:lang w:eastAsia="en-GB"/>
              </w:rPr>
              <w:t>mmol</w:t>
            </w:r>
            <w:proofErr w:type="spellEnd"/>
            <w:r>
              <w:rPr>
                <w:rFonts w:eastAsiaTheme="minorEastAsia"/>
                <w:lang w:eastAsia="en-GB"/>
              </w:rPr>
              <w:t>/L  • Thyroid function test</w:t>
            </w:r>
          </w:p>
        </w:tc>
      </w:tr>
      <w:tr w:rsidR="004408BC" w:rsidTr="004408BC">
        <w:trPr>
          <w:gridAfter w:val="1"/>
          <w:wAfter w:w="544" w:type="dxa"/>
          <w:cantSplit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color w:val="000000"/>
                <w:lang w:eastAsia="en-GB"/>
              </w:rPr>
              <w:t>Date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color w:val="000000"/>
                <w:lang w:eastAsia="en-GB"/>
              </w:rPr>
              <w:t>Consultation Text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lastRenderedPageBreak/>
              <w:t>20-Mar-2018 11:55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Medication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 xml:space="preserve">(NOT ISSUED) </w:t>
            </w:r>
            <w:proofErr w:type="spellStart"/>
            <w:r>
              <w:rPr>
                <w:rFonts w:eastAsiaTheme="minorEastAsia"/>
                <w:lang w:eastAsia="en-GB"/>
              </w:rPr>
              <w:t>Flurazepam</w:t>
            </w:r>
            <w:proofErr w:type="spellEnd"/>
            <w:r>
              <w:rPr>
                <w:rFonts w:eastAsiaTheme="minorEastAsia"/>
                <w:lang w:eastAsia="en-GB"/>
              </w:rPr>
              <w:t xml:space="preserve"> 15mg capsules 1 When Required, 5 capsule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 xml:space="preserve">(NOT ISSUED) </w:t>
            </w:r>
            <w:proofErr w:type="spellStart"/>
            <w:r>
              <w:rPr>
                <w:rFonts w:eastAsiaTheme="minorEastAsia"/>
                <w:lang w:eastAsia="en-GB"/>
              </w:rPr>
              <w:t>Zopiclone</w:t>
            </w:r>
            <w:proofErr w:type="spellEnd"/>
            <w:r>
              <w:rPr>
                <w:rFonts w:eastAsiaTheme="minorEastAsia"/>
                <w:lang w:eastAsia="en-GB"/>
              </w:rPr>
              <w:t xml:space="preserve"> 3.75mg tablets One To Be Taken At Night, 7 tablet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Diagnosis bereavement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Agreement of care plan only for up to 6 weeks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[Inactive] Diary Entry Medication review due (01-May-2018) any following issues must be reviewed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  <w:cantSplit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color w:val="000000"/>
                <w:lang w:eastAsia="en-GB"/>
              </w:rPr>
              <w:t>Date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color w:val="000000"/>
                <w:lang w:eastAsia="en-GB"/>
              </w:rPr>
              <w:t>Consultation Text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>31-Jul-2019 16:56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Problem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b/>
                <w:lang w:eastAsia="en-GB"/>
              </w:rPr>
              <w:t>Diagnosis</w:t>
            </w:r>
            <w:r>
              <w:rPr>
                <w:rFonts w:eastAsiaTheme="minorEastAsia"/>
                <w:lang w:eastAsia="en-GB"/>
              </w:rPr>
              <w:t> </w:t>
            </w:r>
            <w:r>
              <w:rPr>
                <w:rFonts w:eastAsiaTheme="minorEastAsia"/>
                <w:i/>
                <w:lang w:eastAsia="en-GB"/>
              </w:rPr>
              <w:t>(First)</w:t>
            </w:r>
            <w:r>
              <w:rPr>
                <w:rFonts w:eastAsiaTheme="minorEastAsia"/>
                <w:lang w:eastAsia="en-GB"/>
              </w:rPr>
              <w:t> </w:t>
            </w:r>
            <w:proofErr w:type="spellStart"/>
            <w:r>
              <w:rPr>
                <w:rFonts w:eastAsiaTheme="minorEastAsia"/>
                <w:lang w:eastAsia="en-GB"/>
              </w:rPr>
              <w:t>Pregabalin</w:t>
            </w:r>
            <w:proofErr w:type="spellEnd"/>
            <w:r>
              <w:rPr>
                <w:rFonts w:eastAsiaTheme="minorEastAsia"/>
                <w:lang w:eastAsia="en-GB"/>
              </w:rPr>
              <w:t xml:space="preserve"> 75 BD for Neuropathic pain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Assessment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Agreement of care plan Patient has had trial of Gabapentin, ADR unacceptable therefore agrees to try this</w:t>
            </w: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Drug dependence No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Additional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Drug side effect - acceptable to patient Since Patient could not tolerate Gabapentin has been informed what to expect, Pt also takes regular Zapain so warned against sedation. New CD status discussed too.</w:t>
            </w:r>
          </w:p>
        </w:tc>
      </w:tr>
      <w:tr w:rsidR="004408BC" w:rsidTr="004408BC">
        <w:trPr>
          <w:gridAfter w:val="1"/>
          <w:wAfter w:w="544" w:type="dxa"/>
          <w:trHeight w:hRule="exact" w:val="8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4408BC" w:rsidTr="004408BC">
        <w:trPr>
          <w:gridAfter w:val="1"/>
          <w:wAfter w:w="544" w:type="dxa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Follow up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>
              <w:rPr>
                <w:rFonts w:eastAsiaTheme="minorEastAsia"/>
                <w:lang w:eastAsia="en-GB"/>
              </w:rPr>
              <w:t>Diary Entry Medication review due (14-Aug-2019) To be reviewed in 3 weeks</w:t>
            </w:r>
          </w:p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  <w:p w:rsidR="004408BC" w:rsidRDefault="004408BC" w:rsidP="00D10EA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</w:tbl>
    <w:p w:rsidR="007618F1" w:rsidRPr="00013948" w:rsidRDefault="00013948">
      <w:pPr>
        <w:rPr>
          <w:b/>
          <w:i/>
        </w:rPr>
      </w:pPr>
      <w:r w:rsidRPr="00013948">
        <w:rPr>
          <w:b/>
          <w:i/>
        </w:rPr>
        <w:t>Following implementation and success of Safe prescribing templates I have also designed some Red Flags templates to help Clinicians identify and exclude them in acute presentations.</w:t>
      </w:r>
    </w:p>
    <w:p w:rsidR="00013948" w:rsidRPr="00013948" w:rsidRDefault="00013948">
      <w:pPr>
        <w:rPr>
          <w:b/>
          <w:i/>
        </w:rPr>
      </w:pPr>
      <w:r w:rsidRPr="00013948">
        <w:rPr>
          <w:b/>
          <w:i/>
        </w:rPr>
        <w:t xml:space="preserve">So far I have written Red flags templates for Lower back pain, Headache, Eye symptoms, Acute </w:t>
      </w:r>
      <w:proofErr w:type="gramStart"/>
      <w:r w:rsidRPr="00013948">
        <w:rPr>
          <w:b/>
          <w:i/>
        </w:rPr>
        <w:t>abdomen ,</w:t>
      </w:r>
      <w:proofErr w:type="gramEnd"/>
      <w:r w:rsidRPr="00013948">
        <w:rPr>
          <w:b/>
          <w:i/>
        </w:rPr>
        <w:t xml:space="preserve"> Vomiting/Diarrhoea ( this is linked to Diabetic Ketoacidosis template for Diabetics).</w:t>
      </w:r>
    </w:p>
    <w:p w:rsidR="00013948" w:rsidRPr="00013948" w:rsidRDefault="00013948">
      <w:pPr>
        <w:rPr>
          <w:b/>
          <w:i/>
        </w:rPr>
      </w:pPr>
      <w:r w:rsidRPr="00013948">
        <w:rPr>
          <w:b/>
          <w:i/>
        </w:rPr>
        <w:t>Following is an example of one of the red flags template as it would appear once documented and saved;</w:t>
      </w:r>
    </w:p>
    <w:tbl>
      <w:tblPr>
        <w:tblW w:w="0" w:type="auto"/>
        <w:tblInd w:w="61" w:type="dxa"/>
        <w:tblLayout w:type="fixed"/>
        <w:tblCellMar>
          <w:left w:w="61" w:type="dxa"/>
          <w:right w:w="43" w:type="dxa"/>
        </w:tblCellMar>
        <w:tblLook w:val="0000" w:firstRow="0" w:lastRow="0" w:firstColumn="0" w:lastColumn="0" w:noHBand="0" w:noVBand="0"/>
      </w:tblPr>
      <w:tblGrid>
        <w:gridCol w:w="2238"/>
        <w:gridCol w:w="298"/>
        <w:gridCol w:w="7578"/>
        <w:gridCol w:w="256"/>
        <w:gridCol w:w="288"/>
      </w:tblGrid>
      <w:tr w:rsidR="00013948" w:rsidRPr="00013948" w:rsidTr="00D10EA9">
        <w:trPr>
          <w:cantSplit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b/>
                <w:color w:val="000000"/>
                <w:lang w:eastAsia="en-GB"/>
              </w:rPr>
              <w:t>Date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b/>
                <w:color w:val="000000"/>
                <w:lang w:eastAsia="en-GB"/>
              </w:rPr>
              <w:t>Consultation Text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color w:val="000000"/>
                <w:lang w:eastAsia="en-GB"/>
              </w:rPr>
              <w:t>30-May-2019 09:39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color w:val="000000"/>
                <w:lang w:eastAsia="en-GB"/>
              </w:rPr>
              <w:t xml:space="preserve">GP Surgery (Lime Square Medical Centre)  TEHSEEN, </w:t>
            </w:r>
            <w:proofErr w:type="spellStart"/>
            <w:r w:rsidRPr="00013948">
              <w:rPr>
                <w:rFonts w:eastAsiaTheme="minorEastAsia"/>
                <w:color w:val="000000"/>
                <w:lang w:eastAsia="en-GB"/>
              </w:rPr>
              <w:t>Aneela</w:t>
            </w:r>
            <w:proofErr w:type="spellEnd"/>
            <w:r w:rsidRPr="00013948">
              <w:rPr>
                <w:rFonts w:eastAsiaTheme="minorEastAsia"/>
                <w:color w:val="000000"/>
                <w:lang w:eastAsia="en-GB"/>
              </w:rPr>
              <w:t xml:space="preserve"> (Mrs)   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Problem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b/>
                <w:lang w:eastAsia="en-GB"/>
              </w:rPr>
              <w:t>Viral gastroenteritis</w:t>
            </w:r>
            <w:r w:rsidRPr="00013948">
              <w:rPr>
                <w:rFonts w:eastAsiaTheme="minorEastAsia"/>
                <w:lang w:eastAsia="en-GB"/>
              </w:rPr>
              <w:t> </w:t>
            </w:r>
            <w:r w:rsidRPr="00013948">
              <w:rPr>
                <w:rFonts w:eastAsiaTheme="minorEastAsia"/>
                <w:i/>
                <w:lang w:eastAsia="en-GB"/>
              </w:rPr>
              <w:t>(First)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rPr>
          <w:trHeight w:hRule="exact" w:val="8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History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6 year old child having symptoms of increased bowel movements for last 3 days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No urinary symptoms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Mother says not eating as well but drinking plenty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 xml:space="preserve">Has been for a sleepover to nanna's over the </w:t>
            </w:r>
            <w:proofErr w:type="spellStart"/>
            <w:r w:rsidRPr="00013948">
              <w:rPr>
                <w:rFonts w:eastAsiaTheme="minorEastAsia"/>
                <w:lang w:eastAsia="en-GB"/>
              </w:rPr>
              <w:t>weekned</w:t>
            </w:r>
            <w:proofErr w:type="spellEnd"/>
            <w:r w:rsidRPr="00013948">
              <w:rPr>
                <w:rFonts w:eastAsiaTheme="minorEastAsia"/>
                <w:lang w:eastAsia="en-GB"/>
              </w:rPr>
              <w:t xml:space="preserve"> and symptoms started 48 hours later.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rPr>
          <w:trHeight w:hRule="exact" w:val="8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Examination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 xml:space="preserve">A happy and alert child seen with mother, happy to </w:t>
            </w:r>
            <w:proofErr w:type="spellStart"/>
            <w:r w:rsidRPr="00013948">
              <w:rPr>
                <w:rFonts w:eastAsiaTheme="minorEastAsia"/>
                <w:lang w:eastAsia="en-GB"/>
              </w:rPr>
              <w:t>partcipate</w:t>
            </w:r>
            <w:proofErr w:type="spellEnd"/>
            <w:r w:rsidRPr="00013948">
              <w:rPr>
                <w:rFonts w:eastAsiaTheme="minorEastAsia"/>
                <w:lang w:eastAsia="en-GB"/>
              </w:rPr>
              <w:t xml:space="preserve"> in </w:t>
            </w:r>
            <w:proofErr w:type="spellStart"/>
            <w:r w:rsidRPr="00013948">
              <w:rPr>
                <w:rFonts w:eastAsiaTheme="minorEastAsia"/>
                <w:lang w:eastAsia="en-GB"/>
              </w:rPr>
              <w:t>ducussion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O/E - tympanic temperature 37.2 degrees C  • Capillary refill time 1 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Soft abdomen, no masses, no guarding,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no Conjunctival pallor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Describes some abdominal pain prior to bowel movement, doesn't wake him up from sleep,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No vomiting so far, but has been nauseous few days ago.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rPr>
          <w:trHeight w:hRule="exact" w:val="8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Assessment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  <w:r w:rsidRPr="00013948">
              <w:rPr>
                <w:rFonts w:eastAsiaTheme="minorEastAsia"/>
                <w:color w:val="FF0000"/>
                <w:lang w:eastAsia="en-GB"/>
              </w:rPr>
              <w:t>[D]</w:t>
            </w:r>
            <w:proofErr w:type="spellStart"/>
            <w:r w:rsidRPr="00013948">
              <w:rPr>
                <w:rFonts w:eastAsiaTheme="minorEastAsia"/>
                <w:color w:val="FF0000"/>
                <w:lang w:eastAsia="en-GB"/>
              </w:rPr>
              <w:t>Hypovolaemic</w:t>
            </w:r>
            <w:proofErr w:type="spellEnd"/>
            <w:r w:rsidRPr="00013948">
              <w:rPr>
                <w:rFonts w:eastAsiaTheme="minorEastAsia"/>
                <w:color w:val="FF0000"/>
                <w:lang w:eastAsia="en-GB"/>
              </w:rPr>
              <w:t xml:space="preserve"> shock No observation of Decreased consciousness, Pale skin, Cold </w:t>
            </w:r>
            <w:proofErr w:type="spellStart"/>
            <w:r w:rsidRPr="00013948">
              <w:rPr>
                <w:rFonts w:eastAsiaTheme="minorEastAsia"/>
                <w:color w:val="FF0000"/>
                <w:lang w:eastAsia="en-GB"/>
              </w:rPr>
              <w:t>extremeties</w:t>
            </w:r>
            <w:proofErr w:type="spellEnd"/>
            <w:r w:rsidRPr="00013948">
              <w:rPr>
                <w:rFonts w:eastAsiaTheme="minorEastAsia"/>
                <w:color w:val="FF0000"/>
                <w:lang w:eastAsia="en-GB"/>
              </w:rPr>
              <w:t xml:space="preserve">, Sunken eyes, Tachycardia, </w:t>
            </w:r>
            <w:proofErr w:type="spellStart"/>
            <w:r w:rsidRPr="00013948">
              <w:rPr>
                <w:rFonts w:eastAsiaTheme="minorEastAsia"/>
                <w:color w:val="FF0000"/>
                <w:lang w:eastAsia="en-GB"/>
              </w:rPr>
              <w:t>Techypnoea</w:t>
            </w:r>
            <w:proofErr w:type="spellEnd"/>
            <w:r w:rsidRPr="00013948">
              <w:rPr>
                <w:rFonts w:eastAsiaTheme="minorEastAsia"/>
                <w:color w:val="FF0000"/>
                <w:lang w:eastAsia="en-GB"/>
              </w:rPr>
              <w:t xml:space="preserve">, Weak pulse, Prolonged capillary refill time, Hypotension (Adult Systolic </w:t>
            </w:r>
            <w:proofErr w:type="spellStart"/>
            <w:r w:rsidRPr="00013948">
              <w:rPr>
                <w:rFonts w:eastAsiaTheme="minorEastAsia"/>
                <w:color w:val="FF0000"/>
                <w:lang w:eastAsia="en-GB"/>
              </w:rPr>
              <w:t>Bp</w:t>
            </w:r>
            <w:proofErr w:type="spellEnd"/>
            <w:r w:rsidRPr="00013948">
              <w:rPr>
                <w:rFonts w:eastAsiaTheme="minorEastAsia"/>
                <w:color w:val="FF0000"/>
                <w:lang w:eastAsia="en-GB"/>
              </w:rPr>
              <w:t xml:space="preserve"> lower than 90mm of Hg, or Tachycardia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  <w:r w:rsidRPr="00013948">
              <w:rPr>
                <w:rFonts w:eastAsiaTheme="minorEastAsia"/>
                <w:color w:val="FF0000"/>
                <w:lang w:eastAsia="en-GB"/>
              </w:rPr>
              <w:t>Red flag symptom No observation of non-blanching rash, neck stiffness, sensitivity to bright light especially in children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  <w:r w:rsidRPr="00013948">
              <w:rPr>
                <w:rFonts w:eastAsiaTheme="minorEastAsia"/>
                <w:color w:val="FF0000"/>
                <w:lang w:eastAsia="en-GB"/>
              </w:rPr>
              <w:t xml:space="preserve">Red flag symptom Premature birth , severe cardiac/renal /autoimmune dysfunction or patient receiving </w:t>
            </w:r>
            <w:proofErr w:type="spellStart"/>
            <w:r w:rsidRPr="00013948">
              <w:rPr>
                <w:rFonts w:eastAsiaTheme="minorEastAsia"/>
                <w:color w:val="FF0000"/>
                <w:lang w:eastAsia="en-GB"/>
              </w:rPr>
              <w:t>immunosuppressents</w:t>
            </w:r>
            <w:proofErr w:type="spellEnd"/>
            <w:r w:rsidRPr="00013948">
              <w:rPr>
                <w:rFonts w:eastAsiaTheme="minorEastAsia"/>
                <w:color w:val="FF0000"/>
                <w:lang w:eastAsia="en-GB"/>
              </w:rPr>
              <w:t xml:space="preserve"> (none seen)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  <w:r w:rsidRPr="00013948">
              <w:rPr>
                <w:rFonts w:eastAsiaTheme="minorEastAsia"/>
                <w:color w:val="FF0000"/>
                <w:lang w:eastAsia="en-GB"/>
              </w:rPr>
              <w:t>Red flag symptom Not passed urine in 12 hours, presence of Bloody Diarrhoea (none seen)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  <w:r w:rsidRPr="00013948">
              <w:rPr>
                <w:rFonts w:eastAsiaTheme="minorEastAsia"/>
                <w:color w:val="FF0000"/>
                <w:lang w:eastAsia="en-GB"/>
              </w:rPr>
              <w:t>Red flag symptom Inability to retain oral fluids (none seen)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  <w:r w:rsidRPr="00013948">
              <w:rPr>
                <w:rFonts w:eastAsiaTheme="minorEastAsia"/>
                <w:color w:val="FF0000"/>
                <w:lang w:eastAsia="en-GB"/>
              </w:rPr>
              <w:t>Red flag symptom Please use Acute abdomen template if indicated ( not indicated)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rPr>
          <w:trHeight w:hRule="exact" w:val="8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FF0000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Comment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 xml:space="preserve">Reassured parent re possibility of </w:t>
            </w:r>
            <w:proofErr w:type="spellStart"/>
            <w:r w:rsidRPr="00013948">
              <w:rPr>
                <w:rFonts w:eastAsiaTheme="minorEastAsia"/>
                <w:lang w:eastAsia="en-GB"/>
              </w:rPr>
              <w:t>Gastroenteristis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>Child is well in himself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r w:rsidRPr="00013948">
              <w:rPr>
                <w:rFonts w:eastAsiaTheme="minorEastAsia"/>
                <w:lang w:eastAsia="en-GB"/>
              </w:rPr>
              <w:t xml:space="preserve">Discussed value of </w:t>
            </w:r>
            <w:proofErr w:type="spellStart"/>
            <w:r w:rsidRPr="00013948">
              <w:rPr>
                <w:rFonts w:eastAsiaTheme="minorEastAsia"/>
                <w:lang w:eastAsia="en-GB"/>
              </w:rPr>
              <w:t>hygeine</w:t>
            </w:r>
            <w:proofErr w:type="spellEnd"/>
            <w:r w:rsidRPr="00013948">
              <w:rPr>
                <w:rFonts w:eastAsiaTheme="minorEastAsia"/>
                <w:lang w:eastAsia="en-GB"/>
              </w:rPr>
              <w:t xml:space="preserve"> to contain infection, hydration and PRN simple analgesia (paracetamol) </w:t>
            </w:r>
            <w:proofErr w:type="gramStart"/>
            <w:r w:rsidRPr="00013948">
              <w:rPr>
                <w:rFonts w:eastAsiaTheme="minorEastAsia"/>
                <w:lang w:eastAsia="en-GB"/>
              </w:rPr>
              <w:t>discussed .</w:t>
            </w:r>
            <w:proofErr w:type="gram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  <w:proofErr w:type="spellStart"/>
            <w:r w:rsidRPr="00013948">
              <w:rPr>
                <w:rFonts w:eastAsiaTheme="minorEastAsia"/>
                <w:lang w:eastAsia="en-GB"/>
              </w:rPr>
              <w:t>Saftey</w:t>
            </w:r>
            <w:proofErr w:type="spellEnd"/>
            <w:r w:rsidRPr="00013948">
              <w:rPr>
                <w:rFonts w:eastAsiaTheme="minorEastAsia"/>
                <w:lang w:eastAsia="en-GB"/>
              </w:rPr>
              <w:t xml:space="preserve"> netted re worsening, signs of how to recognise dehydration explained, understanding checked.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  <w:tr w:rsidR="00013948" w:rsidRPr="00013948" w:rsidTr="00D10EA9">
        <w:trPr>
          <w:trHeight w:hRule="exact" w:val="8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013948" w:rsidRPr="00013948" w:rsidRDefault="00013948" w:rsidP="00013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lang w:eastAsia="en-GB"/>
              </w:rPr>
            </w:pPr>
          </w:p>
        </w:tc>
      </w:tr>
    </w:tbl>
    <w:p w:rsidR="00013948" w:rsidRDefault="00013948">
      <w:bookmarkStart w:id="0" w:name="_GoBack"/>
      <w:bookmarkEnd w:id="0"/>
    </w:p>
    <w:sectPr w:rsidR="00013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BC"/>
    <w:rsid w:val="00013948"/>
    <w:rsid w:val="004408BC"/>
    <w:rsid w:val="007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B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B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Locum2 P84059</dc:creator>
  <cp:lastModifiedBy>Locum2 P84059</cp:lastModifiedBy>
  <cp:revision>1</cp:revision>
  <dcterms:created xsi:type="dcterms:W3CDTF">2019-07-31T16:05:00Z</dcterms:created>
  <dcterms:modified xsi:type="dcterms:W3CDTF">2019-07-31T16:30:00Z</dcterms:modified>
</cp:coreProperties>
</file>