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D23" w:rsidRPr="00E073C5" w:rsidRDefault="00B90D23" w:rsidP="0059371F">
      <w:pPr>
        <w:rPr>
          <w:b/>
          <w:sz w:val="28"/>
          <w:szCs w:val="28"/>
        </w:rPr>
      </w:pPr>
      <w:r w:rsidRPr="00E073C5">
        <w:rPr>
          <w:b/>
          <w:sz w:val="28"/>
          <w:szCs w:val="28"/>
        </w:rPr>
        <w:t>Audit of the Use of</w:t>
      </w:r>
      <w:r>
        <w:rPr>
          <w:b/>
          <w:sz w:val="28"/>
          <w:szCs w:val="28"/>
        </w:rPr>
        <w:t xml:space="preserve"> Platelets in Three </w:t>
      </w:r>
      <w:smartTag w:uri="urn:schemas-microsoft-com:office:smarttags" w:element="place">
        <w:smartTag w:uri="urn:schemas-microsoft-com:office:smarttags" w:element="country-region">
          <w:r>
            <w:rPr>
              <w:b/>
              <w:sz w:val="28"/>
              <w:szCs w:val="28"/>
            </w:rPr>
            <w:t>UK</w:t>
          </w:r>
        </w:smartTag>
      </w:smartTag>
      <w:r>
        <w:rPr>
          <w:b/>
          <w:sz w:val="28"/>
          <w:szCs w:val="28"/>
        </w:rPr>
        <w:t xml:space="preserve"> Transfusion Committee Regions</w:t>
      </w:r>
    </w:p>
    <w:p w:rsidR="00B90D23" w:rsidRDefault="00B90D23" w:rsidP="0059371F">
      <w:pPr>
        <w:rPr>
          <w:i/>
          <w:sz w:val="22"/>
          <w:szCs w:val="22"/>
          <w:vertAlign w:val="superscript"/>
        </w:rPr>
      </w:pPr>
      <w:r w:rsidRPr="00E073C5">
        <w:rPr>
          <w:i/>
          <w:sz w:val="22"/>
          <w:szCs w:val="22"/>
        </w:rPr>
        <w:t>Joanne Shorthouse</w:t>
      </w:r>
      <w:r>
        <w:rPr>
          <w:i/>
          <w:sz w:val="22"/>
          <w:szCs w:val="22"/>
        </w:rPr>
        <w:t>, Anne Davidson and Jayne Addison</w:t>
      </w:r>
      <w:r w:rsidRPr="00636ED9">
        <w:rPr>
          <w:i/>
          <w:sz w:val="22"/>
          <w:szCs w:val="22"/>
          <w:vertAlign w:val="superscript"/>
        </w:rPr>
        <w:t>3</w:t>
      </w:r>
    </w:p>
    <w:p w:rsidR="00B90D23" w:rsidRPr="003839FE" w:rsidRDefault="00B90D23" w:rsidP="0059371F">
      <w:pPr>
        <w:rPr>
          <w:i/>
          <w:sz w:val="20"/>
          <w:szCs w:val="20"/>
        </w:rPr>
      </w:pPr>
      <w:r w:rsidRPr="003839FE">
        <w:rPr>
          <w:i/>
          <w:sz w:val="20"/>
          <w:szCs w:val="20"/>
        </w:rPr>
        <w:t xml:space="preserve"> </w:t>
      </w:r>
      <w:r w:rsidRPr="003839FE">
        <w:rPr>
          <w:i/>
          <w:sz w:val="20"/>
          <w:szCs w:val="20"/>
          <w:vertAlign w:val="superscript"/>
        </w:rPr>
        <w:t>3</w:t>
      </w:r>
      <w:r>
        <w:rPr>
          <w:i/>
          <w:sz w:val="20"/>
          <w:szCs w:val="20"/>
          <w:vertAlign w:val="superscript"/>
        </w:rPr>
        <w:t xml:space="preserve"> </w:t>
      </w:r>
      <w:r w:rsidRPr="00636ED9">
        <w:rPr>
          <w:i/>
          <w:sz w:val="20"/>
          <w:szCs w:val="20"/>
        </w:rPr>
        <w:t>Patient Blood Management</w:t>
      </w:r>
      <w:r>
        <w:rPr>
          <w:i/>
          <w:sz w:val="20"/>
          <w:szCs w:val="20"/>
        </w:rPr>
        <w:t xml:space="preserve"> Practitioners,</w:t>
      </w:r>
      <w:r w:rsidRPr="003839FE">
        <w:rPr>
          <w:i/>
          <w:sz w:val="20"/>
          <w:szCs w:val="20"/>
        </w:rPr>
        <w:t xml:space="preserve"> NHS</w:t>
      </w:r>
      <w:r>
        <w:rPr>
          <w:i/>
          <w:sz w:val="20"/>
          <w:szCs w:val="20"/>
        </w:rPr>
        <w:t xml:space="preserve"> </w:t>
      </w:r>
      <w:r w:rsidRPr="003839FE">
        <w:rPr>
          <w:i/>
          <w:sz w:val="20"/>
          <w:szCs w:val="20"/>
        </w:rPr>
        <w:t>B</w:t>
      </w:r>
      <w:r>
        <w:rPr>
          <w:i/>
          <w:sz w:val="20"/>
          <w:szCs w:val="20"/>
        </w:rPr>
        <w:t xml:space="preserve">lood and </w:t>
      </w:r>
      <w:r w:rsidRPr="003839FE">
        <w:rPr>
          <w:i/>
          <w:sz w:val="20"/>
          <w:szCs w:val="20"/>
        </w:rPr>
        <w:t>T</w:t>
      </w:r>
      <w:r>
        <w:rPr>
          <w:i/>
          <w:sz w:val="20"/>
          <w:szCs w:val="20"/>
        </w:rPr>
        <w:t>ransplant</w:t>
      </w:r>
    </w:p>
    <w:p w:rsidR="00B90D23" w:rsidRDefault="00B90D23">
      <w:pPr>
        <w:rPr>
          <w:b/>
        </w:rPr>
      </w:pPr>
    </w:p>
    <w:p w:rsidR="00B90D23" w:rsidRPr="0059371F" w:rsidRDefault="00B90D23">
      <w:pPr>
        <w:rPr>
          <w:b/>
        </w:rPr>
      </w:pPr>
      <w:r w:rsidRPr="0059371F">
        <w:rPr>
          <w:b/>
        </w:rPr>
        <w:t>Aims and Objectives</w:t>
      </w:r>
    </w:p>
    <w:p w:rsidR="00B90D23" w:rsidRDefault="00B90D23"/>
    <w:p w:rsidR="00B90D23" w:rsidRDefault="00B90D23" w:rsidP="00061884">
      <w:pPr>
        <w:rPr>
          <w:rFonts w:cs="Arial"/>
          <w:sz w:val="22"/>
          <w:szCs w:val="22"/>
        </w:rPr>
      </w:pPr>
      <w:r>
        <w:rPr>
          <w:rFonts w:cs="Arial"/>
          <w:sz w:val="22"/>
          <w:szCs w:val="22"/>
        </w:rPr>
        <w:t xml:space="preserve">These audits were agreed with the respective Regional Transfusion Committees (RTCs) covering the North West, Yorkshire and The Humber and East Midlands regions of the United Kingdom (UK) as part of a rolling programme of regional audits on blood transfusion practice. </w:t>
      </w:r>
    </w:p>
    <w:p w:rsidR="00B90D23" w:rsidRDefault="00B90D23" w:rsidP="00061884">
      <w:pPr>
        <w:rPr>
          <w:rFonts w:cs="Arial"/>
          <w:sz w:val="22"/>
          <w:szCs w:val="22"/>
        </w:rPr>
      </w:pPr>
    </w:p>
    <w:p w:rsidR="00B90D23" w:rsidRDefault="00B90D23" w:rsidP="00061884">
      <w:pPr>
        <w:rPr>
          <w:rFonts w:cs="Arial"/>
          <w:sz w:val="22"/>
          <w:szCs w:val="22"/>
        </w:rPr>
      </w:pPr>
      <w:r>
        <w:rPr>
          <w:rFonts w:cs="Arial"/>
          <w:sz w:val="22"/>
          <w:szCs w:val="22"/>
        </w:rPr>
        <w:t>The underlying reason for conducting the audits was to</w:t>
      </w:r>
      <w:r w:rsidRPr="005C6D5A">
        <w:rPr>
          <w:rFonts w:cs="Arial"/>
          <w:sz w:val="22"/>
          <w:szCs w:val="22"/>
        </w:rPr>
        <w:t xml:space="preserve"> determine the</w:t>
      </w:r>
      <w:r>
        <w:rPr>
          <w:rFonts w:cs="Arial"/>
          <w:sz w:val="22"/>
          <w:szCs w:val="22"/>
        </w:rPr>
        <w:t xml:space="preserve"> current</w:t>
      </w:r>
      <w:r w:rsidRPr="005C6D5A">
        <w:rPr>
          <w:rFonts w:cs="Arial"/>
          <w:sz w:val="22"/>
          <w:szCs w:val="22"/>
        </w:rPr>
        <w:t xml:space="preserve"> demand for platelets</w:t>
      </w:r>
      <w:r>
        <w:rPr>
          <w:rFonts w:cs="Arial"/>
          <w:sz w:val="22"/>
          <w:szCs w:val="22"/>
        </w:rPr>
        <w:t xml:space="preserve"> across these regions and also their use against British Committee for Standards in Haematology</w:t>
      </w:r>
      <w:r w:rsidRPr="00BE40F0">
        <w:rPr>
          <w:rFonts w:cs="Arial"/>
          <w:sz w:val="22"/>
          <w:szCs w:val="22"/>
          <w:vertAlign w:val="superscript"/>
        </w:rPr>
        <w:t>1</w:t>
      </w:r>
      <w:r>
        <w:rPr>
          <w:rFonts w:cs="Arial"/>
          <w:sz w:val="22"/>
          <w:szCs w:val="22"/>
        </w:rPr>
        <w:t xml:space="preserve"> and the NICE Guideline (NG24) on blood transfusion</w:t>
      </w:r>
      <w:r w:rsidRPr="00BE40F0">
        <w:rPr>
          <w:rFonts w:cs="Arial"/>
          <w:sz w:val="22"/>
          <w:szCs w:val="22"/>
          <w:vertAlign w:val="superscript"/>
        </w:rPr>
        <w:t>2</w:t>
      </w:r>
      <w:r>
        <w:rPr>
          <w:rFonts w:cs="Arial"/>
          <w:sz w:val="22"/>
          <w:szCs w:val="22"/>
        </w:rPr>
        <w:t>. In addition, the audits were conducted to</w:t>
      </w:r>
      <w:r w:rsidRPr="005C6D5A">
        <w:rPr>
          <w:rFonts w:cs="Arial"/>
          <w:sz w:val="22"/>
          <w:szCs w:val="22"/>
        </w:rPr>
        <w:t xml:space="preserve"> demonstrate that</w:t>
      </w:r>
      <w:r>
        <w:rPr>
          <w:rFonts w:cs="Arial"/>
          <w:sz w:val="22"/>
          <w:szCs w:val="22"/>
        </w:rPr>
        <w:t xml:space="preserve"> the</w:t>
      </w:r>
      <w:r w:rsidRPr="005C6D5A">
        <w:rPr>
          <w:rFonts w:cs="Arial"/>
          <w:sz w:val="22"/>
          <w:szCs w:val="22"/>
        </w:rPr>
        <w:t xml:space="preserve"> recommendations of The 2010 National Comparative Audit of Platelet Use </w:t>
      </w:r>
      <w:r>
        <w:rPr>
          <w:rFonts w:cs="Arial"/>
          <w:sz w:val="22"/>
          <w:szCs w:val="22"/>
        </w:rPr>
        <w:t>were</w:t>
      </w:r>
      <w:r w:rsidRPr="005C6D5A">
        <w:rPr>
          <w:rFonts w:cs="Arial"/>
          <w:sz w:val="22"/>
          <w:szCs w:val="22"/>
        </w:rPr>
        <w:t xml:space="preserve"> being fulfilled</w:t>
      </w:r>
      <w:r w:rsidRPr="00BE40F0">
        <w:rPr>
          <w:rFonts w:cs="Arial"/>
          <w:sz w:val="22"/>
          <w:szCs w:val="22"/>
          <w:vertAlign w:val="superscript"/>
        </w:rPr>
        <w:t>3</w:t>
      </w:r>
      <w:r>
        <w:rPr>
          <w:rFonts w:cs="Arial"/>
          <w:sz w:val="22"/>
          <w:szCs w:val="22"/>
        </w:rPr>
        <w:t>.</w:t>
      </w:r>
    </w:p>
    <w:p w:rsidR="00B90D23" w:rsidRDefault="00B90D23" w:rsidP="00061884">
      <w:pPr>
        <w:rPr>
          <w:rFonts w:cs="Arial"/>
          <w:sz w:val="22"/>
          <w:szCs w:val="22"/>
        </w:rPr>
      </w:pPr>
    </w:p>
    <w:p w:rsidR="00B90D23" w:rsidRDefault="00B90D23" w:rsidP="00061884">
      <w:pPr>
        <w:jc w:val="both"/>
        <w:rPr>
          <w:rFonts w:cs="Arial"/>
          <w:sz w:val="22"/>
          <w:szCs w:val="22"/>
        </w:rPr>
      </w:pPr>
      <w:r>
        <w:rPr>
          <w:rFonts w:cs="Arial"/>
          <w:sz w:val="22"/>
          <w:szCs w:val="22"/>
        </w:rPr>
        <w:t>This audit programme is also part of activity to support the concept of Patient Blood Management (PBM</w:t>
      </w:r>
      <w:r w:rsidRPr="002B7FC3">
        <w:rPr>
          <w:rFonts w:cs="Arial"/>
          <w:sz w:val="22"/>
          <w:szCs w:val="22"/>
          <w:vertAlign w:val="superscript"/>
        </w:rPr>
        <w:t>4</w:t>
      </w:r>
      <w:r>
        <w:rPr>
          <w:rFonts w:cs="Arial"/>
          <w:sz w:val="22"/>
          <w:szCs w:val="22"/>
          <w:vertAlign w:val="superscript"/>
        </w:rPr>
        <w:t>)</w:t>
      </w:r>
      <w:r>
        <w:rPr>
          <w:rFonts w:cs="Arial"/>
          <w:sz w:val="22"/>
          <w:szCs w:val="22"/>
        </w:rPr>
        <w:t xml:space="preserve">. </w:t>
      </w:r>
      <w:r>
        <w:rPr>
          <w:rFonts w:cs="Arial"/>
          <w:sz w:val="22"/>
          <w:szCs w:val="20"/>
        </w:rPr>
        <w:t xml:space="preserve">PBM is a multidisciplinary, evidence-based approach to optimising the care of patients who might need a blood transfusion. It represents an international initiative in best practice for transfusion medicine. It is a long-term approach requiring resource and investment. The aim of PBM in </w:t>
      </w:r>
      <w:smartTag w:uri="urn:schemas-microsoft-com:office:smarttags" w:element="place">
        <w:smartTag w:uri="urn:schemas-microsoft-com:office:smarttags" w:element="country-region">
          <w:r>
            <w:rPr>
              <w:rFonts w:cs="Arial"/>
              <w:sz w:val="22"/>
              <w:szCs w:val="20"/>
            </w:rPr>
            <w:t>England</w:t>
          </w:r>
        </w:smartTag>
      </w:smartTag>
      <w:r>
        <w:rPr>
          <w:rFonts w:cs="Arial"/>
          <w:sz w:val="22"/>
          <w:szCs w:val="20"/>
        </w:rPr>
        <w:t xml:space="preserve"> is to build on the success of the Better Blood Transfusion (BBT) initiatives but with an emphasis on improving patient outcomes through blood avoidance and the use of alternatives to transfusion where possible.</w:t>
      </w:r>
      <w:r>
        <w:rPr>
          <w:rFonts w:cs="Arial"/>
          <w:sz w:val="22"/>
          <w:szCs w:val="22"/>
        </w:rPr>
        <w:t xml:space="preserve"> </w:t>
      </w:r>
    </w:p>
    <w:p w:rsidR="00B90D23" w:rsidRDefault="00B90D23"/>
    <w:p w:rsidR="00B90D23" w:rsidRPr="0059371F" w:rsidRDefault="00B90D23">
      <w:pPr>
        <w:rPr>
          <w:b/>
        </w:rPr>
      </w:pPr>
      <w:r w:rsidRPr="0059371F">
        <w:rPr>
          <w:b/>
        </w:rPr>
        <w:t>Context</w:t>
      </w:r>
    </w:p>
    <w:p w:rsidR="00B90D23" w:rsidRDefault="00B90D23"/>
    <w:p w:rsidR="00B90D23" w:rsidRDefault="00B90D23">
      <w:pPr>
        <w:rPr>
          <w:sz w:val="22"/>
          <w:szCs w:val="22"/>
        </w:rPr>
      </w:pPr>
      <w:r w:rsidRPr="00EF1A69">
        <w:rPr>
          <w:sz w:val="22"/>
          <w:szCs w:val="22"/>
        </w:rPr>
        <w:t xml:space="preserve">NHS Blood and Transplant supplies blood components to hospitals across the </w:t>
      </w:r>
      <w:smartTag w:uri="urn:schemas-microsoft-com:office:smarttags" w:element="country-region">
        <w:r w:rsidRPr="00EF1A69">
          <w:rPr>
            <w:sz w:val="22"/>
            <w:szCs w:val="22"/>
          </w:rPr>
          <w:t>UK</w:t>
        </w:r>
      </w:smartTag>
      <w:r>
        <w:rPr>
          <w:sz w:val="22"/>
          <w:szCs w:val="22"/>
        </w:rPr>
        <w:t xml:space="preserve"> and</w:t>
      </w:r>
      <w:r w:rsidRPr="00EF1A69">
        <w:rPr>
          <w:sz w:val="22"/>
          <w:szCs w:val="22"/>
        </w:rPr>
        <w:t xml:space="preserve"> </w:t>
      </w:r>
      <w:smartTag w:uri="urn:schemas-microsoft-com:office:smarttags" w:element="place">
        <w:smartTag w:uri="urn:schemas-microsoft-com:office:smarttags" w:element="country-region">
          <w:r w:rsidRPr="00EF1A69">
            <w:rPr>
              <w:sz w:val="22"/>
              <w:szCs w:val="22"/>
            </w:rPr>
            <w:t>Northern Ireland</w:t>
          </w:r>
        </w:smartTag>
      </w:smartTag>
      <w:r w:rsidRPr="00EF1A69">
        <w:rPr>
          <w:sz w:val="22"/>
          <w:szCs w:val="22"/>
        </w:rPr>
        <w:t xml:space="preserve">. Transfusion of blood components is not without significant risks if these components are used incorrectly. NHSBT carries out internal and external audits of blood component use on a regional and national basis to help ensure these components are used in accordance with recommended guidelines and standards. </w:t>
      </w:r>
      <w:r>
        <w:rPr>
          <w:sz w:val="22"/>
          <w:szCs w:val="22"/>
        </w:rPr>
        <w:t>Platelets</w:t>
      </w:r>
      <w:r w:rsidRPr="00EF1A69">
        <w:rPr>
          <w:sz w:val="22"/>
          <w:szCs w:val="22"/>
        </w:rPr>
        <w:t xml:space="preserve"> </w:t>
      </w:r>
      <w:r>
        <w:rPr>
          <w:sz w:val="22"/>
          <w:szCs w:val="22"/>
        </w:rPr>
        <w:t>are</w:t>
      </w:r>
      <w:r w:rsidRPr="00EF1A69">
        <w:rPr>
          <w:sz w:val="22"/>
          <w:szCs w:val="22"/>
        </w:rPr>
        <w:t xml:space="preserve"> one such component.</w:t>
      </w:r>
    </w:p>
    <w:p w:rsidR="00B90D23" w:rsidRDefault="00B90D23">
      <w:pPr>
        <w:rPr>
          <w:sz w:val="22"/>
          <w:szCs w:val="22"/>
        </w:rPr>
      </w:pPr>
    </w:p>
    <w:p w:rsidR="00B90D23" w:rsidRDefault="00B90D23" w:rsidP="007F608A">
      <w:pPr>
        <w:rPr>
          <w:sz w:val="22"/>
          <w:szCs w:val="22"/>
        </w:rPr>
      </w:pPr>
      <w:r w:rsidRPr="007F608A">
        <w:rPr>
          <w:sz w:val="22"/>
          <w:szCs w:val="22"/>
        </w:rPr>
        <w:t>Platelet transfusions may be required in the event of haemorrhage, as prophylaxis or pre-procedure</w:t>
      </w:r>
      <w:r>
        <w:rPr>
          <w:sz w:val="22"/>
          <w:szCs w:val="22"/>
        </w:rPr>
        <w:t xml:space="preserve"> where blood loss is anticipated</w:t>
      </w:r>
      <w:r w:rsidRPr="007F608A">
        <w:rPr>
          <w:sz w:val="22"/>
          <w:szCs w:val="22"/>
        </w:rPr>
        <w:t xml:space="preserve">. As with all transfusions the risks and benefits should be carefully considered. </w:t>
      </w:r>
    </w:p>
    <w:p w:rsidR="00B90D23" w:rsidRDefault="00B90D23" w:rsidP="007F608A">
      <w:pPr>
        <w:rPr>
          <w:sz w:val="22"/>
          <w:szCs w:val="22"/>
        </w:rPr>
      </w:pPr>
    </w:p>
    <w:p w:rsidR="00B90D23" w:rsidRPr="001A0CE8" w:rsidRDefault="00B90D23" w:rsidP="001A0CE8">
      <w:pPr>
        <w:rPr>
          <w:sz w:val="22"/>
          <w:szCs w:val="22"/>
        </w:rPr>
      </w:pPr>
      <w:r w:rsidRPr="001A0CE8">
        <w:rPr>
          <w:sz w:val="22"/>
          <w:szCs w:val="22"/>
        </w:rPr>
        <w:t xml:space="preserve">The 2010 National Comparative Audit (NCA) of platelet transfusions in Haematology audited 3,296 platelet transfusions over a three month period against the </w:t>
      </w:r>
    </w:p>
    <w:p w:rsidR="00B90D23" w:rsidRDefault="00B90D23" w:rsidP="001A0CE8">
      <w:pPr>
        <w:rPr>
          <w:sz w:val="22"/>
          <w:szCs w:val="22"/>
        </w:rPr>
      </w:pPr>
      <w:r w:rsidRPr="001A0CE8">
        <w:rPr>
          <w:sz w:val="22"/>
          <w:szCs w:val="22"/>
        </w:rPr>
        <w:t>Standards in the British Committee for Standards in Haematology (BCSH) Guidelines for the use of platelet transfusions (2003) and found that:</w:t>
      </w:r>
    </w:p>
    <w:p w:rsidR="00B90D23" w:rsidRDefault="00B90D23" w:rsidP="001A0CE8">
      <w:pPr>
        <w:rPr>
          <w:sz w:val="22"/>
          <w:szCs w:val="22"/>
        </w:rPr>
      </w:pPr>
    </w:p>
    <w:p w:rsidR="00B90D23" w:rsidRPr="001A0CE8" w:rsidRDefault="00B90D23" w:rsidP="001A0CE8">
      <w:pPr>
        <w:pStyle w:val="ListParagraph"/>
        <w:numPr>
          <w:ilvl w:val="0"/>
          <w:numId w:val="14"/>
        </w:numPr>
        <w:rPr>
          <w:sz w:val="22"/>
          <w:szCs w:val="22"/>
        </w:rPr>
      </w:pPr>
      <w:r w:rsidRPr="001A0CE8">
        <w:rPr>
          <w:sz w:val="22"/>
          <w:szCs w:val="22"/>
        </w:rPr>
        <w:t>28% of the platelet transfusions were inappropriate</w:t>
      </w:r>
    </w:p>
    <w:p w:rsidR="00B90D23" w:rsidRPr="001A0CE8" w:rsidRDefault="00B90D23" w:rsidP="001A0CE8">
      <w:pPr>
        <w:pStyle w:val="ListParagraph"/>
        <w:numPr>
          <w:ilvl w:val="0"/>
          <w:numId w:val="14"/>
        </w:numPr>
        <w:rPr>
          <w:sz w:val="22"/>
          <w:szCs w:val="22"/>
        </w:rPr>
      </w:pPr>
      <w:r w:rsidRPr="001A0CE8">
        <w:rPr>
          <w:sz w:val="22"/>
          <w:szCs w:val="22"/>
        </w:rPr>
        <w:t>69% of the platelet transfusions were given as prophylaxis, 34% of these were inappropriate and 10% were double-dose transfusions</w:t>
      </w:r>
    </w:p>
    <w:p w:rsidR="00B90D23" w:rsidRPr="001A0CE8" w:rsidRDefault="00B90D23" w:rsidP="001A0CE8">
      <w:pPr>
        <w:pStyle w:val="ListParagraph"/>
        <w:numPr>
          <w:ilvl w:val="0"/>
          <w:numId w:val="14"/>
        </w:numPr>
        <w:rPr>
          <w:sz w:val="22"/>
          <w:szCs w:val="22"/>
        </w:rPr>
      </w:pPr>
      <w:r w:rsidRPr="001A0CE8">
        <w:rPr>
          <w:sz w:val="22"/>
          <w:szCs w:val="22"/>
        </w:rPr>
        <w:t>13% of the platelet transfusions were therapeutic 15% of platelet transfusions were given pre-procedure and 23% of these were inappropriate</w:t>
      </w:r>
    </w:p>
    <w:p w:rsidR="00B90D23" w:rsidRDefault="00B90D23" w:rsidP="001A0CE8">
      <w:pPr>
        <w:rPr>
          <w:sz w:val="22"/>
          <w:szCs w:val="22"/>
        </w:rPr>
      </w:pPr>
    </w:p>
    <w:p w:rsidR="00B90D23" w:rsidRPr="001A0CE8" w:rsidRDefault="00B90D23" w:rsidP="001A0CE8">
      <w:pPr>
        <w:rPr>
          <w:sz w:val="22"/>
          <w:szCs w:val="22"/>
        </w:rPr>
      </w:pPr>
      <w:r w:rsidRPr="001A0CE8">
        <w:rPr>
          <w:sz w:val="22"/>
          <w:szCs w:val="22"/>
        </w:rPr>
        <w:lastRenderedPageBreak/>
        <w:t xml:space="preserve">There </w:t>
      </w:r>
      <w:r>
        <w:rPr>
          <w:sz w:val="22"/>
          <w:szCs w:val="22"/>
        </w:rPr>
        <w:t>were</w:t>
      </w:r>
      <w:r w:rsidRPr="001A0CE8">
        <w:rPr>
          <w:sz w:val="22"/>
          <w:szCs w:val="22"/>
        </w:rPr>
        <w:t xml:space="preserve"> two key recommendations of the audit with regard to the use of prophylactic platelet transfusions:</w:t>
      </w:r>
      <w:r>
        <w:rPr>
          <w:sz w:val="22"/>
          <w:szCs w:val="22"/>
        </w:rPr>
        <w:br/>
      </w:r>
    </w:p>
    <w:p w:rsidR="00B90D23" w:rsidRPr="001A0CE8" w:rsidRDefault="00B90D23" w:rsidP="001A0CE8">
      <w:pPr>
        <w:rPr>
          <w:sz w:val="22"/>
          <w:szCs w:val="22"/>
        </w:rPr>
      </w:pPr>
      <w:r w:rsidRPr="001A0CE8">
        <w:rPr>
          <w:sz w:val="22"/>
          <w:szCs w:val="22"/>
        </w:rPr>
        <w:t xml:space="preserve">1. Platelet transfusion </w:t>
      </w:r>
      <w:r>
        <w:rPr>
          <w:sz w:val="22"/>
          <w:szCs w:val="22"/>
        </w:rPr>
        <w:t xml:space="preserve">are </w:t>
      </w:r>
      <w:r w:rsidRPr="001A0CE8">
        <w:rPr>
          <w:sz w:val="22"/>
          <w:szCs w:val="22"/>
        </w:rPr>
        <w:t xml:space="preserve">not required routinely prior to bone marrow </w:t>
      </w:r>
      <w:r>
        <w:rPr>
          <w:sz w:val="22"/>
          <w:szCs w:val="22"/>
        </w:rPr>
        <w:br/>
        <w:t xml:space="preserve">    a</w:t>
      </w:r>
      <w:r w:rsidRPr="001A0CE8">
        <w:rPr>
          <w:sz w:val="22"/>
          <w:szCs w:val="22"/>
        </w:rPr>
        <w:t>spiration/biopsy</w:t>
      </w:r>
      <w:r>
        <w:rPr>
          <w:sz w:val="22"/>
          <w:szCs w:val="22"/>
        </w:rPr>
        <w:t xml:space="preserve"> </w:t>
      </w:r>
      <w:r w:rsidRPr="001A0CE8">
        <w:rPr>
          <w:sz w:val="22"/>
          <w:szCs w:val="22"/>
        </w:rPr>
        <w:t xml:space="preserve">or as prophylaxis in stable patients with long term bone marrow </w:t>
      </w:r>
      <w:r>
        <w:rPr>
          <w:sz w:val="22"/>
          <w:szCs w:val="22"/>
        </w:rPr>
        <w:br/>
        <w:t xml:space="preserve">    failure</w:t>
      </w:r>
      <w:r>
        <w:rPr>
          <w:sz w:val="22"/>
          <w:szCs w:val="22"/>
        </w:rPr>
        <w:br/>
      </w:r>
    </w:p>
    <w:p w:rsidR="00B90D23" w:rsidRDefault="00B90D23" w:rsidP="001A0CE8">
      <w:pPr>
        <w:rPr>
          <w:sz w:val="22"/>
          <w:szCs w:val="22"/>
        </w:rPr>
      </w:pPr>
      <w:r w:rsidRPr="001A0CE8">
        <w:rPr>
          <w:sz w:val="22"/>
          <w:szCs w:val="22"/>
        </w:rPr>
        <w:t>2. Double dose platelet transfusions should not be used</w:t>
      </w:r>
    </w:p>
    <w:p w:rsidR="00B90D23" w:rsidRDefault="00B90D23" w:rsidP="001A0CE8">
      <w:pPr>
        <w:rPr>
          <w:sz w:val="22"/>
          <w:szCs w:val="22"/>
        </w:rPr>
      </w:pPr>
    </w:p>
    <w:p w:rsidR="00B90D23" w:rsidRDefault="00B90D23" w:rsidP="001A0CE8">
      <w:pPr>
        <w:rPr>
          <w:sz w:val="22"/>
          <w:szCs w:val="22"/>
        </w:rPr>
      </w:pPr>
      <w:r>
        <w:rPr>
          <w:sz w:val="22"/>
          <w:szCs w:val="22"/>
        </w:rPr>
        <w:t xml:space="preserve">These three re-audits were conducted to establish the extent to which these recommendations are being fulfilled and the degree of compliance to the recently issued NICE guidance relevant to platelet transfusions. </w:t>
      </w:r>
    </w:p>
    <w:p w:rsidR="00B90D23" w:rsidRDefault="00B90D23" w:rsidP="001A0CE8">
      <w:pPr>
        <w:rPr>
          <w:sz w:val="22"/>
          <w:szCs w:val="22"/>
        </w:rPr>
      </w:pPr>
    </w:p>
    <w:p w:rsidR="00B90D23" w:rsidRPr="0059371F" w:rsidRDefault="00B90D23">
      <w:pPr>
        <w:rPr>
          <w:b/>
        </w:rPr>
      </w:pPr>
      <w:r w:rsidRPr="0059371F">
        <w:rPr>
          <w:b/>
        </w:rPr>
        <w:t>Methods</w:t>
      </w:r>
    </w:p>
    <w:p w:rsidR="00B90D23" w:rsidRDefault="00B90D23"/>
    <w:p w:rsidR="00B90D23" w:rsidRDefault="00B90D23" w:rsidP="00A858B1">
      <w:pPr>
        <w:rPr>
          <w:sz w:val="22"/>
          <w:szCs w:val="22"/>
        </w:rPr>
      </w:pPr>
      <w:r>
        <w:rPr>
          <w:sz w:val="22"/>
          <w:szCs w:val="22"/>
        </w:rPr>
        <w:t>An a</w:t>
      </w:r>
      <w:r w:rsidRPr="00FB0BFD">
        <w:rPr>
          <w:sz w:val="22"/>
          <w:szCs w:val="22"/>
        </w:rPr>
        <w:t>udit</w:t>
      </w:r>
      <w:r>
        <w:rPr>
          <w:sz w:val="22"/>
          <w:szCs w:val="22"/>
        </w:rPr>
        <w:t xml:space="preserve"> sub group of the North West Regional Transfusion Committees established the initial questions for the audit tool. These questions remained consistent when the audit was repeated across the two other RTC regions, East Midlands and the </w:t>
      </w:r>
      <w:smartTag w:uri="urn:schemas-microsoft-com:office:smarttags" w:element="place">
        <w:r>
          <w:rPr>
            <w:sz w:val="22"/>
            <w:szCs w:val="22"/>
          </w:rPr>
          <w:t>Yorkshire</w:t>
        </w:r>
      </w:smartTag>
      <w:r>
        <w:rPr>
          <w:sz w:val="22"/>
          <w:szCs w:val="22"/>
        </w:rPr>
        <w:t xml:space="preserve"> and The Humber Regions. While there was some variation in the numbers of hospitals in the regions, all included a mix of very high and very low users of platelets. This approach allowed a large dataset to be accrued. Benchmarking across regions was also examined.</w:t>
      </w:r>
    </w:p>
    <w:p w:rsidR="00B90D23" w:rsidRDefault="00B90D23" w:rsidP="00A858B1">
      <w:pPr>
        <w:rPr>
          <w:sz w:val="22"/>
          <w:szCs w:val="22"/>
        </w:rPr>
      </w:pPr>
    </w:p>
    <w:p w:rsidR="00B90D23" w:rsidRDefault="00B90D23" w:rsidP="00A858B1">
      <w:pPr>
        <w:rPr>
          <w:sz w:val="22"/>
          <w:szCs w:val="22"/>
        </w:rPr>
      </w:pPr>
      <w:r w:rsidRPr="00FB0BFD">
        <w:rPr>
          <w:sz w:val="22"/>
          <w:szCs w:val="22"/>
        </w:rPr>
        <w:t>The transfusion practitioners elected to undertake the data collection using a hard copy data collection form</w:t>
      </w:r>
      <w:r>
        <w:rPr>
          <w:sz w:val="22"/>
          <w:szCs w:val="22"/>
        </w:rPr>
        <w:t xml:space="preserve"> or to submit data online</w:t>
      </w:r>
      <w:r w:rsidRPr="00FB0BFD">
        <w:rPr>
          <w:sz w:val="22"/>
          <w:szCs w:val="22"/>
        </w:rPr>
        <w:t xml:space="preserve">. </w:t>
      </w:r>
    </w:p>
    <w:p w:rsidR="00B90D23" w:rsidRDefault="00B90D23" w:rsidP="00A858B1">
      <w:pPr>
        <w:rPr>
          <w:sz w:val="22"/>
          <w:szCs w:val="22"/>
        </w:rPr>
      </w:pPr>
    </w:p>
    <w:p w:rsidR="00B90D23" w:rsidRDefault="00B90D23" w:rsidP="00A858B1">
      <w:pPr>
        <w:rPr>
          <w:sz w:val="22"/>
          <w:szCs w:val="22"/>
        </w:rPr>
      </w:pPr>
      <w:r w:rsidRPr="00FB0BFD">
        <w:rPr>
          <w:sz w:val="22"/>
          <w:szCs w:val="22"/>
        </w:rPr>
        <w:t xml:space="preserve">Appropriate governance arrangements were implemented and approval to participate in the audit obtained. </w:t>
      </w:r>
      <w:proofErr w:type="spellStart"/>
      <w:r w:rsidRPr="00FB0BFD">
        <w:rPr>
          <w:sz w:val="22"/>
          <w:szCs w:val="22"/>
        </w:rPr>
        <w:t>Caldicott</w:t>
      </w:r>
      <w:proofErr w:type="spellEnd"/>
      <w:r w:rsidRPr="00FB0BFD">
        <w:rPr>
          <w:sz w:val="22"/>
          <w:szCs w:val="22"/>
        </w:rPr>
        <w:t xml:space="preserve"> Guardians in each participating site were also informed.</w:t>
      </w:r>
      <w:r>
        <w:rPr>
          <w:sz w:val="22"/>
          <w:szCs w:val="22"/>
        </w:rPr>
        <w:t xml:space="preserve"> </w:t>
      </w:r>
      <w:r w:rsidRPr="00FB0BFD">
        <w:rPr>
          <w:sz w:val="22"/>
          <w:szCs w:val="22"/>
        </w:rPr>
        <w:t>Data anomalies were discussed</w:t>
      </w:r>
      <w:r>
        <w:rPr>
          <w:sz w:val="22"/>
          <w:szCs w:val="22"/>
        </w:rPr>
        <w:t xml:space="preserve"> and followed up</w:t>
      </w:r>
      <w:r w:rsidRPr="00FB0BFD">
        <w:rPr>
          <w:sz w:val="22"/>
          <w:szCs w:val="22"/>
        </w:rPr>
        <w:t xml:space="preserve"> at a subsequent RTC meeting before final analysis. No overt identifying patient details were taken</w:t>
      </w:r>
      <w:r>
        <w:rPr>
          <w:sz w:val="22"/>
          <w:szCs w:val="22"/>
        </w:rPr>
        <w:t>.</w:t>
      </w:r>
      <w:r w:rsidRPr="00FB0BFD">
        <w:rPr>
          <w:sz w:val="22"/>
          <w:szCs w:val="22"/>
        </w:rPr>
        <w:t xml:space="preserve"> </w:t>
      </w:r>
      <w:r>
        <w:rPr>
          <w:sz w:val="22"/>
          <w:szCs w:val="22"/>
        </w:rPr>
        <w:t>Where data anomalies could not be resolved, the data was discarded.</w:t>
      </w:r>
    </w:p>
    <w:p w:rsidR="00B90D23" w:rsidRDefault="00B90D23" w:rsidP="00A858B1">
      <w:pPr>
        <w:rPr>
          <w:sz w:val="22"/>
          <w:szCs w:val="22"/>
        </w:rPr>
      </w:pPr>
    </w:p>
    <w:p w:rsidR="00B90D23" w:rsidRDefault="00B90D23" w:rsidP="00A858B1">
      <w:pPr>
        <w:rPr>
          <w:sz w:val="22"/>
          <w:szCs w:val="22"/>
        </w:rPr>
      </w:pPr>
      <w:r>
        <w:rPr>
          <w:sz w:val="22"/>
          <w:szCs w:val="22"/>
        </w:rPr>
        <w:t>Participating hospitals were asked to audit all platelet transfusions up to a specific number of transfusions aligned to their platelet use from very high user (up to 40 cases) to very low user (up to 10 cases).</w:t>
      </w:r>
    </w:p>
    <w:p w:rsidR="00B90D23" w:rsidRDefault="00B90D23" w:rsidP="00A858B1">
      <w:pPr>
        <w:rPr>
          <w:sz w:val="22"/>
          <w:szCs w:val="22"/>
        </w:rPr>
      </w:pPr>
    </w:p>
    <w:p w:rsidR="00B90D23" w:rsidRDefault="00B90D23" w:rsidP="00A858B1">
      <w:pPr>
        <w:rPr>
          <w:sz w:val="22"/>
          <w:szCs w:val="22"/>
        </w:rPr>
      </w:pPr>
      <w:r>
        <w:rPr>
          <w:sz w:val="22"/>
          <w:szCs w:val="22"/>
        </w:rPr>
        <w:t>The principle clinical audit standards that were applied to this project were:</w:t>
      </w:r>
    </w:p>
    <w:p w:rsidR="00B90D23" w:rsidRDefault="00B90D23" w:rsidP="00A858B1">
      <w:pPr>
        <w:rPr>
          <w:sz w:val="22"/>
          <w:szCs w:val="22"/>
        </w:rPr>
      </w:pPr>
    </w:p>
    <w:p w:rsidR="00B90D23" w:rsidRDefault="00B90D23" w:rsidP="00A858B1">
      <w:pPr>
        <w:rPr>
          <w:sz w:val="22"/>
          <w:szCs w:val="22"/>
        </w:rPr>
      </w:pPr>
    </w:p>
    <w:p w:rsidR="00B90D23" w:rsidRPr="00E24319" w:rsidRDefault="00B90D23" w:rsidP="00E24319">
      <w:pPr>
        <w:rPr>
          <w:rFonts w:cs="Arial"/>
          <w:b/>
          <w:color w:val="000000"/>
          <w:kern w:val="28"/>
          <w:sz w:val="22"/>
          <w:szCs w:val="22"/>
        </w:rPr>
      </w:pPr>
      <w:r w:rsidRPr="00E24319">
        <w:rPr>
          <w:rFonts w:cs="Arial"/>
          <w:b/>
          <w:color w:val="000000"/>
          <w:kern w:val="28"/>
          <w:sz w:val="22"/>
          <w:szCs w:val="22"/>
        </w:rPr>
        <w:t>STANDARD 1 - Pre transfusion platelet count obtained?</w:t>
      </w:r>
    </w:p>
    <w:p w:rsidR="00B90D23" w:rsidRPr="00E24319" w:rsidRDefault="00B90D23" w:rsidP="00E24319">
      <w:pPr>
        <w:rPr>
          <w:rFonts w:cs="Arial"/>
          <w:b/>
          <w:color w:val="000000"/>
          <w:kern w:val="28"/>
          <w:sz w:val="22"/>
          <w:szCs w:val="22"/>
        </w:rPr>
      </w:pPr>
      <w:r w:rsidRPr="00E24319">
        <w:rPr>
          <w:rFonts w:cs="Arial"/>
          <w:color w:val="000000"/>
          <w:kern w:val="28"/>
          <w:sz w:val="22"/>
          <w:szCs w:val="22"/>
        </w:rPr>
        <w:t>A platelet count is required within a few hours prior to prophylactic platelet transfusion. As a minimum this should be within 24 hours in in-patients and within 48 hours in out-patients, documentation will denote success in this criterion.</w:t>
      </w:r>
    </w:p>
    <w:p w:rsidR="00B90D23" w:rsidRPr="00E24319" w:rsidRDefault="00B90D23" w:rsidP="00E24319">
      <w:pPr>
        <w:rPr>
          <w:rFonts w:cs="Arial"/>
          <w:color w:val="000000"/>
          <w:kern w:val="28"/>
          <w:sz w:val="22"/>
          <w:szCs w:val="22"/>
        </w:rPr>
      </w:pPr>
    </w:p>
    <w:p w:rsidR="00B90D23" w:rsidRPr="00E24319" w:rsidRDefault="00B90D23" w:rsidP="00E24319">
      <w:pPr>
        <w:rPr>
          <w:rFonts w:cs="Arial"/>
          <w:b/>
          <w:color w:val="000000"/>
          <w:kern w:val="28"/>
          <w:sz w:val="22"/>
          <w:szCs w:val="22"/>
        </w:rPr>
      </w:pPr>
      <w:r w:rsidRPr="00E24319">
        <w:rPr>
          <w:rFonts w:cs="Arial"/>
          <w:b/>
          <w:color w:val="000000"/>
          <w:kern w:val="28"/>
          <w:sz w:val="22"/>
          <w:szCs w:val="22"/>
        </w:rPr>
        <w:t>STANDARD 2 - Indication for transfusion documented on the request form?</w:t>
      </w:r>
    </w:p>
    <w:p w:rsidR="00B90D23" w:rsidRPr="00E24319" w:rsidRDefault="00B90D23" w:rsidP="00E24319">
      <w:pPr>
        <w:rPr>
          <w:rFonts w:cs="Arial"/>
          <w:color w:val="000000"/>
          <w:kern w:val="28"/>
          <w:sz w:val="22"/>
          <w:szCs w:val="22"/>
        </w:rPr>
      </w:pPr>
      <w:r w:rsidRPr="00E24319">
        <w:rPr>
          <w:rFonts w:cs="Arial"/>
          <w:color w:val="000000"/>
          <w:kern w:val="28"/>
          <w:sz w:val="22"/>
          <w:szCs w:val="22"/>
        </w:rPr>
        <w:t xml:space="preserve">The reason for the platelet transfusion according to the National Blood Transfusion Committee (NBTC) 2011 Indication codes for transfusion documented on the request form denotes success in this criterion or if the indication is guided by </w:t>
      </w:r>
      <w:proofErr w:type="spellStart"/>
      <w:r w:rsidRPr="00E24319">
        <w:rPr>
          <w:rFonts w:cs="Arial"/>
          <w:color w:val="000000"/>
          <w:kern w:val="28"/>
          <w:sz w:val="22"/>
          <w:szCs w:val="22"/>
        </w:rPr>
        <w:t>thromboelastography</w:t>
      </w:r>
      <w:proofErr w:type="spellEnd"/>
      <w:r w:rsidRPr="00E24319">
        <w:rPr>
          <w:rFonts w:cs="Arial"/>
          <w:color w:val="000000"/>
          <w:kern w:val="28"/>
          <w:sz w:val="22"/>
          <w:szCs w:val="22"/>
        </w:rPr>
        <w:t>.</w:t>
      </w:r>
    </w:p>
    <w:p w:rsidR="00B90D23" w:rsidRPr="00E24319" w:rsidRDefault="00B90D23" w:rsidP="00E24319">
      <w:pPr>
        <w:rPr>
          <w:rFonts w:cs="Arial"/>
          <w:color w:val="000000"/>
          <w:kern w:val="28"/>
          <w:sz w:val="22"/>
          <w:szCs w:val="22"/>
        </w:rPr>
      </w:pPr>
    </w:p>
    <w:p w:rsidR="00B90D23" w:rsidRPr="00E24319" w:rsidRDefault="00B90D23" w:rsidP="00E24319">
      <w:pPr>
        <w:rPr>
          <w:rFonts w:cs="Arial"/>
          <w:color w:val="000000"/>
          <w:kern w:val="28"/>
          <w:sz w:val="22"/>
          <w:szCs w:val="22"/>
        </w:rPr>
      </w:pPr>
      <w:r w:rsidRPr="00E24319">
        <w:rPr>
          <w:rFonts w:cs="Arial"/>
          <w:b/>
          <w:color w:val="000000"/>
          <w:kern w:val="28"/>
          <w:sz w:val="22"/>
          <w:szCs w:val="22"/>
        </w:rPr>
        <w:t>STANDARD 3 – Platelet count corresponds with the indication for transfusion?</w:t>
      </w:r>
    </w:p>
    <w:p w:rsidR="00B90D23" w:rsidRPr="00E24319" w:rsidRDefault="00B90D23" w:rsidP="00E24319">
      <w:pPr>
        <w:rPr>
          <w:rFonts w:cs="Arial"/>
          <w:color w:val="000000"/>
          <w:kern w:val="28"/>
          <w:sz w:val="22"/>
          <w:szCs w:val="22"/>
        </w:rPr>
      </w:pPr>
      <w:r w:rsidRPr="00E24319">
        <w:rPr>
          <w:rFonts w:cs="Arial"/>
          <w:color w:val="000000"/>
          <w:kern w:val="28"/>
          <w:sz w:val="22"/>
          <w:szCs w:val="22"/>
        </w:rPr>
        <w:t>The platelet count corresponding to the documented reason for the transfusion according to the NBTC 2011 Indication codes denotes success in this criterion.</w:t>
      </w:r>
    </w:p>
    <w:p w:rsidR="00B90D23" w:rsidRPr="00E24319" w:rsidRDefault="00B90D23" w:rsidP="00E24319">
      <w:pPr>
        <w:rPr>
          <w:rFonts w:cs="Arial"/>
          <w:color w:val="000000"/>
          <w:kern w:val="28"/>
          <w:sz w:val="22"/>
          <w:szCs w:val="22"/>
        </w:rPr>
      </w:pPr>
    </w:p>
    <w:p w:rsidR="00B90D23" w:rsidRPr="00E24319" w:rsidRDefault="00B90D23" w:rsidP="00E24319">
      <w:pPr>
        <w:rPr>
          <w:rFonts w:cs="Arial"/>
          <w:color w:val="000000"/>
          <w:kern w:val="28"/>
          <w:sz w:val="22"/>
          <w:szCs w:val="22"/>
        </w:rPr>
      </w:pPr>
    </w:p>
    <w:p w:rsidR="00B90D23" w:rsidRPr="00E24319" w:rsidRDefault="00B90D23" w:rsidP="00E24319">
      <w:pPr>
        <w:rPr>
          <w:rFonts w:cs="Arial"/>
          <w:b/>
          <w:color w:val="000000"/>
          <w:kern w:val="28"/>
          <w:sz w:val="22"/>
          <w:szCs w:val="22"/>
        </w:rPr>
      </w:pPr>
      <w:r w:rsidRPr="00E24319">
        <w:rPr>
          <w:rFonts w:cs="Arial"/>
          <w:b/>
          <w:color w:val="000000"/>
          <w:kern w:val="28"/>
          <w:sz w:val="22"/>
          <w:szCs w:val="22"/>
        </w:rPr>
        <w:t>STANDARD 4 – For prophylactic transfusions - single dose given?</w:t>
      </w:r>
      <w:r>
        <w:rPr>
          <w:rFonts w:cs="Arial"/>
          <w:b/>
          <w:color w:val="000000"/>
          <w:kern w:val="28"/>
          <w:sz w:val="22"/>
          <w:szCs w:val="22"/>
        </w:rPr>
        <w:br/>
      </w:r>
    </w:p>
    <w:p w:rsidR="00B90D23" w:rsidRPr="00E24319" w:rsidRDefault="00B90D23" w:rsidP="00E24319">
      <w:pPr>
        <w:rPr>
          <w:rFonts w:cs="Arial"/>
          <w:color w:val="000000"/>
          <w:kern w:val="28"/>
          <w:sz w:val="22"/>
          <w:szCs w:val="22"/>
        </w:rPr>
      </w:pPr>
      <w:r w:rsidRPr="00E24319">
        <w:rPr>
          <w:rFonts w:cs="Arial"/>
          <w:color w:val="000000"/>
          <w:kern w:val="28"/>
          <w:sz w:val="22"/>
          <w:szCs w:val="22"/>
        </w:rPr>
        <w:t xml:space="preserve">Double dose prophylactic transfusions should not be used routinely. </w:t>
      </w:r>
    </w:p>
    <w:p w:rsidR="00B90D23" w:rsidRPr="00E24319" w:rsidRDefault="00B90D23" w:rsidP="00E24319">
      <w:pPr>
        <w:rPr>
          <w:rFonts w:cs="Arial"/>
          <w:color w:val="000000"/>
          <w:kern w:val="28"/>
          <w:sz w:val="22"/>
          <w:szCs w:val="22"/>
        </w:rPr>
      </w:pPr>
      <w:r w:rsidRPr="00E24319">
        <w:rPr>
          <w:rFonts w:cs="Arial"/>
          <w:color w:val="000000"/>
          <w:kern w:val="28"/>
          <w:sz w:val="22"/>
          <w:szCs w:val="22"/>
        </w:rPr>
        <w:t>A single dose given for prophylactic transfusion to reach a specific platelet threshold pre-procedure denotes success in this criterion</w:t>
      </w:r>
      <w:r>
        <w:rPr>
          <w:rFonts w:cs="Arial"/>
          <w:color w:val="000000"/>
          <w:kern w:val="28"/>
          <w:sz w:val="22"/>
          <w:szCs w:val="22"/>
        </w:rPr>
        <w:t>.</w:t>
      </w:r>
    </w:p>
    <w:p w:rsidR="00B90D23" w:rsidRPr="00E24319" w:rsidRDefault="00B90D23" w:rsidP="00E24319">
      <w:pPr>
        <w:rPr>
          <w:rFonts w:cs="Arial"/>
          <w:color w:val="000000"/>
          <w:kern w:val="28"/>
          <w:sz w:val="22"/>
          <w:szCs w:val="22"/>
        </w:rPr>
      </w:pPr>
    </w:p>
    <w:p w:rsidR="00B90D23" w:rsidRPr="00E24319" w:rsidRDefault="00B90D23" w:rsidP="00E24319">
      <w:pPr>
        <w:rPr>
          <w:rFonts w:cs="Arial"/>
          <w:b/>
          <w:color w:val="000000"/>
          <w:kern w:val="28"/>
          <w:sz w:val="22"/>
          <w:szCs w:val="22"/>
        </w:rPr>
      </w:pPr>
      <w:r w:rsidRPr="00E24319">
        <w:rPr>
          <w:rFonts w:cs="Arial"/>
          <w:b/>
          <w:color w:val="000000"/>
          <w:kern w:val="28"/>
          <w:sz w:val="22"/>
          <w:szCs w:val="22"/>
        </w:rPr>
        <w:t>ST</w:t>
      </w:r>
      <w:r>
        <w:rPr>
          <w:rFonts w:cs="Arial"/>
          <w:b/>
          <w:color w:val="000000"/>
          <w:kern w:val="28"/>
          <w:sz w:val="22"/>
          <w:szCs w:val="22"/>
        </w:rPr>
        <w:t>A</w:t>
      </w:r>
      <w:r w:rsidRPr="00E24319">
        <w:rPr>
          <w:rFonts w:cs="Arial"/>
          <w:b/>
          <w:color w:val="000000"/>
          <w:kern w:val="28"/>
          <w:sz w:val="22"/>
          <w:szCs w:val="22"/>
        </w:rPr>
        <w:t>NADARD 5 - For pre-procedure transfusions - post platelet count obtained?</w:t>
      </w:r>
      <w:r>
        <w:rPr>
          <w:rFonts w:cs="Arial"/>
          <w:b/>
          <w:color w:val="000000"/>
          <w:kern w:val="28"/>
          <w:sz w:val="22"/>
          <w:szCs w:val="22"/>
        </w:rPr>
        <w:br/>
      </w:r>
    </w:p>
    <w:p w:rsidR="00B90D23" w:rsidRPr="00E24319" w:rsidRDefault="00B90D23" w:rsidP="00E24319">
      <w:pPr>
        <w:rPr>
          <w:rFonts w:cs="Arial"/>
          <w:color w:val="000000"/>
          <w:kern w:val="28"/>
          <w:sz w:val="22"/>
          <w:szCs w:val="22"/>
        </w:rPr>
      </w:pPr>
      <w:r w:rsidRPr="00E24319">
        <w:rPr>
          <w:rFonts w:cs="Arial"/>
          <w:color w:val="000000"/>
          <w:kern w:val="28"/>
          <w:sz w:val="22"/>
          <w:szCs w:val="22"/>
        </w:rPr>
        <w:t>If platelets are necessary pre-procedure they should:</w:t>
      </w:r>
    </w:p>
    <w:p w:rsidR="00B90D23" w:rsidRPr="00E24319" w:rsidRDefault="00B90D23" w:rsidP="00E24319">
      <w:pPr>
        <w:numPr>
          <w:ilvl w:val="0"/>
          <w:numId w:val="15"/>
        </w:numPr>
        <w:rPr>
          <w:rFonts w:cs="Arial"/>
          <w:color w:val="000000"/>
          <w:kern w:val="28"/>
          <w:sz w:val="22"/>
          <w:szCs w:val="22"/>
        </w:rPr>
      </w:pPr>
      <w:r w:rsidRPr="00E24319">
        <w:rPr>
          <w:rFonts w:cs="Arial"/>
          <w:color w:val="000000"/>
          <w:kern w:val="28"/>
          <w:sz w:val="22"/>
          <w:szCs w:val="22"/>
        </w:rPr>
        <w:t xml:space="preserve">be transfused close to the procedure to obtain maximum benefit </w:t>
      </w:r>
    </w:p>
    <w:p w:rsidR="00B90D23" w:rsidRPr="00E24319" w:rsidRDefault="00B90D23" w:rsidP="00E24319">
      <w:pPr>
        <w:numPr>
          <w:ilvl w:val="0"/>
          <w:numId w:val="15"/>
        </w:numPr>
        <w:rPr>
          <w:rFonts w:cs="Arial"/>
          <w:color w:val="000000"/>
          <w:kern w:val="28"/>
          <w:sz w:val="22"/>
          <w:szCs w:val="22"/>
        </w:rPr>
      </w:pPr>
      <w:r w:rsidRPr="00E24319">
        <w:rPr>
          <w:rFonts w:cs="Arial"/>
          <w:color w:val="000000"/>
          <w:kern w:val="28"/>
          <w:sz w:val="22"/>
          <w:szCs w:val="22"/>
        </w:rPr>
        <w:t xml:space="preserve">include a post transfusion platelet count taken pre procedure  </w:t>
      </w:r>
    </w:p>
    <w:p w:rsidR="00B90D23" w:rsidRPr="00E24319" w:rsidRDefault="00B90D23" w:rsidP="00E24319">
      <w:pPr>
        <w:rPr>
          <w:rFonts w:cs="Arial"/>
          <w:color w:val="000000"/>
          <w:kern w:val="28"/>
          <w:sz w:val="22"/>
          <w:szCs w:val="22"/>
        </w:rPr>
      </w:pPr>
      <w:r w:rsidRPr="00E24319">
        <w:rPr>
          <w:rFonts w:cs="Arial"/>
          <w:color w:val="000000"/>
          <w:kern w:val="28"/>
          <w:sz w:val="22"/>
          <w:szCs w:val="22"/>
        </w:rPr>
        <w:t>Obtaining a post platelet count pre procedure denotes success in this criterion.</w:t>
      </w:r>
    </w:p>
    <w:p w:rsidR="00B90D23" w:rsidRPr="00E24319" w:rsidRDefault="00B90D23" w:rsidP="00E24319">
      <w:pPr>
        <w:rPr>
          <w:rFonts w:cs="Arial"/>
          <w:color w:val="000000"/>
          <w:kern w:val="28"/>
          <w:sz w:val="22"/>
          <w:szCs w:val="22"/>
        </w:rPr>
      </w:pPr>
    </w:p>
    <w:p w:rsidR="00B90D23" w:rsidRPr="00E24319" w:rsidRDefault="00B90D23" w:rsidP="00E24319">
      <w:pPr>
        <w:rPr>
          <w:rFonts w:cs="Arial"/>
          <w:b/>
          <w:color w:val="000000"/>
          <w:kern w:val="28"/>
          <w:sz w:val="22"/>
          <w:szCs w:val="22"/>
        </w:rPr>
      </w:pPr>
      <w:r w:rsidRPr="00E24319">
        <w:rPr>
          <w:rFonts w:cs="Arial"/>
          <w:b/>
          <w:color w:val="000000"/>
          <w:kern w:val="28"/>
          <w:sz w:val="22"/>
          <w:szCs w:val="22"/>
        </w:rPr>
        <w:t>STANDARD 6 – Were platelets wasted during the audit period?</w:t>
      </w:r>
      <w:r>
        <w:rPr>
          <w:rFonts w:cs="Arial"/>
          <w:b/>
          <w:color w:val="000000"/>
          <w:kern w:val="28"/>
          <w:sz w:val="22"/>
          <w:szCs w:val="22"/>
        </w:rPr>
        <w:br/>
      </w:r>
    </w:p>
    <w:p w:rsidR="00B90D23" w:rsidRPr="00E24319" w:rsidRDefault="00B90D23" w:rsidP="00E24319">
      <w:pPr>
        <w:rPr>
          <w:rFonts w:cs="Arial"/>
          <w:color w:val="000000"/>
          <w:kern w:val="28"/>
          <w:sz w:val="22"/>
          <w:szCs w:val="22"/>
        </w:rPr>
      </w:pPr>
      <w:r w:rsidRPr="00E24319">
        <w:rPr>
          <w:rFonts w:cs="Arial"/>
          <w:color w:val="000000"/>
          <w:kern w:val="28"/>
          <w:sz w:val="22"/>
          <w:szCs w:val="22"/>
        </w:rPr>
        <w:t>If platelets were wasted either avoidable or unavoidable during the period of auditing consecutive transfusions denotes the outcome in this criterion</w:t>
      </w:r>
      <w:r>
        <w:rPr>
          <w:rFonts w:cs="Arial"/>
          <w:color w:val="000000"/>
          <w:kern w:val="28"/>
          <w:sz w:val="22"/>
          <w:szCs w:val="22"/>
        </w:rPr>
        <w:t>.</w:t>
      </w:r>
    </w:p>
    <w:p w:rsidR="00B90D23" w:rsidRDefault="00B90D23" w:rsidP="00A858B1">
      <w:pPr>
        <w:rPr>
          <w:b/>
          <w:sz w:val="22"/>
          <w:szCs w:val="22"/>
        </w:rPr>
      </w:pPr>
    </w:p>
    <w:p w:rsidR="00B90D23" w:rsidRDefault="00B90D23" w:rsidP="00A858B1">
      <w:pPr>
        <w:rPr>
          <w:b/>
          <w:sz w:val="22"/>
          <w:szCs w:val="22"/>
        </w:rPr>
      </w:pPr>
      <w:r w:rsidRPr="0059371F">
        <w:rPr>
          <w:b/>
          <w:sz w:val="22"/>
          <w:szCs w:val="22"/>
        </w:rPr>
        <w:t>Results and Evaluation</w:t>
      </w:r>
    </w:p>
    <w:p w:rsidR="00B90D23" w:rsidRPr="0059371F" w:rsidRDefault="00B90D23" w:rsidP="00A858B1">
      <w:pPr>
        <w:rPr>
          <w:b/>
          <w:sz w:val="22"/>
          <w:szCs w:val="22"/>
        </w:rPr>
      </w:pPr>
    </w:p>
    <w:p w:rsidR="00B90D23" w:rsidRDefault="00B90D23" w:rsidP="002538A1">
      <w:pPr>
        <w:rPr>
          <w:rFonts w:cs="Arial"/>
          <w:sz w:val="22"/>
          <w:szCs w:val="22"/>
        </w:rPr>
      </w:pPr>
      <w:r>
        <w:rPr>
          <w:rFonts w:cs="Arial"/>
          <w:sz w:val="22"/>
          <w:szCs w:val="22"/>
        </w:rPr>
        <w:t xml:space="preserve">In total 936 platelet transfusions were audited across the three regions. </w:t>
      </w:r>
      <w:r w:rsidRPr="002538A1">
        <w:rPr>
          <w:rFonts w:cs="Arial"/>
          <w:sz w:val="22"/>
          <w:szCs w:val="22"/>
        </w:rPr>
        <w:t>Over 9</w:t>
      </w:r>
      <w:r>
        <w:rPr>
          <w:rFonts w:cs="Arial"/>
          <w:sz w:val="22"/>
          <w:szCs w:val="22"/>
        </w:rPr>
        <w:t>5</w:t>
      </w:r>
      <w:r w:rsidRPr="002538A1">
        <w:rPr>
          <w:rFonts w:cs="Arial"/>
          <w:sz w:val="22"/>
          <w:szCs w:val="22"/>
        </w:rPr>
        <w:t>% of prophylactic platelet transfusions</w:t>
      </w:r>
      <w:r>
        <w:rPr>
          <w:rFonts w:cs="Arial"/>
          <w:sz w:val="22"/>
          <w:szCs w:val="22"/>
        </w:rPr>
        <w:t xml:space="preserve"> in this total</w:t>
      </w:r>
      <w:r w:rsidRPr="002538A1">
        <w:rPr>
          <w:rFonts w:cs="Arial"/>
          <w:sz w:val="22"/>
          <w:szCs w:val="22"/>
        </w:rPr>
        <w:t xml:space="preserve"> had a pre transfusion platelet count performed</w:t>
      </w:r>
      <w:r>
        <w:rPr>
          <w:rFonts w:cs="Arial"/>
          <w:sz w:val="22"/>
          <w:szCs w:val="22"/>
        </w:rPr>
        <w:t>. A single dose of platelets was given in over 80% (84% - 93%) of platelet transfusions given for prophylactic purposes across the three regions.</w:t>
      </w:r>
    </w:p>
    <w:p w:rsidR="00B90D23" w:rsidRDefault="00B90D23" w:rsidP="002538A1">
      <w:pPr>
        <w:rPr>
          <w:rFonts w:cs="Arial"/>
          <w:sz w:val="22"/>
          <w:szCs w:val="22"/>
        </w:rPr>
      </w:pPr>
    </w:p>
    <w:p w:rsidR="00B90D23" w:rsidRDefault="00B90D23" w:rsidP="002538A1">
      <w:pPr>
        <w:rPr>
          <w:rFonts w:cs="Arial"/>
          <w:sz w:val="22"/>
          <w:szCs w:val="22"/>
        </w:rPr>
      </w:pPr>
      <w:r>
        <w:rPr>
          <w:rFonts w:cs="Arial"/>
          <w:sz w:val="22"/>
          <w:szCs w:val="22"/>
        </w:rPr>
        <w:t xml:space="preserve">Up to 27% of platelet transfusions were given prior to an invasive procedure and between 80% and 90% of these transfusions were monitored by undertaking post transfusion platelet counts. For </w:t>
      </w:r>
      <w:r w:rsidRPr="00DB067A">
        <w:rPr>
          <w:rFonts w:cs="Arial"/>
          <w:i/>
          <w:sz w:val="22"/>
          <w:szCs w:val="22"/>
        </w:rPr>
        <w:t>all</w:t>
      </w:r>
      <w:r>
        <w:rPr>
          <w:rFonts w:cs="Arial"/>
          <w:sz w:val="22"/>
          <w:szCs w:val="22"/>
        </w:rPr>
        <w:t xml:space="preserve"> platelet transfusions, over 70% received a post transfusion platelet count. For those patients undergoing invasive procedures, overall more than 86% had a post transfusion platelet count undertaken.</w:t>
      </w:r>
    </w:p>
    <w:p w:rsidR="00B90D23" w:rsidRDefault="00B90D23" w:rsidP="002538A1">
      <w:pPr>
        <w:rPr>
          <w:rFonts w:cs="Arial"/>
          <w:sz w:val="22"/>
          <w:szCs w:val="22"/>
        </w:rPr>
      </w:pPr>
    </w:p>
    <w:p w:rsidR="00B90D23" w:rsidRDefault="00B90D23" w:rsidP="002538A1">
      <w:pPr>
        <w:rPr>
          <w:rFonts w:cs="Arial"/>
          <w:sz w:val="22"/>
          <w:szCs w:val="22"/>
        </w:rPr>
      </w:pPr>
      <w:r>
        <w:rPr>
          <w:rFonts w:cs="Arial"/>
          <w:sz w:val="22"/>
          <w:szCs w:val="22"/>
        </w:rPr>
        <w:t xml:space="preserve">Where a request form was used, over 60% had the reason for the transfusion documented. However, there were no responses indicating the indication had been guided by </w:t>
      </w:r>
      <w:proofErr w:type="spellStart"/>
      <w:r>
        <w:rPr>
          <w:rFonts w:cs="Arial"/>
          <w:sz w:val="22"/>
          <w:szCs w:val="22"/>
        </w:rPr>
        <w:t>thromboelastographic</w:t>
      </w:r>
      <w:proofErr w:type="spellEnd"/>
      <w:r>
        <w:rPr>
          <w:rFonts w:cs="Arial"/>
          <w:sz w:val="22"/>
          <w:szCs w:val="22"/>
        </w:rPr>
        <w:t xml:space="preserve"> approaches.</w:t>
      </w:r>
    </w:p>
    <w:p w:rsidR="00B90D23" w:rsidRDefault="00B90D23" w:rsidP="002538A1">
      <w:pPr>
        <w:rPr>
          <w:rFonts w:cs="Arial"/>
          <w:sz w:val="22"/>
          <w:szCs w:val="22"/>
        </w:rPr>
      </w:pPr>
    </w:p>
    <w:p w:rsidR="00B90D23" w:rsidRDefault="00B90D23" w:rsidP="002538A1">
      <w:pPr>
        <w:rPr>
          <w:rFonts w:cs="Arial"/>
          <w:sz w:val="22"/>
          <w:szCs w:val="22"/>
        </w:rPr>
      </w:pPr>
      <w:r>
        <w:rPr>
          <w:rFonts w:cs="Arial"/>
          <w:sz w:val="22"/>
          <w:szCs w:val="22"/>
        </w:rPr>
        <w:t xml:space="preserve">In total, over 90% had a reason for the transfusion communicated either by form, telephone or other explanation (massive haemorrhage, GI bleed </w:t>
      </w:r>
      <w:proofErr w:type="spellStart"/>
      <w:r>
        <w:rPr>
          <w:rFonts w:cs="Arial"/>
          <w:sz w:val="22"/>
          <w:szCs w:val="22"/>
        </w:rPr>
        <w:t>etc</w:t>
      </w:r>
      <w:proofErr w:type="spellEnd"/>
      <w:r>
        <w:rPr>
          <w:rFonts w:cs="Arial"/>
          <w:sz w:val="22"/>
          <w:szCs w:val="22"/>
        </w:rPr>
        <w:t>).</w:t>
      </w:r>
    </w:p>
    <w:p w:rsidR="00B90D23" w:rsidRDefault="00B90D23" w:rsidP="002538A1">
      <w:pPr>
        <w:rPr>
          <w:rFonts w:cs="Arial"/>
          <w:b/>
          <w:sz w:val="22"/>
          <w:szCs w:val="22"/>
        </w:rPr>
      </w:pPr>
    </w:p>
    <w:p w:rsidR="00B90D23" w:rsidRDefault="00B90D23" w:rsidP="002538A1">
      <w:pPr>
        <w:rPr>
          <w:rFonts w:cs="Arial"/>
          <w:sz w:val="22"/>
          <w:szCs w:val="22"/>
        </w:rPr>
      </w:pPr>
      <w:r w:rsidRPr="00CC01AD">
        <w:rPr>
          <w:rFonts w:cs="Arial"/>
          <w:sz w:val="22"/>
          <w:szCs w:val="22"/>
        </w:rPr>
        <w:t>In up to 87% of cases, the platelet count justified the reason for the transfusion</w:t>
      </w:r>
      <w:r>
        <w:rPr>
          <w:rFonts w:cs="Arial"/>
          <w:sz w:val="22"/>
          <w:szCs w:val="22"/>
        </w:rPr>
        <w:t xml:space="preserve"> regardless as to how it was requested. </w:t>
      </w:r>
    </w:p>
    <w:p w:rsidR="00B90D23" w:rsidRDefault="00B90D23" w:rsidP="002538A1">
      <w:pPr>
        <w:rPr>
          <w:rFonts w:cs="Arial"/>
          <w:sz w:val="22"/>
          <w:szCs w:val="22"/>
        </w:rPr>
      </w:pPr>
    </w:p>
    <w:p w:rsidR="00B90D23" w:rsidRPr="00CC01AD" w:rsidRDefault="00B90D23" w:rsidP="002538A1">
      <w:pPr>
        <w:rPr>
          <w:rFonts w:cs="Arial"/>
          <w:sz w:val="22"/>
          <w:szCs w:val="22"/>
        </w:rPr>
      </w:pPr>
      <w:r>
        <w:rPr>
          <w:rFonts w:cs="Arial"/>
          <w:sz w:val="22"/>
          <w:szCs w:val="22"/>
        </w:rPr>
        <w:t>Levels of wastage were low across all three regions, averaging around 3%.</w:t>
      </w:r>
    </w:p>
    <w:p w:rsidR="00B90D23" w:rsidRDefault="00B90D23" w:rsidP="003D7B83">
      <w:pPr>
        <w:pStyle w:val="NormalWeb"/>
        <w:rPr>
          <w:rFonts w:ascii="Arial" w:hAnsi="Arial"/>
          <w:b/>
          <w:sz w:val="22"/>
          <w:szCs w:val="24"/>
        </w:rPr>
      </w:pPr>
      <w:r w:rsidRPr="0059371F">
        <w:rPr>
          <w:rFonts w:ascii="Arial" w:hAnsi="Arial"/>
          <w:b/>
          <w:sz w:val="22"/>
          <w:szCs w:val="24"/>
        </w:rPr>
        <w:t>Learning Points</w:t>
      </w:r>
    </w:p>
    <w:p w:rsidR="00B90D23" w:rsidRDefault="00B90D23" w:rsidP="005E3CA6">
      <w:pPr>
        <w:rPr>
          <w:sz w:val="22"/>
        </w:rPr>
      </w:pPr>
      <w:r>
        <w:rPr>
          <w:rFonts w:cs="Arial"/>
          <w:sz w:val="22"/>
          <w:szCs w:val="22"/>
        </w:rPr>
        <w:t xml:space="preserve">A limitation of this audit was the lack of a clear definition of prophylactic transfusion and transfusion episodes (e.g. more than one unit given but over time) It is recommended that clear definitions (of all categories) are provided for future audits. </w:t>
      </w:r>
      <w:r>
        <w:rPr>
          <w:sz w:val="22"/>
        </w:rPr>
        <w:t xml:space="preserve">Improvements resulting from audit are iterative and require repeats over time. </w:t>
      </w:r>
    </w:p>
    <w:p w:rsidR="00B90D23" w:rsidRDefault="00B90D23" w:rsidP="005E3CA6">
      <w:pPr>
        <w:rPr>
          <w:sz w:val="22"/>
        </w:rPr>
      </w:pPr>
    </w:p>
    <w:p w:rsidR="00B90D23" w:rsidRDefault="00B90D23" w:rsidP="005E3CA6">
      <w:pPr>
        <w:tabs>
          <w:tab w:val="left" w:pos="360"/>
        </w:tabs>
        <w:rPr>
          <w:rFonts w:cs="Arial"/>
          <w:sz w:val="22"/>
          <w:szCs w:val="22"/>
        </w:rPr>
      </w:pPr>
      <w:r>
        <w:rPr>
          <w:rFonts w:cs="Arial"/>
          <w:sz w:val="22"/>
          <w:szCs w:val="22"/>
        </w:rPr>
        <w:t>It would appear that i</w:t>
      </w:r>
      <w:r w:rsidRPr="00BF1337">
        <w:rPr>
          <w:rFonts w:cs="Arial"/>
          <w:sz w:val="22"/>
          <w:szCs w:val="22"/>
        </w:rPr>
        <w:t xml:space="preserve">mprovements in practice have been made since the NCA audit in 2010; the proportion of patients having a pre-transfusion platelet count increased </w:t>
      </w:r>
      <w:r w:rsidRPr="00BF1337">
        <w:rPr>
          <w:rFonts w:cs="Arial"/>
          <w:sz w:val="22"/>
          <w:szCs w:val="22"/>
        </w:rPr>
        <w:lastRenderedPageBreak/>
        <w:t>from</w:t>
      </w:r>
      <w:r>
        <w:rPr>
          <w:rFonts w:cs="Arial"/>
          <w:sz w:val="22"/>
          <w:szCs w:val="22"/>
        </w:rPr>
        <w:t xml:space="preserve"> around</w:t>
      </w:r>
      <w:r w:rsidRPr="00BF1337">
        <w:rPr>
          <w:rFonts w:cs="Arial"/>
          <w:sz w:val="22"/>
          <w:szCs w:val="22"/>
        </w:rPr>
        <w:t xml:space="preserve"> 8</w:t>
      </w:r>
      <w:r>
        <w:rPr>
          <w:rFonts w:cs="Arial"/>
          <w:sz w:val="22"/>
          <w:szCs w:val="22"/>
        </w:rPr>
        <w:t>5</w:t>
      </w:r>
      <w:r w:rsidRPr="00BF1337">
        <w:rPr>
          <w:rFonts w:cs="Arial"/>
          <w:sz w:val="22"/>
          <w:szCs w:val="22"/>
        </w:rPr>
        <w:t>% to 9</w:t>
      </w:r>
      <w:r>
        <w:rPr>
          <w:rFonts w:cs="Arial"/>
          <w:sz w:val="22"/>
          <w:szCs w:val="22"/>
        </w:rPr>
        <w:t>5</w:t>
      </w:r>
      <w:r w:rsidRPr="00BF1337">
        <w:rPr>
          <w:rFonts w:cs="Arial"/>
          <w:sz w:val="22"/>
          <w:szCs w:val="22"/>
        </w:rPr>
        <w:t xml:space="preserve">% and </w:t>
      </w:r>
      <w:r>
        <w:rPr>
          <w:rFonts w:cs="Arial"/>
          <w:sz w:val="22"/>
          <w:szCs w:val="22"/>
        </w:rPr>
        <w:t>there has been a big increase in the numbers having a</w:t>
      </w:r>
      <w:r w:rsidRPr="00BF1337">
        <w:rPr>
          <w:rFonts w:cs="Arial"/>
          <w:sz w:val="22"/>
          <w:szCs w:val="22"/>
        </w:rPr>
        <w:t xml:space="preserve"> pre–procedure</w:t>
      </w:r>
      <w:r>
        <w:rPr>
          <w:rFonts w:cs="Arial"/>
          <w:sz w:val="22"/>
          <w:szCs w:val="22"/>
        </w:rPr>
        <w:t xml:space="preserve"> platelet transfusion also having </w:t>
      </w:r>
      <w:r w:rsidRPr="00BF1337">
        <w:rPr>
          <w:rFonts w:cs="Arial"/>
          <w:sz w:val="22"/>
          <w:szCs w:val="22"/>
        </w:rPr>
        <w:t xml:space="preserve">a post transfusion platelet count compared to a national average of 30% in 2010. However, double/multiple dose prophylactic transfusions </w:t>
      </w:r>
      <w:r>
        <w:rPr>
          <w:rFonts w:cs="Arial"/>
          <w:sz w:val="22"/>
          <w:szCs w:val="22"/>
        </w:rPr>
        <w:t xml:space="preserve">continue </w:t>
      </w:r>
      <w:r w:rsidRPr="00BF1337">
        <w:rPr>
          <w:rFonts w:cs="Arial"/>
          <w:sz w:val="22"/>
          <w:szCs w:val="22"/>
        </w:rPr>
        <w:t xml:space="preserve">and addressing this should be a priority for the </w:t>
      </w:r>
      <w:r>
        <w:rPr>
          <w:rFonts w:cs="Arial"/>
          <w:sz w:val="22"/>
          <w:szCs w:val="22"/>
        </w:rPr>
        <w:t>transfusion community</w:t>
      </w:r>
      <w:r w:rsidRPr="00BF1337">
        <w:rPr>
          <w:rFonts w:cs="Arial"/>
          <w:sz w:val="22"/>
          <w:szCs w:val="22"/>
        </w:rPr>
        <w:t>.</w:t>
      </w:r>
      <w:r>
        <w:rPr>
          <w:rFonts w:cs="Arial"/>
          <w:sz w:val="22"/>
          <w:szCs w:val="22"/>
        </w:rPr>
        <w:t xml:space="preserve"> In around 87% of cases, the reason for the platelet transfusion was justified.</w:t>
      </w:r>
    </w:p>
    <w:p w:rsidR="00B90D23" w:rsidRDefault="00B90D23" w:rsidP="005E3CA6">
      <w:pPr>
        <w:tabs>
          <w:tab w:val="left" w:pos="360"/>
        </w:tabs>
        <w:rPr>
          <w:rFonts w:cs="Arial"/>
          <w:sz w:val="22"/>
          <w:szCs w:val="22"/>
        </w:rPr>
      </w:pPr>
    </w:p>
    <w:p w:rsidR="00B90D23" w:rsidRDefault="00B90D23" w:rsidP="005E3CA6">
      <w:pPr>
        <w:tabs>
          <w:tab w:val="left" w:pos="360"/>
        </w:tabs>
        <w:rPr>
          <w:rFonts w:cs="Arial"/>
          <w:sz w:val="22"/>
          <w:szCs w:val="22"/>
        </w:rPr>
      </w:pPr>
      <w:r>
        <w:rPr>
          <w:rFonts w:cs="Arial"/>
          <w:sz w:val="22"/>
          <w:szCs w:val="22"/>
        </w:rPr>
        <w:t>Percentage compliance to the indicated standards was generally consistent across all three regions included in the audit.</w:t>
      </w:r>
    </w:p>
    <w:p w:rsidR="00B90D23" w:rsidRDefault="00B90D23" w:rsidP="005E3CA6">
      <w:pPr>
        <w:tabs>
          <w:tab w:val="left" w:pos="360"/>
        </w:tabs>
        <w:rPr>
          <w:rFonts w:cs="Arial"/>
          <w:sz w:val="22"/>
          <w:szCs w:val="22"/>
        </w:rPr>
      </w:pPr>
    </w:p>
    <w:p w:rsidR="00B90D23" w:rsidRDefault="00B90D23" w:rsidP="005E3CA6">
      <w:pPr>
        <w:tabs>
          <w:tab w:val="left" w:pos="360"/>
        </w:tabs>
        <w:rPr>
          <w:rFonts w:cs="Arial"/>
          <w:sz w:val="22"/>
          <w:szCs w:val="22"/>
        </w:rPr>
      </w:pPr>
      <w:r>
        <w:rPr>
          <w:rFonts w:cs="Arial"/>
          <w:sz w:val="22"/>
          <w:szCs w:val="22"/>
        </w:rPr>
        <w:t xml:space="preserve">In none of the cases included in these audits, was the decision to transfuse guided by </w:t>
      </w:r>
      <w:proofErr w:type="spellStart"/>
      <w:r>
        <w:rPr>
          <w:rFonts w:cs="Arial"/>
          <w:sz w:val="22"/>
          <w:szCs w:val="22"/>
        </w:rPr>
        <w:t>thromboelastography</w:t>
      </w:r>
      <w:proofErr w:type="spellEnd"/>
      <w:r>
        <w:rPr>
          <w:rFonts w:cs="Arial"/>
          <w:sz w:val="22"/>
          <w:szCs w:val="22"/>
        </w:rPr>
        <w:t>. The NICE diagnostic guidance (DG13) has indicated that using this technology outside a research setting may not be necessary.</w:t>
      </w:r>
    </w:p>
    <w:p w:rsidR="00B90D23" w:rsidRDefault="00B90D23" w:rsidP="005E3CA6">
      <w:pPr>
        <w:tabs>
          <w:tab w:val="left" w:pos="360"/>
        </w:tabs>
        <w:rPr>
          <w:rFonts w:cs="Arial"/>
          <w:sz w:val="22"/>
          <w:szCs w:val="22"/>
        </w:rPr>
      </w:pPr>
    </w:p>
    <w:p w:rsidR="00B90D23" w:rsidRDefault="00B90D23" w:rsidP="00DC3A9F">
      <w:pPr>
        <w:rPr>
          <w:b/>
        </w:rPr>
      </w:pPr>
      <w:r w:rsidRPr="00DC3A9F">
        <w:rPr>
          <w:b/>
        </w:rPr>
        <w:t>Recommendations</w:t>
      </w:r>
    </w:p>
    <w:p w:rsidR="00B90D23" w:rsidRDefault="00B90D23" w:rsidP="00DC3A9F">
      <w:pPr>
        <w:rPr>
          <w:b/>
        </w:rPr>
      </w:pPr>
    </w:p>
    <w:p w:rsidR="00B90D23" w:rsidRPr="00BF1337" w:rsidRDefault="00B90D23" w:rsidP="00CC3A47">
      <w:pPr>
        <w:numPr>
          <w:ilvl w:val="0"/>
          <w:numId w:val="16"/>
        </w:numPr>
        <w:tabs>
          <w:tab w:val="left" w:pos="360"/>
        </w:tabs>
        <w:rPr>
          <w:rFonts w:cs="Arial"/>
          <w:sz w:val="22"/>
          <w:szCs w:val="22"/>
        </w:rPr>
      </w:pPr>
      <w:r w:rsidRPr="00BF1337">
        <w:rPr>
          <w:rFonts w:cs="Arial"/>
          <w:sz w:val="22"/>
          <w:szCs w:val="22"/>
        </w:rPr>
        <w:t xml:space="preserve">Investigate the reasons why </w:t>
      </w:r>
      <w:r>
        <w:rPr>
          <w:rFonts w:cs="Arial"/>
          <w:sz w:val="22"/>
          <w:szCs w:val="22"/>
        </w:rPr>
        <w:t>over 10</w:t>
      </w:r>
      <w:r w:rsidRPr="00BF1337">
        <w:rPr>
          <w:rFonts w:cs="Arial"/>
          <w:sz w:val="22"/>
          <w:szCs w:val="22"/>
        </w:rPr>
        <w:t>% of prophylactic transfusion</w:t>
      </w:r>
      <w:r>
        <w:rPr>
          <w:rFonts w:cs="Arial"/>
          <w:sz w:val="22"/>
          <w:szCs w:val="22"/>
        </w:rPr>
        <w:t xml:space="preserve"> recipients</w:t>
      </w:r>
      <w:r w:rsidRPr="00BF1337">
        <w:rPr>
          <w:rFonts w:cs="Arial"/>
          <w:sz w:val="22"/>
          <w:szCs w:val="22"/>
        </w:rPr>
        <w:t xml:space="preserve"> </w:t>
      </w:r>
      <w:r>
        <w:rPr>
          <w:rFonts w:cs="Arial"/>
          <w:sz w:val="22"/>
          <w:szCs w:val="22"/>
        </w:rPr>
        <w:t xml:space="preserve">were given </w:t>
      </w:r>
      <w:r w:rsidRPr="00BF1337">
        <w:rPr>
          <w:rFonts w:cs="Arial"/>
          <w:sz w:val="22"/>
          <w:szCs w:val="22"/>
        </w:rPr>
        <w:t>more than one dose</w:t>
      </w:r>
    </w:p>
    <w:p w:rsidR="00B90D23" w:rsidRPr="00BF1337" w:rsidRDefault="00B90D23" w:rsidP="00CC3A47">
      <w:pPr>
        <w:tabs>
          <w:tab w:val="left" w:pos="360"/>
        </w:tabs>
        <w:rPr>
          <w:rFonts w:cs="Arial"/>
          <w:sz w:val="22"/>
          <w:szCs w:val="22"/>
        </w:rPr>
      </w:pPr>
    </w:p>
    <w:p w:rsidR="00B90D23" w:rsidRDefault="00B90D23" w:rsidP="00CC3A47">
      <w:pPr>
        <w:numPr>
          <w:ilvl w:val="0"/>
          <w:numId w:val="16"/>
        </w:numPr>
        <w:tabs>
          <w:tab w:val="left" w:pos="360"/>
        </w:tabs>
        <w:rPr>
          <w:rFonts w:cs="Arial"/>
          <w:sz w:val="22"/>
          <w:szCs w:val="22"/>
        </w:rPr>
      </w:pPr>
      <w:r w:rsidRPr="00BF1337">
        <w:rPr>
          <w:rFonts w:cs="Arial"/>
          <w:sz w:val="22"/>
          <w:szCs w:val="22"/>
        </w:rPr>
        <w:t>Continue to raise awareness that “double dose prophylactic transfusions should not be used routinely”</w:t>
      </w:r>
    </w:p>
    <w:p w:rsidR="00B90D23" w:rsidRDefault="00B90D23" w:rsidP="00CC3A47">
      <w:pPr>
        <w:pStyle w:val="ListParagraph"/>
        <w:rPr>
          <w:rFonts w:cs="Arial"/>
          <w:sz w:val="22"/>
          <w:szCs w:val="22"/>
        </w:rPr>
      </w:pPr>
    </w:p>
    <w:p w:rsidR="00B90D23" w:rsidRPr="00BF1337" w:rsidRDefault="00B90D23" w:rsidP="00CC3A47">
      <w:pPr>
        <w:numPr>
          <w:ilvl w:val="0"/>
          <w:numId w:val="16"/>
        </w:numPr>
        <w:tabs>
          <w:tab w:val="left" w:pos="360"/>
        </w:tabs>
        <w:rPr>
          <w:rFonts w:cs="Arial"/>
          <w:sz w:val="22"/>
          <w:szCs w:val="22"/>
        </w:rPr>
      </w:pPr>
      <w:r>
        <w:rPr>
          <w:rFonts w:cs="Arial"/>
          <w:sz w:val="22"/>
          <w:szCs w:val="22"/>
        </w:rPr>
        <w:t xml:space="preserve">All three audits were completed before the publication of the NICE guideline on Blood Transfusion (NG24). Specific audit points are raised in this guideline. Although some of the findings here are consistent with the recommendations, more detailed and targeted audits could be undertaken using this new guidance. </w:t>
      </w:r>
    </w:p>
    <w:p w:rsidR="00B90D23" w:rsidRPr="00DC3A9F" w:rsidRDefault="00B90D23" w:rsidP="00DC3A9F">
      <w:pPr>
        <w:rPr>
          <w:b/>
        </w:rPr>
      </w:pPr>
    </w:p>
    <w:p w:rsidR="00B90D23" w:rsidRDefault="00B90D23" w:rsidP="00C02473">
      <w:pPr>
        <w:rPr>
          <w:b/>
        </w:rPr>
      </w:pPr>
      <w:r w:rsidRPr="00DC3A9F">
        <w:rPr>
          <w:b/>
        </w:rPr>
        <w:t>Re</w:t>
      </w:r>
      <w:r>
        <w:rPr>
          <w:b/>
        </w:rPr>
        <w:t>ferences</w:t>
      </w:r>
    </w:p>
    <w:p w:rsidR="00B90D23" w:rsidRDefault="00B90D23" w:rsidP="00DC3A9F">
      <w:pPr>
        <w:rPr>
          <w:b/>
          <w:color w:val="FF0000"/>
          <w:sz w:val="22"/>
          <w:szCs w:val="22"/>
        </w:rPr>
      </w:pPr>
    </w:p>
    <w:p w:rsidR="00B90D23" w:rsidRPr="002528DB" w:rsidRDefault="00B90D23" w:rsidP="002528DB">
      <w:pPr>
        <w:pStyle w:val="ListParagraph"/>
        <w:numPr>
          <w:ilvl w:val="0"/>
          <w:numId w:val="17"/>
        </w:numPr>
        <w:rPr>
          <w:sz w:val="22"/>
          <w:szCs w:val="22"/>
        </w:rPr>
      </w:pPr>
      <w:r w:rsidRPr="002528DB">
        <w:rPr>
          <w:sz w:val="22"/>
          <w:szCs w:val="22"/>
        </w:rPr>
        <w:t>British Committee for Standards in Haematology (BCSH), 2003. British Committee for Standards Haematology, Blood Transfusion</w:t>
      </w:r>
      <w:r>
        <w:rPr>
          <w:sz w:val="22"/>
          <w:szCs w:val="22"/>
        </w:rPr>
        <w:t xml:space="preserve"> </w:t>
      </w:r>
      <w:r w:rsidRPr="002528DB">
        <w:rPr>
          <w:sz w:val="22"/>
          <w:szCs w:val="22"/>
        </w:rPr>
        <w:t>Task Force</w:t>
      </w:r>
      <w:r>
        <w:rPr>
          <w:sz w:val="22"/>
          <w:szCs w:val="22"/>
        </w:rPr>
        <w:t>.</w:t>
      </w:r>
      <w:r w:rsidRPr="002528DB">
        <w:rPr>
          <w:sz w:val="22"/>
          <w:szCs w:val="22"/>
        </w:rPr>
        <w:t xml:space="preserve"> </w:t>
      </w:r>
      <w:r w:rsidRPr="002528DB">
        <w:t xml:space="preserve"> </w:t>
      </w:r>
      <w:r w:rsidRPr="002528DB">
        <w:rPr>
          <w:sz w:val="22"/>
          <w:szCs w:val="22"/>
        </w:rPr>
        <w:t>British Journal of Haematology, 2003, 122, 10–23</w:t>
      </w:r>
      <w:r w:rsidRPr="002528DB">
        <w:rPr>
          <w:sz w:val="22"/>
          <w:szCs w:val="22"/>
        </w:rPr>
        <w:br/>
      </w:r>
      <w:hyperlink r:id="rId6" w:history="1">
        <w:r w:rsidRPr="002528DB">
          <w:rPr>
            <w:rStyle w:val="Hyperlink"/>
            <w:sz w:val="22"/>
            <w:szCs w:val="22"/>
          </w:rPr>
          <w:t>http://www.bcshguidelines.com/documents/platelettrans_bjh_04072003.pdf</w:t>
        </w:r>
      </w:hyperlink>
    </w:p>
    <w:p w:rsidR="00B90D23" w:rsidRDefault="00B90D23" w:rsidP="00DC3A9F">
      <w:pPr>
        <w:rPr>
          <w:b/>
          <w:color w:val="FF0000"/>
          <w:sz w:val="22"/>
          <w:szCs w:val="22"/>
        </w:rPr>
      </w:pPr>
    </w:p>
    <w:p w:rsidR="00B90D23" w:rsidRPr="003609BD" w:rsidRDefault="00B90D23" w:rsidP="003609BD">
      <w:pPr>
        <w:pStyle w:val="ListParagraph"/>
        <w:numPr>
          <w:ilvl w:val="0"/>
          <w:numId w:val="17"/>
        </w:numPr>
        <w:autoSpaceDE w:val="0"/>
        <w:autoSpaceDN w:val="0"/>
        <w:adjustRightInd w:val="0"/>
        <w:rPr>
          <w:rFonts w:ascii="TimesNewRoman" w:hAnsi="TimesNewRoman" w:cs="TimesNewRoman"/>
          <w:sz w:val="22"/>
          <w:szCs w:val="22"/>
        </w:rPr>
      </w:pPr>
      <w:r w:rsidRPr="003609BD">
        <w:rPr>
          <w:rFonts w:cs="Arial"/>
          <w:sz w:val="22"/>
          <w:szCs w:val="22"/>
        </w:rPr>
        <w:t>Blood transfusion: NICE guidelines [NG24], November 2015</w:t>
      </w:r>
      <w:r w:rsidRPr="003609BD">
        <w:rPr>
          <w:rFonts w:cs="Arial"/>
          <w:sz w:val="22"/>
          <w:szCs w:val="22"/>
        </w:rPr>
        <w:br/>
      </w:r>
      <w:hyperlink r:id="rId7" w:history="1">
        <w:r w:rsidRPr="003609BD">
          <w:rPr>
            <w:rStyle w:val="Hyperlink"/>
            <w:rFonts w:cs="Arial"/>
            <w:sz w:val="22"/>
            <w:szCs w:val="22"/>
          </w:rPr>
          <w:t>https://www.nice.org.uk/guidance/ng24</w:t>
        </w:r>
      </w:hyperlink>
    </w:p>
    <w:p w:rsidR="00B90D23" w:rsidRDefault="00B90D23" w:rsidP="00DC3A9F">
      <w:pPr>
        <w:rPr>
          <w:b/>
          <w:color w:val="FF0000"/>
          <w:sz w:val="22"/>
          <w:szCs w:val="22"/>
        </w:rPr>
      </w:pPr>
    </w:p>
    <w:p w:rsidR="00B90D23" w:rsidRPr="003609BD" w:rsidRDefault="00B90D23" w:rsidP="003609BD">
      <w:pPr>
        <w:pStyle w:val="ListParagraph"/>
        <w:numPr>
          <w:ilvl w:val="0"/>
          <w:numId w:val="17"/>
        </w:numPr>
        <w:autoSpaceDE w:val="0"/>
        <w:autoSpaceDN w:val="0"/>
        <w:adjustRightInd w:val="0"/>
        <w:rPr>
          <w:rFonts w:ascii="TimesNewRoman" w:hAnsi="TimesNewRoman" w:cs="TimesNewRoman"/>
          <w:sz w:val="22"/>
          <w:szCs w:val="22"/>
        </w:rPr>
      </w:pPr>
      <w:r w:rsidRPr="003609BD">
        <w:rPr>
          <w:sz w:val="22"/>
          <w:szCs w:val="22"/>
        </w:rPr>
        <w:t xml:space="preserve">2010 Re-audit of the Use of Platelets in Haematology. National Comparative Audit. </w:t>
      </w:r>
      <w:hyperlink r:id="rId8" w:history="1">
        <w:r w:rsidRPr="003609BD">
          <w:rPr>
            <w:rStyle w:val="Hyperlink"/>
            <w:rFonts w:cs="Arial"/>
            <w:sz w:val="22"/>
            <w:szCs w:val="22"/>
          </w:rPr>
          <w:t>http://hospital.blood.co.uk/media/26866/nca-platelet_re-audit_report-st_elsewheres_nhs_foundation_trust_2010.pdf</w:t>
        </w:r>
      </w:hyperlink>
    </w:p>
    <w:p w:rsidR="00B90D23" w:rsidRDefault="00B90D23" w:rsidP="00F4301A">
      <w:pPr>
        <w:pStyle w:val="ListParagraph"/>
        <w:rPr>
          <w:rFonts w:ascii="TimesNewRoman" w:hAnsi="TimesNewRoman" w:cs="TimesNewRoman"/>
          <w:sz w:val="22"/>
          <w:szCs w:val="22"/>
        </w:rPr>
      </w:pPr>
    </w:p>
    <w:p w:rsidR="00B90D23" w:rsidRPr="003609BD" w:rsidRDefault="00B90D23" w:rsidP="003609BD">
      <w:pPr>
        <w:pStyle w:val="ListParagraph"/>
        <w:numPr>
          <w:ilvl w:val="0"/>
          <w:numId w:val="17"/>
        </w:numPr>
        <w:autoSpaceDE w:val="0"/>
        <w:autoSpaceDN w:val="0"/>
        <w:adjustRightInd w:val="0"/>
        <w:rPr>
          <w:rFonts w:cs="Arial"/>
          <w:sz w:val="22"/>
          <w:szCs w:val="22"/>
        </w:rPr>
      </w:pPr>
      <w:r w:rsidRPr="003609BD">
        <w:rPr>
          <w:rFonts w:cs="Arial"/>
          <w:sz w:val="22"/>
          <w:szCs w:val="22"/>
        </w:rPr>
        <w:t>Patient Blood Management:</w:t>
      </w:r>
      <w:r w:rsidRPr="003609BD">
        <w:rPr>
          <w:rFonts w:cs="Arial"/>
          <w:sz w:val="22"/>
          <w:szCs w:val="22"/>
          <w:shd w:val="clear" w:color="auto" w:fill="FFFFFF"/>
        </w:rPr>
        <w:t xml:space="preserve"> a multidisciplinary, evidence-based approach to optimising the care of patients who might need a blood transfusion.</w:t>
      </w:r>
      <w:r w:rsidRPr="003609BD">
        <w:rPr>
          <w:rFonts w:cs="Arial"/>
          <w:sz w:val="22"/>
          <w:szCs w:val="22"/>
          <w:shd w:val="clear" w:color="auto" w:fill="FFFFFF"/>
        </w:rPr>
        <w:br/>
      </w:r>
      <w:hyperlink r:id="rId9" w:history="1">
        <w:r w:rsidRPr="003609BD">
          <w:rPr>
            <w:rStyle w:val="Hyperlink"/>
            <w:rFonts w:cs="Arial"/>
            <w:sz w:val="22"/>
            <w:szCs w:val="22"/>
          </w:rPr>
          <w:t>http://hospital.blood.co.uk/patient-services/patient-blood-management/</w:t>
        </w:r>
      </w:hyperlink>
    </w:p>
    <w:p w:rsidR="00B90D23" w:rsidRDefault="00B90D23" w:rsidP="00F4301A">
      <w:pPr>
        <w:pStyle w:val="ListParagraph"/>
        <w:rPr>
          <w:rFonts w:cs="Arial"/>
          <w:sz w:val="22"/>
          <w:szCs w:val="22"/>
        </w:rPr>
      </w:pPr>
    </w:p>
    <w:p w:rsidR="00B90D23" w:rsidRDefault="00B90D23" w:rsidP="00F4301A">
      <w:pPr>
        <w:autoSpaceDE w:val="0"/>
        <w:autoSpaceDN w:val="0"/>
        <w:adjustRightInd w:val="0"/>
        <w:ind w:left="360"/>
        <w:rPr>
          <w:rFonts w:cs="Arial"/>
          <w:sz w:val="22"/>
          <w:szCs w:val="22"/>
        </w:rPr>
      </w:pPr>
    </w:p>
    <w:p w:rsidR="00B90D23" w:rsidRPr="00704BA8" w:rsidRDefault="00B90D23" w:rsidP="00704BA8">
      <w:pPr>
        <w:autoSpaceDE w:val="0"/>
        <w:autoSpaceDN w:val="0"/>
        <w:adjustRightInd w:val="0"/>
        <w:rPr>
          <w:rFonts w:cs="Arial"/>
          <w:b/>
          <w:sz w:val="22"/>
          <w:szCs w:val="22"/>
        </w:rPr>
      </w:pPr>
      <w:r w:rsidRPr="00704BA8">
        <w:rPr>
          <w:rFonts w:cs="Arial"/>
          <w:b/>
          <w:sz w:val="22"/>
          <w:szCs w:val="22"/>
        </w:rPr>
        <w:t>Acknowledgments</w:t>
      </w:r>
    </w:p>
    <w:p w:rsidR="00B90D23" w:rsidRDefault="00B90D23" w:rsidP="00704BA8">
      <w:pPr>
        <w:autoSpaceDE w:val="0"/>
        <w:autoSpaceDN w:val="0"/>
        <w:adjustRightInd w:val="0"/>
        <w:rPr>
          <w:rFonts w:cs="Arial"/>
          <w:sz w:val="22"/>
          <w:szCs w:val="22"/>
        </w:rPr>
      </w:pPr>
    </w:p>
    <w:p w:rsidR="00B90D23" w:rsidRDefault="00B90D23" w:rsidP="00704BA8">
      <w:pPr>
        <w:autoSpaceDE w:val="0"/>
        <w:autoSpaceDN w:val="0"/>
        <w:adjustRightInd w:val="0"/>
        <w:rPr>
          <w:rFonts w:cs="Arial"/>
          <w:sz w:val="22"/>
          <w:szCs w:val="22"/>
        </w:rPr>
      </w:pPr>
      <w:r>
        <w:rPr>
          <w:rFonts w:cs="Arial"/>
          <w:sz w:val="22"/>
          <w:szCs w:val="22"/>
        </w:rPr>
        <w:t>Transfusion practitioners and other staff who helped in the data collection</w:t>
      </w:r>
      <w:bookmarkStart w:id="0" w:name="_GoBack"/>
      <w:bookmarkEnd w:id="0"/>
      <w:r>
        <w:rPr>
          <w:rFonts w:cs="Arial"/>
          <w:sz w:val="22"/>
          <w:szCs w:val="22"/>
        </w:rPr>
        <w:t xml:space="preserve"> the East Midlands, Yorkshire and The Humber and North West Regional Transfusion Committee regions</w:t>
      </w:r>
    </w:p>
    <w:p w:rsidR="00B90D23" w:rsidRPr="00F4301A" w:rsidRDefault="00B90D23" w:rsidP="00F4301A">
      <w:pPr>
        <w:autoSpaceDE w:val="0"/>
        <w:autoSpaceDN w:val="0"/>
        <w:adjustRightInd w:val="0"/>
        <w:ind w:left="360"/>
        <w:rPr>
          <w:rFonts w:cs="Arial"/>
          <w:sz w:val="22"/>
          <w:szCs w:val="22"/>
        </w:rPr>
      </w:pPr>
    </w:p>
    <w:p w:rsidR="00B90D23" w:rsidRPr="00F4301A" w:rsidRDefault="00B90D23" w:rsidP="00CC3A47">
      <w:pPr>
        <w:autoSpaceDE w:val="0"/>
        <w:autoSpaceDN w:val="0"/>
        <w:adjustRightInd w:val="0"/>
        <w:ind w:left="360"/>
        <w:rPr>
          <w:rFonts w:cs="Arial"/>
          <w:sz w:val="22"/>
          <w:szCs w:val="22"/>
        </w:rPr>
      </w:pPr>
    </w:p>
    <w:p w:rsidR="00B90D23" w:rsidRDefault="00B90D23" w:rsidP="00C02473">
      <w:pPr>
        <w:pStyle w:val="ListParagraph"/>
        <w:rPr>
          <w:rFonts w:cs="Arial"/>
          <w:sz w:val="22"/>
          <w:szCs w:val="22"/>
        </w:rPr>
      </w:pPr>
    </w:p>
    <w:p w:rsidR="00B90D23" w:rsidRPr="00CC3A47" w:rsidRDefault="00B90D23" w:rsidP="00C02473">
      <w:pPr>
        <w:autoSpaceDE w:val="0"/>
        <w:autoSpaceDN w:val="0"/>
        <w:adjustRightInd w:val="0"/>
        <w:ind w:left="360"/>
        <w:rPr>
          <w:rFonts w:ascii="TimesNewRoman" w:hAnsi="TimesNewRoman" w:cs="TimesNewRoman"/>
          <w:sz w:val="22"/>
          <w:szCs w:val="22"/>
        </w:rPr>
      </w:pPr>
      <w:r w:rsidRPr="00CC3A47">
        <w:rPr>
          <w:rFonts w:cs="Arial"/>
          <w:sz w:val="22"/>
          <w:szCs w:val="22"/>
        </w:rPr>
        <w:br/>
      </w:r>
    </w:p>
    <w:p w:rsidR="00B90D23" w:rsidRDefault="00B90D23" w:rsidP="003D7B83">
      <w:pPr>
        <w:pStyle w:val="NormalWeb"/>
        <w:rPr>
          <w:rFonts w:ascii="Arial" w:hAnsi="Arial"/>
          <w:sz w:val="22"/>
          <w:szCs w:val="24"/>
        </w:rPr>
      </w:pPr>
    </w:p>
    <w:p w:rsidR="00B90D23" w:rsidRPr="00F53A6A" w:rsidRDefault="00B90D23" w:rsidP="003D7B83">
      <w:pPr>
        <w:pStyle w:val="NormalWeb"/>
        <w:rPr>
          <w:rFonts w:ascii="Arial" w:hAnsi="Arial"/>
          <w:sz w:val="22"/>
        </w:rPr>
      </w:pPr>
    </w:p>
    <w:p w:rsidR="00B90D23" w:rsidRPr="00FB0BFD" w:rsidRDefault="00B90D23" w:rsidP="00DB4DBF">
      <w:pPr>
        <w:rPr>
          <w:sz w:val="22"/>
          <w:szCs w:val="22"/>
        </w:rPr>
      </w:pPr>
    </w:p>
    <w:p w:rsidR="00B90D23" w:rsidRDefault="00B90D23"/>
    <w:p w:rsidR="00B90D23" w:rsidRDefault="00B90D23"/>
    <w:p w:rsidR="00B90D23" w:rsidRDefault="00B90D23"/>
    <w:p w:rsidR="00B90D23" w:rsidRPr="008B640B" w:rsidRDefault="00B90D23"/>
    <w:sectPr w:rsidR="00B90D23" w:rsidRPr="008B640B" w:rsidSect="00030D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300E"/>
    <w:multiLevelType w:val="hybridMultilevel"/>
    <w:tmpl w:val="8A7A15EC"/>
    <w:lvl w:ilvl="0" w:tplc="507E5BA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AF7F18"/>
    <w:multiLevelType w:val="hybridMultilevel"/>
    <w:tmpl w:val="028AD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4D85BB4"/>
    <w:multiLevelType w:val="hybridMultilevel"/>
    <w:tmpl w:val="AE60138E"/>
    <w:lvl w:ilvl="0" w:tplc="507E5BA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68400BE"/>
    <w:multiLevelType w:val="hybridMultilevel"/>
    <w:tmpl w:val="535EBA7C"/>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24673917"/>
    <w:multiLevelType w:val="hybridMultilevel"/>
    <w:tmpl w:val="C98CB530"/>
    <w:lvl w:ilvl="0" w:tplc="507E5BA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971113E"/>
    <w:multiLevelType w:val="hybridMultilevel"/>
    <w:tmpl w:val="364A39DC"/>
    <w:lvl w:ilvl="0" w:tplc="507E5BA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F4E6D10"/>
    <w:multiLevelType w:val="hybridMultilevel"/>
    <w:tmpl w:val="9488C4A8"/>
    <w:lvl w:ilvl="0" w:tplc="507E5BA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9DE34A8"/>
    <w:multiLevelType w:val="hybridMultilevel"/>
    <w:tmpl w:val="6D2A539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3D9F4FBA"/>
    <w:multiLevelType w:val="hybridMultilevel"/>
    <w:tmpl w:val="CAEA2BD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4C2F6C17"/>
    <w:multiLevelType w:val="hybridMultilevel"/>
    <w:tmpl w:val="964AFD6E"/>
    <w:lvl w:ilvl="0" w:tplc="AC0CFDC0">
      <w:start w:val="1"/>
      <w:numFmt w:val="decimal"/>
      <w:lvlText w:val="%1."/>
      <w:lvlJc w:val="left"/>
      <w:pPr>
        <w:tabs>
          <w:tab w:val="num" w:pos="720"/>
        </w:tabs>
        <w:ind w:left="720" w:hanging="360"/>
      </w:pPr>
      <w:rPr>
        <w:rFonts w:cs="Times New Roman"/>
        <w:b w:val="0"/>
      </w:rPr>
    </w:lvl>
    <w:lvl w:ilvl="1" w:tplc="0809000F">
      <w:start w:val="1"/>
      <w:numFmt w:val="decimal"/>
      <w:lvlText w:val="%2."/>
      <w:lvlJc w:val="left"/>
      <w:pPr>
        <w:tabs>
          <w:tab w:val="num" w:pos="1440"/>
        </w:tabs>
        <w:ind w:left="1440" w:hanging="360"/>
      </w:pPr>
      <w:rPr>
        <w:rFonts w:cs="Times New Roman"/>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53E842CD"/>
    <w:multiLevelType w:val="hybridMultilevel"/>
    <w:tmpl w:val="E0303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5412D6"/>
    <w:multiLevelType w:val="hybridMultilevel"/>
    <w:tmpl w:val="A3A0DA82"/>
    <w:lvl w:ilvl="0" w:tplc="507E5BA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5652139"/>
    <w:multiLevelType w:val="hybridMultilevel"/>
    <w:tmpl w:val="6506195A"/>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6C0C4DC9"/>
    <w:multiLevelType w:val="hybridMultilevel"/>
    <w:tmpl w:val="CE2ACF30"/>
    <w:lvl w:ilvl="0" w:tplc="DE227CB4">
      <w:start w:val="1"/>
      <w:numFmt w:val="decimal"/>
      <w:lvlText w:val="%1."/>
      <w:lvlJc w:val="left"/>
      <w:pPr>
        <w:tabs>
          <w:tab w:val="num" w:pos="720"/>
        </w:tabs>
        <w:ind w:left="720" w:hanging="360"/>
      </w:pPr>
      <w:rPr>
        <w:rFonts w:ascii="Arial" w:hAnsi="Arial"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7236537E"/>
    <w:multiLevelType w:val="hybridMultilevel"/>
    <w:tmpl w:val="A678EA00"/>
    <w:lvl w:ilvl="0" w:tplc="507E5BA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4150823"/>
    <w:multiLevelType w:val="hybridMultilevel"/>
    <w:tmpl w:val="97A0824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7C620C97"/>
    <w:multiLevelType w:val="hybridMultilevel"/>
    <w:tmpl w:val="2FD6792E"/>
    <w:lvl w:ilvl="0" w:tplc="DE227CB4">
      <w:start w:val="1"/>
      <w:numFmt w:val="decimal"/>
      <w:lvlText w:val="%1."/>
      <w:lvlJc w:val="left"/>
      <w:pPr>
        <w:tabs>
          <w:tab w:val="num" w:pos="720"/>
        </w:tabs>
        <w:ind w:left="720" w:hanging="360"/>
      </w:pPr>
      <w:rPr>
        <w:rFonts w:ascii="Arial" w:hAnsi="Arial"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4"/>
  </w:num>
  <w:num w:numId="2">
    <w:abstractNumId w:val="7"/>
  </w:num>
  <w:num w:numId="3">
    <w:abstractNumId w:val="8"/>
  </w:num>
  <w:num w:numId="4">
    <w:abstractNumId w:val="2"/>
  </w:num>
  <w:num w:numId="5">
    <w:abstractNumId w:val="6"/>
  </w:num>
  <w:num w:numId="6">
    <w:abstractNumId w:val="0"/>
  </w:num>
  <w:num w:numId="7">
    <w:abstractNumId w:val="4"/>
  </w:num>
  <w:num w:numId="8">
    <w:abstractNumId w:val="5"/>
  </w:num>
  <w:num w:numId="9">
    <w:abstractNumId w:val="11"/>
  </w:num>
  <w:num w:numId="10">
    <w:abstractNumId w:val="9"/>
  </w:num>
  <w:num w:numId="11">
    <w:abstractNumId w:val="3"/>
  </w:num>
  <w:num w:numId="12">
    <w:abstractNumId w:val="12"/>
  </w:num>
  <w:num w:numId="13">
    <w:abstractNumId w:val="13"/>
  </w:num>
  <w:num w:numId="14">
    <w:abstractNumId w:val="10"/>
  </w:num>
  <w:num w:numId="15">
    <w:abstractNumId w:val="1"/>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40B"/>
    <w:rsid w:val="00030D59"/>
    <w:rsid w:val="00061884"/>
    <w:rsid w:val="00087DD5"/>
    <w:rsid w:val="000C21E5"/>
    <w:rsid w:val="001332E4"/>
    <w:rsid w:val="001A0CE8"/>
    <w:rsid w:val="001E2CC8"/>
    <w:rsid w:val="001F346D"/>
    <w:rsid w:val="00200F21"/>
    <w:rsid w:val="00204F4A"/>
    <w:rsid w:val="00213521"/>
    <w:rsid w:val="002528DB"/>
    <w:rsid w:val="002538A1"/>
    <w:rsid w:val="002B5F41"/>
    <w:rsid w:val="002B7FC3"/>
    <w:rsid w:val="002D1597"/>
    <w:rsid w:val="0034529E"/>
    <w:rsid w:val="003609BD"/>
    <w:rsid w:val="003618F2"/>
    <w:rsid w:val="003839FE"/>
    <w:rsid w:val="003D7B83"/>
    <w:rsid w:val="00461B10"/>
    <w:rsid w:val="0048786A"/>
    <w:rsid w:val="0059371F"/>
    <w:rsid w:val="005A4B9F"/>
    <w:rsid w:val="005B4984"/>
    <w:rsid w:val="005C6D5A"/>
    <w:rsid w:val="005E3CA6"/>
    <w:rsid w:val="005F68B8"/>
    <w:rsid w:val="00610AED"/>
    <w:rsid w:val="00614246"/>
    <w:rsid w:val="0063530E"/>
    <w:rsid w:val="00636ED9"/>
    <w:rsid w:val="006475D4"/>
    <w:rsid w:val="00704BA8"/>
    <w:rsid w:val="0072773D"/>
    <w:rsid w:val="00784731"/>
    <w:rsid w:val="00786099"/>
    <w:rsid w:val="007F608A"/>
    <w:rsid w:val="007F6D8C"/>
    <w:rsid w:val="008B640B"/>
    <w:rsid w:val="009212C2"/>
    <w:rsid w:val="0092774E"/>
    <w:rsid w:val="00937126"/>
    <w:rsid w:val="009E00B0"/>
    <w:rsid w:val="009E288A"/>
    <w:rsid w:val="00A822E4"/>
    <w:rsid w:val="00A858B1"/>
    <w:rsid w:val="00B90D23"/>
    <w:rsid w:val="00BD4868"/>
    <w:rsid w:val="00BE40F0"/>
    <w:rsid w:val="00BF1337"/>
    <w:rsid w:val="00C02473"/>
    <w:rsid w:val="00C209B4"/>
    <w:rsid w:val="00C41268"/>
    <w:rsid w:val="00C74B5B"/>
    <w:rsid w:val="00CC01AD"/>
    <w:rsid w:val="00CC3A47"/>
    <w:rsid w:val="00DB067A"/>
    <w:rsid w:val="00DB4DBF"/>
    <w:rsid w:val="00DC3A9F"/>
    <w:rsid w:val="00DC49C3"/>
    <w:rsid w:val="00DD2983"/>
    <w:rsid w:val="00DF7540"/>
    <w:rsid w:val="00E073C5"/>
    <w:rsid w:val="00E24319"/>
    <w:rsid w:val="00E46D65"/>
    <w:rsid w:val="00E56F64"/>
    <w:rsid w:val="00E65DCE"/>
    <w:rsid w:val="00EC051C"/>
    <w:rsid w:val="00ED36CD"/>
    <w:rsid w:val="00EE352E"/>
    <w:rsid w:val="00EE6A46"/>
    <w:rsid w:val="00EF1A69"/>
    <w:rsid w:val="00F4301A"/>
    <w:rsid w:val="00F53A6A"/>
    <w:rsid w:val="00F71553"/>
    <w:rsid w:val="00FA3B57"/>
    <w:rsid w:val="00FB0BFD"/>
    <w:rsid w:val="00FD3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D59"/>
    <w:rPr>
      <w:rFonts w:ascii="Arial" w:hAnsi="Arial"/>
      <w:sz w:val="24"/>
      <w:szCs w:val="24"/>
    </w:rPr>
  </w:style>
  <w:style w:type="paragraph" w:styleId="Heading1">
    <w:name w:val="heading 1"/>
    <w:basedOn w:val="Normal"/>
    <w:link w:val="Heading1Char"/>
    <w:uiPriority w:val="99"/>
    <w:qFormat/>
    <w:rsid w:val="00CC3A47"/>
    <w:pPr>
      <w:spacing w:before="100" w:beforeAutospacing="1" w:after="100" w:afterAutospacing="1"/>
      <w:outlineLvl w:val="0"/>
    </w:pPr>
    <w:rPr>
      <w:rFonts w:ascii="Times New Roman" w:hAnsi="Times New Roman"/>
      <w:b/>
      <w:bCs/>
      <w:kern w:val="36"/>
      <w:sz w:val="48"/>
      <w:szCs w:val="48"/>
    </w:rPr>
  </w:style>
  <w:style w:type="paragraph" w:styleId="Heading4">
    <w:name w:val="heading 4"/>
    <w:basedOn w:val="Normal"/>
    <w:link w:val="Heading4Char"/>
    <w:uiPriority w:val="99"/>
    <w:qFormat/>
    <w:rsid w:val="00CC3A47"/>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3A47"/>
    <w:rPr>
      <w:rFonts w:cs="Times New Roman"/>
      <w:b/>
      <w:bCs/>
      <w:kern w:val="36"/>
      <w:sz w:val="48"/>
      <w:szCs w:val="48"/>
    </w:rPr>
  </w:style>
  <w:style w:type="character" w:customStyle="1" w:styleId="Heading4Char">
    <w:name w:val="Heading 4 Char"/>
    <w:basedOn w:val="DefaultParagraphFont"/>
    <w:link w:val="Heading4"/>
    <w:uiPriority w:val="99"/>
    <w:locked/>
    <w:rsid w:val="00CC3A47"/>
    <w:rPr>
      <w:rFonts w:cs="Times New Roman"/>
      <w:b/>
      <w:bCs/>
      <w:sz w:val="24"/>
      <w:szCs w:val="24"/>
    </w:rPr>
  </w:style>
  <w:style w:type="paragraph" w:styleId="NormalWeb">
    <w:name w:val="Normal (Web)"/>
    <w:basedOn w:val="Normal"/>
    <w:uiPriority w:val="99"/>
    <w:rsid w:val="003D7B83"/>
    <w:pPr>
      <w:spacing w:before="100" w:beforeAutospacing="1" w:after="100" w:afterAutospacing="1"/>
    </w:pPr>
    <w:rPr>
      <w:rFonts w:ascii="Times" w:hAnsi="Times"/>
      <w:sz w:val="20"/>
      <w:szCs w:val="20"/>
      <w:lang w:eastAsia="en-US"/>
    </w:rPr>
  </w:style>
  <w:style w:type="character" w:styleId="Hyperlink">
    <w:name w:val="Hyperlink"/>
    <w:basedOn w:val="DefaultParagraphFont"/>
    <w:uiPriority w:val="99"/>
    <w:rsid w:val="00DD2983"/>
    <w:rPr>
      <w:rFonts w:cs="Times New Roman"/>
      <w:color w:val="0000FF"/>
      <w:u w:val="single"/>
    </w:rPr>
  </w:style>
  <w:style w:type="paragraph" w:styleId="ListParagraph">
    <w:name w:val="List Paragraph"/>
    <w:basedOn w:val="Normal"/>
    <w:uiPriority w:val="99"/>
    <w:qFormat/>
    <w:rsid w:val="001A0CE8"/>
    <w:pPr>
      <w:ind w:left="720"/>
      <w:contextualSpacing/>
    </w:pPr>
  </w:style>
  <w:style w:type="table" w:styleId="TableList3">
    <w:name w:val="Table List 3"/>
    <w:basedOn w:val="TableNormal"/>
    <w:uiPriority w:val="99"/>
    <w:rsid w:val="002538A1"/>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prod-title">
    <w:name w:val="prod-title"/>
    <w:basedOn w:val="DefaultParagraphFont"/>
    <w:uiPriority w:val="99"/>
    <w:rsid w:val="00CC3A47"/>
    <w:rPr>
      <w:rFonts w:cs="Times New Roman"/>
    </w:rPr>
  </w:style>
  <w:style w:type="character" w:customStyle="1" w:styleId="apple-converted-space">
    <w:name w:val="apple-converted-space"/>
    <w:basedOn w:val="DefaultParagraphFont"/>
    <w:uiPriority w:val="99"/>
    <w:rsid w:val="00CC3A47"/>
    <w:rPr>
      <w:rFonts w:cs="Times New Roman"/>
    </w:rPr>
  </w:style>
  <w:style w:type="character" w:customStyle="1" w:styleId="published-date">
    <w:name w:val="published-date"/>
    <w:basedOn w:val="DefaultParagraphFont"/>
    <w:uiPriority w:val="99"/>
    <w:rsid w:val="00CC3A47"/>
    <w:rPr>
      <w:rFonts w:cs="Times New Roman"/>
    </w:rPr>
  </w:style>
  <w:style w:type="paragraph" w:styleId="BalloonText">
    <w:name w:val="Balloon Text"/>
    <w:basedOn w:val="Normal"/>
    <w:link w:val="BalloonTextChar"/>
    <w:uiPriority w:val="99"/>
    <w:semiHidden/>
    <w:rsid w:val="005B4984"/>
    <w:rPr>
      <w:rFonts w:ascii="Tahoma" w:hAnsi="Tahoma" w:cs="Tahoma"/>
      <w:sz w:val="16"/>
      <w:szCs w:val="16"/>
    </w:rPr>
  </w:style>
  <w:style w:type="character" w:customStyle="1" w:styleId="BalloonTextChar">
    <w:name w:val="Balloon Text Char"/>
    <w:basedOn w:val="DefaultParagraphFont"/>
    <w:link w:val="BalloonText"/>
    <w:uiPriority w:val="99"/>
    <w:semiHidden/>
    <w:rsid w:val="00F02708"/>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D59"/>
    <w:rPr>
      <w:rFonts w:ascii="Arial" w:hAnsi="Arial"/>
      <w:sz w:val="24"/>
      <w:szCs w:val="24"/>
    </w:rPr>
  </w:style>
  <w:style w:type="paragraph" w:styleId="Heading1">
    <w:name w:val="heading 1"/>
    <w:basedOn w:val="Normal"/>
    <w:link w:val="Heading1Char"/>
    <w:uiPriority w:val="99"/>
    <w:qFormat/>
    <w:rsid w:val="00CC3A47"/>
    <w:pPr>
      <w:spacing w:before="100" w:beforeAutospacing="1" w:after="100" w:afterAutospacing="1"/>
      <w:outlineLvl w:val="0"/>
    </w:pPr>
    <w:rPr>
      <w:rFonts w:ascii="Times New Roman" w:hAnsi="Times New Roman"/>
      <w:b/>
      <w:bCs/>
      <w:kern w:val="36"/>
      <w:sz w:val="48"/>
      <w:szCs w:val="48"/>
    </w:rPr>
  </w:style>
  <w:style w:type="paragraph" w:styleId="Heading4">
    <w:name w:val="heading 4"/>
    <w:basedOn w:val="Normal"/>
    <w:link w:val="Heading4Char"/>
    <w:uiPriority w:val="99"/>
    <w:qFormat/>
    <w:rsid w:val="00CC3A47"/>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3A47"/>
    <w:rPr>
      <w:rFonts w:cs="Times New Roman"/>
      <w:b/>
      <w:bCs/>
      <w:kern w:val="36"/>
      <w:sz w:val="48"/>
      <w:szCs w:val="48"/>
    </w:rPr>
  </w:style>
  <w:style w:type="character" w:customStyle="1" w:styleId="Heading4Char">
    <w:name w:val="Heading 4 Char"/>
    <w:basedOn w:val="DefaultParagraphFont"/>
    <w:link w:val="Heading4"/>
    <w:uiPriority w:val="99"/>
    <w:locked/>
    <w:rsid w:val="00CC3A47"/>
    <w:rPr>
      <w:rFonts w:cs="Times New Roman"/>
      <w:b/>
      <w:bCs/>
      <w:sz w:val="24"/>
      <w:szCs w:val="24"/>
    </w:rPr>
  </w:style>
  <w:style w:type="paragraph" w:styleId="NormalWeb">
    <w:name w:val="Normal (Web)"/>
    <w:basedOn w:val="Normal"/>
    <w:uiPriority w:val="99"/>
    <w:rsid w:val="003D7B83"/>
    <w:pPr>
      <w:spacing w:before="100" w:beforeAutospacing="1" w:after="100" w:afterAutospacing="1"/>
    </w:pPr>
    <w:rPr>
      <w:rFonts w:ascii="Times" w:hAnsi="Times"/>
      <w:sz w:val="20"/>
      <w:szCs w:val="20"/>
      <w:lang w:eastAsia="en-US"/>
    </w:rPr>
  </w:style>
  <w:style w:type="character" w:styleId="Hyperlink">
    <w:name w:val="Hyperlink"/>
    <w:basedOn w:val="DefaultParagraphFont"/>
    <w:uiPriority w:val="99"/>
    <w:rsid w:val="00DD2983"/>
    <w:rPr>
      <w:rFonts w:cs="Times New Roman"/>
      <w:color w:val="0000FF"/>
      <w:u w:val="single"/>
    </w:rPr>
  </w:style>
  <w:style w:type="paragraph" w:styleId="ListParagraph">
    <w:name w:val="List Paragraph"/>
    <w:basedOn w:val="Normal"/>
    <w:uiPriority w:val="99"/>
    <w:qFormat/>
    <w:rsid w:val="001A0CE8"/>
    <w:pPr>
      <w:ind w:left="720"/>
      <w:contextualSpacing/>
    </w:pPr>
  </w:style>
  <w:style w:type="table" w:styleId="TableList3">
    <w:name w:val="Table List 3"/>
    <w:basedOn w:val="TableNormal"/>
    <w:uiPriority w:val="99"/>
    <w:rsid w:val="002538A1"/>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prod-title">
    <w:name w:val="prod-title"/>
    <w:basedOn w:val="DefaultParagraphFont"/>
    <w:uiPriority w:val="99"/>
    <w:rsid w:val="00CC3A47"/>
    <w:rPr>
      <w:rFonts w:cs="Times New Roman"/>
    </w:rPr>
  </w:style>
  <w:style w:type="character" w:customStyle="1" w:styleId="apple-converted-space">
    <w:name w:val="apple-converted-space"/>
    <w:basedOn w:val="DefaultParagraphFont"/>
    <w:uiPriority w:val="99"/>
    <w:rsid w:val="00CC3A47"/>
    <w:rPr>
      <w:rFonts w:cs="Times New Roman"/>
    </w:rPr>
  </w:style>
  <w:style w:type="character" w:customStyle="1" w:styleId="published-date">
    <w:name w:val="published-date"/>
    <w:basedOn w:val="DefaultParagraphFont"/>
    <w:uiPriority w:val="99"/>
    <w:rsid w:val="00CC3A47"/>
    <w:rPr>
      <w:rFonts w:cs="Times New Roman"/>
    </w:rPr>
  </w:style>
  <w:style w:type="paragraph" w:styleId="BalloonText">
    <w:name w:val="Balloon Text"/>
    <w:basedOn w:val="Normal"/>
    <w:link w:val="BalloonTextChar"/>
    <w:uiPriority w:val="99"/>
    <w:semiHidden/>
    <w:rsid w:val="005B4984"/>
    <w:rPr>
      <w:rFonts w:ascii="Tahoma" w:hAnsi="Tahoma" w:cs="Tahoma"/>
      <w:sz w:val="16"/>
      <w:szCs w:val="16"/>
    </w:rPr>
  </w:style>
  <w:style w:type="character" w:customStyle="1" w:styleId="BalloonTextChar">
    <w:name w:val="Balloon Text Char"/>
    <w:basedOn w:val="DefaultParagraphFont"/>
    <w:link w:val="BalloonText"/>
    <w:uiPriority w:val="99"/>
    <w:semiHidden/>
    <w:rsid w:val="00F02708"/>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14883">
      <w:marLeft w:val="0"/>
      <w:marRight w:val="0"/>
      <w:marTop w:val="0"/>
      <w:marBottom w:val="0"/>
      <w:divBdr>
        <w:top w:val="none" w:sz="0" w:space="0" w:color="auto"/>
        <w:left w:val="none" w:sz="0" w:space="0" w:color="auto"/>
        <w:bottom w:val="none" w:sz="0" w:space="0" w:color="auto"/>
        <w:right w:val="none" w:sz="0" w:space="0" w:color="auto"/>
      </w:divBdr>
    </w:div>
    <w:div w:id="592014885">
      <w:marLeft w:val="0"/>
      <w:marRight w:val="0"/>
      <w:marTop w:val="0"/>
      <w:marBottom w:val="0"/>
      <w:divBdr>
        <w:top w:val="none" w:sz="0" w:space="0" w:color="auto"/>
        <w:left w:val="none" w:sz="0" w:space="0" w:color="auto"/>
        <w:bottom w:val="none" w:sz="0" w:space="0" w:color="auto"/>
        <w:right w:val="none" w:sz="0" w:space="0" w:color="auto"/>
      </w:divBdr>
      <w:divsChild>
        <w:div w:id="592014882">
          <w:marLeft w:val="0"/>
          <w:marRight w:val="0"/>
          <w:marTop w:val="0"/>
          <w:marBottom w:val="0"/>
          <w:divBdr>
            <w:top w:val="none" w:sz="0" w:space="0" w:color="auto"/>
            <w:left w:val="none" w:sz="0" w:space="0" w:color="auto"/>
            <w:bottom w:val="none" w:sz="0" w:space="0" w:color="auto"/>
            <w:right w:val="none" w:sz="0" w:space="0" w:color="auto"/>
          </w:divBdr>
          <w:divsChild>
            <w:div w:id="5920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spital.blood.co.uk/media/26866/nca-platelet_re-audit_report-st_elsewheres_nhs_foundation_trust_2010.pdf" TargetMode="External"/><Relationship Id="rId3" Type="http://schemas.microsoft.com/office/2007/relationships/stylesWithEffects" Target="stylesWithEffects.xml"/><Relationship Id="rId7" Type="http://schemas.openxmlformats.org/officeDocument/2006/relationships/hyperlink" Target="https://www.nice.org.uk/guidance/ng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cshguidelines.com/documents/platelettrans_bjh_04072003.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ospital.blood.co.uk/patient-services/patient-blood-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1619</Words>
  <Characters>9232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Earlier investigations have indicated that that Fresh Frozen Plasma (FFP) may be associated with high rates of inappropriate transfusion with some studies indicating rates of up to 50% non compliance with established guidelines</vt:lpstr>
    </vt:vector>
  </TitlesOfParts>
  <Company>NHSBT</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Earlier investigations have indicated that that Fresh Frozen Plasma (FFP) may be associated with high rates of inappropriate transfusion with some studies indicating rates of up to 50% non compliance with established guidelines</dc:title>
  <dc:creator>hock0003</dc:creator>
  <cp:lastModifiedBy>BTS</cp:lastModifiedBy>
  <cp:revision>2</cp:revision>
  <dcterms:created xsi:type="dcterms:W3CDTF">2016-08-15T13:26:00Z</dcterms:created>
  <dcterms:modified xsi:type="dcterms:W3CDTF">2016-08-15T13:26:00Z</dcterms:modified>
</cp:coreProperties>
</file>