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E4" w:rsidRPr="003F48E4" w:rsidRDefault="003F48E4" w:rsidP="003F48E4">
      <w:pPr>
        <w:spacing w:before="100" w:beforeAutospacing="1" w:after="100" w:afterAutospacing="1"/>
        <w:outlineLvl w:val="2"/>
        <w:rPr>
          <w:rFonts w:ascii="Arial" w:hAnsi="Arial" w:cs="Arial"/>
          <w:b/>
          <w:sz w:val="20"/>
          <w:szCs w:val="20"/>
          <w:lang w:eastAsia="en-GB"/>
        </w:rPr>
      </w:pPr>
      <w:r w:rsidRPr="003F48E4">
        <w:rPr>
          <w:rFonts w:ascii="Arial" w:hAnsi="Arial" w:cs="Arial"/>
          <w:b/>
          <w:sz w:val="20"/>
          <w:szCs w:val="20"/>
          <w:lang w:eastAsia="en-GB"/>
        </w:rPr>
        <w:t>Care by Optimising Medicines for Elderly patients on care Transfer (COMET) project summary</w:t>
      </w:r>
    </w:p>
    <w:p w:rsidR="003F48E4" w:rsidRPr="003F48E4" w:rsidRDefault="003F48E4" w:rsidP="003F48E4">
      <w:pPr>
        <w:spacing w:before="100" w:beforeAutospacing="1" w:after="100" w:afterAutospacing="1"/>
        <w:outlineLvl w:val="2"/>
        <w:rPr>
          <w:rFonts w:ascii="Arial" w:hAnsi="Arial" w:cs="Arial"/>
          <w:b/>
          <w:bCs/>
          <w:sz w:val="20"/>
          <w:szCs w:val="20"/>
          <w:lang w:eastAsia="en-GB"/>
        </w:rPr>
      </w:pPr>
      <w:r>
        <w:rPr>
          <w:rFonts w:ascii="Arial" w:hAnsi="Arial" w:cs="Arial"/>
          <w:sz w:val="20"/>
          <w:szCs w:val="20"/>
          <w:lang w:eastAsia="en-GB"/>
        </w:rPr>
        <w:t>£120,000 was received for the project from CCG commissioners and supported by key stakeholders in Leeds including community and mental health Trusts and Community Pharmacy West Yorkshire</w:t>
      </w:r>
      <w:r>
        <w:rPr>
          <w:rFonts w:ascii="Arial" w:hAnsi="Arial" w:cs="Arial"/>
          <w:sz w:val="20"/>
          <w:szCs w:val="20"/>
          <w:lang w:eastAsia="en-GB"/>
        </w:rPr>
        <w:t xml:space="preserve"> to roll out previous IMPACT project work </w:t>
      </w:r>
      <w:r>
        <w:rPr>
          <w:rFonts w:ascii="Arial" w:hAnsi="Arial" w:cs="Arial"/>
          <w:bCs/>
          <w:sz w:val="20"/>
          <w:szCs w:val="20"/>
          <w:lang w:eastAsia="en-GB"/>
        </w:rPr>
        <w:t>(</w:t>
      </w:r>
      <w:r>
        <w:rPr>
          <w:rFonts w:ascii="Arial" w:hAnsi="Arial" w:cs="Arial"/>
          <w:b/>
          <w:bCs/>
          <w:sz w:val="20"/>
          <w:szCs w:val="20"/>
          <w:lang w:eastAsia="en-GB"/>
        </w:rPr>
        <w:t>I</w:t>
      </w:r>
      <w:r>
        <w:rPr>
          <w:rFonts w:ascii="Arial" w:hAnsi="Arial" w:cs="Arial"/>
          <w:bCs/>
          <w:sz w:val="20"/>
          <w:szCs w:val="20"/>
          <w:lang w:eastAsia="en-GB"/>
        </w:rPr>
        <w:t xml:space="preserve">ntegrated </w:t>
      </w:r>
      <w:r>
        <w:rPr>
          <w:rFonts w:ascii="Arial" w:hAnsi="Arial" w:cs="Arial"/>
          <w:b/>
          <w:bCs/>
          <w:sz w:val="20"/>
          <w:szCs w:val="20"/>
          <w:lang w:eastAsia="en-GB"/>
        </w:rPr>
        <w:t>M</w:t>
      </w:r>
      <w:r>
        <w:rPr>
          <w:rFonts w:ascii="Arial" w:hAnsi="Arial" w:cs="Arial"/>
          <w:bCs/>
          <w:sz w:val="20"/>
          <w:szCs w:val="20"/>
          <w:lang w:eastAsia="en-GB"/>
        </w:rPr>
        <w:t xml:space="preserve">edicines </w:t>
      </w:r>
      <w:proofErr w:type="spellStart"/>
      <w:r>
        <w:rPr>
          <w:rFonts w:ascii="Arial" w:hAnsi="Arial" w:cs="Arial"/>
          <w:bCs/>
          <w:sz w:val="20"/>
          <w:szCs w:val="20"/>
          <w:lang w:eastAsia="en-GB"/>
        </w:rPr>
        <w:t>o</w:t>
      </w:r>
      <w:r>
        <w:rPr>
          <w:rFonts w:ascii="Arial" w:hAnsi="Arial" w:cs="Arial"/>
          <w:b/>
          <w:bCs/>
          <w:sz w:val="20"/>
          <w:szCs w:val="20"/>
          <w:lang w:eastAsia="en-GB"/>
        </w:rPr>
        <w:t>P</w:t>
      </w:r>
      <w:r>
        <w:rPr>
          <w:rFonts w:ascii="Arial" w:hAnsi="Arial" w:cs="Arial"/>
          <w:bCs/>
          <w:sz w:val="20"/>
          <w:szCs w:val="20"/>
          <w:lang w:eastAsia="en-GB"/>
        </w:rPr>
        <w:t>timis</w:t>
      </w:r>
      <w:r>
        <w:rPr>
          <w:rFonts w:ascii="Arial" w:hAnsi="Arial" w:cs="Arial"/>
          <w:b/>
          <w:bCs/>
          <w:sz w:val="20"/>
          <w:szCs w:val="20"/>
          <w:lang w:eastAsia="en-GB"/>
        </w:rPr>
        <w:t>A</w:t>
      </w:r>
      <w:r>
        <w:rPr>
          <w:rFonts w:ascii="Arial" w:hAnsi="Arial" w:cs="Arial"/>
          <w:bCs/>
          <w:sz w:val="20"/>
          <w:szCs w:val="20"/>
          <w:lang w:eastAsia="en-GB"/>
        </w:rPr>
        <w:t>tion</w:t>
      </w:r>
      <w:proofErr w:type="spellEnd"/>
      <w:r>
        <w:rPr>
          <w:rFonts w:ascii="Arial" w:hAnsi="Arial" w:cs="Arial"/>
          <w:bCs/>
          <w:sz w:val="20"/>
          <w:szCs w:val="20"/>
          <w:lang w:eastAsia="en-GB"/>
        </w:rPr>
        <w:t xml:space="preserve"> on </w:t>
      </w:r>
      <w:r>
        <w:rPr>
          <w:rFonts w:ascii="Arial" w:hAnsi="Arial" w:cs="Arial"/>
          <w:b/>
          <w:bCs/>
          <w:sz w:val="20"/>
          <w:szCs w:val="20"/>
          <w:lang w:eastAsia="en-GB"/>
        </w:rPr>
        <w:t>C</w:t>
      </w:r>
      <w:r>
        <w:rPr>
          <w:rFonts w:ascii="Arial" w:hAnsi="Arial" w:cs="Arial"/>
          <w:bCs/>
          <w:sz w:val="20"/>
          <w:szCs w:val="20"/>
          <w:lang w:eastAsia="en-GB"/>
        </w:rPr>
        <w:t xml:space="preserve">are </w:t>
      </w:r>
      <w:r>
        <w:rPr>
          <w:rFonts w:ascii="Arial" w:hAnsi="Arial" w:cs="Arial"/>
          <w:b/>
          <w:bCs/>
          <w:sz w:val="20"/>
          <w:szCs w:val="20"/>
          <w:lang w:eastAsia="en-GB"/>
        </w:rPr>
        <w:t>T</w:t>
      </w:r>
      <w:r>
        <w:rPr>
          <w:rFonts w:ascii="Arial" w:hAnsi="Arial" w:cs="Arial"/>
          <w:bCs/>
          <w:sz w:val="20"/>
          <w:szCs w:val="20"/>
          <w:lang w:eastAsia="en-GB"/>
        </w:rPr>
        <w:t xml:space="preserve">ransfer) </w:t>
      </w:r>
      <w:r>
        <w:rPr>
          <w:rFonts w:ascii="Arial" w:hAnsi="Arial" w:cs="Arial"/>
          <w:sz w:val="20"/>
          <w:szCs w:val="20"/>
          <w:lang w:eastAsia="en-GB"/>
        </w:rPr>
        <w:t>to all the older people’s wards at Leeds Teaching Hospitals NHS Trust</w:t>
      </w:r>
    </w:p>
    <w:p w:rsidR="003F48E4" w:rsidRDefault="003F48E4" w:rsidP="003F48E4">
      <w:pPr>
        <w:jc w:val="center"/>
        <w:rPr>
          <w:rFonts w:ascii="Arial" w:hAnsi="Arial" w:cs="Arial"/>
          <w:sz w:val="20"/>
          <w:szCs w:val="20"/>
          <w:lang w:eastAsia="en-GB"/>
        </w:rPr>
      </w:pPr>
      <w:r>
        <w:rPr>
          <w:rFonts w:ascii="Arial" w:hAnsi="Arial" w:cs="Arial"/>
          <w:sz w:val="20"/>
          <w:szCs w:val="20"/>
          <w:lang w:eastAsia="en-GB"/>
        </w:rPr>
        <w:pict>
          <v:rect id="_x0000_i1025" style="width:451.3pt;height:1.5pt" o:hralign="center" o:hrstd="t" o:hrnoshade="t" o:hr="t" fillcolor="#2cafaa" stroked="f"/>
        </w:pict>
      </w:r>
    </w:p>
    <w:p w:rsidR="003F48E4" w:rsidRDefault="003F48E4" w:rsidP="003F48E4">
      <w:pPr>
        <w:spacing w:before="100" w:beforeAutospacing="1" w:after="100" w:afterAutospacing="1"/>
        <w:outlineLvl w:val="2"/>
        <w:rPr>
          <w:rFonts w:ascii="Arial" w:hAnsi="Arial" w:cs="Arial"/>
          <w:b/>
          <w:bCs/>
          <w:sz w:val="20"/>
          <w:szCs w:val="20"/>
          <w:lang w:eastAsia="en-GB"/>
        </w:rPr>
      </w:pPr>
      <w:r>
        <w:rPr>
          <w:rFonts w:ascii="Arial" w:hAnsi="Arial" w:cs="Arial"/>
          <w:b/>
          <w:bCs/>
          <w:sz w:val="20"/>
          <w:szCs w:val="20"/>
          <w:lang w:eastAsia="en-GB"/>
        </w:rPr>
        <w:t>Aim and objectives:</w:t>
      </w:r>
      <w:r>
        <w:rPr>
          <w:rFonts w:ascii="Arial" w:hAnsi="Arial" w:cs="Arial"/>
          <w:b/>
          <w:bCs/>
          <w:sz w:val="20"/>
          <w:szCs w:val="20"/>
          <w:lang w:eastAsia="en-GB"/>
        </w:rPr>
        <w:t xml:space="preserve"> </w:t>
      </w:r>
      <w:r w:rsidRPr="003F48E4">
        <w:rPr>
          <w:rFonts w:ascii="Arial" w:hAnsi="Arial" w:cs="Arial"/>
          <w:bCs/>
          <w:sz w:val="20"/>
          <w:szCs w:val="20"/>
          <w:lang w:eastAsia="en-GB"/>
        </w:rPr>
        <w:t>as IMPACT project</w:t>
      </w:r>
    </w:p>
    <w:p w:rsidR="003F48E4" w:rsidRDefault="003F48E4" w:rsidP="003F48E4">
      <w:pPr>
        <w:jc w:val="center"/>
        <w:rPr>
          <w:rFonts w:ascii="Arial" w:hAnsi="Arial" w:cs="Arial"/>
          <w:sz w:val="20"/>
          <w:szCs w:val="20"/>
          <w:lang w:eastAsia="en-GB"/>
        </w:rPr>
      </w:pPr>
      <w:r>
        <w:rPr>
          <w:rFonts w:ascii="Arial" w:hAnsi="Arial" w:cs="Arial"/>
          <w:sz w:val="20"/>
          <w:szCs w:val="20"/>
          <w:lang w:eastAsia="en-GB"/>
        </w:rPr>
        <w:pict>
          <v:rect id="_x0000_i1026" style="width:451.3pt;height:1.5pt" o:hralign="center" o:hrstd="t" o:hrnoshade="t" o:hr="t" fillcolor="#2cafaa" stroked="f"/>
        </w:pict>
      </w:r>
    </w:p>
    <w:p w:rsidR="003F48E4" w:rsidRPr="003F48E4" w:rsidRDefault="003F48E4" w:rsidP="003F48E4">
      <w:pPr>
        <w:spacing w:before="100" w:beforeAutospacing="1" w:after="100" w:afterAutospacing="1"/>
        <w:outlineLvl w:val="2"/>
        <w:rPr>
          <w:rFonts w:ascii="Arial" w:hAnsi="Arial" w:cs="Arial"/>
          <w:bCs/>
          <w:sz w:val="20"/>
          <w:szCs w:val="20"/>
          <w:lang w:eastAsia="en-GB"/>
        </w:rPr>
      </w:pPr>
      <w:r>
        <w:rPr>
          <w:rFonts w:ascii="Arial" w:hAnsi="Arial" w:cs="Arial"/>
          <w:b/>
          <w:bCs/>
          <w:sz w:val="20"/>
          <w:szCs w:val="20"/>
          <w:lang w:eastAsia="en-GB"/>
        </w:rPr>
        <w:t xml:space="preserve">Context: </w:t>
      </w:r>
      <w:r>
        <w:rPr>
          <w:rFonts w:ascii="Arial" w:hAnsi="Arial" w:cs="Arial"/>
          <w:bCs/>
          <w:sz w:val="20"/>
          <w:szCs w:val="20"/>
          <w:lang w:eastAsia="en-GB"/>
        </w:rPr>
        <w:t>Please see submission on IMPACT (</w:t>
      </w:r>
      <w:r>
        <w:rPr>
          <w:rFonts w:ascii="Arial" w:hAnsi="Arial" w:cs="Arial"/>
          <w:b/>
          <w:bCs/>
          <w:sz w:val="20"/>
          <w:szCs w:val="20"/>
          <w:lang w:eastAsia="en-GB"/>
        </w:rPr>
        <w:t>I</w:t>
      </w:r>
      <w:r>
        <w:rPr>
          <w:rFonts w:ascii="Arial" w:hAnsi="Arial" w:cs="Arial"/>
          <w:bCs/>
          <w:sz w:val="20"/>
          <w:szCs w:val="20"/>
          <w:lang w:eastAsia="en-GB"/>
        </w:rPr>
        <w:t xml:space="preserve">ntegrated </w:t>
      </w:r>
      <w:r>
        <w:rPr>
          <w:rFonts w:ascii="Arial" w:hAnsi="Arial" w:cs="Arial"/>
          <w:b/>
          <w:bCs/>
          <w:sz w:val="20"/>
          <w:szCs w:val="20"/>
          <w:lang w:eastAsia="en-GB"/>
        </w:rPr>
        <w:t>M</w:t>
      </w:r>
      <w:r>
        <w:rPr>
          <w:rFonts w:ascii="Arial" w:hAnsi="Arial" w:cs="Arial"/>
          <w:bCs/>
          <w:sz w:val="20"/>
          <w:szCs w:val="20"/>
          <w:lang w:eastAsia="en-GB"/>
        </w:rPr>
        <w:t xml:space="preserve">edicines </w:t>
      </w:r>
      <w:proofErr w:type="spellStart"/>
      <w:r>
        <w:rPr>
          <w:rFonts w:ascii="Arial" w:hAnsi="Arial" w:cs="Arial"/>
          <w:bCs/>
          <w:sz w:val="20"/>
          <w:szCs w:val="20"/>
          <w:lang w:eastAsia="en-GB"/>
        </w:rPr>
        <w:t>o</w:t>
      </w:r>
      <w:r>
        <w:rPr>
          <w:rFonts w:ascii="Arial" w:hAnsi="Arial" w:cs="Arial"/>
          <w:b/>
          <w:bCs/>
          <w:sz w:val="20"/>
          <w:szCs w:val="20"/>
          <w:lang w:eastAsia="en-GB"/>
        </w:rPr>
        <w:t>P</w:t>
      </w:r>
      <w:r>
        <w:rPr>
          <w:rFonts w:ascii="Arial" w:hAnsi="Arial" w:cs="Arial"/>
          <w:bCs/>
          <w:sz w:val="20"/>
          <w:szCs w:val="20"/>
          <w:lang w:eastAsia="en-GB"/>
        </w:rPr>
        <w:t>timis</w:t>
      </w:r>
      <w:r>
        <w:rPr>
          <w:rFonts w:ascii="Arial" w:hAnsi="Arial" w:cs="Arial"/>
          <w:b/>
          <w:bCs/>
          <w:sz w:val="20"/>
          <w:szCs w:val="20"/>
          <w:lang w:eastAsia="en-GB"/>
        </w:rPr>
        <w:t>A</w:t>
      </w:r>
      <w:r>
        <w:rPr>
          <w:rFonts w:ascii="Arial" w:hAnsi="Arial" w:cs="Arial"/>
          <w:bCs/>
          <w:sz w:val="20"/>
          <w:szCs w:val="20"/>
          <w:lang w:eastAsia="en-GB"/>
        </w:rPr>
        <w:t>tion</w:t>
      </w:r>
      <w:proofErr w:type="spellEnd"/>
      <w:r>
        <w:rPr>
          <w:rFonts w:ascii="Arial" w:hAnsi="Arial" w:cs="Arial"/>
          <w:bCs/>
          <w:sz w:val="20"/>
          <w:szCs w:val="20"/>
          <w:lang w:eastAsia="en-GB"/>
        </w:rPr>
        <w:t xml:space="preserve"> on </w:t>
      </w:r>
      <w:r>
        <w:rPr>
          <w:rFonts w:ascii="Arial" w:hAnsi="Arial" w:cs="Arial"/>
          <w:b/>
          <w:bCs/>
          <w:sz w:val="20"/>
          <w:szCs w:val="20"/>
          <w:lang w:eastAsia="en-GB"/>
        </w:rPr>
        <w:t>C</w:t>
      </w:r>
      <w:r>
        <w:rPr>
          <w:rFonts w:ascii="Arial" w:hAnsi="Arial" w:cs="Arial"/>
          <w:bCs/>
          <w:sz w:val="20"/>
          <w:szCs w:val="20"/>
          <w:lang w:eastAsia="en-GB"/>
        </w:rPr>
        <w:t xml:space="preserve">are </w:t>
      </w:r>
      <w:r>
        <w:rPr>
          <w:rFonts w:ascii="Arial" w:hAnsi="Arial" w:cs="Arial"/>
          <w:b/>
          <w:bCs/>
          <w:sz w:val="20"/>
          <w:szCs w:val="20"/>
          <w:lang w:eastAsia="en-GB"/>
        </w:rPr>
        <w:t>T</w:t>
      </w:r>
      <w:r>
        <w:rPr>
          <w:rFonts w:ascii="Arial" w:hAnsi="Arial" w:cs="Arial"/>
          <w:bCs/>
          <w:sz w:val="20"/>
          <w:szCs w:val="20"/>
          <w:lang w:eastAsia="en-GB"/>
        </w:rPr>
        <w:t xml:space="preserve">ransfer) project. The COMET project was initiated to roll out the previously successful work completed on the older people’s admission wards at LTHT to all the older people's wards. The IMPACT project had initiated work to improve medicines-related education, follow up and medicines support for patients post-discharge from the older people’s admissions wards. This work had shown improvements in communication about medicines on discharge and a number of patients had been referred or sign-posted to healthcare professionals in primary care for </w:t>
      </w:r>
      <w:proofErr w:type="spellStart"/>
      <w:r>
        <w:rPr>
          <w:rFonts w:ascii="Arial" w:hAnsi="Arial" w:cs="Arial"/>
          <w:bCs/>
          <w:sz w:val="20"/>
          <w:szCs w:val="20"/>
          <w:lang w:eastAsia="en-GB"/>
        </w:rPr>
        <w:t>ongoing</w:t>
      </w:r>
      <w:proofErr w:type="spellEnd"/>
      <w:r>
        <w:rPr>
          <w:rFonts w:ascii="Arial" w:hAnsi="Arial" w:cs="Arial"/>
          <w:bCs/>
          <w:sz w:val="20"/>
          <w:szCs w:val="20"/>
          <w:lang w:eastAsia="en-GB"/>
        </w:rPr>
        <w:t xml:space="preserve"> support. A number of patients who could potentially benefit from this approach were lost to follow up from the IMPACT project as they were transferred to the longer-stay older people’s wards. Therefore, the COMET project aimed to provide the same service for all patients admitted to older people’s wards at LTHT. The analysis of the IMPACT project showed that the percentage of 30-day re-admissions to hospital was reduced from 22% for the non-project patients to 16% for project patients. Therefore, it was hoped that these results could be replicated across all the older people’s wards.  </w:t>
      </w:r>
    </w:p>
    <w:p w:rsidR="003F48E4" w:rsidRDefault="003F48E4" w:rsidP="003F48E4">
      <w:pPr>
        <w:jc w:val="center"/>
        <w:rPr>
          <w:rFonts w:ascii="Arial" w:hAnsi="Arial" w:cs="Arial"/>
          <w:sz w:val="20"/>
          <w:szCs w:val="20"/>
          <w:lang w:eastAsia="en-GB"/>
        </w:rPr>
      </w:pPr>
      <w:r>
        <w:rPr>
          <w:rFonts w:ascii="Arial" w:hAnsi="Arial" w:cs="Arial"/>
          <w:sz w:val="20"/>
          <w:szCs w:val="20"/>
          <w:lang w:eastAsia="en-GB"/>
        </w:rPr>
        <w:pict>
          <v:rect id="_x0000_i1027" style="width:451.3pt;height:1.5pt" o:hralign="center" o:hrstd="t" o:hrnoshade="t" o:hr="t" fillcolor="#2cafaa" stroked="f"/>
        </w:pict>
      </w:r>
    </w:p>
    <w:p w:rsidR="003F48E4" w:rsidRDefault="003F48E4" w:rsidP="003F48E4">
      <w:pPr>
        <w:spacing w:before="100" w:beforeAutospacing="1" w:after="100" w:afterAutospacing="1"/>
        <w:outlineLvl w:val="2"/>
        <w:rPr>
          <w:rFonts w:ascii="Arial" w:hAnsi="Arial" w:cs="Arial"/>
          <w:sz w:val="20"/>
          <w:szCs w:val="20"/>
          <w:lang w:eastAsia="en-GB"/>
        </w:rPr>
      </w:pPr>
      <w:r>
        <w:rPr>
          <w:rFonts w:ascii="Arial" w:hAnsi="Arial" w:cs="Arial"/>
          <w:b/>
          <w:bCs/>
          <w:sz w:val="20"/>
          <w:szCs w:val="20"/>
          <w:lang w:eastAsia="en-GB"/>
        </w:rPr>
        <w:t xml:space="preserve">Methods: </w:t>
      </w:r>
      <w:r w:rsidR="00537B1C" w:rsidRPr="00537B1C">
        <w:rPr>
          <w:rFonts w:ascii="Arial" w:hAnsi="Arial" w:cs="Arial"/>
          <w:bCs/>
          <w:sz w:val="20"/>
          <w:szCs w:val="20"/>
          <w:lang w:eastAsia="en-GB"/>
        </w:rPr>
        <w:t xml:space="preserve">As IMPACT project but instead of using LTHT pharmacy technicians, technicians </w:t>
      </w:r>
      <w:r w:rsidR="00537B1C">
        <w:rPr>
          <w:rFonts w:ascii="Arial" w:hAnsi="Arial" w:cs="Arial"/>
          <w:bCs/>
          <w:sz w:val="20"/>
          <w:szCs w:val="20"/>
          <w:lang w:eastAsia="en-GB"/>
        </w:rPr>
        <w:t xml:space="preserve">from </w:t>
      </w:r>
      <w:r w:rsidRPr="00537B1C">
        <w:rPr>
          <w:rFonts w:ascii="Arial" w:hAnsi="Arial" w:cs="Arial"/>
          <w:sz w:val="20"/>
          <w:szCs w:val="20"/>
          <w:lang w:eastAsia="en-GB"/>
        </w:rPr>
        <w:t>the</w:t>
      </w:r>
      <w:r>
        <w:rPr>
          <w:rFonts w:ascii="Arial" w:hAnsi="Arial" w:cs="Arial"/>
          <w:sz w:val="20"/>
          <w:szCs w:val="20"/>
          <w:lang w:eastAsia="en-GB"/>
        </w:rPr>
        <w:t xml:space="preserve"> Intermediate Tier Technician team at Leeds Communi</w:t>
      </w:r>
      <w:r w:rsidR="00537B1C">
        <w:rPr>
          <w:rFonts w:ascii="Arial" w:hAnsi="Arial" w:cs="Arial"/>
          <w:sz w:val="20"/>
          <w:szCs w:val="20"/>
          <w:lang w:eastAsia="en-GB"/>
        </w:rPr>
        <w:t xml:space="preserve">ty Healthcare Trust provided </w:t>
      </w:r>
      <w:r>
        <w:rPr>
          <w:rFonts w:ascii="Arial" w:hAnsi="Arial" w:cs="Arial"/>
          <w:sz w:val="20"/>
          <w:szCs w:val="20"/>
          <w:lang w:eastAsia="en-GB"/>
        </w:rPr>
        <w:t xml:space="preserve">telephone and domiciliary support, especially where medicines support needs were identified. </w:t>
      </w:r>
    </w:p>
    <w:p w:rsidR="003F48E4" w:rsidRDefault="003F48E4" w:rsidP="003F48E4">
      <w:pPr>
        <w:spacing w:before="100" w:beforeAutospacing="1" w:after="100" w:afterAutospacing="1"/>
        <w:outlineLvl w:val="2"/>
        <w:rPr>
          <w:rFonts w:ascii="Arial" w:hAnsi="Arial" w:cs="Arial"/>
          <w:b/>
          <w:bCs/>
          <w:sz w:val="20"/>
          <w:szCs w:val="20"/>
          <w:lang w:eastAsia="en-GB"/>
        </w:rPr>
      </w:pPr>
      <w:r>
        <w:rPr>
          <w:rFonts w:ascii="Arial" w:hAnsi="Arial" w:cs="Arial"/>
          <w:sz w:val="20"/>
          <w:szCs w:val="20"/>
          <w:lang w:eastAsia="en-GB"/>
        </w:rPr>
        <w:t>The project was funded by the Leeds Clinical Commissioning Groups for 5 months and £120,000 was used to fund locum staff to implement the project, to allow changes to skill-mix to be made, to measure performance and assess the project results and to make recommendations on how the project work could be continued after the initial work was completed. Key stakeholders were already supportive of the project from their involvement in the IMPACT project a</w:t>
      </w:r>
      <w:r w:rsidR="00537B1C">
        <w:rPr>
          <w:rFonts w:ascii="Arial" w:hAnsi="Arial" w:cs="Arial"/>
          <w:sz w:val="20"/>
          <w:szCs w:val="20"/>
          <w:lang w:eastAsia="en-GB"/>
        </w:rPr>
        <w:t xml:space="preserve">nd were updated on a quarterly </w:t>
      </w:r>
      <w:r>
        <w:rPr>
          <w:rFonts w:ascii="Arial" w:hAnsi="Arial" w:cs="Arial"/>
          <w:sz w:val="20"/>
          <w:szCs w:val="20"/>
          <w:lang w:eastAsia="en-GB"/>
        </w:rPr>
        <w:t>basis on progress.</w:t>
      </w:r>
    </w:p>
    <w:p w:rsidR="003F48E4" w:rsidRDefault="003F48E4" w:rsidP="003F48E4">
      <w:pPr>
        <w:jc w:val="center"/>
        <w:rPr>
          <w:rFonts w:ascii="Arial" w:hAnsi="Arial" w:cs="Arial"/>
          <w:sz w:val="20"/>
          <w:szCs w:val="20"/>
          <w:lang w:eastAsia="en-GB"/>
        </w:rPr>
      </w:pPr>
      <w:r>
        <w:rPr>
          <w:rFonts w:ascii="Arial" w:hAnsi="Arial" w:cs="Arial"/>
          <w:sz w:val="20"/>
          <w:szCs w:val="20"/>
          <w:lang w:eastAsia="en-GB"/>
        </w:rPr>
        <w:pict>
          <v:rect id="_x0000_i1028" style="width:451.3pt;height:1.5pt" o:hralign="center" o:hrstd="t" o:hrnoshade="t" o:hr="t" fillcolor="#2cafaa" stroked="f"/>
        </w:pict>
      </w:r>
    </w:p>
    <w:p w:rsidR="003F48E4" w:rsidRDefault="003F48E4" w:rsidP="003F48E4">
      <w:pPr>
        <w:jc w:val="both"/>
        <w:rPr>
          <w:rFonts w:ascii="Arial" w:hAnsi="Arial" w:cs="Arial"/>
          <w:b/>
          <w:bCs/>
          <w:sz w:val="20"/>
          <w:szCs w:val="20"/>
          <w:lang w:eastAsia="en-GB"/>
        </w:rPr>
      </w:pPr>
      <w:r>
        <w:rPr>
          <w:rFonts w:ascii="Arial" w:hAnsi="Arial" w:cs="Arial"/>
          <w:b/>
          <w:bCs/>
          <w:sz w:val="20"/>
          <w:szCs w:val="20"/>
          <w:lang w:eastAsia="en-GB"/>
        </w:rPr>
        <w:t xml:space="preserve">Results and evaluation: </w:t>
      </w:r>
    </w:p>
    <w:p w:rsidR="003F48E4" w:rsidRDefault="003F48E4" w:rsidP="003F48E4">
      <w:pPr>
        <w:rPr>
          <w:rFonts w:ascii="Arial" w:hAnsi="Arial" w:cs="Arial"/>
          <w:sz w:val="20"/>
          <w:szCs w:val="20"/>
          <w:lang w:eastAsia="en-GB"/>
        </w:rPr>
      </w:pPr>
      <w:r>
        <w:rPr>
          <w:rFonts w:ascii="Arial" w:hAnsi="Arial" w:cs="Arial"/>
          <w:sz w:val="20"/>
          <w:szCs w:val="20"/>
          <w:lang w:eastAsia="en-GB"/>
        </w:rPr>
        <w:t xml:space="preserve">Between November 2013 and March 2014, 261 patients were identified as being at high-risk of medicines-related problems post-discharge by pharmacists and pharmacy technicians. 201 patients (76%) were discharged with a medication management plan on their electronic discharge advice note. The remainder were lost to follow-up usually because they became more unwell or were discharged from other speciality areas e.g. Surgery. There were a total of 251 clinical actions and 67 medicines support actions documented on the medication management plans. Some patients had more than one action. All 38 COMET patients with a MMP who were re-admitted were reviewed. Three (8%) of these patients were identified as having a medicines-related problem contributing to their re-admission. </w:t>
      </w:r>
    </w:p>
    <w:p w:rsidR="003F48E4" w:rsidRDefault="003F48E4" w:rsidP="003F48E4">
      <w:pPr>
        <w:autoSpaceDE w:val="0"/>
        <w:autoSpaceDN w:val="0"/>
        <w:adjustRightInd w:val="0"/>
        <w:rPr>
          <w:rFonts w:ascii="Arial" w:eastAsia="Calibri" w:hAnsi="Arial" w:cs="Arial"/>
          <w:color w:val="000000"/>
          <w:sz w:val="20"/>
          <w:szCs w:val="20"/>
        </w:rPr>
      </w:pPr>
      <w:r>
        <w:rPr>
          <w:rFonts w:ascii="Arial" w:hAnsi="Arial" w:cs="Arial"/>
          <w:color w:val="000000"/>
          <w:sz w:val="20"/>
          <w:szCs w:val="20"/>
          <w:lang w:eastAsia="en-GB"/>
        </w:rPr>
        <w:t xml:space="preserve">Unfortunately, there was no statistically significant effect on 30-day re-admissions for the COMET project patients compared to non-project patients discharged from the older people’s wards. It is unclear why re-admissions in November were higher than usual for the COMET patients but this did not appear to be related to issues with medicines. Although the 30-day re-admission rate was not reduced, there were additional benefits from this project, including improved quality especially in relation to medicines optimisation, improved communication with the multidisciplinary team across the interface and identification of future work that could improve the medicines pathways for this patient </w:t>
      </w:r>
      <w:r>
        <w:rPr>
          <w:rFonts w:ascii="Arial" w:hAnsi="Arial" w:cs="Arial"/>
          <w:color w:val="000000"/>
          <w:sz w:val="20"/>
          <w:szCs w:val="20"/>
          <w:lang w:eastAsia="en-GB"/>
        </w:rPr>
        <w:lastRenderedPageBreak/>
        <w:t>cohort. This work was presented as a poster at the Guild of Healthcare Pharmacists and United Kingdom of Clinical Pharmacy Association 11th joint conference in May 2015.</w:t>
      </w:r>
    </w:p>
    <w:p w:rsidR="003F48E4" w:rsidRDefault="003F48E4" w:rsidP="003F48E4">
      <w:pPr>
        <w:jc w:val="both"/>
        <w:rPr>
          <w:rFonts w:ascii="Arial"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8"/>
        <w:gridCol w:w="849"/>
        <w:gridCol w:w="849"/>
        <w:gridCol w:w="849"/>
        <w:gridCol w:w="849"/>
        <w:gridCol w:w="878"/>
      </w:tblGrid>
      <w:tr w:rsidR="003F48E4" w:rsidTr="003F48E4">
        <w:tc>
          <w:tcPr>
            <w:tcW w:w="4198" w:type="dxa"/>
            <w:tcBorders>
              <w:top w:val="single" w:sz="4" w:space="0" w:color="auto"/>
              <w:left w:val="single" w:sz="4" w:space="0" w:color="auto"/>
              <w:bottom w:val="single" w:sz="4" w:space="0" w:color="auto"/>
              <w:right w:val="single" w:sz="4" w:space="0" w:color="auto"/>
            </w:tcBorders>
            <w:shd w:val="clear" w:color="auto" w:fill="BFBFBF"/>
          </w:tcPr>
          <w:p w:rsidR="003F48E4" w:rsidRDefault="003F48E4">
            <w:pPr>
              <w:rPr>
                <w:rFonts w:ascii="Calibri" w:eastAsia="Calibri" w:hAnsi="Calibri"/>
                <w:sz w:val="20"/>
                <w:szCs w:val="20"/>
              </w:rPr>
            </w:pPr>
          </w:p>
        </w:tc>
        <w:tc>
          <w:tcPr>
            <w:tcW w:w="849" w:type="dxa"/>
            <w:tcBorders>
              <w:top w:val="single" w:sz="4" w:space="0" w:color="auto"/>
              <w:left w:val="single" w:sz="4" w:space="0" w:color="auto"/>
              <w:bottom w:val="single" w:sz="4" w:space="0" w:color="auto"/>
              <w:right w:val="single" w:sz="4" w:space="0" w:color="auto"/>
            </w:tcBorders>
            <w:shd w:val="clear" w:color="auto" w:fill="BFBFBF"/>
            <w:hideMark/>
          </w:tcPr>
          <w:p w:rsidR="003F48E4" w:rsidRDefault="003F48E4">
            <w:pPr>
              <w:jc w:val="center"/>
              <w:rPr>
                <w:rFonts w:ascii="Arial" w:eastAsia="Calibri" w:hAnsi="Arial" w:cs="Arial"/>
                <w:b/>
                <w:sz w:val="18"/>
                <w:szCs w:val="18"/>
              </w:rPr>
            </w:pPr>
            <w:r>
              <w:rPr>
                <w:rFonts w:ascii="Arial" w:eastAsia="Calibri" w:hAnsi="Arial" w:cs="Arial"/>
                <w:b/>
                <w:sz w:val="18"/>
                <w:szCs w:val="18"/>
              </w:rPr>
              <w:t>Nov 13</w:t>
            </w:r>
          </w:p>
        </w:tc>
        <w:tc>
          <w:tcPr>
            <w:tcW w:w="849" w:type="dxa"/>
            <w:tcBorders>
              <w:top w:val="single" w:sz="4" w:space="0" w:color="auto"/>
              <w:left w:val="single" w:sz="4" w:space="0" w:color="auto"/>
              <w:bottom w:val="single" w:sz="4" w:space="0" w:color="auto"/>
              <w:right w:val="single" w:sz="4" w:space="0" w:color="auto"/>
            </w:tcBorders>
            <w:shd w:val="clear" w:color="auto" w:fill="BFBFBF"/>
            <w:hideMark/>
          </w:tcPr>
          <w:p w:rsidR="003F48E4" w:rsidRDefault="003F48E4">
            <w:pPr>
              <w:jc w:val="center"/>
              <w:rPr>
                <w:rFonts w:ascii="Arial" w:eastAsia="Calibri" w:hAnsi="Arial" w:cs="Arial"/>
                <w:b/>
                <w:sz w:val="18"/>
                <w:szCs w:val="18"/>
              </w:rPr>
            </w:pPr>
            <w:r>
              <w:rPr>
                <w:rFonts w:ascii="Arial" w:eastAsia="Calibri" w:hAnsi="Arial" w:cs="Arial"/>
                <w:b/>
                <w:sz w:val="18"/>
                <w:szCs w:val="18"/>
              </w:rPr>
              <w:t>Dec 13</w:t>
            </w:r>
          </w:p>
        </w:tc>
        <w:tc>
          <w:tcPr>
            <w:tcW w:w="849" w:type="dxa"/>
            <w:tcBorders>
              <w:top w:val="single" w:sz="4" w:space="0" w:color="auto"/>
              <w:left w:val="single" w:sz="4" w:space="0" w:color="auto"/>
              <w:bottom w:val="single" w:sz="4" w:space="0" w:color="auto"/>
              <w:right w:val="single" w:sz="4" w:space="0" w:color="auto"/>
            </w:tcBorders>
            <w:shd w:val="clear" w:color="auto" w:fill="BFBFBF"/>
            <w:hideMark/>
          </w:tcPr>
          <w:p w:rsidR="003F48E4" w:rsidRDefault="003F48E4">
            <w:pPr>
              <w:jc w:val="center"/>
              <w:rPr>
                <w:rFonts w:ascii="Arial" w:eastAsia="Calibri" w:hAnsi="Arial" w:cs="Arial"/>
                <w:b/>
                <w:sz w:val="18"/>
                <w:szCs w:val="18"/>
              </w:rPr>
            </w:pPr>
            <w:r>
              <w:rPr>
                <w:rFonts w:ascii="Arial" w:eastAsia="Calibri" w:hAnsi="Arial" w:cs="Arial"/>
                <w:b/>
                <w:sz w:val="18"/>
                <w:szCs w:val="18"/>
              </w:rPr>
              <w:t>Jan 14</w:t>
            </w:r>
          </w:p>
        </w:tc>
        <w:tc>
          <w:tcPr>
            <w:tcW w:w="849" w:type="dxa"/>
            <w:tcBorders>
              <w:top w:val="single" w:sz="4" w:space="0" w:color="auto"/>
              <w:left w:val="single" w:sz="4" w:space="0" w:color="auto"/>
              <w:bottom w:val="single" w:sz="4" w:space="0" w:color="auto"/>
              <w:right w:val="single" w:sz="4" w:space="0" w:color="auto"/>
            </w:tcBorders>
            <w:shd w:val="clear" w:color="auto" w:fill="BFBFBF"/>
            <w:hideMark/>
          </w:tcPr>
          <w:p w:rsidR="003F48E4" w:rsidRDefault="003F48E4">
            <w:pPr>
              <w:jc w:val="center"/>
              <w:rPr>
                <w:rFonts w:ascii="Arial" w:eastAsia="Calibri" w:hAnsi="Arial" w:cs="Arial"/>
                <w:b/>
                <w:sz w:val="18"/>
                <w:szCs w:val="18"/>
              </w:rPr>
            </w:pPr>
            <w:r>
              <w:rPr>
                <w:rFonts w:ascii="Arial" w:eastAsia="Calibri" w:hAnsi="Arial" w:cs="Arial"/>
                <w:b/>
                <w:sz w:val="18"/>
                <w:szCs w:val="18"/>
              </w:rPr>
              <w:t>Feb 14</w:t>
            </w:r>
          </w:p>
        </w:tc>
        <w:tc>
          <w:tcPr>
            <w:tcW w:w="878" w:type="dxa"/>
            <w:tcBorders>
              <w:top w:val="single" w:sz="4" w:space="0" w:color="auto"/>
              <w:left w:val="single" w:sz="4" w:space="0" w:color="auto"/>
              <w:bottom w:val="single" w:sz="4" w:space="0" w:color="auto"/>
              <w:right w:val="single" w:sz="4" w:space="0" w:color="auto"/>
            </w:tcBorders>
            <w:shd w:val="clear" w:color="auto" w:fill="BFBFBF"/>
            <w:hideMark/>
          </w:tcPr>
          <w:p w:rsidR="003F48E4" w:rsidRDefault="003F48E4">
            <w:pPr>
              <w:jc w:val="center"/>
              <w:rPr>
                <w:rFonts w:ascii="Arial" w:eastAsia="Calibri" w:hAnsi="Arial" w:cs="Arial"/>
                <w:b/>
                <w:sz w:val="18"/>
                <w:szCs w:val="18"/>
              </w:rPr>
            </w:pPr>
            <w:r>
              <w:rPr>
                <w:rFonts w:ascii="Arial" w:eastAsia="Calibri" w:hAnsi="Arial" w:cs="Arial"/>
                <w:b/>
                <w:sz w:val="18"/>
                <w:szCs w:val="18"/>
              </w:rPr>
              <w:t>Mar 14</w:t>
            </w:r>
          </w:p>
        </w:tc>
      </w:tr>
      <w:tr w:rsidR="003F48E4" w:rsidTr="003F48E4">
        <w:trPr>
          <w:trHeight w:val="328"/>
        </w:trPr>
        <w:tc>
          <w:tcPr>
            <w:tcW w:w="4198" w:type="dxa"/>
            <w:tcBorders>
              <w:top w:val="single" w:sz="4" w:space="0" w:color="auto"/>
              <w:left w:val="single" w:sz="4" w:space="0" w:color="auto"/>
              <w:bottom w:val="single" w:sz="4" w:space="0" w:color="auto"/>
              <w:right w:val="single" w:sz="4" w:space="0" w:color="auto"/>
            </w:tcBorders>
            <w:hideMark/>
          </w:tcPr>
          <w:p w:rsidR="003F48E4" w:rsidRDefault="003F48E4">
            <w:pPr>
              <w:rPr>
                <w:rFonts w:ascii="Arial" w:eastAsia="Calibri" w:hAnsi="Arial" w:cs="Arial"/>
                <w:sz w:val="18"/>
                <w:szCs w:val="18"/>
              </w:rPr>
            </w:pPr>
            <w:r>
              <w:rPr>
                <w:rFonts w:ascii="Arial" w:eastAsia="Calibri" w:hAnsi="Arial" w:cs="Arial"/>
                <w:sz w:val="18"/>
                <w:szCs w:val="18"/>
              </w:rPr>
              <w:t>Discharges Elderly Medicine</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600</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655</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728</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630</w:t>
            </w:r>
          </w:p>
        </w:tc>
        <w:tc>
          <w:tcPr>
            <w:tcW w:w="878"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623</w:t>
            </w:r>
          </w:p>
        </w:tc>
      </w:tr>
      <w:tr w:rsidR="003F48E4" w:rsidTr="003F48E4">
        <w:trPr>
          <w:trHeight w:val="278"/>
        </w:trPr>
        <w:tc>
          <w:tcPr>
            <w:tcW w:w="4198" w:type="dxa"/>
            <w:tcBorders>
              <w:top w:val="single" w:sz="4" w:space="0" w:color="auto"/>
              <w:left w:val="single" w:sz="4" w:space="0" w:color="auto"/>
              <w:bottom w:val="single" w:sz="4" w:space="0" w:color="auto"/>
              <w:right w:val="single" w:sz="4" w:space="0" w:color="auto"/>
            </w:tcBorders>
            <w:hideMark/>
          </w:tcPr>
          <w:p w:rsidR="003F48E4" w:rsidRDefault="003F48E4">
            <w:pPr>
              <w:rPr>
                <w:rFonts w:ascii="Arial" w:eastAsia="Calibri" w:hAnsi="Arial" w:cs="Arial"/>
                <w:sz w:val="18"/>
                <w:szCs w:val="18"/>
              </w:rPr>
            </w:pPr>
            <w:r>
              <w:rPr>
                <w:rFonts w:ascii="Arial" w:eastAsia="Calibri" w:hAnsi="Arial" w:cs="Arial"/>
                <w:sz w:val="18"/>
                <w:szCs w:val="18"/>
              </w:rPr>
              <w:t xml:space="preserve">Re-admissions </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123</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123</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140</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125</w:t>
            </w:r>
          </w:p>
        </w:tc>
        <w:tc>
          <w:tcPr>
            <w:tcW w:w="878"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114</w:t>
            </w:r>
          </w:p>
        </w:tc>
      </w:tr>
      <w:tr w:rsidR="003F48E4" w:rsidTr="003F48E4">
        <w:trPr>
          <w:trHeight w:val="269"/>
        </w:trPr>
        <w:tc>
          <w:tcPr>
            <w:tcW w:w="4198" w:type="dxa"/>
            <w:tcBorders>
              <w:top w:val="single" w:sz="4" w:space="0" w:color="auto"/>
              <w:left w:val="single" w:sz="4" w:space="0" w:color="auto"/>
              <w:bottom w:val="single" w:sz="4" w:space="0" w:color="auto"/>
              <w:right w:val="single" w:sz="4" w:space="0" w:color="auto"/>
            </w:tcBorders>
            <w:hideMark/>
          </w:tcPr>
          <w:p w:rsidR="003F48E4" w:rsidRDefault="003F48E4">
            <w:pPr>
              <w:rPr>
                <w:rFonts w:ascii="Arial" w:eastAsia="Calibri" w:hAnsi="Arial" w:cs="Arial"/>
                <w:b/>
                <w:sz w:val="18"/>
                <w:szCs w:val="18"/>
              </w:rPr>
            </w:pPr>
            <w:r>
              <w:rPr>
                <w:rFonts w:ascii="Arial" w:eastAsia="Calibri" w:hAnsi="Arial" w:cs="Arial"/>
                <w:b/>
                <w:sz w:val="18"/>
                <w:szCs w:val="18"/>
              </w:rPr>
              <w:t>% Re-admission rate for Elderly Medicine⃰</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sz w:val="18"/>
                <w:szCs w:val="18"/>
              </w:rPr>
            </w:pPr>
            <w:r>
              <w:rPr>
                <w:rFonts w:ascii="Arial" w:eastAsia="Calibri" w:hAnsi="Arial" w:cs="Arial"/>
                <w:b/>
                <w:sz w:val="18"/>
                <w:szCs w:val="18"/>
              </w:rPr>
              <w:t>20.5</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sz w:val="18"/>
                <w:szCs w:val="18"/>
              </w:rPr>
            </w:pPr>
            <w:r>
              <w:rPr>
                <w:rFonts w:ascii="Arial" w:eastAsia="Calibri" w:hAnsi="Arial" w:cs="Arial"/>
                <w:b/>
                <w:sz w:val="18"/>
                <w:szCs w:val="18"/>
              </w:rPr>
              <w:t>18.8</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sz w:val="18"/>
                <w:szCs w:val="18"/>
              </w:rPr>
            </w:pPr>
            <w:r>
              <w:rPr>
                <w:rFonts w:ascii="Arial" w:eastAsia="Calibri" w:hAnsi="Arial" w:cs="Arial"/>
                <w:b/>
                <w:sz w:val="18"/>
                <w:szCs w:val="18"/>
              </w:rPr>
              <w:t>19.2</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sz w:val="18"/>
                <w:szCs w:val="18"/>
              </w:rPr>
            </w:pPr>
            <w:r>
              <w:rPr>
                <w:rFonts w:ascii="Arial" w:eastAsia="Calibri" w:hAnsi="Arial" w:cs="Arial"/>
                <w:b/>
                <w:sz w:val="18"/>
                <w:szCs w:val="18"/>
              </w:rPr>
              <w:t>19.8</w:t>
            </w:r>
          </w:p>
        </w:tc>
        <w:tc>
          <w:tcPr>
            <w:tcW w:w="878"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sz w:val="18"/>
                <w:szCs w:val="18"/>
              </w:rPr>
            </w:pPr>
            <w:r>
              <w:rPr>
                <w:rFonts w:ascii="Arial" w:eastAsia="Calibri" w:hAnsi="Arial" w:cs="Arial"/>
                <w:b/>
                <w:sz w:val="18"/>
                <w:szCs w:val="18"/>
              </w:rPr>
              <w:t>18.3</w:t>
            </w:r>
          </w:p>
        </w:tc>
      </w:tr>
      <w:tr w:rsidR="003F48E4" w:rsidTr="003F48E4">
        <w:trPr>
          <w:trHeight w:val="272"/>
        </w:trPr>
        <w:tc>
          <w:tcPr>
            <w:tcW w:w="4198" w:type="dxa"/>
            <w:tcBorders>
              <w:top w:val="single" w:sz="4" w:space="0" w:color="auto"/>
              <w:left w:val="single" w:sz="4" w:space="0" w:color="auto"/>
              <w:bottom w:val="single" w:sz="4" w:space="0" w:color="auto"/>
              <w:right w:val="single" w:sz="4" w:space="0" w:color="auto"/>
            </w:tcBorders>
            <w:hideMark/>
          </w:tcPr>
          <w:p w:rsidR="003F48E4" w:rsidRDefault="003F48E4">
            <w:pPr>
              <w:rPr>
                <w:rFonts w:ascii="Arial" w:eastAsia="Calibri" w:hAnsi="Arial" w:cs="Arial"/>
                <w:b/>
                <w:color w:val="548DD4"/>
                <w:sz w:val="18"/>
                <w:szCs w:val="18"/>
              </w:rPr>
            </w:pPr>
            <w:r>
              <w:rPr>
                <w:rFonts w:ascii="Arial" w:eastAsia="Calibri" w:hAnsi="Arial" w:cs="Arial"/>
                <w:b/>
                <w:color w:val="548DD4"/>
                <w:sz w:val="18"/>
                <w:szCs w:val="18"/>
              </w:rPr>
              <w:t>Number of COMET patients with MMP</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color w:val="548DD4"/>
                <w:sz w:val="18"/>
                <w:szCs w:val="18"/>
              </w:rPr>
            </w:pPr>
            <w:r>
              <w:rPr>
                <w:rFonts w:ascii="Arial" w:eastAsia="Calibri" w:hAnsi="Arial" w:cs="Arial"/>
                <w:b/>
                <w:color w:val="548DD4"/>
                <w:sz w:val="18"/>
                <w:szCs w:val="18"/>
              </w:rPr>
              <w:t>39</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color w:val="548DD4"/>
                <w:sz w:val="18"/>
                <w:szCs w:val="18"/>
              </w:rPr>
            </w:pPr>
            <w:r>
              <w:rPr>
                <w:rFonts w:ascii="Arial" w:eastAsia="Calibri" w:hAnsi="Arial" w:cs="Arial"/>
                <w:b/>
                <w:color w:val="548DD4"/>
                <w:sz w:val="18"/>
                <w:szCs w:val="18"/>
              </w:rPr>
              <w:t>39</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color w:val="548DD4"/>
                <w:sz w:val="18"/>
                <w:szCs w:val="18"/>
              </w:rPr>
            </w:pPr>
            <w:r>
              <w:rPr>
                <w:rFonts w:ascii="Arial" w:eastAsia="Calibri" w:hAnsi="Arial" w:cs="Arial"/>
                <w:b/>
                <w:color w:val="548DD4"/>
                <w:sz w:val="18"/>
                <w:szCs w:val="18"/>
              </w:rPr>
              <w:t>41</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color w:val="548DD4"/>
                <w:sz w:val="18"/>
                <w:szCs w:val="18"/>
              </w:rPr>
            </w:pPr>
            <w:r>
              <w:rPr>
                <w:rFonts w:ascii="Arial" w:eastAsia="Calibri" w:hAnsi="Arial" w:cs="Arial"/>
                <w:b/>
                <w:color w:val="548DD4"/>
                <w:sz w:val="18"/>
                <w:szCs w:val="18"/>
              </w:rPr>
              <w:t>39</w:t>
            </w:r>
          </w:p>
        </w:tc>
        <w:tc>
          <w:tcPr>
            <w:tcW w:w="878"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color w:val="548DD4"/>
                <w:sz w:val="18"/>
                <w:szCs w:val="18"/>
              </w:rPr>
            </w:pPr>
            <w:r>
              <w:rPr>
                <w:rFonts w:ascii="Arial" w:eastAsia="Calibri" w:hAnsi="Arial" w:cs="Arial"/>
                <w:b/>
                <w:color w:val="548DD4"/>
                <w:sz w:val="18"/>
                <w:szCs w:val="18"/>
              </w:rPr>
              <w:t>43</w:t>
            </w:r>
          </w:p>
        </w:tc>
      </w:tr>
      <w:tr w:rsidR="003F48E4" w:rsidTr="003F48E4">
        <w:trPr>
          <w:trHeight w:val="277"/>
        </w:trPr>
        <w:tc>
          <w:tcPr>
            <w:tcW w:w="4198" w:type="dxa"/>
            <w:tcBorders>
              <w:top w:val="single" w:sz="4" w:space="0" w:color="auto"/>
              <w:left w:val="single" w:sz="4" w:space="0" w:color="auto"/>
              <w:bottom w:val="single" w:sz="4" w:space="0" w:color="auto"/>
              <w:right w:val="single" w:sz="4" w:space="0" w:color="auto"/>
            </w:tcBorders>
            <w:hideMark/>
          </w:tcPr>
          <w:p w:rsidR="003F48E4" w:rsidRDefault="003F48E4">
            <w:pPr>
              <w:rPr>
                <w:rFonts w:ascii="Arial" w:eastAsia="Calibri" w:hAnsi="Arial" w:cs="Arial"/>
                <w:sz w:val="18"/>
                <w:szCs w:val="18"/>
              </w:rPr>
            </w:pPr>
            <w:r>
              <w:rPr>
                <w:rFonts w:ascii="Arial" w:eastAsia="Calibri" w:hAnsi="Arial" w:cs="Arial"/>
                <w:sz w:val="18"/>
                <w:szCs w:val="18"/>
              </w:rPr>
              <w:t>COMET patients with MMP re-admitted⃰</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12</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6</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6</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6</w:t>
            </w:r>
          </w:p>
        </w:tc>
        <w:tc>
          <w:tcPr>
            <w:tcW w:w="878"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8</w:t>
            </w:r>
          </w:p>
        </w:tc>
      </w:tr>
      <w:tr w:rsidR="003F48E4" w:rsidTr="003F48E4">
        <w:trPr>
          <w:trHeight w:val="277"/>
        </w:trPr>
        <w:tc>
          <w:tcPr>
            <w:tcW w:w="4198" w:type="dxa"/>
            <w:tcBorders>
              <w:top w:val="single" w:sz="4" w:space="0" w:color="auto"/>
              <w:left w:val="single" w:sz="4" w:space="0" w:color="auto"/>
              <w:bottom w:val="single" w:sz="4" w:space="0" w:color="auto"/>
              <w:right w:val="single" w:sz="4" w:space="0" w:color="auto"/>
            </w:tcBorders>
            <w:hideMark/>
          </w:tcPr>
          <w:p w:rsidR="003F48E4" w:rsidRDefault="003F48E4">
            <w:pPr>
              <w:rPr>
                <w:rFonts w:ascii="Arial" w:eastAsia="Calibri" w:hAnsi="Arial" w:cs="Arial"/>
                <w:b/>
                <w:sz w:val="18"/>
                <w:szCs w:val="18"/>
              </w:rPr>
            </w:pPr>
            <w:r>
              <w:rPr>
                <w:rFonts w:ascii="Arial" w:eastAsia="Calibri" w:hAnsi="Arial" w:cs="Arial"/>
                <w:b/>
                <w:sz w:val="18"/>
                <w:szCs w:val="18"/>
              </w:rPr>
              <w:t>% COMET patients with MMP re-admitted⃰</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sz w:val="18"/>
                <w:szCs w:val="18"/>
              </w:rPr>
            </w:pPr>
            <w:r>
              <w:rPr>
                <w:rFonts w:ascii="Arial" w:eastAsia="Calibri" w:hAnsi="Arial" w:cs="Arial"/>
                <w:b/>
                <w:sz w:val="18"/>
                <w:szCs w:val="18"/>
              </w:rPr>
              <w:t>30.8</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sz w:val="18"/>
                <w:szCs w:val="18"/>
              </w:rPr>
            </w:pPr>
            <w:r>
              <w:rPr>
                <w:rFonts w:ascii="Arial" w:eastAsia="Calibri" w:hAnsi="Arial" w:cs="Arial"/>
                <w:b/>
                <w:sz w:val="18"/>
                <w:szCs w:val="18"/>
              </w:rPr>
              <w:t>15.4</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sz w:val="18"/>
                <w:szCs w:val="18"/>
              </w:rPr>
            </w:pPr>
            <w:r>
              <w:rPr>
                <w:rFonts w:ascii="Arial" w:eastAsia="Calibri" w:hAnsi="Arial" w:cs="Arial"/>
                <w:b/>
                <w:sz w:val="18"/>
                <w:szCs w:val="18"/>
              </w:rPr>
              <w:t>14.6</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sz w:val="18"/>
                <w:szCs w:val="18"/>
              </w:rPr>
            </w:pPr>
            <w:r>
              <w:rPr>
                <w:rFonts w:ascii="Arial" w:eastAsia="Calibri" w:hAnsi="Arial" w:cs="Arial"/>
                <w:b/>
                <w:sz w:val="18"/>
                <w:szCs w:val="18"/>
              </w:rPr>
              <w:t>15.4</w:t>
            </w:r>
          </w:p>
        </w:tc>
        <w:tc>
          <w:tcPr>
            <w:tcW w:w="878"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sz w:val="18"/>
                <w:szCs w:val="18"/>
              </w:rPr>
            </w:pPr>
            <w:r>
              <w:rPr>
                <w:rFonts w:ascii="Arial" w:eastAsia="Calibri" w:hAnsi="Arial" w:cs="Arial"/>
                <w:b/>
                <w:sz w:val="18"/>
                <w:szCs w:val="18"/>
              </w:rPr>
              <w:t>18.6</w:t>
            </w:r>
          </w:p>
        </w:tc>
      </w:tr>
      <w:tr w:rsidR="003F48E4" w:rsidTr="003F48E4">
        <w:trPr>
          <w:trHeight w:val="266"/>
        </w:trPr>
        <w:tc>
          <w:tcPr>
            <w:tcW w:w="4198" w:type="dxa"/>
            <w:tcBorders>
              <w:top w:val="single" w:sz="4" w:space="0" w:color="auto"/>
              <w:left w:val="single" w:sz="4" w:space="0" w:color="auto"/>
              <w:bottom w:val="single" w:sz="4" w:space="0" w:color="auto"/>
              <w:right w:val="single" w:sz="4" w:space="0" w:color="auto"/>
            </w:tcBorders>
            <w:hideMark/>
          </w:tcPr>
          <w:p w:rsidR="003F48E4" w:rsidRDefault="003F48E4">
            <w:pPr>
              <w:rPr>
                <w:rFonts w:ascii="Arial" w:eastAsia="Calibri" w:hAnsi="Arial" w:cs="Arial"/>
                <w:sz w:val="18"/>
                <w:szCs w:val="18"/>
              </w:rPr>
            </w:pPr>
            <w:r>
              <w:rPr>
                <w:rFonts w:ascii="Arial" w:eastAsia="Calibri" w:hAnsi="Arial" w:cs="Arial"/>
                <w:sz w:val="18"/>
                <w:szCs w:val="18"/>
              </w:rPr>
              <w:t>% Case reviews for COMET patients re-admitted⃰</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100</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100</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100</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100</w:t>
            </w:r>
          </w:p>
        </w:tc>
        <w:tc>
          <w:tcPr>
            <w:tcW w:w="878"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100</w:t>
            </w:r>
          </w:p>
        </w:tc>
      </w:tr>
      <w:tr w:rsidR="003F48E4" w:rsidTr="003F48E4">
        <w:trPr>
          <w:trHeight w:val="285"/>
        </w:trPr>
        <w:tc>
          <w:tcPr>
            <w:tcW w:w="4198" w:type="dxa"/>
            <w:tcBorders>
              <w:top w:val="single" w:sz="4" w:space="0" w:color="auto"/>
              <w:left w:val="single" w:sz="4" w:space="0" w:color="auto"/>
              <w:bottom w:val="single" w:sz="4" w:space="0" w:color="auto"/>
              <w:right w:val="single" w:sz="4" w:space="0" w:color="auto"/>
            </w:tcBorders>
            <w:hideMark/>
          </w:tcPr>
          <w:p w:rsidR="003F48E4" w:rsidRDefault="003F48E4">
            <w:pPr>
              <w:rPr>
                <w:rFonts w:ascii="Arial" w:eastAsia="Calibri" w:hAnsi="Arial" w:cs="Arial"/>
                <w:b/>
                <w:sz w:val="18"/>
                <w:szCs w:val="18"/>
              </w:rPr>
            </w:pPr>
            <w:r>
              <w:rPr>
                <w:rFonts w:ascii="Arial" w:eastAsia="Calibri" w:hAnsi="Arial" w:cs="Arial"/>
                <w:b/>
                <w:sz w:val="18"/>
                <w:szCs w:val="18"/>
              </w:rPr>
              <w:t>% COMET patients re-admitted⃰ related to medicines</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sz w:val="18"/>
                <w:szCs w:val="18"/>
              </w:rPr>
            </w:pPr>
            <w:r>
              <w:rPr>
                <w:rFonts w:ascii="Arial" w:eastAsia="Calibri" w:hAnsi="Arial" w:cs="Arial"/>
                <w:b/>
                <w:sz w:val="18"/>
                <w:szCs w:val="18"/>
              </w:rPr>
              <w:t>1</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sz w:val="18"/>
                <w:szCs w:val="18"/>
              </w:rPr>
            </w:pPr>
            <w:r>
              <w:rPr>
                <w:rFonts w:ascii="Arial" w:eastAsia="Calibri" w:hAnsi="Arial" w:cs="Arial"/>
                <w:b/>
                <w:sz w:val="18"/>
                <w:szCs w:val="18"/>
              </w:rPr>
              <w:t>0</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sz w:val="18"/>
                <w:szCs w:val="18"/>
              </w:rPr>
            </w:pPr>
            <w:r>
              <w:rPr>
                <w:rFonts w:ascii="Arial" w:eastAsia="Calibri" w:hAnsi="Arial" w:cs="Arial"/>
                <w:b/>
                <w:sz w:val="18"/>
                <w:szCs w:val="18"/>
              </w:rPr>
              <w:t>1</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sz w:val="18"/>
                <w:szCs w:val="18"/>
              </w:rPr>
            </w:pPr>
            <w:r>
              <w:rPr>
                <w:rFonts w:ascii="Arial" w:eastAsia="Calibri" w:hAnsi="Arial" w:cs="Arial"/>
                <w:b/>
                <w:sz w:val="18"/>
                <w:szCs w:val="18"/>
              </w:rPr>
              <w:t>1</w:t>
            </w:r>
          </w:p>
        </w:tc>
        <w:tc>
          <w:tcPr>
            <w:tcW w:w="878"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sz w:val="18"/>
                <w:szCs w:val="18"/>
              </w:rPr>
            </w:pPr>
            <w:r>
              <w:rPr>
                <w:rFonts w:ascii="Arial" w:eastAsia="Calibri" w:hAnsi="Arial" w:cs="Arial"/>
                <w:b/>
                <w:sz w:val="18"/>
                <w:szCs w:val="18"/>
              </w:rPr>
              <w:t>0</w:t>
            </w:r>
          </w:p>
        </w:tc>
      </w:tr>
      <w:tr w:rsidR="003F48E4" w:rsidTr="003F48E4">
        <w:trPr>
          <w:trHeight w:val="279"/>
        </w:trPr>
        <w:tc>
          <w:tcPr>
            <w:tcW w:w="4198" w:type="dxa"/>
            <w:tcBorders>
              <w:top w:val="single" w:sz="4" w:space="0" w:color="auto"/>
              <w:left w:val="single" w:sz="4" w:space="0" w:color="auto"/>
              <w:bottom w:val="single" w:sz="4" w:space="0" w:color="auto"/>
              <w:right w:val="single" w:sz="4" w:space="0" w:color="auto"/>
            </w:tcBorders>
            <w:hideMark/>
          </w:tcPr>
          <w:p w:rsidR="003F48E4" w:rsidRDefault="003F48E4">
            <w:pPr>
              <w:rPr>
                <w:rFonts w:ascii="Arial" w:eastAsia="Calibri" w:hAnsi="Arial" w:cs="Arial"/>
                <w:sz w:val="18"/>
                <w:szCs w:val="18"/>
              </w:rPr>
            </w:pPr>
            <w:r>
              <w:rPr>
                <w:rFonts w:ascii="Arial" w:eastAsia="Calibri" w:hAnsi="Arial" w:cs="Arial"/>
                <w:sz w:val="18"/>
                <w:szCs w:val="18"/>
              </w:rPr>
              <w:t>Number of patients reviewed as High Risk</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46</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44</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54</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60</w:t>
            </w:r>
          </w:p>
        </w:tc>
        <w:tc>
          <w:tcPr>
            <w:tcW w:w="878"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57</w:t>
            </w:r>
          </w:p>
        </w:tc>
      </w:tr>
      <w:tr w:rsidR="003F48E4" w:rsidTr="003F48E4">
        <w:trPr>
          <w:trHeight w:val="282"/>
        </w:trPr>
        <w:tc>
          <w:tcPr>
            <w:tcW w:w="4198" w:type="dxa"/>
            <w:tcBorders>
              <w:top w:val="single" w:sz="4" w:space="0" w:color="auto"/>
              <w:left w:val="single" w:sz="4" w:space="0" w:color="auto"/>
              <w:bottom w:val="single" w:sz="4" w:space="0" w:color="auto"/>
              <w:right w:val="single" w:sz="4" w:space="0" w:color="auto"/>
            </w:tcBorders>
            <w:hideMark/>
          </w:tcPr>
          <w:p w:rsidR="003F48E4" w:rsidRDefault="003F48E4">
            <w:pPr>
              <w:rPr>
                <w:rFonts w:ascii="Arial" w:eastAsia="Calibri" w:hAnsi="Arial" w:cs="Arial"/>
                <w:b/>
                <w:color w:val="00B0F0"/>
                <w:sz w:val="18"/>
                <w:szCs w:val="18"/>
              </w:rPr>
            </w:pPr>
            <w:r>
              <w:rPr>
                <w:rFonts w:ascii="Arial" w:eastAsia="Calibri" w:hAnsi="Arial" w:cs="Arial"/>
                <w:b/>
                <w:color w:val="548DD4"/>
                <w:sz w:val="18"/>
                <w:szCs w:val="18"/>
              </w:rPr>
              <w:t>Number of COMET patients with MMP</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color w:val="548DD4"/>
                <w:sz w:val="18"/>
                <w:szCs w:val="18"/>
              </w:rPr>
            </w:pPr>
            <w:r>
              <w:rPr>
                <w:rFonts w:ascii="Arial" w:eastAsia="Calibri" w:hAnsi="Arial" w:cs="Arial"/>
                <w:b/>
                <w:color w:val="548DD4"/>
                <w:sz w:val="18"/>
                <w:szCs w:val="18"/>
              </w:rPr>
              <w:t>39</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color w:val="548DD4"/>
                <w:sz w:val="18"/>
                <w:szCs w:val="18"/>
              </w:rPr>
            </w:pPr>
            <w:r>
              <w:rPr>
                <w:rFonts w:ascii="Arial" w:eastAsia="Calibri" w:hAnsi="Arial" w:cs="Arial"/>
                <w:b/>
                <w:color w:val="548DD4"/>
                <w:sz w:val="18"/>
                <w:szCs w:val="18"/>
              </w:rPr>
              <w:t>39</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color w:val="548DD4"/>
                <w:sz w:val="18"/>
                <w:szCs w:val="18"/>
              </w:rPr>
            </w:pPr>
            <w:r>
              <w:rPr>
                <w:rFonts w:ascii="Arial" w:eastAsia="Calibri" w:hAnsi="Arial" w:cs="Arial"/>
                <w:b/>
                <w:color w:val="548DD4"/>
                <w:sz w:val="18"/>
                <w:szCs w:val="18"/>
              </w:rPr>
              <w:t>41</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color w:val="548DD4"/>
                <w:sz w:val="18"/>
                <w:szCs w:val="18"/>
              </w:rPr>
            </w:pPr>
            <w:r>
              <w:rPr>
                <w:rFonts w:ascii="Arial" w:eastAsia="Calibri" w:hAnsi="Arial" w:cs="Arial"/>
                <w:b/>
                <w:color w:val="548DD4"/>
                <w:sz w:val="18"/>
                <w:szCs w:val="18"/>
              </w:rPr>
              <w:t>39</w:t>
            </w:r>
          </w:p>
        </w:tc>
        <w:tc>
          <w:tcPr>
            <w:tcW w:w="878"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b/>
                <w:color w:val="548DD4"/>
                <w:sz w:val="18"/>
                <w:szCs w:val="18"/>
              </w:rPr>
            </w:pPr>
            <w:r>
              <w:rPr>
                <w:rFonts w:ascii="Arial" w:eastAsia="Calibri" w:hAnsi="Arial" w:cs="Arial"/>
                <w:b/>
                <w:color w:val="548DD4"/>
                <w:sz w:val="18"/>
                <w:szCs w:val="18"/>
              </w:rPr>
              <w:t>43</w:t>
            </w:r>
          </w:p>
        </w:tc>
      </w:tr>
      <w:tr w:rsidR="003F48E4" w:rsidTr="003F48E4">
        <w:trPr>
          <w:trHeight w:val="259"/>
        </w:trPr>
        <w:tc>
          <w:tcPr>
            <w:tcW w:w="4198" w:type="dxa"/>
            <w:tcBorders>
              <w:top w:val="single" w:sz="4" w:space="0" w:color="auto"/>
              <w:left w:val="single" w:sz="4" w:space="0" w:color="auto"/>
              <w:bottom w:val="single" w:sz="4" w:space="0" w:color="auto"/>
              <w:right w:val="single" w:sz="4" w:space="0" w:color="auto"/>
            </w:tcBorders>
            <w:hideMark/>
          </w:tcPr>
          <w:p w:rsidR="003F48E4" w:rsidRDefault="003F48E4">
            <w:pPr>
              <w:rPr>
                <w:rFonts w:ascii="Arial" w:eastAsia="Calibri" w:hAnsi="Arial" w:cs="Arial"/>
                <w:sz w:val="18"/>
                <w:szCs w:val="18"/>
              </w:rPr>
            </w:pPr>
            <w:r>
              <w:rPr>
                <w:rFonts w:ascii="Arial" w:eastAsia="Calibri" w:hAnsi="Arial" w:cs="Arial"/>
                <w:sz w:val="18"/>
                <w:szCs w:val="18"/>
              </w:rPr>
              <w:t>Number of clinical actions</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49</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55</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43</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46</w:t>
            </w:r>
          </w:p>
        </w:tc>
        <w:tc>
          <w:tcPr>
            <w:tcW w:w="878"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58</w:t>
            </w:r>
          </w:p>
        </w:tc>
      </w:tr>
      <w:tr w:rsidR="003F48E4" w:rsidTr="003F48E4">
        <w:trPr>
          <w:trHeight w:val="276"/>
        </w:trPr>
        <w:tc>
          <w:tcPr>
            <w:tcW w:w="4198" w:type="dxa"/>
            <w:tcBorders>
              <w:top w:val="single" w:sz="4" w:space="0" w:color="auto"/>
              <w:left w:val="single" w:sz="4" w:space="0" w:color="auto"/>
              <w:bottom w:val="single" w:sz="4" w:space="0" w:color="auto"/>
              <w:right w:val="single" w:sz="4" w:space="0" w:color="auto"/>
            </w:tcBorders>
            <w:hideMark/>
          </w:tcPr>
          <w:p w:rsidR="003F48E4" w:rsidRDefault="003F48E4">
            <w:pPr>
              <w:rPr>
                <w:rFonts w:ascii="Arial" w:eastAsia="Calibri" w:hAnsi="Arial" w:cs="Arial"/>
                <w:sz w:val="18"/>
                <w:szCs w:val="18"/>
              </w:rPr>
            </w:pPr>
            <w:r>
              <w:rPr>
                <w:rFonts w:ascii="Arial" w:eastAsia="Calibri" w:hAnsi="Arial" w:cs="Arial"/>
                <w:sz w:val="18"/>
                <w:szCs w:val="18"/>
              </w:rPr>
              <w:t>Number of medicines support actions</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18</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12</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13</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10</w:t>
            </w:r>
          </w:p>
        </w:tc>
        <w:tc>
          <w:tcPr>
            <w:tcW w:w="878"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14</w:t>
            </w:r>
          </w:p>
        </w:tc>
      </w:tr>
      <w:tr w:rsidR="003F48E4" w:rsidTr="003F48E4">
        <w:trPr>
          <w:trHeight w:val="267"/>
        </w:trPr>
        <w:tc>
          <w:tcPr>
            <w:tcW w:w="4198" w:type="dxa"/>
            <w:tcBorders>
              <w:top w:val="single" w:sz="4" w:space="0" w:color="auto"/>
              <w:left w:val="single" w:sz="4" w:space="0" w:color="auto"/>
              <w:bottom w:val="single" w:sz="4" w:space="0" w:color="auto"/>
              <w:right w:val="single" w:sz="4" w:space="0" w:color="auto"/>
            </w:tcBorders>
            <w:hideMark/>
          </w:tcPr>
          <w:p w:rsidR="003F48E4" w:rsidRDefault="003F48E4">
            <w:pPr>
              <w:rPr>
                <w:rFonts w:ascii="Arial" w:eastAsia="Calibri" w:hAnsi="Arial" w:cs="Arial"/>
                <w:sz w:val="18"/>
                <w:szCs w:val="18"/>
              </w:rPr>
            </w:pPr>
            <w:r>
              <w:rPr>
                <w:rFonts w:ascii="Arial" w:eastAsia="Calibri" w:hAnsi="Arial" w:cs="Arial"/>
                <w:sz w:val="18"/>
                <w:szCs w:val="18"/>
              </w:rPr>
              <w:t>Number of referrals made to primary care healthcare professionals (not GP)</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6</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1</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5</w:t>
            </w:r>
          </w:p>
        </w:tc>
        <w:tc>
          <w:tcPr>
            <w:tcW w:w="849"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5</w:t>
            </w:r>
          </w:p>
        </w:tc>
        <w:tc>
          <w:tcPr>
            <w:tcW w:w="878" w:type="dxa"/>
            <w:tcBorders>
              <w:top w:val="single" w:sz="4" w:space="0" w:color="auto"/>
              <w:left w:val="single" w:sz="4" w:space="0" w:color="auto"/>
              <w:bottom w:val="single" w:sz="4" w:space="0" w:color="auto"/>
              <w:right w:val="single" w:sz="4" w:space="0" w:color="auto"/>
            </w:tcBorders>
            <w:hideMark/>
          </w:tcPr>
          <w:p w:rsidR="003F48E4" w:rsidRDefault="003F48E4">
            <w:pPr>
              <w:jc w:val="center"/>
              <w:rPr>
                <w:rFonts w:ascii="Arial" w:eastAsia="Calibri" w:hAnsi="Arial" w:cs="Arial"/>
                <w:sz w:val="18"/>
                <w:szCs w:val="18"/>
              </w:rPr>
            </w:pPr>
            <w:r>
              <w:rPr>
                <w:rFonts w:ascii="Arial" w:eastAsia="Calibri" w:hAnsi="Arial" w:cs="Arial"/>
                <w:sz w:val="18"/>
                <w:szCs w:val="18"/>
              </w:rPr>
              <w:t>7</w:t>
            </w:r>
          </w:p>
        </w:tc>
      </w:tr>
    </w:tbl>
    <w:p w:rsidR="003F48E4" w:rsidRDefault="003F48E4" w:rsidP="003F48E4">
      <w:pPr>
        <w:rPr>
          <w:rFonts w:ascii="Arial" w:eastAsia="Calibri" w:hAnsi="Arial"/>
          <w:sz w:val="18"/>
          <w:szCs w:val="18"/>
        </w:rPr>
      </w:pPr>
      <w:r>
        <w:rPr>
          <w:rFonts w:ascii="Arial" w:eastAsia="Calibri" w:hAnsi="Arial" w:cs="Arial"/>
          <w:sz w:val="22"/>
          <w:szCs w:val="22"/>
        </w:rPr>
        <w:t xml:space="preserve">⃰ </w:t>
      </w:r>
      <w:r>
        <w:rPr>
          <w:rFonts w:ascii="Arial" w:eastAsia="Calibri" w:hAnsi="Arial"/>
          <w:sz w:val="18"/>
          <w:szCs w:val="18"/>
        </w:rPr>
        <w:t>Re-admission figures relate to re-admissions within 30 days of initial discharge</w:t>
      </w:r>
    </w:p>
    <w:p w:rsidR="003F48E4" w:rsidRDefault="003F48E4" w:rsidP="003F48E4">
      <w:pPr>
        <w:rPr>
          <w:rFonts w:ascii="Arial" w:eastAsia="Calibri" w:hAnsi="Arial"/>
          <w:sz w:val="18"/>
          <w:szCs w:val="18"/>
        </w:rPr>
      </w:pPr>
    </w:p>
    <w:p w:rsidR="003F48E4" w:rsidRDefault="003F48E4" w:rsidP="003F48E4">
      <w:pPr>
        <w:spacing w:before="100" w:beforeAutospacing="1" w:after="100" w:afterAutospacing="1"/>
        <w:outlineLvl w:val="2"/>
        <w:rPr>
          <w:rFonts w:ascii="Arial" w:hAnsi="Arial" w:cs="Arial"/>
          <w:b/>
          <w:bCs/>
          <w:sz w:val="20"/>
          <w:szCs w:val="20"/>
          <w:lang w:eastAsia="en-GB"/>
        </w:rPr>
      </w:pPr>
    </w:p>
    <w:p w:rsidR="003F48E4" w:rsidRDefault="003F48E4" w:rsidP="003F48E4">
      <w:pPr>
        <w:jc w:val="center"/>
        <w:rPr>
          <w:rFonts w:ascii="Arial" w:hAnsi="Arial" w:cs="Arial"/>
          <w:sz w:val="20"/>
          <w:szCs w:val="20"/>
          <w:lang w:eastAsia="en-GB"/>
        </w:rPr>
      </w:pPr>
      <w:r>
        <w:rPr>
          <w:rFonts w:ascii="Arial" w:hAnsi="Arial" w:cs="Arial"/>
          <w:sz w:val="20"/>
          <w:szCs w:val="20"/>
          <w:lang w:eastAsia="en-GB"/>
        </w:rPr>
        <w:pict>
          <v:rect id="_x0000_i1029" style="width:451.3pt;height:1.5pt" o:hralign="center" o:hrstd="t" o:hrnoshade="t" o:hr="t" fillcolor="#2cafaa" stroked="f"/>
        </w:pict>
      </w:r>
    </w:p>
    <w:p w:rsidR="003F48E4" w:rsidRDefault="003F48E4" w:rsidP="003F48E4">
      <w:pPr>
        <w:spacing w:before="100" w:beforeAutospacing="1" w:after="100" w:afterAutospacing="1"/>
        <w:outlineLvl w:val="2"/>
        <w:rPr>
          <w:rFonts w:ascii="Arial" w:hAnsi="Arial" w:cs="Arial"/>
          <w:b/>
          <w:bCs/>
          <w:sz w:val="20"/>
          <w:szCs w:val="20"/>
          <w:lang w:eastAsia="en-GB"/>
        </w:rPr>
      </w:pPr>
      <w:r>
        <w:rPr>
          <w:rFonts w:ascii="Arial" w:hAnsi="Arial" w:cs="Arial"/>
          <w:b/>
          <w:bCs/>
          <w:sz w:val="20"/>
          <w:szCs w:val="20"/>
          <w:lang w:eastAsia="en-GB"/>
        </w:rPr>
        <w:t xml:space="preserve">Key learning points: </w:t>
      </w:r>
    </w:p>
    <w:p w:rsidR="003F48E4" w:rsidRDefault="003F48E4" w:rsidP="003F48E4">
      <w:pPr>
        <w:spacing w:before="100" w:beforeAutospacing="1" w:after="100" w:afterAutospacing="1"/>
        <w:outlineLvl w:val="2"/>
        <w:rPr>
          <w:rFonts w:ascii="Arial" w:hAnsi="Arial" w:cs="Arial"/>
          <w:bCs/>
          <w:sz w:val="20"/>
          <w:szCs w:val="20"/>
          <w:lang w:eastAsia="en-GB"/>
        </w:rPr>
      </w:pPr>
      <w:r>
        <w:rPr>
          <w:rFonts w:ascii="Arial" w:hAnsi="Arial" w:cs="Arial"/>
          <w:bCs/>
          <w:sz w:val="20"/>
          <w:szCs w:val="20"/>
          <w:lang w:eastAsia="en-GB"/>
        </w:rPr>
        <w:t>We were lucky to have key stakeholders in the city on board from the start due to their involvement with the previous IMPACT project. Stakeholders included the Leeds North CCG, Leeds South &amp; East CCG and Leeds West CCG, Leeds &amp; York Partnership Foundation Trust (Mental Health), Leeds Community Healthcare Trust and Community Pharmacy West Yorkshire. These organisations provided a wealth of experience and support for the project and enabled the benefits of the project to be shared widely across the city. We were also able to obtain pump-priming funding for the initiative. We regularly shared data on progress of the project and patient stories. The project and the previous IMPACT project highlighted a number of pathway issues which provided a platform for further collaboration and work on interface issues following the project’s completion. Part of the funding was used to employ locum pharmacists to backfill existing pharmacists to complete the project work. As the existing staff hadn’t been involved in the IMPACT project very much, this required work to engage them into this work. In the IMPACT project, LTHT used existing technicians to follow up patients post-discharge during the project. In this project, the work was then undertaken by technicians from Leeds Community Healthcare Trust. This was disappointing for the LTHT technicians involved who had really enjoyed the project work and who have subsequently moved into positions in primary care. We changed the skill mix on the older people’s admission areas to use band 3 staff to pull together resources e.g. medicin</w:t>
      </w:r>
      <w:r w:rsidR="00537B1C">
        <w:rPr>
          <w:rFonts w:ascii="Arial" w:hAnsi="Arial" w:cs="Arial"/>
          <w:bCs/>
          <w:sz w:val="20"/>
          <w:szCs w:val="20"/>
          <w:lang w:eastAsia="en-GB"/>
        </w:rPr>
        <w:t xml:space="preserve">es administration </w:t>
      </w:r>
      <w:bookmarkStart w:id="0" w:name="_GoBack"/>
      <w:bookmarkEnd w:id="0"/>
      <w:r>
        <w:rPr>
          <w:rFonts w:ascii="Arial" w:hAnsi="Arial" w:cs="Arial"/>
          <w:bCs/>
          <w:sz w:val="20"/>
          <w:szCs w:val="20"/>
          <w:lang w:eastAsia="en-GB"/>
        </w:rPr>
        <w:t xml:space="preserve">records, patients’ own medicines and summary care records in preparation for medication history taking by pharmacy technicians. This in turn freed up pharmacist time to improve the medicines-related communication on the discharge advice notes and to refer and sign-post patients to healthcare professionals in primary care.  </w:t>
      </w:r>
    </w:p>
    <w:p w:rsidR="003F48E4" w:rsidRDefault="003F48E4" w:rsidP="003F48E4">
      <w:pPr>
        <w:jc w:val="center"/>
        <w:rPr>
          <w:rFonts w:ascii="Arial" w:hAnsi="Arial" w:cs="Arial"/>
          <w:sz w:val="20"/>
          <w:szCs w:val="20"/>
          <w:lang w:eastAsia="en-GB"/>
        </w:rPr>
      </w:pPr>
      <w:r>
        <w:rPr>
          <w:rFonts w:ascii="Arial" w:hAnsi="Arial" w:cs="Arial"/>
          <w:sz w:val="20"/>
          <w:szCs w:val="20"/>
          <w:lang w:eastAsia="en-GB"/>
        </w:rPr>
        <w:pict>
          <v:rect id="_x0000_i1030" style="width:451.3pt;height:1.5pt" o:hralign="center" o:hrstd="t" o:hrnoshade="t" o:hr="t" fillcolor="#2cafaa" stroked="f"/>
        </w:pict>
      </w:r>
    </w:p>
    <w:p w:rsidR="003F48E4" w:rsidRDefault="003F48E4" w:rsidP="003F48E4">
      <w:pPr>
        <w:pStyle w:val="NICEnormal"/>
        <w:rPr>
          <w:lang w:val="en-GB"/>
        </w:rPr>
      </w:pPr>
    </w:p>
    <w:p w:rsidR="00DF5A90" w:rsidRDefault="00DF5A90"/>
    <w:sectPr w:rsidR="00DF5A9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8E4" w:rsidRDefault="003F48E4" w:rsidP="00AD632A">
      <w:r>
        <w:separator/>
      </w:r>
    </w:p>
  </w:endnote>
  <w:endnote w:type="continuationSeparator" w:id="0">
    <w:p w:rsidR="003F48E4" w:rsidRDefault="003F48E4"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2A" w:rsidRPr="00AD632A" w:rsidRDefault="00AD632A">
    <w:pPr>
      <w:pStyle w:val="Footer"/>
      <w:rPr>
        <w:sz w:val="16"/>
        <w:szCs w:val="16"/>
      </w:rPr>
    </w:pPr>
    <w:r w:rsidRPr="00AD632A">
      <w:rPr>
        <w:sz w:val="16"/>
        <w:szCs w:val="16"/>
      </w:rPr>
      <w:fldChar w:fldCharType="begin"/>
    </w:r>
    <w:r w:rsidRPr="00AD632A">
      <w:rPr>
        <w:sz w:val="16"/>
        <w:szCs w:val="16"/>
      </w:rPr>
      <w:instrText xml:space="preserve"> FILENAME  \p  \* MERGEFORMAT </w:instrText>
    </w:r>
    <w:r w:rsidRPr="00AD632A">
      <w:rPr>
        <w:sz w:val="16"/>
        <w:szCs w:val="16"/>
      </w:rPr>
      <w:fldChar w:fldCharType="separate"/>
    </w:r>
    <w:r w:rsidRPr="00AD632A">
      <w:rPr>
        <w:noProof/>
        <w:sz w:val="16"/>
        <w:szCs w:val="16"/>
      </w:rPr>
      <w:t>Document1</w:t>
    </w:r>
    <w:r w:rsidRPr="00AD632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8E4" w:rsidRDefault="003F48E4" w:rsidP="00AD632A">
      <w:r>
        <w:separator/>
      </w:r>
    </w:p>
  </w:footnote>
  <w:footnote w:type="continuationSeparator" w:id="0">
    <w:p w:rsidR="003F48E4" w:rsidRDefault="003F48E4"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3589C"/>
    <w:multiLevelType w:val="hybridMultilevel"/>
    <w:tmpl w:val="2736A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8E4"/>
    <w:rsid w:val="003F48E4"/>
    <w:rsid w:val="00523918"/>
    <w:rsid w:val="00537B1C"/>
    <w:rsid w:val="00AD632A"/>
    <w:rsid w:val="00BC6A2B"/>
    <w:rsid w:val="00D423E1"/>
    <w:rsid w:val="00DF5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8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customStyle="1" w:styleId="NICEnormal">
    <w:name w:val="NICE normal"/>
    <w:rsid w:val="003F48E4"/>
    <w:pPr>
      <w:spacing w:after="240" w:line="360" w:lineRule="auto"/>
    </w:pPr>
    <w:rPr>
      <w:rFonts w:ascii="Arial" w:eastAsia="Times New Roman" w:hAnsi="Arial"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8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customStyle="1" w:styleId="NICEnormal">
    <w:name w:val="NICE normal"/>
    <w:rsid w:val="003F48E4"/>
    <w:pPr>
      <w:spacing w:after="240" w:line="360" w:lineRule="auto"/>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75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Heather1 Smith</dc:creator>
  <cp:lastModifiedBy>Heather1 Smith</cp:lastModifiedBy>
  <cp:revision>2</cp:revision>
  <dcterms:created xsi:type="dcterms:W3CDTF">2015-07-24T09:07:00Z</dcterms:created>
  <dcterms:modified xsi:type="dcterms:W3CDTF">2015-07-24T09:14:00Z</dcterms:modified>
</cp:coreProperties>
</file>