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087B7" w14:textId="77777777" w:rsidR="00A5281E" w:rsidRDefault="00A5281E" w:rsidP="00A5281E">
      <w:pPr>
        <w:rPr>
          <w:sz w:val="24"/>
          <w:szCs w:val="24"/>
        </w:rPr>
      </w:pPr>
      <w:r>
        <w:rPr>
          <w:sz w:val="24"/>
          <w:szCs w:val="24"/>
        </w:rPr>
        <w:t>Appendix 1</w:t>
      </w:r>
    </w:p>
    <w:p w14:paraId="60131D78" w14:textId="77777777" w:rsidR="00A5281E" w:rsidRDefault="00A5281E" w:rsidP="00A5281E">
      <w:pPr>
        <w:spacing w:after="24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Cardiac Rehabilitation AF Patients Service Audit</w:t>
      </w:r>
    </w:p>
    <w:p w14:paraId="585E61F4" w14:textId="77777777" w:rsidR="00A5281E" w:rsidRDefault="00A5281E" w:rsidP="00A5281E">
      <w:pPr>
        <w:spacing w:after="0" w:line="240" w:lineRule="auto"/>
        <w:rPr>
          <w:rFonts w:ascii="Arial" w:eastAsia="Calibri" w:hAnsi="Arial" w:cs="Arial"/>
          <w:sz w:val="24"/>
          <w:szCs w:val="24"/>
        </w:rPr>
      </w:pPr>
      <w:r>
        <w:rPr>
          <w:rFonts w:ascii="Arial" w:eastAsia="Calibri" w:hAnsi="Arial" w:cs="Arial"/>
          <w:sz w:val="24"/>
          <w:szCs w:val="24"/>
        </w:rPr>
        <w:t>The data is drawn from the April 2018 - March 2019 database, though we only started sending AF tailored information packs out around June 2018</w:t>
      </w:r>
    </w:p>
    <w:p w14:paraId="37E0B3EB" w14:textId="77777777" w:rsidR="00A5281E" w:rsidRDefault="00A5281E" w:rsidP="00A5281E">
      <w:pPr>
        <w:spacing w:after="0" w:line="240" w:lineRule="auto"/>
        <w:rPr>
          <w:rFonts w:ascii="Arial" w:eastAsia="Calibri" w:hAnsi="Arial" w:cs="Arial"/>
          <w:sz w:val="24"/>
          <w:szCs w:val="24"/>
        </w:rPr>
      </w:pPr>
    </w:p>
    <w:p w14:paraId="426315E3" w14:textId="77777777" w:rsidR="00A5281E" w:rsidRDefault="00A5281E" w:rsidP="00A5281E">
      <w:pPr>
        <w:spacing w:after="0" w:line="240" w:lineRule="auto"/>
        <w:rPr>
          <w:rFonts w:ascii="Arial" w:eastAsia="Calibri" w:hAnsi="Arial" w:cs="Arial"/>
          <w:sz w:val="24"/>
          <w:szCs w:val="24"/>
        </w:rPr>
      </w:pPr>
      <w:r>
        <w:rPr>
          <w:rFonts w:ascii="Arial" w:eastAsia="Calibri" w:hAnsi="Arial" w:cs="Arial"/>
          <w:sz w:val="24"/>
          <w:szCs w:val="24"/>
        </w:rPr>
        <w:t>Total number of AF referrals = 334</w:t>
      </w:r>
    </w:p>
    <w:p w14:paraId="6E4B854C" w14:textId="77777777" w:rsidR="00A5281E" w:rsidRDefault="00A5281E" w:rsidP="00A5281E">
      <w:pPr>
        <w:spacing w:after="240" w:line="240" w:lineRule="auto"/>
        <w:rPr>
          <w:rFonts w:ascii="Arial" w:eastAsia="Times New Roman" w:hAnsi="Arial" w:cs="Arial"/>
          <w:bCs/>
          <w:sz w:val="20"/>
          <w:szCs w:val="20"/>
          <w:lang w:eastAsia="en-GB"/>
        </w:rPr>
      </w:pPr>
    </w:p>
    <w:p w14:paraId="62459AA9" w14:textId="77777777" w:rsidR="00A5281E" w:rsidRDefault="00A5281E" w:rsidP="00A5281E">
      <w:pPr>
        <w:spacing w:after="240" w:line="240" w:lineRule="auto"/>
        <w:rPr>
          <w:rFonts w:ascii="Arial" w:eastAsia="Times New Roman" w:hAnsi="Arial" w:cs="Arial"/>
          <w:bCs/>
          <w:sz w:val="20"/>
          <w:szCs w:val="20"/>
          <w:lang w:eastAsia="en-GB"/>
        </w:rPr>
      </w:pPr>
    </w:p>
    <w:p w14:paraId="234B2E85" w14:textId="77777777" w:rsidR="00A5281E" w:rsidRDefault="00A5281E" w:rsidP="00A5281E">
      <w:pPr>
        <w:spacing w:after="240" w:line="240" w:lineRule="auto"/>
        <w:rPr>
          <w:rFonts w:ascii="Arial" w:eastAsia="Times New Roman" w:hAnsi="Arial" w:cs="Arial"/>
          <w:bCs/>
          <w:sz w:val="20"/>
          <w:szCs w:val="20"/>
          <w:lang w:eastAsia="en-GB"/>
        </w:rPr>
      </w:pPr>
      <w:r>
        <w:rPr>
          <w:rFonts w:ascii="Arial" w:eastAsia="Times New Roman" w:hAnsi="Arial" w:cs="Times New Roman"/>
          <w:noProof/>
          <w:sz w:val="24"/>
          <w:szCs w:val="24"/>
          <w:lang w:eastAsia="en-GB"/>
        </w:rPr>
        <w:drawing>
          <wp:inline distT="0" distB="0" distL="0" distR="0" wp14:anchorId="483BD90F" wp14:editId="4166F99E">
            <wp:extent cx="5495925" cy="3257550"/>
            <wp:effectExtent l="0" t="0" r="9525" b="0"/>
            <wp:docPr id="4" name="Chart 4" descr="This pie chart shows that following attendance at a cardiac Rehabilitation Clinic that :&#10;11% of patients  followed a home programme&#10;32% self-managed post-clinic&#10;57% participated in an exercise programme&#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447817" w14:textId="77777777" w:rsidR="00A5281E" w:rsidRDefault="00A5281E" w:rsidP="00A5281E">
      <w:pPr>
        <w:spacing w:after="240" w:line="240" w:lineRule="auto"/>
        <w:rPr>
          <w:rFonts w:ascii="Arial" w:eastAsia="Times New Roman" w:hAnsi="Arial" w:cs="Arial"/>
          <w:bCs/>
          <w:sz w:val="20"/>
          <w:szCs w:val="20"/>
          <w:lang w:eastAsia="en-GB"/>
        </w:rPr>
      </w:pPr>
    </w:p>
    <w:p w14:paraId="5BBFC0AD" w14:textId="77777777" w:rsidR="00A5281E" w:rsidRDefault="00A5281E" w:rsidP="00A5281E">
      <w:pPr>
        <w:spacing w:after="240" w:line="240" w:lineRule="auto"/>
        <w:rPr>
          <w:rFonts w:ascii="Arial" w:eastAsia="Times New Roman" w:hAnsi="Arial" w:cs="Times New Roman"/>
          <w:sz w:val="24"/>
          <w:szCs w:val="24"/>
          <w:lang w:eastAsia="en-GB"/>
        </w:rPr>
      </w:pPr>
      <w:r>
        <w:rPr>
          <w:rFonts w:ascii="Arial" w:eastAsia="Times New Roman" w:hAnsi="Arial" w:cs="Times New Roman"/>
          <w:noProof/>
          <w:sz w:val="24"/>
          <w:szCs w:val="24"/>
          <w:lang w:eastAsia="en-GB"/>
        </w:rPr>
        <w:drawing>
          <wp:inline distT="0" distB="0" distL="0" distR="0" wp14:anchorId="7A120356" wp14:editId="5B518322">
            <wp:extent cx="4848225" cy="3048000"/>
            <wp:effectExtent l="0" t="0" r="9525" b="0"/>
            <wp:docPr id="2" name="Chart 2" descr="This pie chart shows that :&#10;67% of patients completed their exercise programme&#10;33%  of patients cancelled their exercise progamme&#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4FA122" w14:textId="77777777" w:rsidR="00A5281E" w:rsidRDefault="00A5281E" w:rsidP="00A5281E">
      <w:pPr>
        <w:rPr>
          <w:b/>
          <w:sz w:val="44"/>
          <w:szCs w:val="40"/>
        </w:rPr>
      </w:pPr>
    </w:p>
    <w:p w14:paraId="17E591F6" w14:textId="77777777" w:rsidR="00A5281E" w:rsidRDefault="00A5281E" w:rsidP="00A5281E">
      <w:pPr>
        <w:rPr>
          <w:b/>
          <w:sz w:val="44"/>
          <w:szCs w:val="40"/>
        </w:rPr>
      </w:pPr>
    </w:p>
    <w:p w14:paraId="5D1D4077" w14:textId="77777777" w:rsidR="00A5281E" w:rsidRDefault="00A5281E" w:rsidP="00A5281E">
      <w:pPr>
        <w:pStyle w:val="Paragraphnonumbers"/>
        <w:spacing w:line="240" w:lineRule="auto"/>
        <w:rPr>
          <w:rFonts w:cs="Arial"/>
          <w:bCs/>
          <w:sz w:val="20"/>
          <w:szCs w:val="20"/>
        </w:rPr>
      </w:pPr>
      <w:r>
        <w:rPr>
          <w:noProof/>
        </w:rPr>
        <w:drawing>
          <wp:inline distT="0" distB="0" distL="0" distR="0" wp14:anchorId="2C5C1B8B" wp14:editId="279C61DD">
            <wp:extent cx="5486400" cy="3867150"/>
            <wp:effectExtent l="0" t="0" r="0" b="0"/>
            <wp:docPr id="6" name="Chart 6" descr="This bar chart demonstrates how useful patients found their information packs:&#10;10% were unable to recall the information&#10;76% found the pack very useful&#10;11% found the pack satisfactory&#10;3% found that the pack was not helpful&#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3EF49D" w14:textId="77777777" w:rsidR="00A5281E" w:rsidRDefault="00A5281E" w:rsidP="00A5281E">
      <w:pPr>
        <w:pStyle w:val="Paragraphnonumbers"/>
        <w:spacing w:line="240" w:lineRule="auto"/>
        <w:rPr>
          <w:rFonts w:cs="Arial"/>
          <w:bCs/>
          <w:sz w:val="20"/>
          <w:szCs w:val="20"/>
        </w:rPr>
      </w:pPr>
    </w:p>
    <w:p w14:paraId="783B0DA3" w14:textId="77777777" w:rsidR="00A5281E" w:rsidRDefault="00A5281E" w:rsidP="00A5281E">
      <w:pPr>
        <w:pStyle w:val="Paragraphnonumbers"/>
        <w:spacing w:line="240" w:lineRule="auto"/>
        <w:rPr>
          <w:rFonts w:cs="Arial"/>
          <w:bCs/>
          <w:sz w:val="20"/>
          <w:szCs w:val="20"/>
        </w:rPr>
      </w:pPr>
    </w:p>
    <w:p w14:paraId="0C8727EB" w14:textId="77777777" w:rsidR="00A5281E" w:rsidRDefault="00A5281E" w:rsidP="00A5281E">
      <w:pPr>
        <w:pStyle w:val="Paragraphnonumbers"/>
        <w:spacing w:line="240" w:lineRule="auto"/>
        <w:rPr>
          <w:rFonts w:cs="Arial"/>
          <w:bCs/>
          <w:sz w:val="20"/>
          <w:szCs w:val="20"/>
        </w:rPr>
      </w:pPr>
    </w:p>
    <w:p w14:paraId="38132608" w14:textId="77777777" w:rsidR="00A5281E" w:rsidRDefault="00A5281E" w:rsidP="00A5281E">
      <w:pPr>
        <w:pStyle w:val="Paragraphnonumbers"/>
        <w:spacing w:line="240" w:lineRule="auto"/>
        <w:rPr>
          <w:rFonts w:cs="Arial"/>
          <w:bCs/>
          <w:sz w:val="20"/>
          <w:szCs w:val="20"/>
        </w:rPr>
      </w:pPr>
      <w:r>
        <w:rPr>
          <w:noProof/>
        </w:rPr>
        <w:lastRenderedPageBreak/>
        <w:drawing>
          <wp:inline distT="0" distB="0" distL="0" distR="0" wp14:anchorId="6F953BF9" wp14:editId="179928F1">
            <wp:extent cx="5486400" cy="3705225"/>
            <wp:effectExtent l="0" t="0" r="0" b="9525"/>
            <wp:docPr id="5" name="Chart 5" descr="This bar chart demonstrates uptake of the heart support group:&#10;85% had not attended&#10;15% had attended or still plan to attend&#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A6DB92" w14:textId="77777777" w:rsidR="00A5281E" w:rsidRDefault="00A5281E" w:rsidP="00A5281E">
      <w:pPr>
        <w:rPr>
          <w:b/>
          <w:sz w:val="44"/>
          <w:szCs w:val="40"/>
        </w:rPr>
      </w:pPr>
    </w:p>
    <w:p w14:paraId="094241A4" w14:textId="77777777" w:rsidR="00A5281E" w:rsidRDefault="00A5281E" w:rsidP="00A5281E">
      <w:pPr>
        <w:rPr>
          <w:sz w:val="24"/>
          <w:szCs w:val="24"/>
        </w:rPr>
      </w:pPr>
      <w:r>
        <w:rPr>
          <w:b/>
          <w:sz w:val="44"/>
          <w:szCs w:val="40"/>
        </w:rPr>
        <w:t xml:space="preserve">DO NOT WAIT      ANTICOAGULATE!   </w:t>
      </w:r>
      <w:r>
        <w:rPr>
          <w:sz w:val="24"/>
          <w:szCs w:val="24"/>
        </w:rPr>
        <w:t>Appendix 2 Anticoagulation poster</w:t>
      </w:r>
    </w:p>
    <w:p w14:paraId="4DDCDCA3" w14:textId="77777777" w:rsidR="00A5281E" w:rsidRDefault="00A5281E" w:rsidP="00A5281E">
      <w:r>
        <w:t>Does your patient have paroxysmal or persistent atrial fibrillation or flutter?</w:t>
      </w:r>
    </w:p>
    <w:p w14:paraId="2D092B90" w14:textId="77777777" w:rsidR="00A5281E" w:rsidRDefault="00A5281E" w:rsidP="00A5281E">
      <w:r>
        <w:t>Have they been assessed for anticoagulation?</w:t>
      </w:r>
    </w:p>
    <w:p w14:paraId="53D8FEB1" w14:textId="77777777" w:rsidR="00A5281E" w:rsidRDefault="00A5281E" w:rsidP="00A5281E">
      <w:proofErr w:type="spellStart"/>
      <w:r>
        <w:t>Asprin</w:t>
      </w:r>
      <w:proofErr w:type="spellEnd"/>
      <w:r>
        <w:t xml:space="preserve"> monotherapy is not recommended for the management of AF.</w:t>
      </w:r>
    </w:p>
    <w:p w14:paraId="46AF9BCD" w14:textId="77777777" w:rsidR="00A5281E" w:rsidRDefault="00A5281E" w:rsidP="00A5281E">
      <w:r>
        <w:t>These rhythms are associated with strokes of significantly higher morbidity and mortality than non-AF related strokes.</w:t>
      </w:r>
    </w:p>
    <w:p w14:paraId="59F8D698" w14:textId="77777777" w:rsidR="00A5281E" w:rsidRDefault="00A5281E" w:rsidP="00A5281E">
      <w:r>
        <w:t xml:space="preserve">Assess the stroke risk using the </w:t>
      </w:r>
      <w:proofErr w:type="spellStart"/>
      <w:r>
        <w:t>CHADSVASc</w:t>
      </w:r>
      <w:proofErr w:type="spellEnd"/>
      <w:r>
        <w:t xml:space="preserve"> scoring system (online medical guidelines).</w:t>
      </w:r>
    </w:p>
    <w:p w14:paraId="3A4D7E3B" w14:textId="77777777" w:rsidR="00A5281E" w:rsidRDefault="00A5281E" w:rsidP="00A5281E">
      <w:pPr>
        <w:autoSpaceDE w:val="0"/>
        <w:autoSpaceDN w:val="0"/>
        <w:adjustRightInd w:val="0"/>
        <w:spacing w:after="0" w:line="240" w:lineRule="auto"/>
        <w:rPr>
          <w:rFonts w:ascii="Calibri" w:hAnsi="Calibri" w:cs="Calibri"/>
          <w:color w:val="000000"/>
        </w:rPr>
      </w:pPr>
      <w:r>
        <w:t xml:space="preserve"> </w:t>
      </w:r>
      <w:r>
        <w:rPr>
          <w:rFonts w:ascii="Arial" w:hAnsi="Arial" w:cs="Arial"/>
          <w:color w:val="000000"/>
        </w:rPr>
        <w:t>•</w:t>
      </w:r>
      <w:r>
        <w:rPr>
          <w:rFonts w:ascii="Calibri" w:hAnsi="Calibri" w:cs="Calibri"/>
          <w:color w:val="000000"/>
        </w:rPr>
        <w:t xml:space="preserve">If </w:t>
      </w:r>
      <w:r>
        <w:rPr>
          <w:rFonts w:ascii="Calibri" w:hAnsi="Calibri" w:cs="Calibri"/>
          <w:b/>
          <w:bCs/>
          <w:color w:val="000000"/>
        </w:rPr>
        <w:t>CHA</w:t>
      </w:r>
      <w:r>
        <w:rPr>
          <w:rFonts w:ascii="Calibri" w:hAnsi="Calibri" w:cs="Calibri"/>
          <w:b/>
          <w:bCs/>
          <w:color w:val="000000"/>
          <w:sz w:val="14"/>
          <w:szCs w:val="14"/>
        </w:rPr>
        <w:t>2</w:t>
      </w:r>
      <w:r>
        <w:rPr>
          <w:rFonts w:ascii="Calibri" w:hAnsi="Calibri" w:cs="Calibri"/>
          <w:b/>
          <w:bCs/>
          <w:color w:val="000000"/>
        </w:rPr>
        <w:t>DS</w:t>
      </w:r>
      <w:r>
        <w:rPr>
          <w:rFonts w:ascii="Calibri" w:hAnsi="Calibri" w:cs="Calibri"/>
          <w:b/>
          <w:bCs/>
          <w:color w:val="000000"/>
          <w:sz w:val="14"/>
          <w:szCs w:val="14"/>
        </w:rPr>
        <w:t>2</w:t>
      </w:r>
      <w:r>
        <w:rPr>
          <w:rFonts w:ascii="Calibri" w:hAnsi="Calibri" w:cs="Calibri"/>
          <w:b/>
          <w:bCs/>
          <w:color w:val="000000"/>
        </w:rPr>
        <w:t xml:space="preserve">VASc = 1 consider </w:t>
      </w:r>
      <w:r>
        <w:rPr>
          <w:rFonts w:ascii="Calibri" w:hAnsi="Calibri" w:cs="Calibri"/>
          <w:color w:val="000000"/>
        </w:rPr>
        <w:t>anticoagulation (excluding 1 for female sex alone).</w:t>
      </w:r>
    </w:p>
    <w:p w14:paraId="49F05E52" w14:textId="77777777" w:rsidR="00A5281E" w:rsidRDefault="00A5281E" w:rsidP="00A5281E">
      <w:pPr>
        <w:pStyle w:val="Default"/>
        <w:rPr>
          <w:rFonts w:ascii="Arial" w:hAnsi="Arial" w:cs="Arial"/>
        </w:rPr>
      </w:pPr>
    </w:p>
    <w:p w14:paraId="255F552B" w14:textId="77777777" w:rsidR="00A5281E" w:rsidRDefault="00A5281E" w:rsidP="00A5281E">
      <w:pPr>
        <w:autoSpaceDE w:val="0"/>
        <w:autoSpaceDN w:val="0"/>
        <w:adjustRightInd w:val="0"/>
        <w:spacing w:after="5" w:line="240" w:lineRule="auto"/>
        <w:rPr>
          <w:rFonts w:ascii="Calibri" w:hAnsi="Calibri" w:cs="Calibri"/>
          <w:color w:val="000000"/>
        </w:rPr>
      </w:pPr>
      <w:r>
        <w:rPr>
          <w:rFonts w:ascii="Arial" w:hAnsi="Arial" w:cs="Arial"/>
          <w:color w:val="000000"/>
        </w:rPr>
        <w:t>•</w:t>
      </w:r>
      <w:r>
        <w:rPr>
          <w:rFonts w:ascii="Calibri" w:hAnsi="Calibri" w:cs="Calibri"/>
          <w:color w:val="000000"/>
        </w:rPr>
        <w:t xml:space="preserve">If </w:t>
      </w:r>
      <w:r>
        <w:rPr>
          <w:rFonts w:ascii="Calibri" w:hAnsi="Calibri" w:cs="Calibri"/>
          <w:b/>
          <w:bCs/>
          <w:color w:val="000000"/>
        </w:rPr>
        <w:t>CHA</w:t>
      </w:r>
      <w:r>
        <w:rPr>
          <w:rFonts w:ascii="Calibri" w:hAnsi="Calibri" w:cs="Calibri"/>
          <w:b/>
          <w:bCs/>
          <w:color w:val="000000"/>
          <w:sz w:val="14"/>
          <w:szCs w:val="14"/>
        </w:rPr>
        <w:t>2</w:t>
      </w:r>
      <w:r>
        <w:rPr>
          <w:rFonts w:ascii="Calibri" w:hAnsi="Calibri" w:cs="Calibri"/>
          <w:b/>
          <w:bCs/>
          <w:color w:val="000000"/>
        </w:rPr>
        <w:t>DS</w:t>
      </w:r>
      <w:r>
        <w:rPr>
          <w:rFonts w:ascii="Calibri" w:hAnsi="Calibri" w:cs="Calibri"/>
          <w:b/>
          <w:bCs/>
          <w:color w:val="000000"/>
          <w:sz w:val="14"/>
          <w:szCs w:val="14"/>
        </w:rPr>
        <w:t>2</w:t>
      </w:r>
      <w:r>
        <w:rPr>
          <w:rFonts w:ascii="Calibri" w:hAnsi="Calibri" w:cs="Calibri"/>
          <w:b/>
          <w:bCs/>
          <w:color w:val="000000"/>
        </w:rPr>
        <w:t xml:space="preserve">VASc ≥ 2 offer </w:t>
      </w:r>
      <w:r>
        <w:rPr>
          <w:rFonts w:ascii="Calibri" w:hAnsi="Calibri" w:cs="Calibri"/>
          <w:color w:val="000000"/>
        </w:rPr>
        <w:t>anticoagulation.</w:t>
      </w:r>
    </w:p>
    <w:p w14:paraId="5553233E" w14:textId="77777777" w:rsidR="00A5281E" w:rsidRDefault="00A5281E" w:rsidP="00A5281E">
      <w:pPr>
        <w:autoSpaceDE w:val="0"/>
        <w:autoSpaceDN w:val="0"/>
        <w:adjustRightInd w:val="0"/>
        <w:spacing w:after="0" w:line="240" w:lineRule="auto"/>
        <w:rPr>
          <w:rFonts w:ascii="Calibri" w:hAnsi="Calibri" w:cs="Calibri"/>
          <w:color w:val="000000"/>
        </w:rPr>
      </w:pPr>
    </w:p>
    <w:p w14:paraId="717BEC72" w14:textId="77777777" w:rsidR="00A5281E" w:rsidRDefault="00A5281E" w:rsidP="00A5281E">
      <w:pPr>
        <w:autoSpaceDE w:val="0"/>
        <w:autoSpaceDN w:val="0"/>
        <w:adjustRightInd w:val="0"/>
        <w:spacing w:after="0" w:line="240" w:lineRule="auto"/>
        <w:rPr>
          <w:rFonts w:ascii="Calibri" w:hAnsi="Calibri" w:cs="Calibri"/>
          <w:color w:val="000000"/>
          <w:sz w:val="19"/>
          <w:szCs w:val="19"/>
        </w:rPr>
      </w:pPr>
      <w:r>
        <w:rPr>
          <w:rFonts w:ascii="Calibri" w:hAnsi="Calibri" w:cs="Calibri"/>
          <w:color w:val="000000"/>
          <w:sz w:val="19"/>
          <w:szCs w:val="19"/>
        </w:rPr>
        <w:t>We use '</w:t>
      </w:r>
      <w:r>
        <w:rPr>
          <w:rFonts w:ascii="Calibri" w:hAnsi="Calibri" w:cs="Calibri"/>
          <w:b/>
          <w:color w:val="000000"/>
          <w:sz w:val="19"/>
          <w:szCs w:val="19"/>
        </w:rPr>
        <w:t>consider</w:t>
      </w:r>
      <w:r>
        <w:rPr>
          <w:rFonts w:ascii="Calibri" w:hAnsi="Calibri" w:cs="Calibri"/>
          <w:color w:val="000000"/>
          <w:sz w:val="19"/>
          <w:szCs w:val="19"/>
        </w:rPr>
        <w:t xml:space="preserve">' </w:t>
      </w:r>
      <w:proofErr w:type="gramStart"/>
      <w:r>
        <w:rPr>
          <w:rFonts w:ascii="Calibri" w:hAnsi="Calibri" w:cs="Calibri"/>
          <w:color w:val="000000"/>
          <w:sz w:val="19"/>
          <w:szCs w:val="19"/>
        </w:rPr>
        <w:t>to reflect</w:t>
      </w:r>
      <w:proofErr w:type="gramEnd"/>
      <w:r>
        <w:rPr>
          <w:rFonts w:ascii="Calibri" w:hAnsi="Calibri" w:cs="Calibri"/>
          <w:color w:val="000000"/>
          <w:sz w:val="19"/>
          <w:szCs w:val="19"/>
        </w:rPr>
        <w:t xml:space="preserve"> a recommendation for which the evidence of benefit is less certain. We use '</w:t>
      </w:r>
      <w:r>
        <w:rPr>
          <w:rFonts w:ascii="Calibri" w:hAnsi="Calibri" w:cs="Calibri"/>
          <w:b/>
          <w:color w:val="000000"/>
          <w:sz w:val="19"/>
          <w:szCs w:val="19"/>
        </w:rPr>
        <w:t>offer</w:t>
      </w:r>
      <w:r>
        <w:rPr>
          <w:rFonts w:ascii="Calibri" w:hAnsi="Calibri" w:cs="Calibri"/>
          <w:color w:val="000000"/>
          <w:sz w:val="19"/>
          <w:szCs w:val="19"/>
        </w:rPr>
        <w:t>' to reflect a strong recommendation where there is clear evidence of benefit (NICE).</w:t>
      </w:r>
    </w:p>
    <w:p w14:paraId="3A2AB2F9" w14:textId="77777777" w:rsidR="00A5281E" w:rsidRDefault="00A5281E" w:rsidP="00A5281E">
      <w:pPr>
        <w:autoSpaceDE w:val="0"/>
        <w:autoSpaceDN w:val="0"/>
        <w:adjustRightInd w:val="0"/>
        <w:spacing w:after="0" w:line="240" w:lineRule="auto"/>
      </w:pPr>
    </w:p>
    <w:p w14:paraId="1320C11E" w14:textId="77777777" w:rsidR="00A5281E" w:rsidRDefault="00A5281E" w:rsidP="00A5281E">
      <w:r>
        <w:t>Assess the bleeding risk using the HASBLED scoring system (online medical guidelines).</w:t>
      </w:r>
    </w:p>
    <w:p w14:paraId="6A9D5A63" w14:textId="77777777" w:rsidR="00A5281E" w:rsidRDefault="00A5281E" w:rsidP="00A5281E">
      <w:pPr>
        <w:rPr>
          <w:b/>
        </w:rPr>
      </w:pPr>
      <w:r>
        <w:t xml:space="preserve">Document your findings. </w:t>
      </w:r>
      <w:r>
        <w:rPr>
          <w:b/>
        </w:rPr>
        <w:t xml:space="preserve">If you do not </w:t>
      </w:r>
      <w:proofErr w:type="spellStart"/>
      <w:r>
        <w:rPr>
          <w:b/>
        </w:rPr>
        <w:t>anticoagulate</w:t>
      </w:r>
      <w:proofErr w:type="spellEnd"/>
      <w:r>
        <w:rPr>
          <w:b/>
        </w:rPr>
        <w:t>, document the reason.</w:t>
      </w:r>
    </w:p>
    <w:p w14:paraId="31A1748A" w14:textId="77777777" w:rsidR="00A5281E" w:rsidRDefault="00A5281E" w:rsidP="00A5281E">
      <w:r>
        <w:lastRenderedPageBreak/>
        <w:t>If you need advice contact Staffordshire Thrombosis and Anticoagulation Centre (STAC) on ****** OR STAC Registrar, pager 15458 or stroke AF team on ****** or arrhythmia nurse team on ******.</w:t>
      </w:r>
    </w:p>
    <w:p w14:paraId="1A008D2E" w14:textId="77777777" w:rsidR="00A5281E" w:rsidRDefault="00A5281E" w:rsidP="00A5281E">
      <w:pPr>
        <w:pStyle w:val="Default"/>
        <w:ind w:left="5760"/>
        <w:rPr>
          <w:b/>
          <w:bCs/>
        </w:rPr>
      </w:pPr>
      <w:bookmarkStart w:id="0" w:name="_GoBack"/>
      <w:r>
        <w:rPr>
          <w:noProof/>
        </w:rPr>
        <w:drawing>
          <wp:inline distT="0" distB="0" distL="0" distR="0" wp14:anchorId="3E729152" wp14:editId="377DEC66">
            <wp:extent cx="3629025" cy="4133850"/>
            <wp:effectExtent l="0" t="0" r="9525" b="0"/>
            <wp:docPr id="1" name="Picture 1" descr="This  picture shows a person (from head to chest) and demonstrates how a blood clot can cause a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9025" cy="4133850"/>
                    </a:xfrm>
                    <a:prstGeom prst="rect">
                      <a:avLst/>
                    </a:prstGeom>
                    <a:noFill/>
                  </pic:spPr>
                </pic:pic>
              </a:graphicData>
            </a:graphic>
          </wp:inline>
        </w:drawing>
      </w:r>
      <w:bookmarkEnd w:id="0"/>
      <w:r>
        <w:rPr>
          <w:b/>
          <w:bCs/>
        </w:rPr>
        <w:t>Despite receiving only 15% of the cardiac output, the brain is the destination for most clots (&gt;80%) that embolise from the heart.</w:t>
      </w:r>
    </w:p>
    <w:p w14:paraId="2234D649" w14:textId="77777777" w:rsidR="00A5281E" w:rsidRDefault="00A5281E" w:rsidP="00A5281E">
      <w:pPr>
        <w:pStyle w:val="Default"/>
        <w:ind w:left="5760"/>
        <w:rPr>
          <w:b/>
          <w:bCs/>
          <w:sz w:val="18"/>
          <w:szCs w:val="18"/>
        </w:rPr>
      </w:pPr>
    </w:p>
    <w:p w14:paraId="600D6750" w14:textId="77777777" w:rsidR="00A5281E" w:rsidRDefault="00A5281E" w:rsidP="00A5281E">
      <w:pPr>
        <w:pStyle w:val="Default"/>
        <w:ind w:left="5760"/>
        <w:rPr>
          <w:sz w:val="23"/>
          <w:szCs w:val="23"/>
        </w:rPr>
      </w:pPr>
      <w:r>
        <w:rPr>
          <w:sz w:val="23"/>
          <w:szCs w:val="23"/>
        </w:rPr>
        <w:t xml:space="preserve">AF in old age (&gt;75 </w:t>
      </w:r>
      <w:proofErr w:type="spellStart"/>
      <w:r>
        <w:rPr>
          <w:sz w:val="23"/>
          <w:szCs w:val="23"/>
        </w:rPr>
        <w:t>yrs</w:t>
      </w:r>
      <w:proofErr w:type="spellEnd"/>
      <w:r>
        <w:rPr>
          <w:sz w:val="23"/>
          <w:szCs w:val="23"/>
        </w:rPr>
        <w:t>) is a strong indication,</w:t>
      </w:r>
    </w:p>
    <w:p w14:paraId="7D415C1F" w14:textId="77777777" w:rsidR="00A5281E" w:rsidRDefault="00A5281E" w:rsidP="00A5281E">
      <w:pPr>
        <w:pStyle w:val="Default"/>
        <w:ind w:left="5760"/>
        <w:rPr>
          <w:sz w:val="23"/>
          <w:szCs w:val="23"/>
        </w:rPr>
      </w:pPr>
      <w:r>
        <w:rPr>
          <w:sz w:val="23"/>
          <w:szCs w:val="23"/>
          <w:u w:val="single"/>
        </w:rPr>
        <w:t>NOT A CONTRAINDICATION</w:t>
      </w:r>
      <w:r>
        <w:rPr>
          <w:sz w:val="23"/>
          <w:szCs w:val="23"/>
        </w:rPr>
        <w:t xml:space="preserve"> for anticoagulation.</w:t>
      </w:r>
    </w:p>
    <w:p w14:paraId="4F781F53" w14:textId="77777777" w:rsidR="00A5281E" w:rsidRDefault="00A5281E" w:rsidP="00A5281E">
      <w:pPr>
        <w:pStyle w:val="Default"/>
        <w:ind w:left="5760"/>
        <w:rPr>
          <w:sz w:val="23"/>
          <w:szCs w:val="23"/>
        </w:rPr>
      </w:pPr>
      <w:r>
        <w:rPr>
          <w:sz w:val="23"/>
          <w:szCs w:val="23"/>
        </w:rPr>
        <w:t xml:space="preserve">If you send your patient away with a direct/newer oral anticoagulant (DOAC/NOAC), their stroke protection starts within a few hours. </w:t>
      </w:r>
    </w:p>
    <w:p w14:paraId="4E569BFA" w14:textId="77777777" w:rsidR="00A5281E" w:rsidRDefault="00A5281E" w:rsidP="00A5281E">
      <w:pPr>
        <w:pStyle w:val="Default"/>
        <w:ind w:left="5760"/>
        <w:rPr>
          <w:sz w:val="23"/>
          <w:szCs w:val="23"/>
        </w:rPr>
      </w:pPr>
    </w:p>
    <w:p w14:paraId="6BAAA414" w14:textId="77777777" w:rsidR="00A5281E" w:rsidRDefault="00A5281E" w:rsidP="00A5281E">
      <w:pPr>
        <w:pStyle w:val="Default"/>
        <w:ind w:left="5760"/>
        <w:rPr>
          <w:sz w:val="23"/>
          <w:szCs w:val="23"/>
        </w:rPr>
      </w:pPr>
      <w:r>
        <w:rPr>
          <w:sz w:val="23"/>
          <w:szCs w:val="23"/>
        </w:rPr>
        <w:t>Before you commence a DOAC the patient should have FBC, INR, LFT and U&amp;E. The dose is dependent on creatinine clearance (Cockcroft and Gault equation, online calculation tools are available). Should be monitored regularly for renal function (STAC will do if referred) and advised to seek immediate help for bleeding issues.</w:t>
      </w:r>
    </w:p>
    <w:p w14:paraId="0C658071" w14:textId="77777777" w:rsidR="00A5281E" w:rsidRDefault="00A5281E" w:rsidP="00A5281E">
      <w:pPr>
        <w:pStyle w:val="Default"/>
        <w:ind w:left="5760"/>
        <w:rPr>
          <w:sz w:val="23"/>
          <w:szCs w:val="23"/>
        </w:rPr>
      </w:pPr>
    </w:p>
    <w:p w14:paraId="2CFD1531" w14:textId="77777777" w:rsidR="00A5281E" w:rsidRDefault="00A5281E" w:rsidP="00A5281E">
      <w:pPr>
        <w:pStyle w:val="Default"/>
        <w:ind w:left="5760"/>
        <w:rPr>
          <w:b/>
          <w:sz w:val="23"/>
          <w:szCs w:val="23"/>
        </w:rPr>
      </w:pPr>
      <w:r>
        <w:rPr>
          <w:b/>
          <w:sz w:val="23"/>
          <w:szCs w:val="23"/>
        </w:rPr>
        <w:t>If you do not assess for anticoagulation the patient may suffer a stroke while waiting.</w:t>
      </w:r>
    </w:p>
    <w:p w14:paraId="0422BDBD" w14:textId="77777777" w:rsidR="00A5281E" w:rsidRDefault="00A5281E" w:rsidP="00A5281E">
      <w:pPr>
        <w:pStyle w:val="Default"/>
        <w:ind w:left="5760"/>
        <w:rPr>
          <w:b/>
          <w:sz w:val="23"/>
          <w:szCs w:val="23"/>
        </w:rPr>
      </w:pPr>
    </w:p>
    <w:p w14:paraId="43D5B355" w14:textId="77777777" w:rsidR="00A5281E" w:rsidRDefault="00A5281E" w:rsidP="00A5281E">
      <w:pPr>
        <w:pStyle w:val="Default"/>
        <w:ind w:left="5760"/>
        <w:rPr>
          <w:sz w:val="23"/>
          <w:szCs w:val="23"/>
        </w:rPr>
      </w:pPr>
      <w:proofErr w:type="spellStart"/>
      <w:r>
        <w:rPr>
          <w:sz w:val="23"/>
          <w:szCs w:val="23"/>
        </w:rPr>
        <w:t>Anticoagulate</w:t>
      </w:r>
      <w:proofErr w:type="spellEnd"/>
      <w:r>
        <w:rPr>
          <w:sz w:val="23"/>
          <w:szCs w:val="23"/>
        </w:rPr>
        <w:t xml:space="preserve"> with </w:t>
      </w:r>
      <w:proofErr w:type="spellStart"/>
      <w:r>
        <w:rPr>
          <w:sz w:val="23"/>
          <w:szCs w:val="23"/>
        </w:rPr>
        <w:t>edoxaban</w:t>
      </w:r>
      <w:proofErr w:type="spellEnd"/>
      <w:r>
        <w:rPr>
          <w:sz w:val="23"/>
          <w:szCs w:val="23"/>
        </w:rPr>
        <w:t xml:space="preserve">, rivaroxaban, apixaban, dabigatran or warfarin-see medical      </w:t>
      </w:r>
    </w:p>
    <w:p w14:paraId="784D9C24" w14:textId="77777777" w:rsidR="00A5281E" w:rsidRDefault="00A5281E" w:rsidP="00A5281E">
      <w:pPr>
        <w:pStyle w:val="Default"/>
        <w:ind w:left="5760"/>
        <w:rPr>
          <w:sz w:val="23"/>
          <w:szCs w:val="23"/>
        </w:rPr>
      </w:pPr>
      <w:r>
        <w:rPr>
          <w:sz w:val="23"/>
          <w:szCs w:val="23"/>
        </w:rPr>
        <w:t xml:space="preserve">   guidelines.</w:t>
      </w:r>
    </w:p>
    <w:p w14:paraId="546C103B" w14:textId="77777777" w:rsidR="00A5281E" w:rsidRDefault="00A5281E" w:rsidP="00A5281E">
      <w:pPr>
        <w:pStyle w:val="Default"/>
        <w:ind w:left="5760"/>
        <w:rPr>
          <w:sz w:val="23"/>
          <w:szCs w:val="23"/>
        </w:rPr>
      </w:pPr>
    </w:p>
    <w:p w14:paraId="50B78AB6" w14:textId="77777777" w:rsidR="00A5281E" w:rsidRDefault="00A5281E" w:rsidP="00A5281E">
      <w:pPr>
        <w:rPr>
          <w:b/>
          <w:sz w:val="44"/>
          <w:szCs w:val="40"/>
        </w:rPr>
      </w:pPr>
      <w:r>
        <w:rPr>
          <w:b/>
          <w:sz w:val="44"/>
          <w:szCs w:val="40"/>
        </w:rPr>
        <w:t>DO NOT WAIT      ANTICOAGULATE!</w:t>
      </w:r>
      <w:r>
        <w:rPr>
          <w:b/>
          <w:sz w:val="44"/>
          <w:szCs w:val="40"/>
        </w:rPr>
        <w:tab/>
      </w:r>
      <w:r>
        <w:rPr>
          <w:b/>
          <w:sz w:val="44"/>
          <w:szCs w:val="40"/>
        </w:rPr>
        <w:tab/>
      </w:r>
    </w:p>
    <w:p w14:paraId="2C515BCF" w14:textId="77777777" w:rsidR="00443081" w:rsidRPr="00181A4A" w:rsidRDefault="00443081" w:rsidP="00181A4A">
      <w:pPr>
        <w:pStyle w:val="Title"/>
      </w:pPr>
    </w:p>
    <w:sectPr w:rsidR="00443081" w:rsidRPr="00181A4A" w:rsidSect="0017149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E92CD" w14:textId="77777777" w:rsidR="00A5281E" w:rsidRDefault="00A5281E" w:rsidP="00446BEE">
      <w:r>
        <w:separator/>
      </w:r>
    </w:p>
  </w:endnote>
  <w:endnote w:type="continuationSeparator" w:id="0">
    <w:p w14:paraId="30E9768A" w14:textId="77777777" w:rsidR="00A5281E" w:rsidRDefault="00A5281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18492" w14:textId="77777777" w:rsidR="00446BEE" w:rsidRDefault="00446BEE">
    <w:pPr>
      <w:pStyle w:val="Footer"/>
    </w:pPr>
    <w:r>
      <w:t>[</w:t>
    </w:r>
    <w:r w:rsidR="00FA2C5A">
      <w:t>I</w:t>
    </w:r>
    <w:r>
      <w:t>nsert footer here]</w:t>
    </w:r>
    <w:r>
      <w:tab/>
    </w:r>
    <w:r>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21137" w14:textId="77777777" w:rsidR="00A5281E" w:rsidRDefault="00A5281E" w:rsidP="00446BEE">
      <w:r>
        <w:separator/>
      </w:r>
    </w:p>
  </w:footnote>
  <w:footnote w:type="continuationSeparator" w:id="0">
    <w:p w14:paraId="4F20214E" w14:textId="77777777" w:rsidR="00A5281E" w:rsidRDefault="00A5281E"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1E"/>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5025A1"/>
    <w:rsid w:val="006921E1"/>
    <w:rsid w:val="006F4B25"/>
    <w:rsid w:val="006F6496"/>
    <w:rsid w:val="00736348"/>
    <w:rsid w:val="00760908"/>
    <w:rsid w:val="007F238D"/>
    <w:rsid w:val="00861B92"/>
    <w:rsid w:val="008814FB"/>
    <w:rsid w:val="008F5E30"/>
    <w:rsid w:val="00914D7F"/>
    <w:rsid w:val="009677B1"/>
    <w:rsid w:val="009E680B"/>
    <w:rsid w:val="00A15A1F"/>
    <w:rsid w:val="00A3325A"/>
    <w:rsid w:val="00A43013"/>
    <w:rsid w:val="00A5281E"/>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61630"/>
  <w15:chartTrackingRefBased/>
  <w15:docId w15:val="{7B6811F2-D072-4443-8DC5-D3CB94D1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81E"/>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ind w:left="1418" w:hanging="284"/>
    </w:pPr>
    <w:rPr>
      <w:rFonts w:ascii="Arial" w:hAnsi="Arial"/>
    </w:rPr>
  </w:style>
  <w:style w:type="paragraph" w:customStyle="1" w:styleId="Paragraphnonumbers">
    <w:name w:val="Paragraph no numbers"/>
    <w:basedOn w:val="Normal"/>
    <w:uiPriority w:val="99"/>
    <w:qFormat/>
    <w:rsid w:val="00CB5671"/>
    <w:pPr>
      <w:spacing w:after="240"/>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A5281E"/>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97" b="1" i="0" u="none" strike="noStrike" kern="1200" baseline="0">
                <a:solidFill>
                  <a:schemeClr val="dk1">
                    <a:lumMod val="65000"/>
                    <a:lumOff val="35000"/>
                  </a:schemeClr>
                </a:solidFill>
                <a:latin typeface="+mn-lt"/>
                <a:ea typeface="+mn-ea"/>
                <a:cs typeface="+mn-cs"/>
              </a:defRPr>
            </a:pPr>
            <a:r>
              <a:rPr lang="en-GB"/>
              <a:t>Uptake</a:t>
            </a:r>
            <a:r>
              <a:rPr lang="en-GB" baseline="0"/>
              <a:t> following Cardiac Rehabilitation Clinic</a:t>
            </a:r>
            <a:endParaRPr lang="en-GB"/>
          </a:p>
        </c:rich>
      </c:tx>
      <c:overlay val="0"/>
      <c:spPr>
        <a:noFill/>
        <a:ln w="25362">
          <a:noFill/>
        </a:ln>
      </c:spPr>
    </c:title>
    <c:autoTitleDeleted val="0"/>
    <c:plotArea>
      <c:layout/>
      <c:pieChart>
        <c:varyColors val="1"/>
        <c:ser>
          <c:idx val="0"/>
          <c:order val="0"/>
          <c:dPt>
            <c:idx val="0"/>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FBC6-495E-9981-D13373CF657C}"/>
              </c:ext>
            </c:extLst>
          </c:dPt>
          <c:dPt>
            <c:idx val="1"/>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FBC6-495E-9981-D13373CF657C}"/>
              </c:ext>
            </c:extLst>
          </c:dPt>
          <c:dPt>
            <c:idx val="2"/>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FBC6-495E-9981-D13373CF657C}"/>
              </c:ext>
            </c:extLst>
          </c:dPt>
          <c:dLbls>
            <c:spPr>
              <a:noFill/>
              <a:ln w="25362">
                <a:noFill/>
              </a:ln>
            </c:spPr>
            <c:txPr>
              <a:bodyPr rot="0" spcFirstLastPara="1" vertOverflow="ellipsis" vert="horz" wrap="square" lIns="38100" tIns="19050" rIns="38100" bIns="19050" anchor="ctr" anchorCtr="1">
                <a:spAutoFit/>
              </a:bodyPr>
              <a:lstStyle/>
              <a:p>
                <a:pPr>
                  <a:defRPr sz="899"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11"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Sheet1!$A$1:$A$3</c:f>
              <c:strCache>
                <c:ptCount val="3"/>
                <c:pt idx="0">
                  <c:v>Exercise programme</c:v>
                </c:pt>
                <c:pt idx="1">
                  <c:v>Self-management post clinic</c:v>
                </c:pt>
                <c:pt idx="2">
                  <c:v>Home programme</c:v>
                </c:pt>
              </c:strCache>
            </c:strRef>
          </c:cat>
          <c:val>
            <c:numRef>
              <c:f>Sheet1!$B$1:$B$3</c:f>
              <c:numCache>
                <c:formatCode>0%</c:formatCode>
                <c:ptCount val="3"/>
                <c:pt idx="0">
                  <c:v>0.56999999999999995</c:v>
                </c:pt>
                <c:pt idx="1">
                  <c:v>0.32</c:v>
                </c:pt>
                <c:pt idx="2">
                  <c:v>0.11</c:v>
                </c:pt>
              </c:numCache>
            </c:numRef>
          </c:val>
          <c:extLst>
            <c:ext xmlns:c16="http://schemas.microsoft.com/office/drawing/2014/chart" uri="{C3380CC4-5D6E-409C-BE32-E72D297353CC}">
              <c16:uniqueId val="{00000006-FBC6-495E-9981-D13373CF657C}"/>
            </c:ext>
          </c:extLst>
        </c:ser>
        <c:dLbls>
          <c:showLegendKey val="0"/>
          <c:showVal val="0"/>
          <c:showCatName val="0"/>
          <c:showSerName val="0"/>
          <c:showPercent val="0"/>
          <c:showBubbleSize val="0"/>
          <c:showLeaderLines val="1"/>
        </c:dLbls>
        <c:firstSliceAng val="0"/>
      </c:pieChart>
      <c:spPr>
        <a:noFill/>
        <a:ln w="25362">
          <a:noFill/>
        </a:ln>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899"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11"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97" b="1" i="0" u="none" strike="noStrike" kern="1200" baseline="0">
                <a:solidFill>
                  <a:schemeClr val="dk1">
                    <a:lumMod val="65000"/>
                    <a:lumOff val="35000"/>
                  </a:schemeClr>
                </a:solidFill>
                <a:latin typeface="+mn-lt"/>
                <a:ea typeface="+mn-ea"/>
                <a:cs typeface="+mn-cs"/>
              </a:defRPr>
            </a:pPr>
            <a:r>
              <a:rPr lang="en-GB"/>
              <a:t>%</a:t>
            </a:r>
            <a:r>
              <a:rPr lang="en-GB" baseline="0"/>
              <a:t> of patients completing exercise programme</a:t>
            </a:r>
            <a:endParaRPr lang="en-GB"/>
          </a:p>
        </c:rich>
      </c:tx>
      <c:overlay val="0"/>
      <c:spPr>
        <a:noFill/>
        <a:ln w="25362">
          <a:noFill/>
        </a:ln>
      </c:spPr>
    </c:title>
    <c:autoTitleDeleted val="0"/>
    <c:plotArea>
      <c:layout/>
      <c:pieChart>
        <c:varyColors val="1"/>
        <c:ser>
          <c:idx val="0"/>
          <c:order val="0"/>
          <c:dPt>
            <c:idx val="0"/>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862-4255-B226-381A7985C1D8}"/>
              </c:ext>
            </c:extLst>
          </c:dPt>
          <c:dPt>
            <c:idx val="1"/>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862-4255-B226-381A7985C1D8}"/>
              </c:ext>
            </c:extLst>
          </c:dPt>
          <c:dLbls>
            <c:spPr>
              <a:noFill/>
              <a:ln w="25362">
                <a:noFill/>
              </a:ln>
            </c:spPr>
            <c:txPr>
              <a:bodyPr rot="0" spcFirstLastPara="1" vertOverflow="ellipsis" vert="horz" wrap="square" lIns="38100" tIns="19050" rIns="38100" bIns="19050" anchor="ctr" anchorCtr="1">
                <a:spAutoFit/>
              </a:bodyPr>
              <a:lstStyle/>
              <a:p>
                <a:pPr>
                  <a:defRPr sz="899"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11"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Completed exercise programme</c:v>
                </c:pt>
                <c:pt idx="1">
                  <c:v>Cancelled exercise programme</c:v>
                </c:pt>
              </c:strCache>
            </c:strRef>
          </c:cat>
          <c:val>
            <c:numRef>
              <c:f>Sheet1!$B$1:$B$2</c:f>
              <c:numCache>
                <c:formatCode>0%</c:formatCode>
                <c:ptCount val="2"/>
                <c:pt idx="0">
                  <c:v>0.67</c:v>
                </c:pt>
                <c:pt idx="1">
                  <c:v>0.33</c:v>
                </c:pt>
              </c:numCache>
            </c:numRef>
          </c:val>
          <c:extLst>
            <c:ext xmlns:c16="http://schemas.microsoft.com/office/drawing/2014/chart" uri="{C3380CC4-5D6E-409C-BE32-E72D297353CC}">
              <c16:uniqueId val="{00000004-6862-4255-B226-381A7985C1D8}"/>
            </c:ext>
          </c:extLst>
        </c:ser>
        <c:dLbls>
          <c:showLegendKey val="0"/>
          <c:showVal val="0"/>
          <c:showCatName val="0"/>
          <c:showSerName val="0"/>
          <c:showPercent val="0"/>
          <c:showBubbleSize val="0"/>
          <c:showLeaderLines val="1"/>
        </c:dLbls>
        <c:firstSliceAng val="0"/>
      </c:pieChart>
      <c:spPr>
        <a:noFill/>
        <a:ln w="25362">
          <a:noFill/>
        </a:ln>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899"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11"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8" b="1" i="0" u="none" strike="noStrike" kern="1200" baseline="0">
                <a:solidFill>
                  <a:schemeClr val="tx1">
                    <a:lumMod val="65000"/>
                    <a:lumOff val="35000"/>
                  </a:schemeClr>
                </a:solidFill>
                <a:latin typeface="+mn-lt"/>
                <a:ea typeface="+mn-ea"/>
                <a:cs typeface="+mn-cs"/>
              </a:defRPr>
            </a:pPr>
            <a:r>
              <a:rPr lang="en-GB"/>
              <a:t>Patient</a:t>
            </a:r>
            <a:r>
              <a:rPr lang="en-GB" baseline="0"/>
              <a:t> </a:t>
            </a:r>
            <a:r>
              <a:rPr lang="en-GB"/>
              <a:t>Telephone</a:t>
            </a:r>
            <a:r>
              <a:rPr lang="en-GB" baseline="0"/>
              <a:t> Audit: Usefulness of Information pack</a:t>
            </a:r>
            <a:endParaRPr lang="en-GB"/>
          </a:p>
        </c:rich>
      </c:tx>
      <c:overlay val="0"/>
      <c:spPr>
        <a:noFill/>
        <a:ln w="25367">
          <a:noFill/>
        </a:ln>
      </c:sp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w="25367">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Sheet1!$A$1:$A$4</c:f>
              <c:strCache>
                <c:ptCount val="4"/>
                <c:pt idx="0">
                  <c:v>Very Useful</c:v>
                </c:pt>
                <c:pt idx="1">
                  <c:v>Satisfactory</c:v>
                </c:pt>
                <c:pt idx="2">
                  <c:v>Not Helpful</c:v>
                </c:pt>
                <c:pt idx="3">
                  <c:v>Unable to recall information</c:v>
                </c:pt>
              </c:strCache>
            </c:strRef>
          </c:cat>
          <c:val>
            <c:numRef>
              <c:f>Sheet1!$B$1:$B$4</c:f>
              <c:numCache>
                <c:formatCode>0%</c:formatCode>
                <c:ptCount val="4"/>
                <c:pt idx="0">
                  <c:v>0.76</c:v>
                </c:pt>
                <c:pt idx="1">
                  <c:v>0.11</c:v>
                </c:pt>
                <c:pt idx="2">
                  <c:v>0.03</c:v>
                </c:pt>
                <c:pt idx="3">
                  <c:v>0.1</c:v>
                </c:pt>
              </c:numCache>
            </c:numRef>
          </c:val>
          <c:extLst>
            <c:ext xmlns:c16="http://schemas.microsoft.com/office/drawing/2014/chart" uri="{C3380CC4-5D6E-409C-BE32-E72D297353CC}">
              <c16:uniqueId val="{00000000-BF3A-42B8-A3D9-FFE75EADD9EA}"/>
            </c:ext>
          </c:extLst>
        </c:ser>
        <c:dLbls>
          <c:showLegendKey val="0"/>
          <c:showVal val="0"/>
          <c:showCatName val="0"/>
          <c:showSerName val="0"/>
          <c:showPercent val="0"/>
          <c:showBubbleSize val="0"/>
        </c:dLbls>
        <c:gapWidth val="100"/>
        <c:overlap val="-24"/>
        <c:axId val="111363584"/>
        <c:axId val="111365120"/>
      </c:barChart>
      <c:catAx>
        <c:axId val="111363584"/>
        <c:scaling>
          <c:orientation val="minMax"/>
        </c:scaling>
        <c:delete val="0"/>
        <c:axPos val="b"/>
        <c:numFmt formatCode="General" sourceLinked="1"/>
        <c:majorTickMark val="none"/>
        <c:minorTickMark val="none"/>
        <c:tickLblPos val="nextTo"/>
        <c:spPr>
          <a:noFill/>
          <a:ln w="12684"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11365120"/>
        <c:crosses val="autoZero"/>
        <c:auto val="1"/>
        <c:lblAlgn val="ctr"/>
        <c:lblOffset val="100"/>
        <c:noMultiLvlLbl val="0"/>
      </c:catAx>
      <c:valAx>
        <c:axId val="111365120"/>
        <c:scaling>
          <c:orientation val="minMax"/>
        </c:scaling>
        <c:delete val="0"/>
        <c:axPos val="l"/>
        <c:majorGridlines>
          <c:spPr>
            <a:ln w="9513" cap="flat" cmpd="sng" algn="ctr">
              <a:solidFill>
                <a:schemeClr val="tx1">
                  <a:lumMod val="15000"/>
                  <a:lumOff val="85000"/>
                </a:schemeClr>
              </a:solidFill>
              <a:round/>
            </a:ln>
            <a:effectLst/>
          </c:spPr>
        </c:majorGridlines>
        <c:numFmt formatCode="0%" sourceLinked="1"/>
        <c:majorTickMark val="none"/>
        <c:minorTickMark val="none"/>
        <c:tickLblPos val="nextTo"/>
        <c:spPr>
          <a:ln w="9513">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11363584"/>
        <c:crosses val="autoZero"/>
        <c:crossBetween val="between"/>
      </c:valAx>
      <c:spPr>
        <a:noFill/>
        <a:ln w="25367">
          <a:noFill/>
        </a:ln>
      </c:spPr>
    </c:plotArea>
    <c:plotVisOnly val="1"/>
    <c:dispBlanksAs val="gap"/>
    <c:showDLblsOverMax val="0"/>
  </c:chart>
  <c:spPr>
    <a:solidFill>
      <a:schemeClr val="bg1"/>
    </a:solidFill>
    <a:ln w="9513"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9" b="1" i="0" u="none" strike="noStrike" kern="1200" baseline="0">
                <a:solidFill>
                  <a:schemeClr val="tx1">
                    <a:lumMod val="65000"/>
                    <a:lumOff val="35000"/>
                  </a:schemeClr>
                </a:solidFill>
                <a:latin typeface="+mn-lt"/>
                <a:ea typeface="+mn-ea"/>
                <a:cs typeface="+mn-cs"/>
              </a:defRPr>
            </a:pPr>
            <a:r>
              <a:rPr lang="en-GB"/>
              <a:t>Patient</a:t>
            </a:r>
            <a:r>
              <a:rPr lang="en-GB" baseline="0"/>
              <a:t> Telephone Audit: Uptake of Heart Support Group</a:t>
            </a:r>
            <a:endParaRPr lang="en-GB"/>
          </a:p>
        </c:rich>
      </c:tx>
      <c:overlay val="0"/>
      <c:spPr>
        <a:noFill/>
        <a:ln w="25381">
          <a:noFill/>
        </a:ln>
      </c:sp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w="25381">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Sheet1!$A$1:$A$2</c:f>
              <c:strCache>
                <c:ptCount val="2"/>
                <c:pt idx="0">
                  <c:v>Not attended</c:v>
                </c:pt>
                <c:pt idx="1">
                  <c:v>Attended/Planning to attend</c:v>
                </c:pt>
              </c:strCache>
            </c:strRef>
          </c:cat>
          <c:val>
            <c:numRef>
              <c:f>Sheet1!$B$1:$B$2</c:f>
              <c:numCache>
                <c:formatCode>0%</c:formatCode>
                <c:ptCount val="2"/>
                <c:pt idx="0">
                  <c:v>0.85</c:v>
                </c:pt>
                <c:pt idx="1">
                  <c:v>0.15</c:v>
                </c:pt>
              </c:numCache>
            </c:numRef>
          </c:val>
          <c:extLst>
            <c:ext xmlns:c16="http://schemas.microsoft.com/office/drawing/2014/chart" uri="{C3380CC4-5D6E-409C-BE32-E72D297353CC}">
              <c16:uniqueId val="{00000000-8C60-45BC-B0F4-85D73E8FC7F3}"/>
            </c:ext>
          </c:extLst>
        </c:ser>
        <c:dLbls>
          <c:showLegendKey val="0"/>
          <c:showVal val="0"/>
          <c:showCatName val="0"/>
          <c:showSerName val="0"/>
          <c:showPercent val="0"/>
          <c:showBubbleSize val="0"/>
        </c:dLbls>
        <c:gapWidth val="100"/>
        <c:overlap val="-24"/>
        <c:axId val="111410176"/>
        <c:axId val="113251072"/>
      </c:barChart>
      <c:catAx>
        <c:axId val="111410176"/>
        <c:scaling>
          <c:orientation val="minMax"/>
        </c:scaling>
        <c:delete val="0"/>
        <c:axPos val="b"/>
        <c:numFmt formatCode="General" sourceLinked="1"/>
        <c:majorTickMark val="none"/>
        <c:minorTickMark val="none"/>
        <c:tickLblPos val="nextTo"/>
        <c:spPr>
          <a:noFill/>
          <a:ln w="12690"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13251072"/>
        <c:crosses val="autoZero"/>
        <c:auto val="1"/>
        <c:lblAlgn val="ctr"/>
        <c:lblOffset val="100"/>
        <c:noMultiLvlLbl val="0"/>
      </c:catAx>
      <c:valAx>
        <c:axId val="113251072"/>
        <c:scaling>
          <c:orientation val="minMax"/>
        </c:scaling>
        <c:delete val="0"/>
        <c:axPos val="l"/>
        <c:majorGridlines>
          <c:spPr>
            <a:ln w="9518" cap="flat" cmpd="sng" algn="ctr">
              <a:solidFill>
                <a:schemeClr val="tx1">
                  <a:lumMod val="15000"/>
                  <a:lumOff val="85000"/>
                </a:schemeClr>
              </a:solidFill>
              <a:round/>
            </a:ln>
            <a:effectLst/>
          </c:spPr>
        </c:majorGridlines>
        <c:numFmt formatCode="0%" sourceLinked="1"/>
        <c:majorTickMark val="none"/>
        <c:minorTickMark val="none"/>
        <c:tickLblPos val="nextTo"/>
        <c:spPr>
          <a:ln w="9518">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11410176"/>
        <c:crosses val="autoZero"/>
        <c:crossBetween val="between"/>
      </c:valAx>
      <c:spPr>
        <a:noFill/>
        <a:ln w="25381">
          <a:noFill/>
        </a:ln>
      </c:spPr>
    </c:plotArea>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AC42B442</Template>
  <TotalTime>23</TotalTime>
  <Pages>5</Pages>
  <Words>343</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Smith</dc:creator>
  <cp:keywords/>
  <dc:description/>
  <cp:lastModifiedBy>Bruce Smith</cp:lastModifiedBy>
  <cp:revision>2</cp:revision>
  <cp:lastPrinted>2019-06-21T09:38:00Z</cp:lastPrinted>
  <dcterms:created xsi:type="dcterms:W3CDTF">2019-06-07T13:23:00Z</dcterms:created>
  <dcterms:modified xsi:type="dcterms:W3CDTF">2019-06-21T09:58:00Z</dcterms:modified>
</cp:coreProperties>
</file>