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10" w:rsidRDefault="00AE3310" w:rsidP="00AE3310">
      <w:pPr>
        <w:spacing w:before="360" w:after="180" w:line="330" w:lineRule="atLeast"/>
        <w:outlineLvl w:val="2"/>
        <w:rPr>
          <w:rFonts w:ascii="Arial" w:hAnsi="Arial" w:cs="Arial"/>
          <w:b/>
          <w:bCs/>
          <w:color w:val="0E0E0E"/>
        </w:rPr>
      </w:pPr>
      <w:r w:rsidRPr="007E4350">
        <w:rPr>
          <w:rFonts w:ascii="Arial" w:hAnsi="Arial" w:cs="Arial"/>
          <w:b/>
          <w:bCs/>
          <w:color w:val="0E0E0E"/>
        </w:rPr>
        <w:t>Key findings</w:t>
      </w:r>
    </w:p>
    <w:p w:rsidR="0074655C" w:rsidRDefault="009608C8" w:rsidP="00AE3310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 w:rsidRPr="009608C8">
        <w:rPr>
          <w:rFonts w:ascii="Arial" w:hAnsi="Arial" w:cs="Arial"/>
          <w:bCs/>
          <w:color w:val="0E0E0E"/>
        </w:rPr>
        <w:t xml:space="preserve">The total </w:t>
      </w:r>
      <w:r>
        <w:rPr>
          <w:rFonts w:ascii="Arial" w:hAnsi="Arial" w:cs="Arial"/>
          <w:bCs/>
          <w:color w:val="0E0E0E"/>
        </w:rPr>
        <w:t>number of patients treated by the oncology centre for H&amp;NC has remained constant (n=220) over the last two years.  The oncological treatments offered</w:t>
      </w:r>
      <w:proofErr w:type="gramStart"/>
      <w:r>
        <w:rPr>
          <w:rFonts w:ascii="Arial" w:hAnsi="Arial" w:cs="Arial"/>
          <w:bCs/>
          <w:color w:val="0E0E0E"/>
        </w:rPr>
        <w:t>,</w:t>
      </w:r>
      <w:proofErr w:type="gramEnd"/>
      <w:r>
        <w:rPr>
          <w:rFonts w:ascii="Arial" w:hAnsi="Arial" w:cs="Arial"/>
          <w:bCs/>
          <w:color w:val="0E0E0E"/>
        </w:rPr>
        <w:t xml:space="preserve"> the technical way of delivering them and the consultants caring for the patients has also remained unchanged.</w:t>
      </w:r>
      <w:r w:rsidR="008D2350">
        <w:rPr>
          <w:rFonts w:ascii="Arial" w:hAnsi="Arial" w:cs="Arial"/>
          <w:bCs/>
          <w:color w:val="0E0E0E"/>
        </w:rPr>
        <w:t xml:space="preserve"> </w:t>
      </w:r>
      <w:r w:rsidR="00FF679F">
        <w:rPr>
          <w:rFonts w:ascii="Arial" w:hAnsi="Arial" w:cs="Arial"/>
          <w:bCs/>
          <w:color w:val="0E0E0E"/>
        </w:rPr>
        <w:t>F</w:t>
      </w:r>
      <w:r w:rsidR="00830EFE">
        <w:rPr>
          <w:rFonts w:ascii="Arial" w:hAnsi="Arial" w:cs="Arial"/>
          <w:bCs/>
          <w:color w:val="0E0E0E"/>
        </w:rPr>
        <w:t>igure 1 and 2 describe the pre</w:t>
      </w:r>
      <w:r w:rsidR="00FF679F">
        <w:rPr>
          <w:rFonts w:ascii="Arial" w:hAnsi="Arial" w:cs="Arial"/>
          <w:bCs/>
          <w:color w:val="0E0E0E"/>
        </w:rPr>
        <w:t xml:space="preserve"> and post investment numbers of </w:t>
      </w:r>
      <w:r w:rsidR="00830EFE">
        <w:rPr>
          <w:rFonts w:ascii="Arial" w:hAnsi="Arial" w:cs="Arial"/>
          <w:bCs/>
          <w:color w:val="0E0E0E"/>
        </w:rPr>
        <w:t xml:space="preserve">patients referred and their </w:t>
      </w:r>
      <w:r w:rsidR="003924B1">
        <w:rPr>
          <w:rFonts w:ascii="Arial" w:hAnsi="Arial" w:cs="Arial"/>
          <w:bCs/>
          <w:color w:val="0E0E0E"/>
        </w:rPr>
        <w:t>average length</w:t>
      </w:r>
      <w:r w:rsidR="00FF679F">
        <w:rPr>
          <w:rFonts w:ascii="Arial" w:hAnsi="Arial" w:cs="Arial"/>
          <w:bCs/>
          <w:color w:val="0E0E0E"/>
        </w:rPr>
        <w:t xml:space="preserve"> of stay. </w:t>
      </w:r>
    </w:p>
    <w:p w:rsidR="001B3DF1" w:rsidRPr="009608C8" w:rsidRDefault="001B3DF1" w:rsidP="001B3DF1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 w:rsidRPr="009608C8">
        <w:rPr>
          <w:rFonts w:ascii="Arial" w:hAnsi="Arial" w:cs="Arial"/>
          <w:b/>
          <w:bCs/>
          <w:color w:val="0E0E0E"/>
        </w:rPr>
        <w:t>Figure 1:</w:t>
      </w:r>
      <w:r w:rsidRPr="009608C8">
        <w:rPr>
          <w:rFonts w:ascii="Arial" w:eastAsiaTheme="minorEastAsia" w:hAnsi="Arial" w:cs="Arial"/>
          <w:b/>
          <w:bCs/>
          <w:u w:val="single"/>
        </w:rPr>
        <w:t xml:space="preserve"> </w:t>
      </w:r>
      <w:r w:rsidRPr="009608C8">
        <w:rPr>
          <w:rFonts w:ascii="Arial" w:hAnsi="Arial" w:cs="Arial"/>
          <w:b/>
          <w:bCs/>
          <w:color w:val="0E0E0E"/>
          <w:u w:val="single"/>
        </w:rPr>
        <w:t xml:space="preserve">Average Number of patients referred to each service prior to and when joint Dietetic and SLT team were implemented.    </w:t>
      </w:r>
    </w:p>
    <w:p w:rsidR="00265145" w:rsidRDefault="009608C8" w:rsidP="00AE3310">
      <w:pPr>
        <w:spacing w:before="360" w:after="180" w:line="330" w:lineRule="atLeast"/>
        <w:outlineLvl w:val="2"/>
        <w:rPr>
          <w:rFonts w:ascii="inherit" w:hAnsi="inherit"/>
          <w:bCs/>
          <w:color w:val="0E0E0E"/>
          <w:sz w:val="30"/>
          <w:szCs w:val="30"/>
        </w:rPr>
      </w:pPr>
      <w:r>
        <w:rPr>
          <w:noProof/>
        </w:rPr>
        <w:drawing>
          <wp:inline distT="0" distB="0" distL="0" distR="0" wp14:anchorId="523E7F94" wp14:editId="42B14235">
            <wp:extent cx="5274310" cy="2351463"/>
            <wp:effectExtent l="0" t="0" r="2159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5FB9" w:rsidRPr="009608C8" w:rsidRDefault="009608C8" w:rsidP="00AE3310">
      <w:pPr>
        <w:spacing w:before="360" w:after="180" w:line="330" w:lineRule="atLeast"/>
        <w:outlineLvl w:val="2"/>
        <w:rPr>
          <w:rFonts w:ascii="Arial" w:hAnsi="Arial" w:cs="Arial"/>
          <w:b/>
          <w:bCs/>
          <w:color w:val="0E0E0E"/>
          <w:u w:val="single"/>
        </w:rPr>
      </w:pPr>
      <w:r w:rsidRPr="009608C8">
        <w:rPr>
          <w:rFonts w:ascii="Arial" w:hAnsi="Arial" w:cs="Arial"/>
          <w:b/>
          <w:bCs/>
          <w:color w:val="0E0E0E"/>
          <w:u w:val="single"/>
        </w:rPr>
        <w:t>Figure 2: Average</w:t>
      </w:r>
      <w:r w:rsidR="00265145" w:rsidRPr="009608C8">
        <w:rPr>
          <w:rFonts w:ascii="Arial" w:hAnsi="Arial" w:cs="Arial"/>
          <w:b/>
          <w:bCs/>
          <w:color w:val="0E0E0E"/>
          <w:u w:val="single"/>
        </w:rPr>
        <w:t xml:space="preserve"> </w:t>
      </w:r>
      <w:r w:rsidRPr="009608C8">
        <w:rPr>
          <w:rFonts w:ascii="Arial" w:hAnsi="Arial" w:cs="Arial"/>
          <w:b/>
          <w:bCs/>
          <w:color w:val="0E0E0E"/>
          <w:u w:val="single"/>
        </w:rPr>
        <w:t xml:space="preserve">Length of stay for patients on treatment when input was minimal and when joint Dietetic and SLT team was implemented. </w:t>
      </w:r>
    </w:p>
    <w:p w:rsidR="00755FB9" w:rsidRDefault="00755FB9" w:rsidP="00AE3310">
      <w:pPr>
        <w:spacing w:before="360" w:after="180" w:line="330" w:lineRule="atLeast"/>
        <w:outlineLvl w:val="2"/>
        <w:rPr>
          <w:rFonts w:ascii="inherit" w:hAnsi="inherit"/>
          <w:bCs/>
          <w:color w:val="0E0E0E"/>
          <w:sz w:val="30"/>
          <w:szCs w:val="30"/>
        </w:rPr>
      </w:pPr>
      <w:r>
        <w:rPr>
          <w:noProof/>
        </w:rPr>
        <w:drawing>
          <wp:inline distT="0" distB="0" distL="0" distR="0" wp14:anchorId="2545C53F" wp14:editId="00ACBB23">
            <wp:extent cx="5274310" cy="2667260"/>
            <wp:effectExtent l="0" t="0" r="2159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679F" w:rsidRPr="00FF679F" w:rsidRDefault="00FF679F" w:rsidP="00FF679F">
      <w:pPr>
        <w:spacing w:before="360" w:after="180" w:line="330" w:lineRule="atLeast"/>
        <w:outlineLvl w:val="2"/>
        <w:rPr>
          <w:rFonts w:ascii="Arial" w:hAnsi="Arial" w:cs="Arial"/>
          <w:b/>
          <w:bCs/>
          <w:color w:val="0E0E0E"/>
          <w:u w:val="single"/>
        </w:rPr>
      </w:pPr>
      <w:r>
        <w:rPr>
          <w:rFonts w:ascii="Arial" w:hAnsi="Arial" w:cs="Arial"/>
          <w:bCs/>
          <w:color w:val="0E0E0E"/>
        </w:rPr>
        <w:lastRenderedPageBreak/>
        <w:t xml:space="preserve">Table1: </w:t>
      </w:r>
      <w:r w:rsidRPr="00FF679F">
        <w:rPr>
          <w:rFonts w:ascii="Arial" w:hAnsi="Arial" w:cs="Arial"/>
          <w:b/>
          <w:bCs/>
          <w:color w:val="0E0E0E"/>
          <w:u w:val="single"/>
        </w:rPr>
        <w:t>Number of referrals</w:t>
      </w:r>
      <w:r w:rsidR="00505269">
        <w:rPr>
          <w:rFonts w:ascii="Arial" w:hAnsi="Arial" w:cs="Arial"/>
          <w:b/>
          <w:bCs/>
          <w:color w:val="0E0E0E"/>
          <w:u w:val="single"/>
        </w:rPr>
        <w:t>,</w:t>
      </w:r>
      <w:r w:rsidRPr="00FF679F">
        <w:rPr>
          <w:rFonts w:ascii="Arial" w:hAnsi="Arial" w:cs="Arial"/>
          <w:b/>
          <w:bCs/>
          <w:color w:val="0E0E0E"/>
          <w:u w:val="single"/>
        </w:rPr>
        <w:t xml:space="preserve"> length of stay and bed days on average per </w:t>
      </w:r>
      <w:r>
        <w:rPr>
          <w:rFonts w:ascii="Arial" w:hAnsi="Arial" w:cs="Arial"/>
          <w:b/>
          <w:bCs/>
          <w:color w:val="0E0E0E"/>
          <w:u w:val="single"/>
        </w:rPr>
        <w:t xml:space="preserve">  </w:t>
      </w:r>
      <w:r w:rsidRPr="00FF679F">
        <w:rPr>
          <w:rFonts w:ascii="Arial" w:hAnsi="Arial" w:cs="Arial"/>
          <w:b/>
          <w:bCs/>
          <w:color w:val="0E0E0E"/>
          <w:u w:val="single"/>
        </w:rPr>
        <w:t xml:space="preserve">month pre and post investment.   </w:t>
      </w:r>
    </w:p>
    <w:tbl>
      <w:tblPr>
        <w:tblStyle w:val="TableGrid"/>
        <w:tblW w:w="92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276"/>
        <w:gridCol w:w="1417"/>
        <w:gridCol w:w="1276"/>
        <w:gridCol w:w="1276"/>
        <w:gridCol w:w="1559"/>
        <w:gridCol w:w="1418"/>
      </w:tblGrid>
      <w:tr w:rsidR="00FF679F" w:rsidTr="00830EFE"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</w:tcPr>
          <w:p w:rsidR="00FF679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Pre investment</w:t>
            </w:r>
            <w:r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 xml:space="preserve"> Nov 2017-March 2018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sz w:val="20"/>
                <w:szCs w:val="20"/>
              </w:rPr>
              <w:t>Post-investment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Aug.-Dec. 2018</w:t>
            </w:r>
          </w:p>
        </w:tc>
      </w:tr>
      <w:tr w:rsidR="00FF679F" w:rsidTr="00830EFE">
        <w:trPr>
          <w:trHeight w:val="1043"/>
        </w:trPr>
        <w:tc>
          <w:tcPr>
            <w:tcW w:w="1045" w:type="dxa"/>
            <w:tcBorders>
              <w:left w:val="single" w:sz="4" w:space="0" w:color="auto"/>
            </w:tcBorders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Service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Referrals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proofErr w:type="spellStart"/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av.LOS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Bed days</w:t>
            </w:r>
          </w:p>
        </w:tc>
        <w:tc>
          <w:tcPr>
            <w:tcW w:w="1276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Referrals</w:t>
            </w:r>
          </w:p>
        </w:tc>
        <w:tc>
          <w:tcPr>
            <w:tcW w:w="1559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proofErr w:type="spellStart"/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av.LOS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Bed days</w:t>
            </w:r>
            <w:r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 xml:space="preserve"> </w:t>
            </w:r>
          </w:p>
        </w:tc>
      </w:tr>
      <w:tr w:rsidR="00FF679F" w:rsidTr="00830EFE">
        <w:trPr>
          <w:trHeight w:val="470"/>
        </w:trPr>
        <w:tc>
          <w:tcPr>
            <w:tcW w:w="1045" w:type="dxa"/>
            <w:tcBorders>
              <w:left w:val="single" w:sz="4" w:space="0" w:color="auto"/>
            </w:tcBorders>
          </w:tcPr>
          <w:p w:rsidR="00FF679F" w:rsidRPr="008D2350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</w:rPr>
            </w:pPr>
            <w:r>
              <w:rPr>
                <w:rFonts w:ascii="Arial" w:hAnsi="Arial" w:cs="Arial"/>
                <w:b/>
                <w:bCs/>
                <w:color w:val="0E0E0E"/>
              </w:rPr>
              <w:t>N&amp;Ds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126</w:t>
            </w:r>
          </w:p>
        </w:tc>
        <w:tc>
          <w:tcPr>
            <w:tcW w:w="1276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5.5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44</w:t>
            </w:r>
          </w:p>
        </w:tc>
      </w:tr>
      <w:tr w:rsidR="00FF679F" w:rsidTr="00830EFE">
        <w:tc>
          <w:tcPr>
            <w:tcW w:w="1045" w:type="dxa"/>
            <w:tcBorders>
              <w:left w:val="single" w:sz="4" w:space="0" w:color="auto"/>
            </w:tcBorders>
          </w:tcPr>
          <w:p w:rsidR="00FF679F" w:rsidRPr="008D2350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/>
                <w:bCs/>
                <w:color w:val="0E0E0E"/>
              </w:rPr>
            </w:pPr>
            <w:r w:rsidRPr="008D2350">
              <w:rPr>
                <w:rFonts w:ascii="Arial" w:hAnsi="Arial" w:cs="Arial"/>
                <w:b/>
                <w:bCs/>
                <w:color w:val="0E0E0E"/>
              </w:rPr>
              <w:t>SLT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6.6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679F" w:rsidRPr="005D423F" w:rsidRDefault="00FF679F" w:rsidP="00830EFE">
            <w:pPr>
              <w:spacing w:before="360" w:after="180" w:line="330" w:lineRule="atLeast"/>
              <w:jc w:val="center"/>
              <w:outlineLvl w:val="2"/>
              <w:rPr>
                <w:rFonts w:ascii="Arial" w:hAnsi="Arial" w:cs="Arial"/>
                <w:bCs/>
                <w:color w:val="0E0E0E"/>
                <w:sz w:val="20"/>
                <w:szCs w:val="20"/>
              </w:rPr>
            </w:pPr>
            <w:r w:rsidRPr="005D423F">
              <w:rPr>
                <w:rFonts w:ascii="Arial" w:hAnsi="Arial" w:cs="Arial"/>
                <w:bCs/>
                <w:color w:val="0E0E0E"/>
                <w:sz w:val="20"/>
                <w:szCs w:val="20"/>
              </w:rPr>
              <w:t>46</w:t>
            </w:r>
          </w:p>
        </w:tc>
      </w:tr>
    </w:tbl>
    <w:p w:rsidR="006931F6" w:rsidRDefault="00505269" w:rsidP="00464001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>
        <w:rPr>
          <w:rFonts w:ascii="Arial" w:hAnsi="Arial" w:cs="Arial"/>
          <w:bCs/>
          <w:color w:val="0E0E0E"/>
        </w:rPr>
        <w:t>Table 1</w:t>
      </w:r>
      <w:r w:rsidR="00FF679F">
        <w:rPr>
          <w:rFonts w:ascii="Arial" w:hAnsi="Arial" w:cs="Arial"/>
          <w:bCs/>
          <w:color w:val="0E0E0E"/>
        </w:rPr>
        <w:t xml:space="preserve"> </w:t>
      </w:r>
      <w:r w:rsidR="003746B6">
        <w:rPr>
          <w:rFonts w:ascii="Arial" w:hAnsi="Arial" w:cs="Arial"/>
          <w:bCs/>
          <w:color w:val="0E0E0E"/>
        </w:rPr>
        <w:t>demonstrate</w:t>
      </w:r>
      <w:r>
        <w:rPr>
          <w:rFonts w:ascii="Arial" w:hAnsi="Arial" w:cs="Arial"/>
          <w:bCs/>
          <w:color w:val="0E0E0E"/>
        </w:rPr>
        <w:t>s</w:t>
      </w:r>
      <w:r w:rsidR="003746B6">
        <w:rPr>
          <w:rFonts w:ascii="Arial" w:hAnsi="Arial" w:cs="Arial"/>
          <w:bCs/>
          <w:color w:val="0E0E0E"/>
        </w:rPr>
        <w:t xml:space="preserve"> a</w:t>
      </w:r>
      <w:r w:rsidR="00755FB9" w:rsidRPr="007E4350">
        <w:rPr>
          <w:rFonts w:ascii="Arial" w:hAnsi="Arial" w:cs="Arial"/>
          <w:bCs/>
          <w:color w:val="0E0E0E"/>
        </w:rPr>
        <w:t xml:space="preserve"> </w:t>
      </w:r>
      <w:r w:rsidR="00FF679F">
        <w:rPr>
          <w:rFonts w:ascii="Arial" w:hAnsi="Arial" w:cs="Arial"/>
          <w:bCs/>
          <w:color w:val="0E0E0E"/>
        </w:rPr>
        <w:t xml:space="preserve">54-82 bed days </w:t>
      </w:r>
      <w:r w:rsidR="003746B6">
        <w:rPr>
          <w:rFonts w:ascii="Arial" w:hAnsi="Arial" w:cs="Arial"/>
          <w:bCs/>
          <w:color w:val="0E0E0E"/>
        </w:rPr>
        <w:t xml:space="preserve">saved </w:t>
      </w:r>
      <w:r w:rsidR="00FF679F">
        <w:rPr>
          <w:rFonts w:ascii="Arial" w:hAnsi="Arial" w:cs="Arial"/>
          <w:bCs/>
          <w:color w:val="0E0E0E"/>
        </w:rPr>
        <w:t xml:space="preserve">per month </w:t>
      </w:r>
      <w:r w:rsidR="00755FB9" w:rsidRPr="007E4350">
        <w:rPr>
          <w:rFonts w:ascii="Arial" w:hAnsi="Arial" w:cs="Arial"/>
          <w:bCs/>
          <w:color w:val="0E0E0E"/>
        </w:rPr>
        <w:t xml:space="preserve">because </w:t>
      </w:r>
      <w:r w:rsidR="000D4AB9">
        <w:rPr>
          <w:rFonts w:ascii="Arial" w:hAnsi="Arial" w:cs="Arial"/>
          <w:bCs/>
          <w:color w:val="0E0E0E"/>
        </w:rPr>
        <w:t>of the D</w:t>
      </w:r>
      <w:r w:rsidR="00755FB9" w:rsidRPr="007E4350">
        <w:rPr>
          <w:rFonts w:ascii="Arial" w:hAnsi="Arial" w:cs="Arial"/>
          <w:bCs/>
          <w:color w:val="0E0E0E"/>
        </w:rPr>
        <w:t>ietetic and SLT input</w:t>
      </w:r>
      <w:r w:rsidR="00FF679F">
        <w:rPr>
          <w:rFonts w:ascii="Arial" w:hAnsi="Arial" w:cs="Arial"/>
          <w:bCs/>
          <w:color w:val="0E0E0E"/>
        </w:rPr>
        <w:t xml:space="preserve"> to the on treatment </w:t>
      </w:r>
      <w:r w:rsidR="003746B6">
        <w:rPr>
          <w:rFonts w:ascii="Arial" w:hAnsi="Arial" w:cs="Arial"/>
          <w:bCs/>
          <w:color w:val="0E0E0E"/>
        </w:rPr>
        <w:t xml:space="preserve">head and neck </w:t>
      </w:r>
      <w:r w:rsidR="00FF679F">
        <w:rPr>
          <w:rFonts w:ascii="Arial" w:hAnsi="Arial" w:cs="Arial"/>
          <w:bCs/>
          <w:color w:val="0E0E0E"/>
        </w:rPr>
        <w:t>radiotherapy</w:t>
      </w:r>
      <w:r w:rsidR="006931F6">
        <w:rPr>
          <w:rFonts w:ascii="Arial" w:hAnsi="Arial" w:cs="Arial"/>
          <w:bCs/>
          <w:color w:val="0E0E0E"/>
        </w:rPr>
        <w:t xml:space="preserve"> outpatient clinics</w:t>
      </w:r>
      <w:r w:rsidR="00755FB9" w:rsidRPr="007E4350">
        <w:rPr>
          <w:rFonts w:ascii="Arial" w:hAnsi="Arial" w:cs="Arial"/>
          <w:bCs/>
          <w:color w:val="0E0E0E"/>
        </w:rPr>
        <w:t xml:space="preserve">.  </w:t>
      </w:r>
      <w:r w:rsidR="007E4350" w:rsidRPr="007E4350">
        <w:rPr>
          <w:rFonts w:ascii="Arial" w:hAnsi="Arial" w:cs="Arial"/>
          <w:bCs/>
          <w:color w:val="0E0E0E"/>
        </w:rPr>
        <w:t xml:space="preserve"> </w:t>
      </w:r>
      <w:r w:rsidR="000D4AB9">
        <w:rPr>
          <w:rFonts w:ascii="Arial" w:hAnsi="Arial" w:cs="Arial"/>
          <w:bCs/>
          <w:color w:val="0E0E0E"/>
        </w:rPr>
        <w:t xml:space="preserve">It is not possible to combine both services saving in bed days </w:t>
      </w:r>
      <w:r w:rsidR="006931F6">
        <w:rPr>
          <w:rFonts w:ascii="Arial" w:hAnsi="Arial" w:cs="Arial"/>
          <w:bCs/>
          <w:color w:val="0E0E0E"/>
        </w:rPr>
        <w:t xml:space="preserve">because some of the patients are known to both services.  </w:t>
      </w:r>
    </w:p>
    <w:p w:rsidR="007E4350" w:rsidRDefault="006931F6" w:rsidP="00464001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>
        <w:rPr>
          <w:rFonts w:ascii="Arial" w:hAnsi="Arial" w:cs="Arial"/>
          <w:bCs/>
          <w:color w:val="0E0E0E"/>
        </w:rPr>
        <w:t>Dietetic health car</w:t>
      </w:r>
      <w:r w:rsidR="003924B1">
        <w:rPr>
          <w:rFonts w:ascii="Arial" w:hAnsi="Arial" w:cs="Arial"/>
          <w:bCs/>
          <w:color w:val="0E0E0E"/>
        </w:rPr>
        <w:t>e professionals</w:t>
      </w:r>
      <w:r>
        <w:rPr>
          <w:rFonts w:ascii="Arial" w:hAnsi="Arial" w:cs="Arial"/>
          <w:bCs/>
          <w:color w:val="0E0E0E"/>
        </w:rPr>
        <w:t xml:space="preserve"> will aim to minimise the amount of weight loss that patients have to 10% or under.  </w:t>
      </w:r>
      <w:r w:rsidR="0074655C">
        <w:rPr>
          <w:rFonts w:ascii="Arial" w:hAnsi="Arial" w:cs="Arial"/>
          <w:bCs/>
          <w:color w:val="0E0E0E"/>
        </w:rPr>
        <w:t>If</w:t>
      </w:r>
      <w:r>
        <w:rPr>
          <w:rFonts w:ascii="Arial" w:hAnsi="Arial" w:cs="Arial"/>
          <w:bCs/>
          <w:color w:val="0E0E0E"/>
        </w:rPr>
        <w:t xml:space="preserve"> this is possible </w:t>
      </w:r>
      <w:r w:rsidR="0074655C">
        <w:rPr>
          <w:rFonts w:ascii="Arial" w:hAnsi="Arial" w:cs="Arial"/>
          <w:bCs/>
          <w:color w:val="0E0E0E"/>
        </w:rPr>
        <w:t>there is evidence that patients have an improved quality of life and a better</w:t>
      </w:r>
      <w:r>
        <w:rPr>
          <w:rFonts w:ascii="Arial" w:hAnsi="Arial" w:cs="Arial"/>
          <w:bCs/>
          <w:color w:val="0E0E0E"/>
        </w:rPr>
        <w:t xml:space="preserve"> functional recovery.  Table 2 demonstrates that in the pre-investment group 45% (n=33) of the patients who were admitted had lost more than 10% of their baseline weight </w:t>
      </w:r>
      <w:r w:rsidR="0074655C">
        <w:rPr>
          <w:rFonts w:ascii="Arial" w:hAnsi="Arial" w:cs="Arial"/>
          <w:bCs/>
          <w:color w:val="0E0E0E"/>
        </w:rPr>
        <w:t xml:space="preserve">this reduced to </w:t>
      </w:r>
      <w:r>
        <w:rPr>
          <w:rFonts w:ascii="Arial" w:hAnsi="Arial" w:cs="Arial"/>
          <w:bCs/>
          <w:color w:val="0E0E0E"/>
        </w:rPr>
        <w:t xml:space="preserve"> 39%</w:t>
      </w:r>
      <w:r w:rsidR="0074655C">
        <w:rPr>
          <w:rFonts w:ascii="Arial" w:hAnsi="Arial" w:cs="Arial"/>
          <w:bCs/>
          <w:color w:val="0E0E0E"/>
        </w:rPr>
        <w:t xml:space="preserve"> of a smaller total group </w:t>
      </w:r>
      <w:r>
        <w:rPr>
          <w:rFonts w:ascii="Arial" w:hAnsi="Arial" w:cs="Arial"/>
          <w:bCs/>
          <w:color w:val="0E0E0E"/>
        </w:rPr>
        <w:t xml:space="preserve"> (n=22) </w:t>
      </w:r>
      <w:r w:rsidR="0074655C">
        <w:rPr>
          <w:rFonts w:ascii="Arial" w:hAnsi="Arial" w:cs="Arial"/>
          <w:bCs/>
          <w:color w:val="0E0E0E"/>
        </w:rPr>
        <w:t>in the  post-</w:t>
      </w:r>
      <w:r>
        <w:rPr>
          <w:rFonts w:ascii="Arial" w:hAnsi="Arial" w:cs="Arial"/>
          <w:bCs/>
          <w:color w:val="0E0E0E"/>
        </w:rPr>
        <w:t xml:space="preserve">investment group.  </w:t>
      </w:r>
    </w:p>
    <w:p w:rsidR="0074655C" w:rsidRPr="007E4350" w:rsidRDefault="0074655C" w:rsidP="00464001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>
        <w:rPr>
          <w:rFonts w:ascii="Arial" w:hAnsi="Arial" w:cs="Arial"/>
          <w:bCs/>
          <w:color w:val="0E0E0E"/>
        </w:rPr>
        <w:t xml:space="preserve">Table 2: </w:t>
      </w:r>
      <w:r w:rsidRPr="0074655C">
        <w:rPr>
          <w:rFonts w:ascii="Arial" w:hAnsi="Arial" w:cs="Arial"/>
          <w:b/>
          <w:bCs/>
          <w:color w:val="0E0E0E"/>
        </w:rPr>
        <w:t xml:space="preserve">Percentage wright loss from baseline for </w:t>
      </w:r>
      <w:proofErr w:type="gramStart"/>
      <w:r w:rsidRPr="0074655C">
        <w:rPr>
          <w:rFonts w:ascii="Arial" w:hAnsi="Arial" w:cs="Arial"/>
          <w:b/>
          <w:bCs/>
          <w:color w:val="0E0E0E"/>
        </w:rPr>
        <w:t>patients</w:t>
      </w:r>
      <w:proofErr w:type="gramEnd"/>
      <w:r w:rsidRPr="0074655C">
        <w:rPr>
          <w:rFonts w:ascii="Arial" w:hAnsi="Arial" w:cs="Arial"/>
          <w:b/>
          <w:bCs/>
          <w:color w:val="0E0E0E"/>
        </w:rPr>
        <w:t xml:space="preserve"> pre and post investment in services.</w:t>
      </w:r>
      <w:r>
        <w:rPr>
          <w:rFonts w:ascii="Arial" w:hAnsi="Arial" w:cs="Arial"/>
          <w:bCs/>
          <w:color w:val="0E0E0E"/>
        </w:rPr>
        <w:t xml:space="preserve">  </w:t>
      </w:r>
    </w:p>
    <w:tbl>
      <w:tblPr>
        <w:tblW w:w="8219" w:type="dxa"/>
        <w:tblInd w:w="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100"/>
        <w:gridCol w:w="2619"/>
      </w:tblGrid>
      <w:tr w:rsidR="00755FB9" w:rsidTr="00755FB9">
        <w:trPr>
          <w:trHeight w:val="5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Pr="00755FB9" w:rsidRDefault="00755FB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55FB9">
              <w:rPr>
                <w:rFonts w:ascii="Arial" w:hAnsi="Arial" w:cs="Arial"/>
                <w:b/>
              </w:rPr>
              <w:t> % weight loss on treatment patients</w:t>
            </w:r>
            <w:r>
              <w:rPr>
                <w:rFonts w:ascii="Arial" w:hAnsi="Arial" w:cs="Arial"/>
                <w:b/>
              </w:rPr>
              <w:t xml:space="preserve"> from baseline 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Pr="00755FB9" w:rsidRDefault="00755FB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55FB9">
              <w:rPr>
                <w:rFonts w:ascii="Arial" w:hAnsi="Arial" w:cs="Arial"/>
                <w:b/>
              </w:rPr>
              <w:t xml:space="preserve">Nov 2017-March 2018  </w:t>
            </w:r>
          </w:p>
          <w:p w:rsidR="00755FB9" w:rsidRPr="00755FB9" w:rsidRDefault="00755FB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55FB9">
              <w:rPr>
                <w:rFonts w:ascii="Arial" w:hAnsi="Arial" w:cs="Arial"/>
                <w:b/>
              </w:rPr>
              <w:t>n=73 (% of the total)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Pr="00755FB9" w:rsidRDefault="00755FB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55FB9">
              <w:rPr>
                <w:rFonts w:ascii="Arial" w:hAnsi="Arial" w:cs="Arial"/>
                <w:b/>
              </w:rPr>
              <w:t>Aug 2018- Dec 2018 n=56 (% of the total)</w:t>
            </w:r>
          </w:p>
        </w:tc>
      </w:tr>
      <w:tr w:rsidR="00755FB9" w:rsidTr="00755FB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0 to 10%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40 (54%)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34 (60%)</w:t>
            </w:r>
          </w:p>
        </w:tc>
      </w:tr>
      <w:tr w:rsidR="00755FB9" w:rsidTr="00755FB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10-20%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24 (33%)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18 (32%)</w:t>
            </w:r>
          </w:p>
        </w:tc>
      </w:tr>
      <w:tr w:rsidR="00755FB9" w:rsidTr="00755FB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20-30%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7 (10%)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4 (7%)</w:t>
            </w:r>
          </w:p>
        </w:tc>
      </w:tr>
      <w:tr w:rsidR="00755FB9" w:rsidTr="00755FB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30-40%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 (2%)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5FB9" w:rsidRDefault="00755FB9" w:rsidP="005939D6">
            <w:pPr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74655C" w:rsidRPr="00C16D71" w:rsidRDefault="007C3DEC" w:rsidP="00AE3310">
      <w:pPr>
        <w:spacing w:before="360" w:after="180" w:line="330" w:lineRule="atLeast"/>
        <w:outlineLvl w:val="2"/>
        <w:rPr>
          <w:rFonts w:ascii="Arial" w:hAnsi="Arial" w:cs="Arial"/>
          <w:bCs/>
          <w:color w:val="0E0E0E"/>
        </w:rPr>
      </w:pPr>
      <w:r w:rsidRPr="00982776">
        <w:rPr>
          <w:rFonts w:ascii="Arial" w:hAnsi="Arial" w:cs="Arial"/>
          <w:bCs/>
          <w:color w:val="0E0E0E"/>
        </w:rPr>
        <w:t>The work has highlighted the value of consistently collecting anthropometric measures on patients as a way of identifying the functional impact on patients’ recovery.</w:t>
      </w:r>
      <w:bookmarkStart w:id="0" w:name="_GoBack"/>
      <w:bookmarkEnd w:id="0"/>
    </w:p>
    <w:sectPr w:rsidR="0074655C" w:rsidRPr="00C16D7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D1" w:rsidRDefault="003E1AD1" w:rsidP="007E4350">
      <w:r>
        <w:separator/>
      </w:r>
    </w:p>
  </w:endnote>
  <w:endnote w:type="continuationSeparator" w:id="0">
    <w:p w:rsidR="003E1AD1" w:rsidRDefault="003E1AD1" w:rsidP="007E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D1" w:rsidRDefault="003E1AD1" w:rsidP="007E4350">
      <w:r>
        <w:separator/>
      </w:r>
    </w:p>
  </w:footnote>
  <w:footnote w:type="continuationSeparator" w:id="0">
    <w:p w:rsidR="003E1AD1" w:rsidRDefault="003E1AD1" w:rsidP="007E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B6" w:rsidRDefault="003746B6">
    <w:pPr>
      <w:pStyle w:val="Header"/>
    </w:pPr>
    <w:r>
      <w:t xml:space="preserve">NICE </w:t>
    </w:r>
    <w:r w:rsidR="00C16D71">
      <w:t>Submission</w:t>
    </w:r>
    <w:r>
      <w:t xml:space="preserve"> </w:t>
    </w:r>
    <w:r w:rsidR="00063EDD">
      <w:t xml:space="preserve">Improving care to </w:t>
    </w:r>
    <w:proofErr w:type="spellStart"/>
    <w:r w:rsidR="00063EDD">
      <w:t>H&amp;Nc</w:t>
    </w:r>
    <w:proofErr w:type="spellEnd"/>
    <w:r w:rsidR="00063EDD">
      <w:t xml:space="preserve"> patients undergoing treatment at </w:t>
    </w:r>
    <w:r w:rsidR="00C16D71">
      <w:t>UHB H&amp;NC SLT and Dietetics 2019.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7D2"/>
    <w:multiLevelType w:val="multilevel"/>
    <w:tmpl w:val="437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517F0"/>
    <w:multiLevelType w:val="multilevel"/>
    <w:tmpl w:val="26A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07729"/>
    <w:multiLevelType w:val="multilevel"/>
    <w:tmpl w:val="443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2722C"/>
    <w:multiLevelType w:val="multilevel"/>
    <w:tmpl w:val="A7E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74209"/>
    <w:multiLevelType w:val="multilevel"/>
    <w:tmpl w:val="1A9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B37A3"/>
    <w:multiLevelType w:val="multilevel"/>
    <w:tmpl w:val="634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A737E"/>
    <w:multiLevelType w:val="hybridMultilevel"/>
    <w:tmpl w:val="02E45D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10"/>
    <w:rsid w:val="00034C02"/>
    <w:rsid w:val="00063EDD"/>
    <w:rsid w:val="000D4AB9"/>
    <w:rsid w:val="0010382B"/>
    <w:rsid w:val="001B3DF1"/>
    <w:rsid w:val="00242CD6"/>
    <w:rsid w:val="00265145"/>
    <w:rsid w:val="002F442E"/>
    <w:rsid w:val="002F46E4"/>
    <w:rsid w:val="002F747C"/>
    <w:rsid w:val="00327AFC"/>
    <w:rsid w:val="003746B6"/>
    <w:rsid w:val="003924B1"/>
    <w:rsid w:val="003926A8"/>
    <w:rsid w:val="003B32E5"/>
    <w:rsid w:val="003C36DC"/>
    <w:rsid w:val="003E1AD1"/>
    <w:rsid w:val="00464001"/>
    <w:rsid w:val="004755DB"/>
    <w:rsid w:val="00490301"/>
    <w:rsid w:val="00505269"/>
    <w:rsid w:val="005939D6"/>
    <w:rsid w:val="005D423F"/>
    <w:rsid w:val="005F4AB5"/>
    <w:rsid w:val="00620616"/>
    <w:rsid w:val="00622CE1"/>
    <w:rsid w:val="006545C6"/>
    <w:rsid w:val="006931F6"/>
    <w:rsid w:val="00695492"/>
    <w:rsid w:val="006A4956"/>
    <w:rsid w:val="0074655C"/>
    <w:rsid w:val="00755FB9"/>
    <w:rsid w:val="007C3DEC"/>
    <w:rsid w:val="007E287B"/>
    <w:rsid w:val="007E4350"/>
    <w:rsid w:val="007F2C8F"/>
    <w:rsid w:val="00802D1A"/>
    <w:rsid w:val="00830EFE"/>
    <w:rsid w:val="008D2350"/>
    <w:rsid w:val="008D477E"/>
    <w:rsid w:val="009608C8"/>
    <w:rsid w:val="00982776"/>
    <w:rsid w:val="009D2E9A"/>
    <w:rsid w:val="00AE3310"/>
    <w:rsid w:val="00B11611"/>
    <w:rsid w:val="00B20C66"/>
    <w:rsid w:val="00BB7E42"/>
    <w:rsid w:val="00C16D71"/>
    <w:rsid w:val="00C260C5"/>
    <w:rsid w:val="00D2291D"/>
    <w:rsid w:val="00E20281"/>
    <w:rsid w:val="00E5682C"/>
    <w:rsid w:val="00E94135"/>
    <w:rsid w:val="00EB2C61"/>
    <w:rsid w:val="00EE13D2"/>
    <w:rsid w:val="00F158D8"/>
    <w:rsid w:val="00F32A5A"/>
    <w:rsid w:val="00FD3DD6"/>
    <w:rsid w:val="00FE688A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4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3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35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4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5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DF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D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4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3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35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4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5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DF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D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3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4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uhb\userdata\Therapy\Therapy%20Common\Research%20Hub\H&amp;NC%20admitted%20on%20treatment\stats%20per%20month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365507436570428"/>
          <c:y val="7.4548702245552642E-2"/>
          <c:w val="0.76879068241469817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Sheet2!$H$7</c:f>
              <c:strCache>
                <c:ptCount val="1"/>
                <c:pt idx="0">
                  <c:v>N&amp;Ds</c:v>
                </c:pt>
              </c:strCache>
            </c:strRef>
          </c:tx>
          <c:invertIfNegative val="0"/>
          <c:cat>
            <c:strRef>
              <c:f>Sheet2!$I$6:$J$6</c:f>
              <c:strCache>
                <c:ptCount val="2"/>
                <c:pt idx="0">
                  <c:v>Minimal N&amp;Ds and no SLT</c:v>
                </c:pt>
                <c:pt idx="1">
                  <c:v>with N&amp;Ds and SLT</c:v>
                </c:pt>
              </c:strCache>
            </c:strRef>
          </c:cat>
          <c:val>
            <c:numRef>
              <c:f>Sheet2!$I$7:$J$7</c:f>
              <c:numCache>
                <c:formatCode>General</c:formatCode>
                <c:ptCount val="2"/>
                <c:pt idx="0">
                  <c:v>18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Sheet2!$H$8</c:f>
              <c:strCache>
                <c:ptCount val="1"/>
                <c:pt idx="0">
                  <c:v>SLT</c:v>
                </c:pt>
              </c:strCache>
            </c:strRef>
          </c:tx>
          <c:invertIfNegative val="0"/>
          <c:cat>
            <c:strRef>
              <c:f>Sheet2!$I$6:$J$6</c:f>
              <c:strCache>
                <c:ptCount val="2"/>
                <c:pt idx="0">
                  <c:v>Minimal N&amp;Ds and no SLT</c:v>
                </c:pt>
                <c:pt idx="1">
                  <c:v>with N&amp;Ds and SLT</c:v>
                </c:pt>
              </c:strCache>
            </c:strRef>
          </c:cat>
          <c:val>
            <c:numRef>
              <c:f>Sheet2!$I$8:$J$8</c:f>
              <c:numCache>
                <c:formatCode>General</c:formatCode>
                <c:ptCount val="2"/>
                <c:pt idx="0">
                  <c:v>10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96608"/>
        <c:axId val="51398144"/>
      </c:barChart>
      <c:catAx>
        <c:axId val="51396608"/>
        <c:scaling>
          <c:orientation val="minMax"/>
        </c:scaling>
        <c:delete val="0"/>
        <c:axPos val="b"/>
        <c:majorTickMark val="out"/>
        <c:minorTickMark val="none"/>
        <c:tickLblPos val="nextTo"/>
        <c:crossAx val="51398144"/>
        <c:crosses val="autoZero"/>
        <c:auto val="1"/>
        <c:lblAlgn val="ctr"/>
        <c:lblOffset val="100"/>
        <c:noMultiLvlLbl val="0"/>
      </c:catAx>
      <c:valAx>
        <c:axId val="5139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96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Sheet2!$H$21</c:f>
              <c:strCache>
                <c:ptCount val="1"/>
                <c:pt idx="0">
                  <c:v>N&amp;Ds</c:v>
                </c:pt>
              </c:strCache>
            </c:strRef>
          </c:tx>
          <c:invertIfNegative val="0"/>
          <c:cat>
            <c:strRef>
              <c:f>Sheet2!$I$20:$J$20</c:f>
              <c:strCache>
                <c:ptCount val="2"/>
                <c:pt idx="0">
                  <c:v>pre</c:v>
                </c:pt>
                <c:pt idx="1">
                  <c:v>with </c:v>
                </c:pt>
              </c:strCache>
            </c:strRef>
          </c:cat>
          <c:val>
            <c:numRef>
              <c:f>Sheet2!$I$21:$J$21</c:f>
              <c:numCache>
                <c:formatCode>General</c:formatCode>
                <c:ptCount val="2"/>
                <c:pt idx="0">
                  <c:v>7</c:v>
                </c:pt>
                <c:pt idx="1">
                  <c:v>5.5</c:v>
                </c:pt>
              </c:numCache>
            </c:numRef>
          </c:val>
        </c:ser>
        <c:ser>
          <c:idx val="1"/>
          <c:order val="1"/>
          <c:tx>
            <c:strRef>
              <c:f>Sheet2!$H$22</c:f>
              <c:strCache>
                <c:ptCount val="1"/>
                <c:pt idx="0">
                  <c:v>SLT</c:v>
                </c:pt>
              </c:strCache>
            </c:strRef>
          </c:tx>
          <c:invertIfNegative val="0"/>
          <c:cat>
            <c:strRef>
              <c:f>Sheet2!$I$20:$J$20</c:f>
              <c:strCache>
                <c:ptCount val="2"/>
                <c:pt idx="0">
                  <c:v>pre</c:v>
                </c:pt>
                <c:pt idx="1">
                  <c:v>with </c:v>
                </c:pt>
              </c:strCache>
            </c:strRef>
          </c:cat>
          <c:val>
            <c:numRef>
              <c:f>Sheet2!$I$22:$J$22</c:f>
              <c:numCache>
                <c:formatCode>General</c:formatCode>
                <c:ptCount val="2"/>
                <c:pt idx="0">
                  <c:v>10</c:v>
                </c:pt>
                <c:pt idx="1">
                  <c:v>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428736"/>
        <c:axId val="51434624"/>
        <c:axId val="0"/>
      </c:bar3DChart>
      <c:catAx>
        <c:axId val="51428736"/>
        <c:scaling>
          <c:orientation val="minMax"/>
        </c:scaling>
        <c:delete val="0"/>
        <c:axPos val="b"/>
        <c:majorTickMark val="out"/>
        <c:minorTickMark val="none"/>
        <c:tickLblPos val="nextTo"/>
        <c:crossAx val="51434624"/>
        <c:crosses val="autoZero"/>
        <c:auto val="1"/>
        <c:lblAlgn val="ctr"/>
        <c:lblOffset val="100"/>
        <c:noMultiLvlLbl val="0"/>
      </c:catAx>
      <c:valAx>
        <c:axId val="5143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428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0.35938</cdr:y>
    </cdr:from>
    <cdr:to>
      <cdr:x>0.10625</cdr:x>
      <cdr:y>0.82813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423862" y="1385889"/>
          <a:ext cx="1285876" cy="485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                  Number of patients </a:t>
          </a:r>
        </a:p>
      </cdr:txBody>
    </cdr:sp>
  </cdr:relSizeAnchor>
  <cdr:relSizeAnchor xmlns:cdr="http://schemas.openxmlformats.org/drawingml/2006/chartDrawing">
    <cdr:from>
      <cdr:x>0.45729</cdr:x>
      <cdr:y>0.06424</cdr:y>
    </cdr:from>
    <cdr:to>
      <cdr:x>0.97604</cdr:x>
      <cdr:y>0.45313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0737" y="176213"/>
          <a:ext cx="2371725" cy="106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 sz="1100" b="1" u="sng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0.00794</cdr:x>
      <cdr:y>0.37173</cdr:y>
    </cdr:from>
    <cdr:to>
      <cdr:x>0.04854</cdr:x>
      <cdr:y>0.70681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304798" y="1362075"/>
          <a:ext cx="9144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       Days </a:t>
          </a:r>
        </a:p>
      </cdr:txBody>
    </cdr:sp>
  </cdr:relSizeAnchor>
  <cdr:relSizeAnchor xmlns:cdr="http://schemas.openxmlformats.org/drawingml/2006/chartDrawing">
    <cdr:from>
      <cdr:x>0.5183</cdr:x>
      <cdr:y>0.03571</cdr:y>
    </cdr:from>
    <cdr:to>
      <cdr:x>0.92644</cdr:x>
      <cdr:y>0.23214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733676" y="95250"/>
          <a:ext cx="215265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 b="1" u="sng"/>
            <a:t>Length of stay for patients before and with services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Duff</dc:creator>
  <cp:lastModifiedBy>Susan Duff</cp:lastModifiedBy>
  <cp:revision>3</cp:revision>
  <dcterms:created xsi:type="dcterms:W3CDTF">2019-01-10T15:32:00Z</dcterms:created>
  <dcterms:modified xsi:type="dcterms:W3CDTF">2019-01-10T15:33:00Z</dcterms:modified>
</cp:coreProperties>
</file>