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916" w:rsidRPr="00605832" w:rsidRDefault="0085434F" w:rsidP="00291916">
      <w:pPr>
        <w:pStyle w:val="Caption"/>
        <w:keepNext/>
        <w:rPr>
          <w:sz w:val="24"/>
          <w:szCs w:val="24"/>
        </w:rPr>
      </w:pPr>
      <w:r w:rsidRPr="00605832">
        <w:rPr>
          <w:sz w:val="24"/>
          <w:szCs w:val="24"/>
        </w:rPr>
        <w:t>Figure</w:t>
      </w:r>
      <w:r w:rsidR="00291916" w:rsidRPr="00605832">
        <w:rPr>
          <w:sz w:val="24"/>
          <w:szCs w:val="24"/>
        </w:rPr>
        <w:t xml:space="preserve"> </w:t>
      </w:r>
      <w:r w:rsidR="00291916" w:rsidRPr="00605832">
        <w:rPr>
          <w:sz w:val="24"/>
          <w:szCs w:val="24"/>
        </w:rPr>
        <w:fldChar w:fldCharType="begin"/>
      </w:r>
      <w:r w:rsidR="00291916" w:rsidRPr="00605832">
        <w:rPr>
          <w:sz w:val="24"/>
          <w:szCs w:val="24"/>
        </w:rPr>
        <w:instrText xml:space="preserve"> SEQ Table \* ARABIC </w:instrText>
      </w:r>
      <w:r w:rsidR="00291916" w:rsidRPr="00605832">
        <w:rPr>
          <w:sz w:val="24"/>
          <w:szCs w:val="24"/>
        </w:rPr>
        <w:fldChar w:fldCharType="separate"/>
      </w:r>
      <w:r w:rsidRPr="00605832">
        <w:rPr>
          <w:noProof/>
          <w:sz w:val="24"/>
          <w:szCs w:val="24"/>
        </w:rPr>
        <w:t>1</w:t>
      </w:r>
      <w:r w:rsidR="00291916" w:rsidRPr="00605832">
        <w:rPr>
          <w:sz w:val="24"/>
          <w:szCs w:val="24"/>
        </w:rPr>
        <w:fldChar w:fldCharType="end"/>
      </w:r>
      <w:r w:rsidR="00291916" w:rsidRPr="00605832">
        <w:rPr>
          <w:sz w:val="24"/>
          <w:szCs w:val="24"/>
        </w:rPr>
        <w:t xml:space="preserve">: Identifying </w:t>
      </w:r>
      <w:proofErr w:type="spellStart"/>
      <w:r w:rsidR="00291916" w:rsidRPr="00605832">
        <w:rPr>
          <w:sz w:val="24"/>
          <w:szCs w:val="24"/>
        </w:rPr>
        <w:t>Refeeding</w:t>
      </w:r>
      <w:proofErr w:type="spellEnd"/>
      <w:r w:rsidR="00291916" w:rsidRPr="00605832">
        <w:rPr>
          <w:sz w:val="24"/>
          <w:szCs w:val="24"/>
        </w:rPr>
        <w:t xml:space="preserve"> Risk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7732"/>
      </w:tblGrid>
      <w:tr w:rsidR="00291916" w:rsidRPr="00605832" w:rsidTr="007D5EB3">
        <w:trPr>
          <w:trHeight w:val="237"/>
        </w:trPr>
        <w:tc>
          <w:tcPr>
            <w:tcW w:w="9428" w:type="dxa"/>
            <w:gridSpan w:val="2"/>
            <w:shd w:val="clear" w:color="auto" w:fill="BFBFBF"/>
          </w:tcPr>
          <w:p w:rsidR="00291916" w:rsidRPr="00605832" w:rsidRDefault="00291916" w:rsidP="007D5EB3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05832">
              <w:rPr>
                <w:rFonts w:cs="Arial"/>
                <w:b/>
                <w:bCs/>
                <w:sz w:val="20"/>
                <w:szCs w:val="20"/>
              </w:rPr>
              <w:t xml:space="preserve">Identifying </w:t>
            </w:r>
            <w:proofErr w:type="spellStart"/>
            <w:r w:rsidRPr="00605832">
              <w:rPr>
                <w:rFonts w:cs="Arial"/>
                <w:b/>
                <w:bCs/>
                <w:sz w:val="20"/>
                <w:szCs w:val="20"/>
              </w:rPr>
              <w:t>Refeeding</w:t>
            </w:r>
            <w:proofErr w:type="spellEnd"/>
            <w:r w:rsidRPr="00605832">
              <w:rPr>
                <w:rFonts w:cs="Arial"/>
                <w:b/>
                <w:bCs/>
                <w:sz w:val="20"/>
                <w:szCs w:val="20"/>
              </w:rPr>
              <w:t xml:space="preserve"> Risk </w:t>
            </w:r>
          </w:p>
        </w:tc>
      </w:tr>
      <w:tr w:rsidR="00291916" w:rsidRPr="00605832" w:rsidTr="007D5EB3">
        <w:trPr>
          <w:trHeight w:val="237"/>
        </w:trPr>
        <w:tc>
          <w:tcPr>
            <w:tcW w:w="1696" w:type="dxa"/>
            <w:shd w:val="clear" w:color="auto" w:fill="BFBFBF"/>
          </w:tcPr>
          <w:p w:rsidR="00291916" w:rsidRPr="00605832" w:rsidRDefault="00291916" w:rsidP="007D5EB3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05832">
              <w:rPr>
                <w:rFonts w:cs="Arial"/>
                <w:b/>
                <w:bCs/>
                <w:sz w:val="20"/>
                <w:szCs w:val="20"/>
              </w:rPr>
              <w:t>At Risk</w:t>
            </w:r>
          </w:p>
        </w:tc>
        <w:tc>
          <w:tcPr>
            <w:tcW w:w="7732" w:type="dxa"/>
          </w:tcPr>
          <w:p w:rsidR="00291916" w:rsidRPr="00605832" w:rsidRDefault="00291916" w:rsidP="002919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Very little intake for greater than 5 days</w:t>
            </w:r>
          </w:p>
        </w:tc>
      </w:tr>
      <w:tr w:rsidR="00291916" w:rsidRPr="00605832" w:rsidTr="007D5EB3">
        <w:trPr>
          <w:trHeight w:val="2925"/>
        </w:trPr>
        <w:tc>
          <w:tcPr>
            <w:tcW w:w="1696" w:type="dxa"/>
            <w:shd w:val="clear" w:color="auto" w:fill="BFBFBF"/>
          </w:tcPr>
          <w:p w:rsidR="00291916" w:rsidRPr="00605832" w:rsidRDefault="00291916" w:rsidP="007D5EB3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05832">
              <w:rPr>
                <w:rFonts w:cs="Arial"/>
                <w:b/>
                <w:bCs/>
                <w:sz w:val="20"/>
                <w:szCs w:val="20"/>
              </w:rPr>
              <w:t>High Risk</w:t>
            </w:r>
          </w:p>
          <w:p w:rsidR="00291916" w:rsidRPr="00605832" w:rsidRDefault="00291916" w:rsidP="007D5EB3">
            <w:pPr>
              <w:jc w:val="center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732" w:type="dxa"/>
          </w:tcPr>
          <w:p w:rsidR="00291916" w:rsidRPr="00605832" w:rsidRDefault="00291916" w:rsidP="007D5EB3">
            <w:pPr>
              <w:jc w:val="both"/>
              <w:rPr>
                <w:rFonts w:cs="Arial"/>
                <w:b/>
                <w:bCs/>
                <w:i/>
                <w:iCs/>
                <w:sz w:val="20"/>
                <w:szCs w:val="20"/>
              </w:rPr>
            </w:pPr>
            <w:r w:rsidRPr="00605832">
              <w:rPr>
                <w:rFonts w:cs="Arial"/>
                <w:b/>
                <w:bCs/>
                <w:i/>
                <w:iCs/>
                <w:sz w:val="20"/>
                <w:szCs w:val="20"/>
              </w:rPr>
              <w:t xml:space="preserve">      The Patient has </w:t>
            </w:r>
            <w:r w:rsidRPr="00605832">
              <w:rPr>
                <w:rFonts w:cs="Arial"/>
                <w:b/>
                <w:bCs/>
                <w:i/>
                <w:iCs/>
                <w:sz w:val="20"/>
                <w:szCs w:val="20"/>
                <w:u w:val="single"/>
              </w:rPr>
              <w:t>one or more</w:t>
            </w:r>
            <w:r w:rsidRPr="00605832">
              <w:rPr>
                <w:rFonts w:cs="Arial"/>
                <w:b/>
                <w:bCs/>
                <w:i/>
                <w:iCs/>
                <w:sz w:val="20"/>
                <w:szCs w:val="20"/>
              </w:rPr>
              <w:t xml:space="preserve"> of the following:</w:t>
            </w:r>
          </w:p>
          <w:p w:rsidR="00291916" w:rsidRPr="00605832" w:rsidRDefault="00291916" w:rsidP="002919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BMI less than 16kg/m</w:t>
            </w:r>
            <w:r w:rsidRPr="00605832"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  <w:p w:rsidR="00291916" w:rsidRPr="00605832" w:rsidRDefault="00291916" w:rsidP="002919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Unintentional weight loss greater than 15% within the previous 3-6 months</w:t>
            </w:r>
          </w:p>
          <w:p w:rsidR="00291916" w:rsidRPr="00605832" w:rsidRDefault="00291916" w:rsidP="002919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Very little nutritional intake for greater than 10 days</w:t>
            </w:r>
          </w:p>
          <w:p w:rsidR="00291916" w:rsidRPr="00605832" w:rsidRDefault="00291916" w:rsidP="002919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Low levels of potassium, phosphate or magnesium prior to feeding</w:t>
            </w:r>
          </w:p>
          <w:p w:rsidR="00291916" w:rsidRPr="00605832" w:rsidRDefault="00291916" w:rsidP="007D5EB3">
            <w:pPr>
              <w:ind w:left="360"/>
              <w:jc w:val="both"/>
              <w:rPr>
                <w:rFonts w:cs="Arial"/>
                <w:b/>
                <w:bCs/>
                <w:i/>
                <w:iCs/>
                <w:sz w:val="20"/>
                <w:szCs w:val="20"/>
              </w:rPr>
            </w:pPr>
            <w:r w:rsidRPr="00605832">
              <w:rPr>
                <w:rFonts w:cs="Arial"/>
                <w:b/>
                <w:bCs/>
                <w:i/>
                <w:iCs/>
                <w:sz w:val="20"/>
                <w:szCs w:val="20"/>
              </w:rPr>
              <w:t xml:space="preserve">Or the patient has </w:t>
            </w:r>
            <w:r w:rsidRPr="00605832">
              <w:rPr>
                <w:rFonts w:cs="Arial"/>
                <w:b/>
                <w:bCs/>
                <w:i/>
                <w:iCs/>
                <w:sz w:val="20"/>
                <w:szCs w:val="20"/>
                <w:u w:val="single"/>
              </w:rPr>
              <w:t>two or more</w:t>
            </w:r>
            <w:r w:rsidRPr="00605832">
              <w:rPr>
                <w:rFonts w:cs="Arial"/>
                <w:b/>
                <w:bCs/>
                <w:i/>
                <w:iCs/>
                <w:sz w:val="20"/>
                <w:szCs w:val="20"/>
              </w:rPr>
              <w:t xml:space="preserve"> of the following:</w:t>
            </w:r>
          </w:p>
          <w:p w:rsidR="00291916" w:rsidRPr="00605832" w:rsidRDefault="00291916" w:rsidP="002919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BMI less than 18.5kg/m</w:t>
            </w:r>
            <w:r w:rsidRPr="00605832"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  <w:p w:rsidR="00291916" w:rsidRPr="00605832" w:rsidRDefault="00291916" w:rsidP="002919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Unintentional weight loss greater than 10% within the previous 3-6 months</w:t>
            </w:r>
          </w:p>
          <w:p w:rsidR="00291916" w:rsidRPr="00605832" w:rsidRDefault="00291916" w:rsidP="002919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Those with very little intake for greater than 5 days</w:t>
            </w:r>
          </w:p>
          <w:p w:rsidR="00291916" w:rsidRPr="00605832" w:rsidRDefault="00291916" w:rsidP="002919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A history of alcohol abuse or drugs including insulin, chemotherapy, antacids or diuretics (interpret with caution)</w:t>
            </w:r>
          </w:p>
        </w:tc>
      </w:tr>
      <w:tr w:rsidR="00291916" w:rsidRPr="00605832" w:rsidTr="007D5EB3">
        <w:trPr>
          <w:trHeight w:val="727"/>
        </w:trPr>
        <w:tc>
          <w:tcPr>
            <w:tcW w:w="1696" w:type="dxa"/>
            <w:shd w:val="clear" w:color="auto" w:fill="BFBFBF"/>
          </w:tcPr>
          <w:p w:rsidR="00291916" w:rsidRPr="00605832" w:rsidRDefault="00291916" w:rsidP="007D5EB3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605832">
              <w:rPr>
                <w:rFonts w:cs="Arial"/>
                <w:b/>
                <w:bCs/>
                <w:sz w:val="20"/>
                <w:szCs w:val="20"/>
              </w:rPr>
              <w:t>Extremely High Risk</w:t>
            </w:r>
          </w:p>
          <w:p w:rsidR="00291916" w:rsidRPr="00605832" w:rsidRDefault="00291916" w:rsidP="007D5EB3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7732" w:type="dxa"/>
          </w:tcPr>
          <w:p w:rsidR="00291916" w:rsidRPr="00605832" w:rsidRDefault="00291916" w:rsidP="007D5EB3">
            <w:pPr>
              <w:jc w:val="both"/>
              <w:rPr>
                <w:rFonts w:cs="Arial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605832">
              <w:rPr>
                <w:rFonts w:cs="Arial"/>
                <w:b/>
                <w:bCs/>
                <w:i/>
                <w:iCs/>
                <w:sz w:val="20"/>
                <w:szCs w:val="20"/>
              </w:rPr>
              <w:t xml:space="preserve">      The patient has </w:t>
            </w:r>
            <w:r w:rsidRPr="00605832">
              <w:rPr>
                <w:rFonts w:cs="Arial"/>
                <w:b/>
                <w:bCs/>
                <w:i/>
                <w:iCs/>
                <w:sz w:val="20"/>
                <w:szCs w:val="20"/>
                <w:u w:val="single"/>
              </w:rPr>
              <w:t>either</w:t>
            </w:r>
            <w:r w:rsidRPr="00605832">
              <w:rPr>
                <w:rFonts w:cs="Arial"/>
                <w:b/>
                <w:bCs/>
                <w:i/>
                <w:iCs/>
                <w:sz w:val="20"/>
                <w:szCs w:val="20"/>
              </w:rPr>
              <w:t xml:space="preserve"> of the following:</w:t>
            </w:r>
          </w:p>
          <w:p w:rsidR="00291916" w:rsidRPr="00605832" w:rsidRDefault="00291916" w:rsidP="002919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BMI less than 14kg/m</w:t>
            </w:r>
            <w:r w:rsidRPr="00605832"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  <w:p w:rsidR="00291916" w:rsidRPr="00605832" w:rsidRDefault="00291916" w:rsidP="00291916">
            <w:pPr>
              <w:numPr>
                <w:ilvl w:val="0"/>
                <w:numId w:val="1"/>
              </w:num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605832">
              <w:rPr>
                <w:rFonts w:cs="Arial"/>
                <w:sz w:val="20"/>
                <w:szCs w:val="20"/>
              </w:rPr>
              <w:t>Negligible intake for greater than 15 days</w:t>
            </w:r>
          </w:p>
        </w:tc>
      </w:tr>
    </w:tbl>
    <w:p w:rsidR="001534EB" w:rsidRPr="00605832" w:rsidRDefault="001534EB" w:rsidP="00C67D02">
      <w:pPr>
        <w:pStyle w:val="Caption"/>
        <w:keepNext/>
        <w:rPr>
          <w:sz w:val="20"/>
          <w:szCs w:val="20"/>
        </w:rPr>
      </w:pPr>
    </w:p>
    <w:p w:rsidR="001534EB" w:rsidRPr="00605832" w:rsidRDefault="001534EB" w:rsidP="00C67D02">
      <w:pPr>
        <w:pStyle w:val="Caption"/>
        <w:keepNext/>
        <w:rPr>
          <w:sz w:val="20"/>
          <w:szCs w:val="20"/>
        </w:rPr>
      </w:pPr>
    </w:p>
    <w:p w:rsidR="001534EB" w:rsidRPr="00605832" w:rsidRDefault="001534EB" w:rsidP="00C67D02">
      <w:pPr>
        <w:pStyle w:val="Caption"/>
        <w:keepNext/>
        <w:rPr>
          <w:sz w:val="20"/>
          <w:szCs w:val="20"/>
        </w:rPr>
      </w:pPr>
    </w:p>
    <w:p w:rsidR="001534EB" w:rsidRPr="00605832" w:rsidRDefault="001534EB" w:rsidP="00C67D02">
      <w:pPr>
        <w:pStyle w:val="Caption"/>
        <w:keepNext/>
        <w:rPr>
          <w:sz w:val="20"/>
          <w:szCs w:val="20"/>
        </w:rPr>
      </w:pPr>
    </w:p>
    <w:p w:rsidR="001534EB" w:rsidRPr="00605832" w:rsidRDefault="001534EB" w:rsidP="00C67D02">
      <w:pPr>
        <w:pStyle w:val="Caption"/>
        <w:keepNext/>
        <w:rPr>
          <w:sz w:val="20"/>
          <w:szCs w:val="20"/>
        </w:rPr>
      </w:pPr>
    </w:p>
    <w:p w:rsidR="001534EB" w:rsidRPr="00605832" w:rsidRDefault="001534EB" w:rsidP="00C67D02">
      <w:pPr>
        <w:pStyle w:val="Caption"/>
        <w:keepNext/>
        <w:rPr>
          <w:sz w:val="20"/>
          <w:szCs w:val="20"/>
        </w:rPr>
      </w:pPr>
    </w:p>
    <w:p w:rsidR="001534EB" w:rsidRPr="00605832" w:rsidRDefault="001534EB" w:rsidP="001534EB">
      <w:pPr>
        <w:rPr>
          <w:sz w:val="20"/>
          <w:szCs w:val="20"/>
        </w:rPr>
      </w:pPr>
    </w:p>
    <w:p w:rsidR="001534EB" w:rsidRPr="00605832" w:rsidRDefault="001534EB" w:rsidP="001534EB">
      <w:pPr>
        <w:rPr>
          <w:sz w:val="20"/>
          <w:szCs w:val="20"/>
        </w:rPr>
      </w:pPr>
    </w:p>
    <w:p w:rsidR="00C67D02" w:rsidRPr="00605832" w:rsidRDefault="00C67D02" w:rsidP="00C67D02">
      <w:pPr>
        <w:pStyle w:val="Caption"/>
        <w:keepNext/>
        <w:rPr>
          <w:sz w:val="24"/>
          <w:szCs w:val="24"/>
        </w:rPr>
      </w:pPr>
      <w:r w:rsidRPr="00605832">
        <w:rPr>
          <w:sz w:val="24"/>
          <w:szCs w:val="24"/>
        </w:rPr>
        <w:lastRenderedPageBreak/>
        <w:t xml:space="preserve">Figure </w:t>
      </w:r>
      <w:r w:rsidR="0085434F" w:rsidRPr="00605832">
        <w:rPr>
          <w:sz w:val="24"/>
          <w:szCs w:val="24"/>
        </w:rPr>
        <w:t>2</w:t>
      </w:r>
      <w:r w:rsidRPr="00605832">
        <w:rPr>
          <w:sz w:val="24"/>
          <w:szCs w:val="24"/>
        </w:rPr>
        <w:t xml:space="preserve">: Old </w:t>
      </w:r>
      <w:proofErr w:type="spellStart"/>
      <w:r w:rsidRPr="00605832">
        <w:rPr>
          <w:sz w:val="24"/>
          <w:szCs w:val="24"/>
        </w:rPr>
        <w:t>Refeeding</w:t>
      </w:r>
      <w:proofErr w:type="spellEnd"/>
      <w:r w:rsidRPr="00605832">
        <w:rPr>
          <w:sz w:val="24"/>
          <w:szCs w:val="24"/>
        </w:rPr>
        <w:t xml:space="preserve"> Guidelines</w:t>
      </w:r>
    </w:p>
    <w:p w:rsidR="00C67D02" w:rsidRPr="00605832" w:rsidRDefault="001534EB">
      <w:pPr>
        <w:rPr>
          <w:sz w:val="20"/>
          <w:szCs w:val="20"/>
        </w:rPr>
      </w:pPr>
      <w:r w:rsidRPr="00605832">
        <w:rPr>
          <w:noProof/>
          <w:sz w:val="20"/>
          <w:szCs w:val="20"/>
          <w:lang w:eastAsia="en-GB"/>
        </w:rPr>
        <w:drawing>
          <wp:inline distT="0" distB="0" distL="0" distR="0" wp14:anchorId="134D22F8" wp14:editId="1143516C">
            <wp:extent cx="3968151" cy="446848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458" t="19712" r="22727" b="5215"/>
                    <a:stretch/>
                  </pic:blipFill>
                  <pic:spPr bwMode="auto">
                    <a:xfrm>
                      <a:off x="0" y="0"/>
                      <a:ext cx="3966180" cy="446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4EB" w:rsidRPr="00605832" w:rsidRDefault="001534EB" w:rsidP="001534EB">
      <w:pPr>
        <w:pStyle w:val="Footer"/>
        <w:rPr>
          <w:rFonts w:asciiTheme="minorHAnsi" w:hAnsiTheme="minorHAnsi" w:cs="Arial"/>
          <w:b/>
          <w:bCs/>
          <w:sz w:val="20"/>
          <w:szCs w:val="20"/>
        </w:rPr>
      </w:pPr>
      <w:proofErr w:type="spellStart"/>
      <w:r w:rsidRPr="00605832">
        <w:rPr>
          <w:rFonts w:asciiTheme="minorHAnsi" w:hAnsiTheme="minorHAnsi" w:cs="Arial"/>
          <w:b/>
          <w:bCs/>
          <w:sz w:val="20"/>
          <w:szCs w:val="20"/>
        </w:rPr>
        <w:t>Pabrinex</w:t>
      </w:r>
      <w:proofErr w:type="spellEnd"/>
      <w:r w:rsidRPr="00605832">
        <w:rPr>
          <w:rFonts w:asciiTheme="minorHAnsi" w:hAnsiTheme="minorHAnsi" w:cs="Arial"/>
          <w:b/>
          <w:bCs/>
          <w:sz w:val="20"/>
          <w:szCs w:val="20"/>
        </w:rPr>
        <w:t xml:space="preserve">®/Thiamine       </w:t>
      </w:r>
      <w:r w:rsidRPr="00605832">
        <w:rPr>
          <w:rFonts w:asciiTheme="minorHAnsi" w:hAnsiTheme="minorHAnsi" w:cs="Arial"/>
          <w:bCs/>
          <w:sz w:val="20"/>
          <w:szCs w:val="20"/>
        </w:rPr>
        <w:t>Replace Thiamine at least 30minutes prior to starting feeding (</w:t>
      </w:r>
      <w:proofErr w:type="spellStart"/>
      <w:r w:rsidRPr="00605832">
        <w:rPr>
          <w:rFonts w:asciiTheme="minorHAnsi" w:hAnsiTheme="minorHAnsi" w:cs="Arial"/>
          <w:bCs/>
          <w:sz w:val="20"/>
          <w:szCs w:val="20"/>
        </w:rPr>
        <w:t>Stanga</w:t>
      </w:r>
      <w:proofErr w:type="spellEnd"/>
      <w:r w:rsidRPr="00605832">
        <w:rPr>
          <w:rFonts w:asciiTheme="minorHAnsi" w:hAnsiTheme="minorHAnsi" w:cs="Arial"/>
          <w:bCs/>
          <w:sz w:val="20"/>
          <w:szCs w:val="20"/>
        </w:rPr>
        <w:t xml:space="preserve"> 2007)</w:t>
      </w:r>
      <w:r w:rsidRPr="00605832">
        <w:rPr>
          <w:rFonts w:asciiTheme="minorHAnsi" w:hAnsiTheme="minorHAnsi" w:cs="Arial"/>
          <w:b/>
          <w:bCs/>
          <w:sz w:val="20"/>
          <w:szCs w:val="20"/>
        </w:rPr>
        <w:tab/>
      </w:r>
    </w:p>
    <w:tbl>
      <w:tblPr>
        <w:tblW w:w="917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245"/>
        <w:gridCol w:w="2528"/>
        <w:gridCol w:w="4405"/>
      </w:tblGrid>
      <w:tr w:rsidR="001534EB" w:rsidRPr="00605832" w:rsidTr="001534EB">
        <w:trPr>
          <w:trHeight w:val="426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534EB" w:rsidRPr="00605832" w:rsidRDefault="001534EB" w:rsidP="007D5EB3">
            <w:pPr>
              <w:pStyle w:val="Foo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534EB" w:rsidRPr="00605832" w:rsidRDefault="001534EB" w:rsidP="007D5EB3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 xml:space="preserve">Moderate risk of </w:t>
            </w:r>
            <w:proofErr w:type="spellStart"/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refeeding</w:t>
            </w:r>
            <w:proofErr w:type="spellEnd"/>
          </w:p>
          <w:p w:rsidR="001534EB" w:rsidRPr="00605832" w:rsidRDefault="001534EB" w:rsidP="007D5EB3">
            <w:pPr>
              <w:pStyle w:val="Foo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(See criteria in Adult Nutrition Support Policy, appendix C)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534EB" w:rsidRPr="00605832" w:rsidRDefault="001534EB" w:rsidP="007D5EB3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 xml:space="preserve">High risk of </w:t>
            </w:r>
            <w:proofErr w:type="spellStart"/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refeeding</w:t>
            </w:r>
            <w:proofErr w:type="spellEnd"/>
          </w:p>
          <w:p w:rsidR="001534EB" w:rsidRPr="00605832" w:rsidRDefault="001534EB" w:rsidP="007D5EB3">
            <w:pPr>
              <w:pStyle w:val="Foo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(See criteria in Adult Nutrition Support Policy, appendix C)</w:t>
            </w:r>
          </w:p>
        </w:tc>
      </w:tr>
      <w:tr w:rsidR="001534EB" w:rsidRPr="00605832" w:rsidTr="001534EB">
        <w:trPr>
          <w:trHeight w:val="866"/>
        </w:trPr>
        <w:tc>
          <w:tcPr>
            <w:tcW w:w="2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34EB" w:rsidRPr="00605832" w:rsidRDefault="001534EB" w:rsidP="007D5EB3">
            <w:pPr>
              <w:pStyle w:val="Foo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Patient on intravenous therapy only</w:t>
            </w:r>
          </w:p>
        </w:tc>
        <w:tc>
          <w:tcPr>
            <w:tcW w:w="693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4EB" w:rsidRPr="00605832" w:rsidRDefault="001534EB" w:rsidP="007D5EB3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High potency vitamins B &amp; C (</w:t>
            </w:r>
            <w:proofErr w:type="spellStart"/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Pabrinex</w:t>
            </w:r>
            <w:proofErr w:type="spellEnd"/>
            <w:r w:rsidRPr="00605832">
              <w:rPr>
                <w:rFonts w:asciiTheme="minorHAnsi" w:hAnsiTheme="minorHAnsi" w:cs="Arial"/>
                <w:bCs/>
                <w:sz w:val="20"/>
                <w:szCs w:val="20"/>
                <w:vertAlign w:val="superscript"/>
              </w:rPr>
              <w:t>®</w:t>
            </w: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) IV injection</w:t>
            </w:r>
          </w:p>
          <w:p w:rsidR="001534EB" w:rsidRPr="00605832" w:rsidRDefault="001534EB" w:rsidP="007D5EB3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 xml:space="preserve">Give ONE pair of ampoules ONCE a day for two days. </w:t>
            </w:r>
          </w:p>
          <w:p w:rsidR="001534EB" w:rsidRPr="00605832" w:rsidRDefault="001534EB" w:rsidP="007D5EB3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Administer in 100mls of sodium chloride 0.9% over at least 30mins. Please refer to Trust Smart Pump preparation guide if required.</w:t>
            </w:r>
          </w:p>
          <w:p w:rsidR="001534EB" w:rsidRPr="00605832" w:rsidRDefault="001534EB" w:rsidP="007D5EB3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 xml:space="preserve">(Patients with severe high risk of </w:t>
            </w:r>
            <w:proofErr w:type="spellStart"/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refeeding</w:t>
            </w:r>
            <w:proofErr w:type="spellEnd"/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 xml:space="preserve"> syndrome can be given 2 pairs up to 3 times a day. Please refer to NST for advice on these patients).</w:t>
            </w:r>
          </w:p>
        </w:tc>
      </w:tr>
      <w:tr w:rsidR="001534EB" w:rsidRPr="00605832" w:rsidTr="001534EB">
        <w:trPr>
          <w:trHeight w:val="1094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34EB" w:rsidRPr="00605832" w:rsidRDefault="001534EB" w:rsidP="007D5EB3">
            <w:pPr>
              <w:pStyle w:val="Foo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Patient able to tolerate oral or enteral therapy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534EB" w:rsidRPr="00605832" w:rsidRDefault="001534EB" w:rsidP="007D5EB3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Thiamine 100mg, three times daily for 10 days with a multivitamin once daily until on full rate feeding.</w:t>
            </w:r>
          </w:p>
        </w:tc>
        <w:tc>
          <w:tcPr>
            <w:tcW w:w="44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4EB" w:rsidRPr="00605832" w:rsidRDefault="001534EB" w:rsidP="007D5EB3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High strength vitamins B &amp; C (</w:t>
            </w:r>
            <w:proofErr w:type="spellStart"/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Pabrinex</w:t>
            </w:r>
            <w:proofErr w:type="spellEnd"/>
            <w:r w:rsidRPr="00605832">
              <w:rPr>
                <w:rFonts w:asciiTheme="minorHAnsi" w:hAnsiTheme="minorHAnsi" w:cs="Arial"/>
                <w:bCs/>
                <w:sz w:val="20"/>
                <w:szCs w:val="20"/>
                <w:vertAlign w:val="superscript"/>
              </w:rPr>
              <w:t>®</w:t>
            </w: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 xml:space="preserve">) injection as above. </w:t>
            </w:r>
          </w:p>
          <w:p w:rsidR="001534EB" w:rsidRPr="00605832" w:rsidRDefault="001534EB" w:rsidP="007D5EB3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Followed by oral thiamine 100mg three times a day and a multivitamin once daily for a total of 10 days.</w:t>
            </w:r>
          </w:p>
        </w:tc>
      </w:tr>
    </w:tbl>
    <w:p w:rsidR="008E2AC7" w:rsidRPr="00605832" w:rsidRDefault="008E2AC7">
      <w:pPr>
        <w:rPr>
          <w:sz w:val="20"/>
          <w:szCs w:val="20"/>
        </w:rPr>
      </w:pPr>
    </w:p>
    <w:p w:rsidR="008E2AC7" w:rsidRPr="00605832" w:rsidRDefault="008E2AC7">
      <w:pPr>
        <w:rPr>
          <w:sz w:val="20"/>
          <w:szCs w:val="20"/>
        </w:rPr>
      </w:pPr>
    </w:p>
    <w:p w:rsidR="008E2AC7" w:rsidRPr="00605832" w:rsidRDefault="008E2AC7" w:rsidP="008E2AC7">
      <w:pPr>
        <w:pStyle w:val="Caption"/>
        <w:keepNext/>
        <w:rPr>
          <w:sz w:val="24"/>
          <w:szCs w:val="24"/>
        </w:rPr>
      </w:pPr>
      <w:r w:rsidRPr="00605832">
        <w:rPr>
          <w:sz w:val="24"/>
          <w:szCs w:val="24"/>
        </w:rPr>
        <w:lastRenderedPageBreak/>
        <w:t xml:space="preserve">Figure </w:t>
      </w:r>
      <w:r w:rsidR="0085434F" w:rsidRPr="00605832">
        <w:rPr>
          <w:sz w:val="24"/>
          <w:szCs w:val="24"/>
        </w:rPr>
        <w:t>3</w:t>
      </w:r>
      <w:r w:rsidRPr="00605832">
        <w:rPr>
          <w:sz w:val="24"/>
          <w:szCs w:val="24"/>
        </w:rPr>
        <w:t xml:space="preserve">: Old Department </w:t>
      </w:r>
      <w:proofErr w:type="spellStart"/>
      <w:r w:rsidRPr="00605832">
        <w:rPr>
          <w:sz w:val="24"/>
          <w:szCs w:val="24"/>
        </w:rPr>
        <w:t>Refeeding</w:t>
      </w:r>
      <w:proofErr w:type="spellEnd"/>
      <w:r w:rsidRPr="00605832">
        <w:rPr>
          <w:sz w:val="24"/>
          <w:szCs w:val="24"/>
        </w:rPr>
        <w:t xml:space="preserve"> Guidelines </w:t>
      </w:r>
      <w:proofErr w:type="spellStart"/>
      <w:r w:rsidRPr="00605832">
        <w:rPr>
          <w:sz w:val="24"/>
          <w:szCs w:val="24"/>
        </w:rPr>
        <w:t>Vs</w:t>
      </w:r>
      <w:proofErr w:type="spellEnd"/>
      <w:r w:rsidRPr="00605832">
        <w:rPr>
          <w:sz w:val="24"/>
          <w:szCs w:val="24"/>
        </w:rPr>
        <w:t xml:space="preserve"> NICE GC32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8E2AC7" w:rsidRPr="00605832" w:rsidTr="0036280B">
        <w:tc>
          <w:tcPr>
            <w:tcW w:w="9242" w:type="dxa"/>
            <w:gridSpan w:val="3"/>
          </w:tcPr>
          <w:p w:rsidR="008E2AC7" w:rsidRPr="00605832" w:rsidRDefault="008E2AC7" w:rsidP="0036280B">
            <w:pPr>
              <w:rPr>
                <w:b/>
                <w:sz w:val="20"/>
                <w:szCs w:val="20"/>
              </w:rPr>
            </w:pPr>
            <w:r w:rsidRPr="00605832">
              <w:rPr>
                <w:b/>
                <w:sz w:val="20"/>
                <w:szCs w:val="20"/>
              </w:rPr>
              <w:t xml:space="preserve"> Old Guidelines Vs NICE GC32 recommendations </w:t>
            </w:r>
          </w:p>
        </w:tc>
      </w:tr>
      <w:tr w:rsidR="008E2AC7" w:rsidRPr="00605832" w:rsidTr="0036280B">
        <w:tc>
          <w:tcPr>
            <w:tcW w:w="3080" w:type="dxa"/>
          </w:tcPr>
          <w:p w:rsidR="008E2AC7" w:rsidRPr="00605832" w:rsidRDefault="008E2AC7" w:rsidP="0036280B">
            <w:pPr>
              <w:rPr>
                <w:b/>
                <w:sz w:val="20"/>
                <w:szCs w:val="20"/>
              </w:rPr>
            </w:pPr>
            <w:r w:rsidRPr="00605832">
              <w:rPr>
                <w:b/>
                <w:sz w:val="20"/>
                <w:szCs w:val="20"/>
              </w:rPr>
              <w:t xml:space="preserve">ST Georges Old Guidelines </w:t>
            </w:r>
          </w:p>
        </w:tc>
        <w:tc>
          <w:tcPr>
            <w:tcW w:w="3081" w:type="dxa"/>
          </w:tcPr>
          <w:p w:rsidR="008E2AC7" w:rsidRPr="00605832" w:rsidRDefault="008E2AC7" w:rsidP="0036280B">
            <w:pPr>
              <w:rPr>
                <w:b/>
                <w:sz w:val="20"/>
                <w:szCs w:val="20"/>
              </w:rPr>
            </w:pPr>
            <w:r w:rsidRPr="00605832">
              <w:rPr>
                <w:b/>
                <w:sz w:val="20"/>
                <w:szCs w:val="20"/>
              </w:rPr>
              <w:t xml:space="preserve">Does NICE recommend?  </w:t>
            </w:r>
          </w:p>
        </w:tc>
        <w:tc>
          <w:tcPr>
            <w:tcW w:w="3081" w:type="dxa"/>
          </w:tcPr>
          <w:p w:rsidR="008E2AC7" w:rsidRPr="00605832" w:rsidRDefault="008E2AC7" w:rsidP="0036280B">
            <w:pPr>
              <w:rPr>
                <w:b/>
                <w:sz w:val="20"/>
                <w:szCs w:val="20"/>
              </w:rPr>
            </w:pPr>
            <w:r w:rsidRPr="00605832">
              <w:rPr>
                <w:b/>
                <w:sz w:val="20"/>
                <w:szCs w:val="20"/>
              </w:rPr>
              <w:t xml:space="preserve">Comments </w:t>
            </w:r>
          </w:p>
        </w:tc>
      </w:tr>
      <w:tr w:rsidR="008E2AC7" w:rsidRPr="00605832" w:rsidTr="0036280B">
        <w:tc>
          <w:tcPr>
            <w:tcW w:w="3080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Determine Level of refeeding risk </w:t>
            </w:r>
          </w:p>
        </w:tc>
        <w:tc>
          <w:tcPr>
            <w:tcW w:w="3081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Yes </w:t>
            </w:r>
          </w:p>
        </w:tc>
        <w:tc>
          <w:tcPr>
            <w:tcW w:w="3081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</w:p>
        </w:tc>
      </w:tr>
      <w:tr w:rsidR="008E2AC7" w:rsidRPr="00605832" w:rsidTr="0036280B">
        <w:tc>
          <w:tcPr>
            <w:tcW w:w="3080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Check calcium, phosphate, magnesium and potassium </w:t>
            </w:r>
          </w:p>
        </w:tc>
        <w:tc>
          <w:tcPr>
            <w:tcW w:w="3081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No </w:t>
            </w:r>
          </w:p>
        </w:tc>
        <w:tc>
          <w:tcPr>
            <w:tcW w:w="3081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Does not recommend to check calcium levels </w:t>
            </w:r>
          </w:p>
        </w:tc>
      </w:tr>
      <w:tr w:rsidR="008E2AC7" w:rsidRPr="00605832" w:rsidTr="0036280B">
        <w:tc>
          <w:tcPr>
            <w:tcW w:w="3080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Start feeding at 5/10/20/ kcal/kg </w:t>
            </w:r>
          </w:p>
        </w:tc>
        <w:tc>
          <w:tcPr>
            <w:tcW w:w="3081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Yes </w:t>
            </w:r>
          </w:p>
        </w:tc>
        <w:tc>
          <w:tcPr>
            <w:tcW w:w="3081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</w:p>
        </w:tc>
      </w:tr>
      <w:tr w:rsidR="008E2AC7" w:rsidRPr="00605832" w:rsidTr="0036280B">
        <w:tc>
          <w:tcPr>
            <w:tcW w:w="3080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Nil By Mouth (NBM) patients: </w:t>
            </w:r>
          </w:p>
          <w:p w:rsidR="008E2AC7" w:rsidRPr="00605832" w:rsidRDefault="008E2AC7" w:rsidP="0036280B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High potency vitamins B &amp; C (</w:t>
            </w:r>
            <w:proofErr w:type="spellStart"/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Pabrinex</w:t>
            </w:r>
            <w:proofErr w:type="spellEnd"/>
            <w:r w:rsidRPr="00605832">
              <w:rPr>
                <w:rFonts w:asciiTheme="minorHAnsi" w:hAnsiTheme="minorHAnsi" w:cs="Arial"/>
                <w:bCs/>
                <w:sz w:val="20"/>
                <w:szCs w:val="20"/>
                <w:vertAlign w:val="superscript"/>
              </w:rPr>
              <w:t>®</w:t>
            </w: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) IV injection</w:t>
            </w:r>
          </w:p>
          <w:p w:rsidR="008E2AC7" w:rsidRPr="00605832" w:rsidRDefault="008E2AC7" w:rsidP="0036280B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 xml:space="preserve">Give ONE pair of ampoules ONCE a day for two days. </w:t>
            </w:r>
          </w:p>
          <w:p w:rsidR="008E2AC7" w:rsidRPr="00605832" w:rsidRDefault="008E2AC7" w:rsidP="0036280B">
            <w:pPr>
              <w:rPr>
                <w:sz w:val="20"/>
                <w:szCs w:val="20"/>
              </w:rPr>
            </w:pPr>
          </w:p>
        </w:tc>
        <w:tc>
          <w:tcPr>
            <w:tcW w:w="3081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No </w:t>
            </w:r>
          </w:p>
        </w:tc>
        <w:tc>
          <w:tcPr>
            <w:tcW w:w="3081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NICE recommends to give for 10 days </w:t>
            </w:r>
          </w:p>
        </w:tc>
      </w:tr>
      <w:tr w:rsidR="008E2AC7" w:rsidRPr="00605832" w:rsidTr="0036280B">
        <w:tc>
          <w:tcPr>
            <w:tcW w:w="3080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Non NBM patients: </w:t>
            </w:r>
          </w:p>
          <w:p w:rsidR="008E2AC7" w:rsidRPr="00605832" w:rsidRDefault="008E2AC7" w:rsidP="0036280B">
            <w:pPr>
              <w:pStyle w:val="Footer"/>
              <w:tabs>
                <w:tab w:val="left" w:pos="3420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High strength vitamins B &amp; C (</w:t>
            </w:r>
            <w:proofErr w:type="spellStart"/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Pabrinex</w:t>
            </w:r>
            <w:proofErr w:type="spellEnd"/>
            <w:r w:rsidRPr="00605832">
              <w:rPr>
                <w:rFonts w:asciiTheme="minorHAnsi" w:hAnsiTheme="minorHAnsi" w:cs="Arial"/>
                <w:bCs/>
                <w:sz w:val="20"/>
                <w:szCs w:val="20"/>
                <w:vertAlign w:val="superscript"/>
              </w:rPr>
              <w:t>®</w:t>
            </w:r>
            <w:r w:rsidRPr="00605832">
              <w:rPr>
                <w:rFonts w:asciiTheme="minorHAnsi" w:hAnsiTheme="minorHAnsi" w:cs="Arial"/>
                <w:bCs/>
                <w:sz w:val="20"/>
                <w:szCs w:val="20"/>
              </w:rPr>
              <w:t>) injection</w:t>
            </w:r>
          </w:p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rFonts w:cs="Arial"/>
                <w:bCs/>
                <w:sz w:val="20"/>
                <w:szCs w:val="20"/>
              </w:rPr>
              <w:t xml:space="preserve">Followed by oral thiamine 100mg three times a day </w:t>
            </w:r>
          </w:p>
        </w:tc>
        <w:tc>
          <w:tcPr>
            <w:tcW w:w="3081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No </w:t>
            </w:r>
          </w:p>
        </w:tc>
        <w:tc>
          <w:tcPr>
            <w:tcW w:w="3081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NICE recommends prescribing: Vitamin B co strong 1-2 tablets three </w:t>
            </w:r>
            <w:proofErr w:type="gramStart"/>
            <w:r w:rsidRPr="00605832">
              <w:rPr>
                <w:sz w:val="20"/>
                <w:szCs w:val="20"/>
              </w:rPr>
              <w:t>times</w:t>
            </w:r>
            <w:proofErr w:type="gramEnd"/>
            <w:r w:rsidRPr="00605832">
              <w:rPr>
                <w:sz w:val="20"/>
                <w:szCs w:val="20"/>
              </w:rPr>
              <w:t xml:space="preserve"> day and Thiamine 200-300 mg daily. Prescribing IV medications when the patient can have oral medications is not cost effective. </w:t>
            </w:r>
          </w:p>
        </w:tc>
      </w:tr>
      <w:tr w:rsidR="008E2AC7" w:rsidRPr="00605832" w:rsidTr="0036280B">
        <w:tc>
          <w:tcPr>
            <w:tcW w:w="3080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Send of for further potassium magnesium, calcium and phosphate 6-12 hours after initiating of feeding  </w:t>
            </w:r>
          </w:p>
        </w:tc>
        <w:tc>
          <w:tcPr>
            <w:tcW w:w="3081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No </w:t>
            </w:r>
          </w:p>
        </w:tc>
        <w:tc>
          <w:tcPr>
            <w:tcW w:w="3081" w:type="dxa"/>
            <w:shd w:val="clear" w:color="auto" w:fill="B6DDE8" w:themeFill="accent5" w:themeFillTint="66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This is impractical. NICE suggests checking Magnesium, Potassium and Phosphate until in normal range </w:t>
            </w:r>
          </w:p>
        </w:tc>
      </w:tr>
      <w:tr w:rsidR="008E2AC7" w:rsidRPr="00605832" w:rsidTr="0036280B">
        <w:tc>
          <w:tcPr>
            <w:tcW w:w="3080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Follow replacement guidelines of electrolyte levels are low. </w:t>
            </w:r>
          </w:p>
        </w:tc>
        <w:tc>
          <w:tcPr>
            <w:tcW w:w="3081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Yes </w:t>
            </w:r>
          </w:p>
        </w:tc>
        <w:tc>
          <w:tcPr>
            <w:tcW w:w="3081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</w:p>
        </w:tc>
      </w:tr>
      <w:tr w:rsidR="008E2AC7" w:rsidRPr="00605832" w:rsidTr="0036280B">
        <w:tc>
          <w:tcPr>
            <w:tcW w:w="3080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Dietitian will review feed rate as required </w:t>
            </w:r>
          </w:p>
        </w:tc>
        <w:tc>
          <w:tcPr>
            <w:tcW w:w="3081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Not covered in NICE </w:t>
            </w:r>
          </w:p>
        </w:tc>
        <w:tc>
          <w:tcPr>
            <w:tcW w:w="3081" w:type="dxa"/>
          </w:tcPr>
          <w:p w:rsidR="008E2AC7" w:rsidRPr="00605832" w:rsidRDefault="008E2AC7" w:rsidP="0036280B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Implied guidelines are only for tube feeds and not patients who eat orally </w:t>
            </w:r>
          </w:p>
        </w:tc>
      </w:tr>
    </w:tbl>
    <w:p w:rsidR="008E2AC7" w:rsidRPr="00605832" w:rsidRDefault="008E2AC7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85434F" w:rsidRPr="00605832" w:rsidRDefault="0085434F">
      <w:pPr>
        <w:rPr>
          <w:sz w:val="20"/>
          <w:szCs w:val="20"/>
        </w:rPr>
      </w:pPr>
    </w:p>
    <w:p w:rsidR="0085434F" w:rsidRPr="00605832" w:rsidRDefault="0085434F">
      <w:pPr>
        <w:rPr>
          <w:sz w:val="20"/>
          <w:szCs w:val="20"/>
        </w:rPr>
      </w:pPr>
    </w:p>
    <w:p w:rsidR="0085434F" w:rsidRDefault="0085434F">
      <w:pPr>
        <w:rPr>
          <w:sz w:val="20"/>
          <w:szCs w:val="20"/>
        </w:rPr>
      </w:pPr>
    </w:p>
    <w:p w:rsidR="00605832" w:rsidRDefault="00605832">
      <w:pPr>
        <w:rPr>
          <w:sz w:val="20"/>
          <w:szCs w:val="20"/>
        </w:rPr>
      </w:pPr>
    </w:p>
    <w:p w:rsidR="00605832" w:rsidRDefault="00605832">
      <w:pPr>
        <w:rPr>
          <w:sz w:val="20"/>
          <w:szCs w:val="20"/>
        </w:rPr>
      </w:pPr>
    </w:p>
    <w:p w:rsidR="00605832" w:rsidRPr="00605832" w:rsidRDefault="00605832">
      <w:pPr>
        <w:rPr>
          <w:sz w:val="20"/>
          <w:szCs w:val="20"/>
        </w:rPr>
      </w:pPr>
    </w:p>
    <w:p w:rsidR="0085434F" w:rsidRPr="00605832" w:rsidRDefault="0085434F">
      <w:pPr>
        <w:rPr>
          <w:sz w:val="20"/>
          <w:szCs w:val="20"/>
        </w:rPr>
      </w:pPr>
    </w:p>
    <w:p w:rsidR="0085434F" w:rsidRPr="00605832" w:rsidRDefault="0085434F">
      <w:pPr>
        <w:rPr>
          <w:sz w:val="20"/>
          <w:szCs w:val="20"/>
        </w:rPr>
      </w:pPr>
    </w:p>
    <w:p w:rsidR="0085434F" w:rsidRPr="00605832" w:rsidRDefault="0085434F" w:rsidP="0085434F">
      <w:pPr>
        <w:pStyle w:val="Caption"/>
        <w:keepNext/>
        <w:rPr>
          <w:sz w:val="24"/>
          <w:szCs w:val="24"/>
        </w:rPr>
      </w:pPr>
      <w:r w:rsidRPr="00605832">
        <w:rPr>
          <w:sz w:val="24"/>
          <w:szCs w:val="24"/>
        </w:rPr>
        <w:t xml:space="preserve">Figure 4: Cost of </w:t>
      </w:r>
      <w:proofErr w:type="spellStart"/>
      <w:r w:rsidRPr="00605832">
        <w:rPr>
          <w:sz w:val="24"/>
          <w:szCs w:val="24"/>
        </w:rPr>
        <w:t>Refeeding</w:t>
      </w:r>
      <w:proofErr w:type="spellEnd"/>
      <w:r w:rsidRPr="00605832">
        <w:rPr>
          <w:sz w:val="24"/>
          <w:szCs w:val="24"/>
        </w:rPr>
        <w:t xml:space="preserve"> Medication</w:t>
      </w:r>
    </w:p>
    <w:tbl>
      <w:tblPr>
        <w:tblW w:w="5000" w:type="pct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9"/>
        <w:gridCol w:w="1018"/>
        <w:gridCol w:w="1369"/>
        <w:gridCol w:w="1811"/>
        <w:gridCol w:w="1811"/>
        <w:gridCol w:w="1808"/>
      </w:tblGrid>
      <w:tr w:rsidR="002D5CE5" w:rsidRPr="00605832" w:rsidTr="002D5CE5">
        <w:tc>
          <w:tcPr>
            <w:tcW w:w="684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​Preparation   </w:t>
            </w:r>
          </w:p>
        </w:tc>
        <w:tc>
          <w:tcPr>
            <w:tcW w:w="562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​Pack size   </w:t>
            </w:r>
          </w:p>
        </w:tc>
        <w:tc>
          <w:tcPr>
            <w:tcW w:w="756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​Price per pack  (SGH)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​Price per dose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2D5CE5">
            <w:pPr>
              <w:spacing w:after="0"/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Cost for 3 days </w:t>
            </w:r>
          </w:p>
          <w:p w:rsidR="002D5CE5" w:rsidRPr="00605832" w:rsidRDefault="002D5CE5" w:rsidP="002D5CE5">
            <w:pPr>
              <w:spacing w:after="0"/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old guidelines </w:t>
            </w:r>
          </w:p>
          <w:p w:rsidR="002D5CE5" w:rsidRPr="00605832" w:rsidRDefault="002D5CE5" w:rsidP="002D5CE5">
            <w:pPr>
              <w:spacing w:after="0"/>
              <w:rPr>
                <w:sz w:val="20"/>
                <w:szCs w:val="20"/>
              </w:rPr>
            </w:pPr>
          </w:p>
          <w:p w:rsidR="002D5CE5" w:rsidRPr="00605832" w:rsidRDefault="002D5CE5" w:rsidP="002D5CE5">
            <w:pPr>
              <w:spacing w:after="0"/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(excluding multivitamin)</w:t>
            </w:r>
          </w:p>
        </w:tc>
        <w:tc>
          <w:tcPr>
            <w:tcW w:w="999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Cost for 3 days New guidelines</w:t>
            </w:r>
          </w:p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 *Lowest dose*</w:t>
            </w:r>
          </w:p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(excluding multivitamin)</w:t>
            </w:r>
          </w:p>
        </w:tc>
      </w:tr>
      <w:tr w:rsidR="002D5CE5" w:rsidRPr="00605832" w:rsidTr="002D5CE5">
        <w:tc>
          <w:tcPr>
            <w:tcW w:w="684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</w:t>
            </w:r>
            <w:proofErr w:type="spellStart"/>
            <w:r w:rsidRPr="00605832">
              <w:rPr>
                <w:sz w:val="20"/>
                <w:szCs w:val="20"/>
              </w:rPr>
              <w:t>Abidec</w:t>
            </w:r>
            <w:proofErr w:type="spellEnd"/>
          </w:p>
        </w:tc>
        <w:tc>
          <w:tcPr>
            <w:tcW w:w="562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​25ml</w:t>
            </w:r>
          </w:p>
        </w:tc>
        <w:tc>
          <w:tcPr>
            <w:tcW w:w="756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​£4.42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​1.2ml = 21 p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</w:p>
        </w:tc>
        <w:tc>
          <w:tcPr>
            <w:tcW w:w="999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</w:p>
        </w:tc>
      </w:tr>
      <w:tr w:rsidR="002D5CE5" w:rsidRPr="00605832" w:rsidTr="002D5CE5">
        <w:tc>
          <w:tcPr>
            <w:tcW w:w="684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</w:t>
            </w:r>
            <w:proofErr w:type="spellStart"/>
            <w:r w:rsidRPr="00605832">
              <w:rPr>
                <w:sz w:val="20"/>
                <w:szCs w:val="20"/>
              </w:rPr>
              <w:t>Valupak</w:t>
            </w:r>
            <w:proofErr w:type="spellEnd"/>
          </w:p>
        </w:tc>
        <w:tc>
          <w:tcPr>
            <w:tcW w:w="562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​28 tablets   </w:t>
            </w:r>
          </w:p>
        </w:tc>
        <w:tc>
          <w:tcPr>
            <w:tcW w:w="756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​£3.99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​1 tablet = 14 p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</w:p>
        </w:tc>
        <w:tc>
          <w:tcPr>
            <w:tcW w:w="999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</w:p>
        </w:tc>
      </w:tr>
      <w:tr w:rsidR="002D5CE5" w:rsidRPr="00605832" w:rsidTr="002D5CE5">
        <w:tc>
          <w:tcPr>
            <w:tcW w:w="684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</w:t>
            </w:r>
            <w:proofErr w:type="spellStart"/>
            <w:r w:rsidRPr="00605832">
              <w:rPr>
                <w:sz w:val="20"/>
                <w:szCs w:val="20"/>
              </w:rPr>
              <w:t>Sanatogen</w:t>
            </w:r>
            <w:proofErr w:type="spellEnd"/>
            <w:r w:rsidRPr="00605832">
              <w:rPr>
                <w:sz w:val="20"/>
                <w:szCs w:val="20"/>
              </w:rPr>
              <w:t xml:space="preserve"> A-Z   </w:t>
            </w:r>
          </w:p>
        </w:tc>
        <w:tc>
          <w:tcPr>
            <w:tcW w:w="562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​30 tablets   </w:t>
            </w:r>
          </w:p>
        </w:tc>
        <w:tc>
          <w:tcPr>
            <w:tcW w:w="756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​£2.56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​1 tablet = 9 p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</w:p>
        </w:tc>
        <w:tc>
          <w:tcPr>
            <w:tcW w:w="999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</w:p>
        </w:tc>
      </w:tr>
      <w:tr w:rsidR="002D5CE5" w:rsidRPr="00605832" w:rsidTr="002D5CE5">
        <w:trPr>
          <w:trHeight w:val="50"/>
        </w:trPr>
        <w:tc>
          <w:tcPr>
            <w:tcW w:w="684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</w:t>
            </w:r>
            <w:proofErr w:type="spellStart"/>
            <w:r w:rsidRPr="00605832">
              <w:rPr>
                <w:sz w:val="20"/>
                <w:szCs w:val="20"/>
              </w:rPr>
              <w:t>Pabrinex</w:t>
            </w:r>
            <w:proofErr w:type="spellEnd"/>
          </w:p>
        </w:tc>
        <w:tc>
          <w:tcPr>
            <w:tcW w:w="562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​6 pairs   </w:t>
            </w:r>
          </w:p>
        </w:tc>
        <w:tc>
          <w:tcPr>
            <w:tcW w:w="756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​£18.01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  <w:hideMark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>​1 pair = £3.00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sz w:val="20"/>
                <w:szCs w:val="20"/>
              </w:rPr>
              <w:t xml:space="preserve">1 pair/day£9 </w:t>
            </w:r>
          </w:p>
        </w:tc>
        <w:tc>
          <w:tcPr>
            <w:tcW w:w="999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</w:p>
        </w:tc>
      </w:tr>
      <w:tr w:rsidR="002D5CE5" w:rsidRPr="00605832" w:rsidTr="002D5CE5">
        <w:trPr>
          <w:trHeight w:val="50"/>
        </w:trPr>
        <w:tc>
          <w:tcPr>
            <w:tcW w:w="684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>Thiamine</w:t>
            </w:r>
          </w:p>
        </w:tc>
        <w:tc>
          <w:tcPr>
            <w:tcW w:w="562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>packs of 100 x 100mg tablets</w:t>
            </w:r>
          </w:p>
        </w:tc>
        <w:tc>
          <w:tcPr>
            <w:tcW w:w="756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>£4.54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>price per 100mg dose = 4.5 p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9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color w:val="000000"/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 xml:space="preserve">100 mg BD/day  = 9p per day </w:t>
            </w:r>
          </w:p>
          <w:p w:rsidR="002D5CE5" w:rsidRPr="00605832" w:rsidRDefault="002D5CE5" w:rsidP="007D5EB3">
            <w:pPr>
              <w:rPr>
                <w:color w:val="000000"/>
                <w:sz w:val="20"/>
                <w:szCs w:val="20"/>
              </w:rPr>
            </w:pPr>
          </w:p>
          <w:p w:rsidR="002D5CE5" w:rsidRPr="00605832" w:rsidRDefault="002D5CE5" w:rsidP="007D5EB3">
            <w:pPr>
              <w:rPr>
                <w:color w:val="000000"/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 xml:space="preserve">Over 3 days = 0.27p </w:t>
            </w:r>
          </w:p>
        </w:tc>
      </w:tr>
      <w:tr w:rsidR="002D5CE5" w:rsidRPr="00605832" w:rsidTr="002D5CE5">
        <w:trPr>
          <w:trHeight w:val="50"/>
        </w:trPr>
        <w:tc>
          <w:tcPr>
            <w:tcW w:w="684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>Vitamin B Co Strong</w:t>
            </w:r>
          </w:p>
        </w:tc>
        <w:tc>
          <w:tcPr>
            <w:tcW w:w="562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>packs of 28 tablets</w:t>
            </w:r>
          </w:p>
        </w:tc>
        <w:tc>
          <w:tcPr>
            <w:tcW w:w="756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>£4.14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vAlign w:val="center"/>
          </w:tcPr>
          <w:p w:rsidR="002D5CE5" w:rsidRPr="00605832" w:rsidRDefault="002D5CE5" w:rsidP="007D5EB3">
            <w:pPr>
              <w:rPr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>price per tablet = 15p</w:t>
            </w:r>
          </w:p>
        </w:tc>
        <w:tc>
          <w:tcPr>
            <w:tcW w:w="1000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9" w:type="pct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</w:tcPr>
          <w:p w:rsidR="002D5CE5" w:rsidRPr="00605832" w:rsidRDefault="002D5CE5" w:rsidP="007D5EB3">
            <w:pPr>
              <w:rPr>
                <w:color w:val="000000"/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 xml:space="preserve">1 tablets TDS/ day = 3 tablets = £1.35  </w:t>
            </w:r>
          </w:p>
          <w:p w:rsidR="002D5CE5" w:rsidRPr="00605832" w:rsidRDefault="002D5CE5" w:rsidP="007D5EB3">
            <w:pPr>
              <w:rPr>
                <w:color w:val="000000"/>
                <w:sz w:val="20"/>
                <w:szCs w:val="20"/>
              </w:rPr>
            </w:pPr>
            <w:r w:rsidRPr="00605832">
              <w:rPr>
                <w:color w:val="000000"/>
                <w:sz w:val="20"/>
                <w:szCs w:val="20"/>
              </w:rPr>
              <w:t xml:space="preserve">Over 3 days = £4.05 </w:t>
            </w:r>
          </w:p>
        </w:tc>
      </w:tr>
    </w:tbl>
    <w:p w:rsidR="0085434F" w:rsidRPr="00605832" w:rsidRDefault="0085434F">
      <w:pPr>
        <w:rPr>
          <w:sz w:val="20"/>
          <w:szCs w:val="20"/>
        </w:rPr>
      </w:pPr>
    </w:p>
    <w:p w:rsidR="0085434F" w:rsidRPr="00605832" w:rsidRDefault="0085434F">
      <w:pPr>
        <w:rPr>
          <w:sz w:val="20"/>
          <w:szCs w:val="20"/>
        </w:rPr>
      </w:pPr>
    </w:p>
    <w:p w:rsidR="0085434F" w:rsidRPr="00605832" w:rsidRDefault="0085434F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 w:rsidP="00C67D02">
      <w:pPr>
        <w:rPr>
          <w:rFonts w:cs="Arial"/>
          <w:b/>
          <w:sz w:val="20"/>
          <w:szCs w:val="20"/>
          <w:u w:val="single"/>
        </w:rPr>
      </w:pPr>
      <w:bookmarkStart w:id="0" w:name="_GoBack"/>
      <w:bookmarkEnd w:id="0"/>
      <w:r w:rsidRPr="00605832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76118" wp14:editId="7074ACC8">
                <wp:simplePos x="0" y="0"/>
                <wp:positionH relativeFrom="column">
                  <wp:posOffset>-76200</wp:posOffset>
                </wp:positionH>
                <wp:positionV relativeFrom="paragraph">
                  <wp:posOffset>-140335</wp:posOffset>
                </wp:positionV>
                <wp:extent cx="5797550" cy="219075"/>
                <wp:effectExtent l="0" t="0" r="0" b="9525"/>
                <wp:wrapTight wrapText="bothSides">
                  <wp:wrapPolygon edited="0">
                    <wp:start x="0" y="0"/>
                    <wp:lineTo x="0" y="20661"/>
                    <wp:lineTo x="21505" y="20661"/>
                    <wp:lineTo x="21505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D02" w:rsidRPr="008E2AC7" w:rsidRDefault="00C67D02" w:rsidP="00C67D02">
                            <w:pPr>
                              <w:pStyle w:val="Caption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E2AC7"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85434F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8E2AC7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E2AC7">
                              <w:rPr>
                                <w:sz w:val="24"/>
                                <w:szCs w:val="24"/>
                              </w:rPr>
                              <w:t>Refeeding</w:t>
                            </w:r>
                            <w:proofErr w:type="spellEnd"/>
                            <w:r w:rsidRPr="008E2AC7">
                              <w:rPr>
                                <w:sz w:val="24"/>
                                <w:szCs w:val="24"/>
                              </w:rPr>
                              <w:t xml:space="preserve"> Guide for Doctors: Bloods and Prescribing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-11.05pt;width:456.5pt;height:1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" stroked="f">
                <v:textbox inset="0,0,0,0">
                  <w:txbxContent>
                    <w:p w:rsidR="00C67D02" w:rsidRPr="008E2AC7" w:rsidRDefault="00C67D02" w:rsidP="00C67D02">
                      <w:pPr>
                        <w:pStyle w:val="Caption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8E2AC7">
                        <w:rPr>
                          <w:sz w:val="24"/>
                          <w:szCs w:val="24"/>
                        </w:rPr>
                        <w:t xml:space="preserve">Figure </w:t>
                      </w:r>
                      <w:r w:rsidR="0085434F">
                        <w:rPr>
                          <w:sz w:val="24"/>
                          <w:szCs w:val="24"/>
                        </w:rPr>
                        <w:t>5</w:t>
                      </w:r>
                      <w:r w:rsidRPr="008E2AC7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E2AC7">
                        <w:rPr>
                          <w:sz w:val="24"/>
                          <w:szCs w:val="24"/>
                        </w:rPr>
                        <w:t>Refeeding</w:t>
                      </w:r>
                      <w:proofErr w:type="spellEnd"/>
                      <w:r w:rsidRPr="008E2AC7">
                        <w:rPr>
                          <w:sz w:val="24"/>
                          <w:szCs w:val="24"/>
                        </w:rPr>
                        <w:t xml:space="preserve"> Guide for Doctors: Bloods and Prescribing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05832">
        <w:rPr>
          <w:noProof/>
          <w:sz w:val="20"/>
          <w:szCs w:val="20"/>
          <w:lang w:eastAsia="en-GB"/>
        </w:rPr>
        <w:drawing>
          <wp:anchor distT="0" distB="1351" distL="151039" distR="157927" simplePos="0" relativeHeight="251659264" behindDoc="1" locked="0" layoutInCell="1" allowOverlap="1" wp14:anchorId="47157768" wp14:editId="1D92A946">
            <wp:simplePos x="0" y="0"/>
            <wp:positionH relativeFrom="column">
              <wp:posOffset>-132171</wp:posOffset>
            </wp:positionH>
            <wp:positionV relativeFrom="paragraph">
              <wp:posOffset>205740</wp:posOffset>
            </wp:positionV>
            <wp:extent cx="5797550" cy="8879205"/>
            <wp:effectExtent l="76200" t="38100" r="107950" b="112395"/>
            <wp:wrapTight wrapText="bothSides">
              <wp:wrapPolygon edited="0">
                <wp:start x="71" y="-93"/>
                <wp:lineTo x="-284" y="0"/>
                <wp:lineTo x="-284" y="21503"/>
                <wp:lineTo x="213" y="21827"/>
                <wp:lineTo x="21434" y="21827"/>
                <wp:lineTo x="21505" y="21734"/>
                <wp:lineTo x="21860" y="21503"/>
                <wp:lineTo x="21789" y="16312"/>
                <wp:lineTo x="21647" y="14829"/>
                <wp:lineTo x="21931" y="14134"/>
                <wp:lineTo x="21931" y="11122"/>
                <wp:lineTo x="21292" y="10427"/>
                <wp:lineTo x="21292" y="10381"/>
                <wp:lineTo x="21860" y="9685"/>
                <wp:lineTo x="21860" y="6673"/>
                <wp:lineTo x="21505" y="5932"/>
                <wp:lineTo x="21931" y="5237"/>
                <wp:lineTo x="21931" y="2966"/>
                <wp:lineTo x="21576" y="2271"/>
                <wp:lineTo x="21576" y="2224"/>
                <wp:lineTo x="21931" y="1529"/>
                <wp:lineTo x="21931" y="741"/>
                <wp:lineTo x="21505" y="46"/>
                <wp:lineTo x="21505" y="-93"/>
                <wp:lineTo x="71" y="-93"/>
              </wp:wrapPolygon>
            </wp:wrapTight>
            <wp:docPr id="12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AC7" w:rsidRPr="00D24C55" w:rsidRDefault="008E2AC7" w:rsidP="008E2AC7">
      <w:pPr>
        <w:pStyle w:val="Caption"/>
        <w:keepNext/>
        <w:rPr>
          <w:sz w:val="24"/>
          <w:szCs w:val="24"/>
        </w:rPr>
      </w:pPr>
      <w:r w:rsidRPr="00D24C55">
        <w:rPr>
          <w:sz w:val="24"/>
          <w:szCs w:val="24"/>
        </w:rPr>
        <w:t xml:space="preserve">Figure </w:t>
      </w:r>
      <w:r w:rsidR="0085434F" w:rsidRPr="00D24C55">
        <w:rPr>
          <w:sz w:val="24"/>
          <w:szCs w:val="24"/>
        </w:rPr>
        <w:t>6</w:t>
      </w:r>
      <w:r w:rsidRPr="00D24C55">
        <w:rPr>
          <w:sz w:val="24"/>
          <w:szCs w:val="24"/>
        </w:rPr>
        <w:t xml:space="preserve">: </w:t>
      </w:r>
      <w:proofErr w:type="spellStart"/>
      <w:r w:rsidRPr="00D24C55">
        <w:rPr>
          <w:sz w:val="24"/>
          <w:szCs w:val="24"/>
        </w:rPr>
        <w:t>Pabrinex</w:t>
      </w:r>
      <w:proofErr w:type="spellEnd"/>
      <w:r w:rsidRPr="00D24C55">
        <w:rPr>
          <w:sz w:val="24"/>
          <w:szCs w:val="24"/>
        </w:rPr>
        <w:t>/Thiamine prescription in first 24 hours</w:t>
      </w:r>
    </w:p>
    <w:p w:rsidR="008E2AC7" w:rsidRPr="00605832" w:rsidRDefault="00CA783A" w:rsidP="008E2AC7">
      <w:pPr>
        <w:pStyle w:val="Caption"/>
        <w:keepNext/>
        <w:rPr>
          <w:sz w:val="20"/>
          <w:szCs w:val="20"/>
        </w:rPr>
      </w:pPr>
      <w:r w:rsidRPr="00605832">
        <w:rPr>
          <w:noProof/>
          <w:sz w:val="20"/>
          <w:szCs w:val="20"/>
          <w:lang w:eastAsia="en-GB"/>
        </w:rPr>
        <w:drawing>
          <wp:inline distT="0" distB="0" distL="0" distR="0" wp14:anchorId="1E74A9C4" wp14:editId="7CA174AE">
            <wp:extent cx="4572000" cy="2743200"/>
            <wp:effectExtent l="0" t="0" r="19050" b="1905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E2AC7" w:rsidRPr="00605832" w:rsidRDefault="008E2AC7" w:rsidP="008E2AC7">
      <w:pPr>
        <w:pStyle w:val="Caption"/>
        <w:keepNext/>
        <w:rPr>
          <w:sz w:val="20"/>
          <w:szCs w:val="20"/>
        </w:rPr>
      </w:pPr>
    </w:p>
    <w:p w:rsidR="008E2AC7" w:rsidRPr="00605832" w:rsidRDefault="008E2AC7" w:rsidP="008E2AC7">
      <w:pPr>
        <w:pStyle w:val="Caption"/>
        <w:keepNext/>
        <w:rPr>
          <w:sz w:val="20"/>
          <w:szCs w:val="20"/>
        </w:rPr>
      </w:pPr>
      <w:r w:rsidRPr="00605832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06250E" wp14:editId="5BC86EDD">
                <wp:simplePos x="0" y="0"/>
                <wp:positionH relativeFrom="column">
                  <wp:posOffset>-138430</wp:posOffset>
                </wp:positionH>
                <wp:positionV relativeFrom="paragraph">
                  <wp:posOffset>104775</wp:posOffset>
                </wp:positionV>
                <wp:extent cx="4572000" cy="275590"/>
                <wp:effectExtent l="0" t="0" r="0" b="0"/>
                <wp:wrapTight wrapText="bothSides">
                  <wp:wrapPolygon edited="0">
                    <wp:start x="0" y="0"/>
                    <wp:lineTo x="0" y="19410"/>
                    <wp:lineTo x="21510" y="19410"/>
                    <wp:lineTo x="2151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55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2AC7" w:rsidRPr="008E2AC7" w:rsidRDefault="008E2AC7" w:rsidP="008E2AC7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8E2AC7"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85434F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8E2AC7">
                              <w:rPr>
                                <w:sz w:val="24"/>
                                <w:szCs w:val="24"/>
                              </w:rPr>
                              <w:t>: Baseline Bloods Replacement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10.9pt;margin-top:8.25pt;width:5in;height:21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" stroked="f">
                <v:textbox inset="0,0,0,0">
                  <w:txbxContent>
                    <w:p w:rsidR="008E2AC7" w:rsidRPr="008E2AC7" w:rsidRDefault="008E2AC7" w:rsidP="008E2AC7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 w:rsidRPr="008E2AC7">
                        <w:rPr>
                          <w:sz w:val="24"/>
                          <w:szCs w:val="24"/>
                        </w:rPr>
                        <w:t xml:space="preserve">Figure </w:t>
                      </w:r>
                      <w:r w:rsidR="0085434F">
                        <w:rPr>
                          <w:sz w:val="24"/>
                          <w:szCs w:val="24"/>
                        </w:rPr>
                        <w:t>7</w:t>
                      </w:r>
                      <w:r w:rsidRPr="008E2AC7">
                        <w:rPr>
                          <w:sz w:val="24"/>
                          <w:szCs w:val="24"/>
                        </w:rPr>
                        <w:t>: Baseline Bloods Replacement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E2AC7" w:rsidRPr="00605832" w:rsidRDefault="00B75458" w:rsidP="008E2AC7">
      <w:pPr>
        <w:pStyle w:val="Caption"/>
        <w:keepNext/>
        <w:rPr>
          <w:sz w:val="20"/>
          <w:szCs w:val="20"/>
        </w:rPr>
      </w:pPr>
      <w:r w:rsidRPr="00605832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7456" behindDoc="1" locked="0" layoutInCell="1" allowOverlap="1" wp14:anchorId="70220B01" wp14:editId="650D1E38">
            <wp:simplePos x="0" y="0"/>
            <wp:positionH relativeFrom="column">
              <wp:posOffset>-4572000</wp:posOffset>
            </wp:positionH>
            <wp:positionV relativeFrom="paragraph">
              <wp:posOffset>170180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AC7" w:rsidRPr="00605832" w:rsidRDefault="008E2AC7" w:rsidP="008E2AC7">
      <w:pPr>
        <w:pStyle w:val="Caption"/>
        <w:keepNext/>
        <w:rPr>
          <w:sz w:val="20"/>
          <w:szCs w:val="20"/>
        </w:rPr>
      </w:pPr>
    </w:p>
    <w:p w:rsidR="008E2AC7" w:rsidRPr="00605832" w:rsidRDefault="008E2AC7" w:rsidP="008E2AC7">
      <w:pPr>
        <w:pStyle w:val="Caption"/>
        <w:keepNext/>
        <w:rPr>
          <w:sz w:val="20"/>
          <w:szCs w:val="20"/>
        </w:rPr>
      </w:pPr>
    </w:p>
    <w:p w:rsidR="008E2AC7" w:rsidRPr="00605832" w:rsidRDefault="008E2AC7" w:rsidP="008E2AC7">
      <w:pPr>
        <w:pStyle w:val="Caption"/>
        <w:keepNext/>
        <w:rPr>
          <w:sz w:val="20"/>
          <w:szCs w:val="20"/>
        </w:rPr>
      </w:pPr>
    </w:p>
    <w:p w:rsidR="008E2AC7" w:rsidRPr="00605832" w:rsidRDefault="008E2AC7" w:rsidP="008E2AC7">
      <w:pPr>
        <w:pStyle w:val="Caption"/>
        <w:keepNext/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Default="00C67D02">
      <w:pPr>
        <w:rPr>
          <w:sz w:val="20"/>
          <w:szCs w:val="20"/>
        </w:rPr>
      </w:pPr>
    </w:p>
    <w:p w:rsidR="00D24C55" w:rsidRPr="00D24C55" w:rsidRDefault="00D24C55">
      <w:pPr>
        <w:rPr>
          <w:sz w:val="24"/>
          <w:szCs w:val="24"/>
        </w:rPr>
      </w:pPr>
    </w:p>
    <w:p w:rsidR="00C67D02" w:rsidRPr="00D24C55" w:rsidRDefault="008E2AC7">
      <w:pPr>
        <w:rPr>
          <w:sz w:val="24"/>
          <w:szCs w:val="24"/>
        </w:rPr>
      </w:pPr>
      <w:r w:rsidRPr="00D24C55">
        <w:rPr>
          <w:sz w:val="24"/>
          <w:szCs w:val="24"/>
        </w:rPr>
        <w:t xml:space="preserve">References </w:t>
      </w:r>
    </w:p>
    <w:p w:rsidR="000C781B" w:rsidRPr="00605832" w:rsidRDefault="000C781B" w:rsidP="000C781B">
      <w:pPr>
        <w:pStyle w:val="ListParagraph"/>
        <w:numPr>
          <w:ilvl w:val="0"/>
          <w:numId w:val="2"/>
        </w:numPr>
        <w:rPr>
          <w:rFonts w:cs="Arial"/>
          <w:sz w:val="20"/>
          <w:szCs w:val="20"/>
        </w:rPr>
      </w:pPr>
      <w:r w:rsidRPr="00605832">
        <w:rPr>
          <w:rFonts w:cs="Arial"/>
          <w:sz w:val="20"/>
          <w:szCs w:val="20"/>
        </w:rPr>
        <w:t xml:space="preserve">Crook M, </w:t>
      </w:r>
      <w:proofErr w:type="spellStart"/>
      <w:r w:rsidRPr="00605832">
        <w:rPr>
          <w:rFonts w:cs="Arial"/>
          <w:sz w:val="20"/>
          <w:szCs w:val="20"/>
        </w:rPr>
        <w:t>Hally</w:t>
      </w:r>
      <w:proofErr w:type="spellEnd"/>
      <w:r w:rsidRPr="00605832">
        <w:rPr>
          <w:rFonts w:cs="Arial"/>
          <w:sz w:val="20"/>
          <w:szCs w:val="20"/>
        </w:rPr>
        <w:t xml:space="preserve"> V &amp; </w:t>
      </w:r>
      <w:proofErr w:type="spellStart"/>
      <w:r w:rsidRPr="00605832">
        <w:rPr>
          <w:rFonts w:cs="Arial"/>
          <w:sz w:val="20"/>
          <w:szCs w:val="20"/>
        </w:rPr>
        <w:t>Panteli</w:t>
      </w:r>
      <w:proofErr w:type="spellEnd"/>
      <w:r w:rsidRPr="00605832">
        <w:rPr>
          <w:rFonts w:cs="Arial"/>
          <w:sz w:val="20"/>
          <w:szCs w:val="20"/>
        </w:rPr>
        <w:t xml:space="preserve"> J.  The importance of the </w:t>
      </w:r>
      <w:proofErr w:type="spellStart"/>
      <w:r w:rsidRPr="00605832">
        <w:rPr>
          <w:rFonts w:cs="Arial"/>
          <w:sz w:val="20"/>
          <w:szCs w:val="20"/>
        </w:rPr>
        <w:t>refeeding</w:t>
      </w:r>
      <w:proofErr w:type="spellEnd"/>
      <w:r w:rsidRPr="00605832">
        <w:rPr>
          <w:rFonts w:cs="Arial"/>
          <w:sz w:val="20"/>
          <w:szCs w:val="20"/>
        </w:rPr>
        <w:t xml:space="preserve"> syndrome. </w:t>
      </w:r>
      <w:r w:rsidRPr="00605832">
        <w:rPr>
          <w:rFonts w:cs="Arial"/>
          <w:i/>
          <w:sz w:val="20"/>
          <w:szCs w:val="20"/>
        </w:rPr>
        <w:t>Nutrition</w:t>
      </w:r>
      <w:r w:rsidRPr="00605832">
        <w:rPr>
          <w:rFonts w:cs="Arial"/>
          <w:sz w:val="20"/>
          <w:szCs w:val="20"/>
        </w:rPr>
        <w:t xml:space="preserve">. 2001; 17, 632-7. </w:t>
      </w:r>
    </w:p>
    <w:p w:rsidR="001534EB" w:rsidRPr="00605832" w:rsidRDefault="001534EB" w:rsidP="001534E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605832">
        <w:rPr>
          <w:sz w:val="20"/>
          <w:szCs w:val="20"/>
        </w:rPr>
        <w:t xml:space="preserve">Harrison W, </w:t>
      </w:r>
      <w:proofErr w:type="spellStart"/>
      <w:r w:rsidRPr="00605832">
        <w:rPr>
          <w:sz w:val="20"/>
          <w:szCs w:val="20"/>
        </w:rPr>
        <w:t>Haddick</w:t>
      </w:r>
      <w:proofErr w:type="spellEnd"/>
      <w:r w:rsidRPr="00605832">
        <w:rPr>
          <w:sz w:val="20"/>
          <w:szCs w:val="20"/>
        </w:rPr>
        <w:t xml:space="preserve"> R.A. </w:t>
      </w:r>
      <w:r w:rsidRPr="00605832">
        <w:rPr>
          <w:bCs/>
          <w:sz w:val="20"/>
          <w:szCs w:val="20"/>
        </w:rPr>
        <w:t xml:space="preserve">Knowledge of </w:t>
      </w:r>
      <w:proofErr w:type="spellStart"/>
      <w:r w:rsidRPr="00605832">
        <w:rPr>
          <w:bCs/>
          <w:sz w:val="20"/>
          <w:szCs w:val="20"/>
        </w:rPr>
        <w:t>refeeding</w:t>
      </w:r>
      <w:proofErr w:type="spellEnd"/>
      <w:r w:rsidRPr="00605832">
        <w:rPr>
          <w:bCs/>
          <w:sz w:val="20"/>
          <w:szCs w:val="20"/>
        </w:rPr>
        <w:t xml:space="preserve"> syndrome amongst foundation year doctors.</w:t>
      </w:r>
      <w:r w:rsidRPr="00605832">
        <w:rPr>
          <w:sz w:val="20"/>
          <w:szCs w:val="20"/>
        </w:rPr>
        <w:t xml:space="preserve"> Gut 2015; 64: 0017-5749.</w:t>
      </w:r>
    </w:p>
    <w:p w:rsidR="00605832" w:rsidRPr="00605832" w:rsidRDefault="00605832" w:rsidP="006058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605832">
        <w:rPr>
          <w:sz w:val="20"/>
          <w:szCs w:val="20"/>
        </w:rPr>
        <w:t xml:space="preserve">Europa. </w:t>
      </w:r>
      <w:r w:rsidRPr="00605832">
        <w:rPr>
          <w:i/>
          <w:sz w:val="20"/>
          <w:szCs w:val="20"/>
        </w:rPr>
        <w:t>Average length of stay for hospital in-patients 2010 and 2015.</w:t>
      </w:r>
      <w:r w:rsidRPr="00605832">
        <w:rPr>
          <w:sz w:val="20"/>
          <w:szCs w:val="20"/>
        </w:rPr>
        <w:t xml:space="preserve"> Available from: </w:t>
      </w:r>
      <w:hyperlink r:id="rId16" w:history="1">
        <w:r w:rsidRPr="00605832">
          <w:rPr>
            <w:rStyle w:val="Hyperlink"/>
            <w:sz w:val="20"/>
            <w:szCs w:val="20"/>
          </w:rPr>
          <w:t>http://ec.europa.eu/eurostat/statisticsexplained/images/5/57/Average_length_of_stay_for_hospital_in-patients%2C_2010_and_2015_%28days%29_HLTH17.png</w:t>
        </w:r>
      </w:hyperlink>
      <w:r w:rsidRPr="00605832">
        <w:rPr>
          <w:sz w:val="20"/>
          <w:szCs w:val="20"/>
        </w:rPr>
        <w:t>). [Accessed: 23</w:t>
      </w:r>
      <w:r w:rsidRPr="00605832">
        <w:rPr>
          <w:sz w:val="20"/>
          <w:szCs w:val="20"/>
          <w:vertAlign w:val="superscript"/>
        </w:rPr>
        <w:t>rd</w:t>
      </w:r>
      <w:r w:rsidRPr="00605832">
        <w:rPr>
          <w:sz w:val="20"/>
          <w:szCs w:val="20"/>
        </w:rPr>
        <w:t xml:space="preserve"> January 2018]</w:t>
      </w:r>
    </w:p>
    <w:p w:rsidR="00C67D02" w:rsidRPr="00605832" w:rsidRDefault="00C67D02" w:rsidP="001534EB">
      <w:pPr>
        <w:pStyle w:val="ListParagraph"/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p w:rsidR="00C67D02" w:rsidRPr="00605832" w:rsidRDefault="00C67D02">
      <w:pPr>
        <w:rPr>
          <w:sz w:val="20"/>
          <w:szCs w:val="20"/>
        </w:rPr>
      </w:pPr>
    </w:p>
    <w:sectPr w:rsidR="00C67D02" w:rsidRPr="00605832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D02" w:rsidRDefault="00C67D02" w:rsidP="00C67D02">
      <w:pPr>
        <w:spacing w:after="0" w:line="240" w:lineRule="auto"/>
      </w:pPr>
      <w:r>
        <w:separator/>
      </w:r>
    </w:p>
  </w:endnote>
  <w:endnote w:type="continuationSeparator" w:id="0">
    <w:p w:rsidR="00C67D02" w:rsidRDefault="00C67D02" w:rsidP="00C67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D02" w:rsidRDefault="00C67D02" w:rsidP="00C67D02">
      <w:pPr>
        <w:spacing w:after="0" w:line="240" w:lineRule="auto"/>
      </w:pPr>
      <w:r>
        <w:separator/>
      </w:r>
    </w:p>
  </w:footnote>
  <w:footnote w:type="continuationSeparator" w:id="0">
    <w:p w:rsidR="00C67D02" w:rsidRDefault="00C67D02" w:rsidP="00C67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D02" w:rsidRDefault="00F30D3C">
    <w:pPr>
      <w:pStyle w:val="Header"/>
    </w:pPr>
    <w:r>
      <w:t>Laura Boyle</w:t>
    </w:r>
  </w:p>
  <w:p w:rsidR="00F30D3C" w:rsidRPr="00F917D4" w:rsidRDefault="00F30D3C" w:rsidP="00F30D3C">
    <w:pPr>
      <w:pStyle w:val="Paragraphnonumbers"/>
      <w:spacing w:line="240" w:lineRule="auto"/>
      <w:rPr>
        <w:rFonts w:cs="Arial"/>
        <w:sz w:val="20"/>
        <w:szCs w:val="20"/>
      </w:rPr>
    </w:pPr>
    <w:proofErr w:type="spellStart"/>
    <w:r w:rsidRPr="00F917D4">
      <w:rPr>
        <w:rFonts w:cs="Arial"/>
        <w:sz w:val="20"/>
        <w:szCs w:val="20"/>
      </w:rPr>
      <w:t>Refeeding</w:t>
    </w:r>
    <w:proofErr w:type="spellEnd"/>
    <w:r w:rsidRPr="00F917D4">
      <w:rPr>
        <w:rFonts w:cs="Arial"/>
        <w:sz w:val="20"/>
        <w:szCs w:val="20"/>
      </w:rPr>
      <w:t xml:space="preserve"> Syndrome: A retrospective audit comparing dietetic and medical practice against NICE</w:t>
    </w:r>
    <w:r>
      <w:rPr>
        <w:rFonts w:cs="Arial"/>
        <w:sz w:val="20"/>
        <w:szCs w:val="20"/>
      </w:rPr>
      <w:t xml:space="preserve"> ‘Nutrition Support for Adults’</w:t>
    </w:r>
    <w:r w:rsidRPr="00F917D4">
      <w:rPr>
        <w:rFonts w:cs="Arial"/>
        <w:sz w:val="20"/>
        <w:szCs w:val="20"/>
      </w:rPr>
      <w:t xml:space="preserve"> guidelines </w:t>
    </w:r>
  </w:p>
  <w:p w:rsidR="00C67D02" w:rsidRPr="00C67D02" w:rsidRDefault="00C67D02" w:rsidP="00C67D02">
    <w:pPr>
      <w:rPr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B1ED6"/>
    <w:multiLevelType w:val="hybridMultilevel"/>
    <w:tmpl w:val="40B852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707F07"/>
    <w:multiLevelType w:val="hybridMultilevel"/>
    <w:tmpl w:val="16CCF6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97039"/>
    <w:multiLevelType w:val="hybridMultilevel"/>
    <w:tmpl w:val="F55C4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5743CD7"/>
    <w:multiLevelType w:val="hybridMultilevel"/>
    <w:tmpl w:val="ACC22FCE"/>
    <w:lvl w:ilvl="0" w:tplc="260873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D02"/>
    <w:rsid w:val="000C781B"/>
    <w:rsid w:val="00111FD7"/>
    <w:rsid w:val="001534EB"/>
    <w:rsid w:val="00291916"/>
    <w:rsid w:val="002D5CE5"/>
    <w:rsid w:val="00605832"/>
    <w:rsid w:val="0077404F"/>
    <w:rsid w:val="0085434F"/>
    <w:rsid w:val="008E2AC7"/>
    <w:rsid w:val="009C1552"/>
    <w:rsid w:val="00B75458"/>
    <w:rsid w:val="00C67D02"/>
    <w:rsid w:val="00C770A0"/>
    <w:rsid w:val="00CA783A"/>
    <w:rsid w:val="00D24C55"/>
    <w:rsid w:val="00F3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7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67D0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C67D02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67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D02"/>
  </w:style>
  <w:style w:type="paragraph" w:styleId="BalloonText">
    <w:name w:val="Balloon Text"/>
    <w:basedOn w:val="Normal"/>
    <w:link w:val="BalloonTextChar"/>
    <w:uiPriority w:val="99"/>
    <w:semiHidden/>
    <w:unhideWhenUsed/>
    <w:rsid w:val="00C6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D0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67D0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0C78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583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5832"/>
    <w:rPr>
      <w:color w:val="800080" w:themeColor="followedHyperlink"/>
      <w:u w:val="single"/>
    </w:rPr>
  </w:style>
  <w:style w:type="paragraph" w:customStyle="1" w:styleId="Paragraphnonumbers">
    <w:name w:val="Paragraph no numbers"/>
    <w:basedOn w:val="Normal"/>
    <w:uiPriority w:val="99"/>
    <w:qFormat/>
    <w:rsid w:val="00F30D3C"/>
    <w:pPr>
      <w:spacing w:after="240"/>
    </w:pPr>
    <w:rPr>
      <w:rFonts w:ascii="Arial" w:eastAsia="Times New Roman" w:hAnsi="Arial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7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67D0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C67D02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67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D02"/>
  </w:style>
  <w:style w:type="paragraph" w:styleId="BalloonText">
    <w:name w:val="Balloon Text"/>
    <w:basedOn w:val="Normal"/>
    <w:link w:val="BalloonTextChar"/>
    <w:uiPriority w:val="99"/>
    <w:semiHidden/>
    <w:unhideWhenUsed/>
    <w:rsid w:val="00C6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D0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67D0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0C78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583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5832"/>
    <w:rPr>
      <w:color w:val="800080" w:themeColor="followedHyperlink"/>
      <w:u w:val="single"/>
    </w:rPr>
  </w:style>
  <w:style w:type="paragraph" w:customStyle="1" w:styleId="Paragraphnonumbers">
    <w:name w:val="Paragraph no numbers"/>
    <w:basedOn w:val="Normal"/>
    <w:uiPriority w:val="99"/>
    <w:qFormat/>
    <w:rsid w:val="00F30D3C"/>
    <w:pPr>
      <w:spacing w:after="240"/>
    </w:pPr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ec.europa.eu/eurostat/statisticsexplained/images/5/57/Average_length_of_stay_for_hospital_in-patients%2C_2010_and_2015_%28days%29_HLTH17.p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Number</a:t>
            </a:r>
            <a:r>
              <a:rPr lang="en-GB" baseline="0"/>
              <a:t> of Patients prescribed Thiamine/Pabrinex within 24 hours 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'Pharmacy Analysis '!$C$63:$C$64</c:f>
              <c:strCache>
                <c:ptCount val="2"/>
                <c:pt idx="0">
                  <c:v>No requested to be prescribed (excluding already prescribed)</c:v>
                </c:pt>
                <c:pt idx="1">
                  <c:v>Prescribed Pabrinex/Thiamine within 24 hours</c:v>
                </c:pt>
              </c:strCache>
            </c:strRef>
          </c:cat>
          <c:val>
            <c:numRef>
              <c:f>'Pharmacy Analysis '!$D$63:$D$64</c:f>
              <c:numCache>
                <c:formatCode>General</c:formatCode>
                <c:ptCount val="2"/>
                <c:pt idx="0">
                  <c:v>48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421248"/>
        <c:axId val="73348224"/>
      </c:barChart>
      <c:catAx>
        <c:axId val="64421248"/>
        <c:scaling>
          <c:orientation val="minMax"/>
        </c:scaling>
        <c:delete val="0"/>
        <c:axPos val="b"/>
        <c:majorTickMark val="none"/>
        <c:minorTickMark val="none"/>
        <c:tickLblPos val="nextTo"/>
        <c:crossAx val="73348224"/>
        <c:crosses val="autoZero"/>
        <c:auto val="1"/>
        <c:lblAlgn val="ctr"/>
        <c:lblOffset val="100"/>
        <c:noMultiLvlLbl val="0"/>
      </c:catAx>
      <c:valAx>
        <c:axId val="733482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No of Patients (n= 48) 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644212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Baseline</a:t>
            </a:r>
            <a:r>
              <a:rPr lang="en-GB" baseline="0"/>
              <a:t> Bloods Replacement </a:t>
            </a:r>
            <a:endParaRPr lang="en-GB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'Replacing Baseline '!$A$63</c:f>
              <c:strCache>
                <c:ptCount val="1"/>
                <c:pt idx="0">
                  <c:v>Low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'Replacing Baseline '!$B$62:$D$62</c:f>
              <c:strCache>
                <c:ptCount val="3"/>
                <c:pt idx="0">
                  <c:v>Phosphate </c:v>
                </c:pt>
                <c:pt idx="1">
                  <c:v>Magnesium </c:v>
                </c:pt>
                <c:pt idx="2">
                  <c:v>Potassium </c:v>
                </c:pt>
              </c:strCache>
            </c:strRef>
          </c:cat>
          <c:val>
            <c:numRef>
              <c:f>'Replacing Baseline '!$B$63:$D$63</c:f>
              <c:numCache>
                <c:formatCode>General</c:formatCode>
                <c:ptCount val="3"/>
                <c:pt idx="0">
                  <c:v>15</c:v>
                </c:pt>
                <c:pt idx="1">
                  <c:v>16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'Replacing Baseline '!$A$64</c:f>
              <c:strCache>
                <c:ptCount val="1"/>
                <c:pt idx="0">
                  <c:v>Replaced within 24 hrs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'Replacing Baseline '!$B$62:$D$62</c:f>
              <c:strCache>
                <c:ptCount val="3"/>
                <c:pt idx="0">
                  <c:v>Phosphate </c:v>
                </c:pt>
                <c:pt idx="1">
                  <c:v>Magnesium </c:v>
                </c:pt>
                <c:pt idx="2">
                  <c:v>Potassium </c:v>
                </c:pt>
              </c:strCache>
            </c:strRef>
          </c:cat>
          <c:val>
            <c:numRef>
              <c:f>'Replacing Baseline '!$B$64:$D$64</c:f>
              <c:numCache>
                <c:formatCode>General</c:formatCode>
                <c:ptCount val="3"/>
                <c:pt idx="0">
                  <c:v>8</c:v>
                </c:pt>
                <c:pt idx="1">
                  <c:v>12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'Replacing Baseline '!$A$65</c:f>
              <c:strCache>
                <c:ptCount val="1"/>
                <c:pt idx="0">
                  <c:v>Replaced incorrectly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'Replacing Baseline '!$B$62:$D$62</c:f>
              <c:strCache>
                <c:ptCount val="3"/>
                <c:pt idx="0">
                  <c:v>Phosphate </c:v>
                </c:pt>
                <c:pt idx="1">
                  <c:v>Magnesium </c:v>
                </c:pt>
                <c:pt idx="2">
                  <c:v>Potassium </c:v>
                </c:pt>
              </c:strCache>
            </c:strRef>
          </c:cat>
          <c:val>
            <c:numRef>
              <c:f>'Replacing Baseline '!$B$65:$D$65</c:f>
              <c:numCache>
                <c:formatCode>General</c:formatCode>
                <c:ptCount val="3"/>
                <c:pt idx="0">
                  <c:v>3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761728"/>
        <c:axId val="76776192"/>
      </c:barChart>
      <c:catAx>
        <c:axId val="767617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Blood</a:t>
                </a:r>
                <a:r>
                  <a:rPr lang="en-GB" baseline="0"/>
                  <a:t> Name</a:t>
                </a:r>
                <a:endParaRPr lang="en-GB"/>
              </a:p>
            </c:rich>
          </c:tx>
          <c:layout/>
          <c:overlay val="0"/>
        </c:title>
        <c:majorTickMark val="none"/>
        <c:minorTickMark val="none"/>
        <c:tickLblPos val="nextTo"/>
        <c:crossAx val="76776192"/>
        <c:crosses val="autoZero"/>
        <c:auto val="1"/>
        <c:lblAlgn val="ctr"/>
        <c:lblOffset val="100"/>
        <c:noMultiLvlLbl val="0"/>
      </c:catAx>
      <c:valAx>
        <c:axId val="767761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Number</a:t>
                </a:r>
                <a:r>
                  <a:rPr lang="en-US" baseline="0"/>
                  <a:t> of patients (n = 54)</a:t>
                </a:r>
                <a:r>
                  <a:rPr lang="en-US"/>
                  <a:t> 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7676172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735803-2AAA-40A4-A8AE-BA1DCD23D1FC}" type="doc">
      <dgm:prSet loTypeId="urn:microsoft.com/office/officeart/2005/8/layout/vList2" loCatId="list" qsTypeId="urn:microsoft.com/office/officeart/2005/8/quickstyle/3d3" qsCatId="3D" csTypeId="urn:microsoft.com/office/officeart/2005/8/colors/accent1_2" csCatId="accent1" phldr="1"/>
      <dgm:spPr/>
    </dgm:pt>
    <dgm:pt modelId="{5C5B849E-6144-4A5A-A4EC-92B8971E16A2}">
      <dgm:prSet phldrT="[Text]" custT="1"/>
      <dgm:spPr>
        <a:xfrm>
          <a:off x="0" y="42174"/>
          <a:ext cx="6734175" cy="823866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en-GB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Step 1: 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Check the baseline bloods for: Mg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2+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, PO4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3-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and K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 </a:t>
          </a:r>
        </a:p>
      </dgm:t>
    </dgm:pt>
    <dgm:pt modelId="{E9DD9210-182D-4370-920E-C4D3BD1FF4A5}" type="parTrans" cxnId="{629448F3-8224-48D0-9CEB-19B5C63A7E30}">
      <dgm:prSet/>
      <dgm:spPr/>
      <dgm:t>
        <a:bodyPr/>
        <a:lstStyle/>
        <a:p>
          <a:endParaRPr lang="en-GB"/>
        </a:p>
      </dgm:t>
    </dgm:pt>
    <dgm:pt modelId="{D643ACF0-B921-4247-8F1B-7947BC61D459}" type="sibTrans" cxnId="{629448F3-8224-48D0-9CEB-19B5C63A7E30}">
      <dgm:prSet/>
      <dgm:spPr/>
      <dgm:t>
        <a:bodyPr/>
        <a:lstStyle/>
        <a:p>
          <a:endParaRPr lang="en-GB"/>
        </a:p>
      </dgm:t>
    </dgm:pt>
    <dgm:pt modelId="{870D1244-CACA-45BA-B4CC-F45BA3AA0CC1}">
      <dgm:prSet custT="1"/>
      <dgm:spPr>
        <a:xfrm>
          <a:off x="0" y="1062771"/>
          <a:ext cx="6734175" cy="1593613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en-GB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Step 2: 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 baseline bloods are: </a:t>
          </a:r>
        </a:p>
        <a:p>
          <a:pPr algn="ctr"/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Mg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2+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&lt;0.5 mmol/L</a:t>
          </a:r>
        </a:p>
        <a:p>
          <a:pPr algn="ctr"/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PO4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3-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&lt;0.4 mmol/L (not for pts with high plama sodium or high calcium levels - check with pharmacy) </a:t>
          </a:r>
        </a:p>
        <a:p>
          <a:pPr algn="ctr"/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&lt;2.5mmol/L (see Grey book : refeeding for renal pts) </a:t>
          </a:r>
        </a:p>
        <a:p>
          <a:pPr algn="ctr"/>
          <a:r>
            <a:rPr lang="en-GB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Replace via IV </a:t>
          </a:r>
        </a:p>
      </dgm:t>
    </dgm:pt>
    <dgm:pt modelId="{F59DCBAD-C016-4D37-A15D-E0C802CE09DE}" type="parTrans" cxnId="{A36FD462-85C2-476E-A947-E643561631A3}">
      <dgm:prSet/>
      <dgm:spPr/>
      <dgm:t>
        <a:bodyPr/>
        <a:lstStyle/>
        <a:p>
          <a:endParaRPr lang="en-GB"/>
        </a:p>
      </dgm:t>
    </dgm:pt>
    <dgm:pt modelId="{41C2410F-2341-483F-9D27-544B2FE72C95}" type="sibTrans" cxnId="{A36FD462-85C2-476E-A947-E643561631A3}">
      <dgm:prSet/>
      <dgm:spPr/>
      <dgm:t>
        <a:bodyPr/>
        <a:lstStyle/>
        <a:p>
          <a:endParaRPr lang="en-GB"/>
        </a:p>
      </dgm:t>
    </dgm:pt>
    <dgm:pt modelId="{8218F1D8-07A1-4A8B-BA3F-B9E2939DC8BF}">
      <dgm:prSet custT="1"/>
      <dgm:spPr>
        <a:xfrm>
          <a:off x="0" y="2834944"/>
          <a:ext cx="6734175" cy="1791619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en-GB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IV replacement: </a:t>
          </a:r>
        </a:p>
        <a:p>
          <a:pPr algn="ctr"/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Mg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2+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20mmol Magnesium sulphate </a:t>
          </a:r>
          <a:r>
            <a:rPr lang="en-US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 50ml sodium chloride 0.9% over 4 hours </a:t>
          </a:r>
          <a:endParaRPr lang="en-GB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algn="ctr"/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PO4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3-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</a:t>
          </a:r>
          <a:r>
            <a:rPr lang="en-US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Dilute one 20mL vial of Glycophos® in 250mL of sodium chloride 0.9% or glucose 5% and give over 6-8 hours (phosphate 20mmol, sodium 40mmol)</a:t>
          </a:r>
          <a:endParaRPr lang="en-GB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algn="ctr"/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</a:t>
          </a:r>
          <a:r>
            <a:rPr lang="en-US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Infuse potassium into a large vein at up to 20 mmol K+/hr (not more than 200 mmol/day). If plasma 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US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&lt; 2 mmol/L with arrhythmia, 40 mmol K</a:t>
          </a:r>
          <a:r>
            <a:rPr lang="en-US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US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may be given over 1hr . Bags for IV potassium infusion are available through Pharmacy</a:t>
          </a:r>
          <a:r>
            <a:rPr lang="en-US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</a:t>
          </a:r>
          <a:r>
            <a:rPr lang="en-GB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F83ADBFD-4A58-4D59-A96E-368299F9AE2E}" type="parTrans" cxnId="{C00A1A0F-818C-40FE-A841-3D0C7AFA5898}">
      <dgm:prSet/>
      <dgm:spPr/>
      <dgm:t>
        <a:bodyPr/>
        <a:lstStyle/>
        <a:p>
          <a:endParaRPr lang="en-GB"/>
        </a:p>
      </dgm:t>
    </dgm:pt>
    <dgm:pt modelId="{6CCDADE2-53F3-48C7-A6A0-7ACD46575067}" type="sibTrans" cxnId="{C00A1A0F-818C-40FE-A841-3D0C7AFA5898}">
      <dgm:prSet/>
      <dgm:spPr/>
      <dgm:t>
        <a:bodyPr/>
        <a:lstStyle/>
        <a:p>
          <a:endParaRPr lang="en-GB"/>
        </a:p>
      </dgm:t>
    </dgm:pt>
    <dgm:pt modelId="{C6FDA7CA-2181-46CB-A874-9B7E3B51E968}">
      <dgm:prSet custT="1"/>
      <dgm:spPr>
        <a:xfrm>
          <a:off x="0" y="4791551"/>
          <a:ext cx="6734175" cy="1950279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en-GB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Oral replacement: </a:t>
          </a:r>
        </a:p>
        <a:p>
          <a:pPr algn="ctr"/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Mg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2+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:Magnesium glycerophosphate 4mmol tablets/solution . </a:t>
          </a:r>
          <a:r>
            <a:rPr lang="en-US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Two tablets three times a day (24mmol) </a:t>
          </a:r>
          <a:endParaRPr lang="en-GB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algn="ctr"/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PO4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3-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:Phosphate Sandoz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®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Effervescent tablets (16.1mmol/tablet). Two tablets twice daily (64mmol)</a:t>
          </a:r>
        </a:p>
        <a:p>
          <a:pPr algn="ctr"/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Potassium effervescent tablets (Sando-K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® 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12mmol /tablet). If &gt;3mmol/L:Two tablets twice daily (48mmol)</a:t>
          </a:r>
        </a:p>
        <a:p>
          <a:pPr algn="ctr"/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  2.5-3 mmol/L:  </a:t>
          </a:r>
          <a:r>
            <a:rPr lang="en-US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Two tablets three times daily (72mmol)</a:t>
          </a:r>
          <a:endParaRPr lang="en-GB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7C6C410-70AA-4CA6-99B9-E7F456AFD4AB}" type="parTrans" cxnId="{71654E4F-6EA6-4B9D-BD9F-6746D829A63D}">
      <dgm:prSet/>
      <dgm:spPr/>
      <dgm:t>
        <a:bodyPr/>
        <a:lstStyle/>
        <a:p>
          <a:endParaRPr lang="en-GB"/>
        </a:p>
      </dgm:t>
    </dgm:pt>
    <dgm:pt modelId="{43196688-C58F-4E5B-BFE6-4DC1D5197579}" type="sibTrans" cxnId="{71654E4F-6EA6-4B9D-BD9F-6746D829A63D}">
      <dgm:prSet/>
      <dgm:spPr/>
      <dgm:t>
        <a:bodyPr/>
        <a:lstStyle/>
        <a:p>
          <a:endParaRPr lang="en-GB"/>
        </a:p>
      </dgm:t>
    </dgm:pt>
    <dgm:pt modelId="{66948780-CA0E-487C-9CD1-73153BF69B64}">
      <dgm:prSet custT="1"/>
      <dgm:spPr>
        <a:xfrm>
          <a:off x="0" y="6914912"/>
          <a:ext cx="6734175" cy="944072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en-GB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Step 3: 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Prescribe: </a:t>
          </a:r>
        </a:p>
        <a:p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 </a:t>
          </a:r>
          <a:r>
            <a:rPr lang="en-GB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Oral: 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Thiamine 200-300 mg/day + Vitamin B Co strong 2-3 tablets/day + Valupac multivitamin and mineral for </a:t>
          </a:r>
          <a:r>
            <a:rPr lang="en-GB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10/7 </a:t>
          </a:r>
        </a:p>
        <a:p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 </a:t>
          </a:r>
          <a:r>
            <a:rPr lang="en-GB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NBM: 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Pabrinex 1-2 pairs/day for 10/7 + Abidec liquid multivitamin for 4-10/7 (check with Dietitian)  </a:t>
          </a:r>
        </a:p>
      </dgm:t>
    </dgm:pt>
    <dgm:pt modelId="{B56BA5AF-6A0F-4CDF-9311-1901B3328C9B}" type="parTrans" cxnId="{F70DF7D4-97BA-4426-B857-D04AB6073B76}">
      <dgm:prSet/>
      <dgm:spPr/>
      <dgm:t>
        <a:bodyPr/>
        <a:lstStyle/>
        <a:p>
          <a:endParaRPr lang="en-GB"/>
        </a:p>
      </dgm:t>
    </dgm:pt>
    <dgm:pt modelId="{F8224321-CFAC-4EEE-84A6-BC667CBC971D}" type="sibTrans" cxnId="{F70DF7D4-97BA-4426-B857-D04AB6073B76}">
      <dgm:prSet/>
      <dgm:spPr/>
      <dgm:t>
        <a:bodyPr/>
        <a:lstStyle/>
        <a:p>
          <a:endParaRPr lang="en-GB"/>
        </a:p>
      </dgm:t>
    </dgm:pt>
    <dgm:pt modelId="{712C2C72-8D89-4274-8CCC-9E7948D1AA19}">
      <dgm:prSet custT="1"/>
      <dgm:spPr>
        <a:xfrm>
          <a:off x="0" y="8056595"/>
          <a:ext cx="6734175" cy="892407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en-GB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Step 4: 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Check Mg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2+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, PO4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3-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and K</a:t>
          </a:r>
          <a:r>
            <a:rPr lang="en-GB" sz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daily for next 3/7 (or until normal range).  Then 3x a week for 2/52. </a:t>
          </a:r>
        </a:p>
        <a:p>
          <a:r>
            <a:rPr lang="en-GB" sz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 low, see above</a:t>
          </a:r>
        </a:p>
      </dgm:t>
    </dgm:pt>
    <dgm:pt modelId="{15C6577C-EE25-42B7-9EEF-EA135FCEB30E}" type="parTrans" cxnId="{75A18CCE-6FCE-43DC-BD89-9A0CB5AAB6EF}">
      <dgm:prSet/>
      <dgm:spPr/>
      <dgm:t>
        <a:bodyPr/>
        <a:lstStyle/>
        <a:p>
          <a:endParaRPr lang="en-GB"/>
        </a:p>
      </dgm:t>
    </dgm:pt>
    <dgm:pt modelId="{79F38514-73CC-49F4-A30A-5029DE0185F1}" type="sibTrans" cxnId="{75A18CCE-6FCE-43DC-BD89-9A0CB5AAB6EF}">
      <dgm:prSet/>
      <dgm:spPr/>
      <dgm:t>
        <a:bodyPr/>
        <a:lstStyle/>
        <a:p>
          <a:endParaRPr lang="en-GB"/>
        </a:p>
      </dgm:t>
    </dgm:pt>
    <dgm:pt modelId="{D61EE43F-8416-45E1-AAC6-0707C2C8BEE4}">
      <dgm:prSet custT="1"/>
      <dgm:spPr>
        <a:xfrm>
          <a:off x="0" y="9118038"/>
          <a:ext cx="6734175" cy="832391"/>
        </a:xfr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en-GB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Step 5: </a:t>
          </a:r>
          <a:r>
            <a:rPr lang="en-GB" sz="1200" b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Ensure, if no other clinical indication, Thiamine, Vit B co strong or replacement medication is not added to the TTO's for cost efficiency </a:t>
          </a:r>
        </a:p>
      </dgm:t>
    </dgm:pt>
    <dgm:pt modelId="{A47452BD-AC2C-44AB-B44D-CAEC2FC944BC}" type="parTrans" cxnId="{0DFAB73E-450A-4B9C-8814-FFCA677D4419}">
      <dgm:prSet/>
      <dgm:spPr/>
      <dgm:t>
        <a:bodyPr/>
        <a:lstStyle/>
        <a:p>
          <a:endParaRPr lang="en-GB"/>
        </a:p>
      </dgm:t>
    </dgm:pt>
    <dgm:pt modelId="{92185C93-79B0-40CC-A548-EB30F4C695E3}" type="sibTrans" cxnId="{0DFAB73E-450A-4B9C-8814-FFCA677D4419}">
      <dgm:prSet/>
      <dgm:spPr/>
      <dgm:t>
        <a:bodyPr/>
        <a:lstStyle/>
        <a:p>
          <a:endParaRPr lang="en-GB"/>
        </a:p>
      </dgm:t>
    </dgm:pt>
    <dgm:pt modelId="{D81A6AEC-8DA4-46BA-99FF-3B8C3E1DF77B}" type="pres">
      <dgm:prSet presAssocID="{94735803-2AAA-40A4-A8AE-BA1DCD23D1FC}" presName="linear" presStyleCnt="0">
        <dgm:presLayoutVars>
          <dgm:animLvl val="lvl"/>
          <dgm:resizeHandles val="exact"/>
        </dgm:presLayoutVars>
      </dgm:prSet>
      <dgm:spPr/>
    </dgm:pt>
    <dgm:pt modelId="{0E964295-F16C-4BCA-9E06-6915CE2BD7C2}" type="pres">
      <dgm:prSet presAssocID="{5C5B849E-6144-4A5A-A4EC-92B8971E16A2}" presName="parentText" presStyleLbl="node1" presStyleIdx="0" presStyleCnt="7" custScaleY="51698" custLinFactNeighborX="-32532" custLinFactNeighborY="-10176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19DAEC87-B91F-4F00-9F74-CC6380F9BE50}" type="pres">
      <dgm:prSet presAssocID="{D643ACF0-B921-4247-8F1B-7947BC61D459}" presName="spacer" presStyleCnt="0"/>
      <dgm:spPr/>
    </dgm:pt>
    <dgm:pt modelId="{34D76C68-B5B0-424E-AD6E-BD51D555966A}" type="pres">
      <dgm:prSet presAssocID="{870D1244-CACA-45BA-B4CC-F45BA3AA0CC1}" presName="parentText" presStyleLbl="node1" presStyleIdx="1" presStyleCnt="7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2A06FDD0-5A76-4841-A705-ABB0B42EF5F2}" type="pres">
      <dgm:prSet presAssocID="{41C2410F-2341-483F-9D27-544B2FE72C95}" presName="spacer" presStyleCnt="0"/>
      <dgm:spPr/>
    </dgm:pt>
    <dgm:pt modelId="{0ABF4960-6046-455B-8735-C6BB79C7E5BF}" type="pres">
      <dgm:prSet presAssocID="{8218F1D8-07A1-4A8B-BA3F-B9E2939DC8BF}" presName="parentText" presStyleLbl="node1" presStyleIdx="2" presStyleCnt="7" custScaleY="112425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1DDB480D-E30D-4658-ADA6-AB5E143EA1A8}" type="pres">
      <dgm:prSet presAssocID="{6CCDADE2-53F3-48C7-A6A0-7ACD46575067}" presName="spacer" presStyleCnt="0"/>
      <dgm:spPr/>
    </dgm:pt>
    <dgm:pt modelId="{CAAD4741-CACC-4C3C-877D-ED130AAC2E63}" type="pres">
      <dgm:prSet presAssocID="{C6FDA7CA-2181-46CB-A874-9B7E3B51E968}" presName="parentText" presStyleLbl="node1" presStyleIdx="3" presStyleCnt="7" custScaleY="122381" custLinFactNeighborY="-7601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8406B5F2-1D0B-4630-B706-120FA746A63C}" type="pres">
      <dgm:prSet presAssocID="{43196688-C58F-4E5B-BFE6-4DC1D5197579}" presName="spacer" presStyleCnt="0"/>
      <dgm:spPr/>
    </dgm:pt>
    <dgm:pt modelId="{8948447E-03C1-4A4F-A103-A24758A49838}" type="pres">
      <dgm:prSet presAssocID="{66948780-CA0E-487C-9CD1-73153BF69B64}" presName="parentText" presStyleLbl="node1" presStyleIdx="4" presStyleCnt="7" custScaleY="59241" custLinFactNeighborX="-707" custLinFactNeighborY="-10669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C708F60B-A071-455F-9B24-87D60F75E37C}" type="pres">
      <dgm:prSet presAssocID="{F8224321-CFAC-4EEE-84A6-BC667CBC971D}" presName="spacer" presStyleCnt="0"/>
      <dgm:spPr/>
    </dgm:pt>
    <dgm:pt modelId="{FE04C34A-A7CD-4D44-B2E8-ED2A439F124D}" type="pres">
      <dgm:prSet presAssocID="{712C2C72-8D89-4274-8CCC-9E7948D1AA19}" presName="parentText" presStyleLbl="node1" presStyleIdx="5" presStyleCnt="7" custScaleY="55999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D6F6F1AA-8C47-4B06-B34D-156422C01E32}" type="pres">
      <dgm:prSet presAssocID="{79F38514-73CC-49F4-A30A-5029DE0185F1}" presName="spacer" presStyleCnt="0"/>
      <dgm:spPr/>
    </dgm:pt>
    <dgm:pt modelId="{2F5538FB-5AA2-42E6-8D68-CA3C149DA398}" type="pres">
      <dgm:prSet presAssocID="{D61EE43F-8416-45E1-AAC6-0707C2C8BEE4}" presName="parentText" presStyleLbl="node1" presStyleIdx="6" presStyleCnt="7" custScaleY="52233" custLinFactNeighborY="-5334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</dgm:ptLst>
  <dgm:cxnLst>
    <dgm:cxn modelId="{E04D3E6C-E7EB-4E69-AB46-68B46256D7FE}" type="presOf" srcId="{8218F1D8-07A1-4A8B-BA3F-B9E2939DC8BF}" destId="{0ABF4960-6046-455B-8735-C6BB79C7E5BF}" srcOrd="0" destOrd="0" presId="urn:microsoft.com/office/officeart/2005/8/layout/vList2"/>
    <dgm:cxn modelId="{64FB3FBB-1176-491B-99C3-02A3E74048F1}" type="presOf" srcId="{712C2C72-8D89-4274-8CCC-9E7948D1AA19}" destId="{FE04C34A-A7CD-4D44-B2E8-ED2A439F124D}" srcOrd="0" destOrd="0" presId="urn:microsoft.com/office/officeart/2005/8/layout/vList2"/>
    <dgm:cxn modelId="{061BC554-0922-481C-9EBA-1A9864E7FA0A}" type="presOf" srcId="{94735803-2AAA-40A4-A8AE-BA1DCD23D1FC}" destId="{D81A6AEC-8DA4-46BA-99FF-3B8C3E1DF77B}" srcOrd="0" destOrd="0" presId="urn:microsoft.com/office/officeart/2005/8/layout/vList2"/>
    <dgm:cxn modelId="{0E89CDA0-EE5E-4D18-8159-B80C0F33A025}" type="presOf" srcId="{66948780-CA0E-487C-9CD1-73153BF69B64}" destId="{8948447E-03C1-4A4F-A103-A24758A49838}" srcOrd="0" destOrd="0" presId="urn:microsoft.com/office/officeart/2005/8/layout/vList2"/>
    <dgm:cxn modelId="{C00A1A0F-818C-40FE-A841-3D0C7AFA5898}" srcId="{94735803-2AAA-40A4-A8AE-BA1DCD23D1FC}" destId="{8218F1D8-07A1-4A8B-BA3F-B9E2939DC8BF}" srcOrd="2" destOrd="0" parTransId="{F83ADBFD-4A58-4D59-A96E-368299F9AE2E}" sibTransId="{6CCDADE2-53F3-48C7-A6A0-7ACD46575067}"/>
    <dgm:cxn modelId="{DA0640E5-1DD5-4FF9-9A6D-4B5AAC8FAFBA}" type="presOf" srcId="{C6FDA7CA-2181-46CB-A874-9B7E3B51E968}" destId="{CAAD4741-CACC-4C3C-877D-ED130AAC2E63}" srcOrd="0" destOrd="0" presId="urn:microsoft.com/office/officeart/2005/8/layout/vList2"/>
    <dgm:cxn modelId="{A36FD462-85C2-476E-A947-E643561631A3}" srcId="{94735803-2AAA-40A4-A8AE-BA1DCD23D1FC}" destId="{870D1244-CACA-45BA-B4CC-F45BA3AA0CC1}" srcOrd="1" destOrd="0" parTransId="{F59DCBAD-C016-4D37-A15D-E0C802CE09DE}" sibTransId="{41C2410F-2341-483F-9D27-544B2FE72C95}"/>
    <dgm:cxn modelId="{75A18CCE-6FCE-43DC-BD89-9A0CB5AAB6EF}" srcId="{94735803-2AAA-40A4-A8AE-BA1DCD23D1FC}" destId="{712C2C72-8D89-4274-8CCC-9E7948D1AA19}" srcOrd="5" destOrd="0" parTransId="{15C6577C-EE25-42B7-9EEF-EA135FCEB30E}" sibTransId="{79F38514-73CC-49F4-A30A-5029DE0185F1}"/>
    <dgm:cxn modelId="{71654E4F-6EA6-4B9D-BD9F-6746D829A63D}" srcId="{94735803-2AAA-40A4-A8AE-BA1DCD23D1FC}" destId="{C6FDA7CA-2181-46CB-A874-9B7E3B51E968}" srcOrd="3" destOrd="0" parTransId="{27C6C410-70AA-4CA6-99B9-E7F456AFD4AB}" sibTransId="{43196688-C58F-4E5B-BFE6-4DC1D5197579}"/>
    <dgm:cxn modelId="{EB6B25B1-9163-4DE7-9132-4DEBC2882236}" type="presOf" srcId="{5C5B849E-6144-4A5A-A4EC-92B8971E16A2}" destId="{0E964295-F16C-4BCA-9E06-6915CE2BD7C2}" srcOrd="0" destOrd="0" presId="urn:microsoft.com/office/officeart/2005/8/layout/vList2"/>
    <dgm:cxn modelId="{F82C0758-CA12-4609-B253-5CF7B29278CE}" type="presOf" srcId="{D61EE43F-8416-45E1-AAC6-0707C2C8BEE4}" destId="{2F5538FB-5AA2-42E6-8D68-CA3C149DA398}" srcOrd="0" destOrd="0" presId="urn:microsoft.com/office/officeart/2005/8/layout/vList2"/>
    <dgm:cxn modelId="{F70DF7D4-97BA-4426-B857-D04AB6073B76}" srcId="{94735803-2AAA-40A4-A8AE-BA1DCD23D1FC}" destId="{66948780-CA0E-487C-9CD1-73153BF69B64}" srcOrd="4" destOrd="0" parTransId="{B56BA5AF-6A0F-4CDF-9311-1901B3328C9B}" sibTransId="{F8224321-CFAC-4EEE-84A6-BC667CBC971D}"/>
    <dgm:cxn modelId="{0DFAB73E-450A-4B9C-8814-FFCA677D4419}" srcId="{94735803-2AAA-40A4-A8AE-BA1DCD23D1FC}" destId="{D61EE43F-8416-45E1-AAC6-0707C2C8BEE4}" srcOrd="6" destOrd="0" parTransId="{A47452BD-AC2C-44AB-B44D-CAEC2FC944BC}" sibTransId="{92185C93-79B0-40CC-A548-EB30F4C695E3}"/>
    <dgm:cxn modelId="{629448F3-8224-48D0-9CEB-19B5C63A7E30}" srcId="{94735803-2AAA-40A4-A8AE-BA1DCD23D1FC}" destId="{5C5B849E-6144-4A5A-A4EC-92B8971E16A2}" srcOrd="0" destOrd="0" parTransId="{E9DD9210-182D-4370-920E-C4D3BD1FF4A5}" sibTransId="{D643ACF0-B921-4247-8F1B-7947BC61D459}"/>
    <dgm:cxn modelId="{956231FC-AF46-42F5-A749-B6B07554DF3D}" type="presOf" srcId="{870D1244-CACA-45BA-B4CC-F45BA3AA0CC1}" destId="{34D76C68-B5B0-424E-AD6E-BD51D555966A}" srcOrd="0" destOrd="0" presId="urn:microsoft.com/office/officeart/2005/8/layout/vList2"/>
    <dgm:cxn modelId="{A3E36AC6-0F2F-47A6-A619-A21E385D2A40}" type="presParOf" srcId="{D81A6AEC-8DA4-46BA-99FF-3B8C3E1DF77B}" destId="{0E964295-F16C-4BCA-9E06-6915CE2BD7C2}" srcOrd="0" destOrd="0" presId="urn:microsoft.com/office/officeart/2005/8/layout/vList2"/>
    <dgm:cxn modelId="{AB43B762-6F79-4FE5-8CAA-B3CDB4695BE5}" type="presParOf" srcId="{D81A6AEC-8DA4-46BA-99FF-3B8C3E1DF77B}" destId="{19DAEC87-B91F-4F00-9F74-CC6380F9BE50}" srcOrd="1" destOrd="0" presId="urn:microsoft.com/office/officeart/2005/8/layout/vList2"/>
    <dgm:cxn modelId="{1C9DF7F0-90AB-46C1-B2D4-00B36CA335E5}" type="presParOf" srcId="{D81A6AEC-8DA4-46BA-99FF-3B8C3E1DF77B}" destId="{34D76C68-B5B0-424E-AD6E-BD51D555966A}" srcOrd="2" destOrd="0" presId="urn:microsoft.com/office/officeart/2005/8/layout/vList2"/>
    <dgm:cxn modelId="{F4F978F7-72AE-45AD-B3A0-D7C7BF806CE2}" type="presParOf" srcId="{D81A6AEC-8DA4-46BA-99FF-3B8C3E1DF77B}" destId="{2A06FDD0-5A76-4841-A705-ABB0B42EF5F2}" srcOrd="3" destOrd="0" presId="urn:microsoft.com/office/officeart/2005/8/layout/vList2"/>
    <dgm:cxn modelId="{ABAD7673-4E2B-4CB4-8CB9-800E6C6F10DD}" type="presParOf" srcId="{D81A6AEC-8DA4-46BA-99FF-3B8C3E1DF77B}" destId="{0ABF4960-6046-455B-8735-C6BB79C7E5BF}" srcOrd="4" destOrd="0" presId="urn:microsoft.com/office/officeart/2005/8/layout/vList2"/>
    <dgm:cxn modelId="{95273590-CF0C-4690-A698-F7CF7335A75C}" type="presParOf" srcId="{D81A6AEC-8DA4-46BA-99FF-3B8C3E1DF77B}" destId="{1DDB480D-E30D-4658-ADA6-AB5E143EA1A8}" srcOrd="5" destOrd="0" presId="urn:microsoft.com/office/officeart/2005/8/layout/vList2"/>
    <dgm:cxn modelId="{810DBC60-C413-4EBF-B4AB-423662C0AF61}" type="presParOf" srcId="{D81A6AEC-8DA4-46BA-99FF-3B8C3E1DF77B}" destId="{CAAD4741-CACC-4C3C-877D-ED130AAC2E63}" srcOrd="6" destOrd="0" presId="urn:microsoft.com/office/officeart/2005/8/layout/vList2"/>
    <dgm:cxn modelId="{A8FE303B-F3AB-4FA7-BEA6-40C2A51ADE8C}" type="presParOf" srcId="{D81A6AEC-8DA4-46BA-99FF-3B8C3E1DF77B}" destId="{8406B5F2-1D0B-4630-B706-120FA746A63C}" srcOrd="7" destOrd="0" presId="urn:microsoft.com/office/officeart/2005/8/layout/vList2"/>
    <dgm:cxn modelId="{154468C3-48C2-466E-B932-87843B0AFAAD}" type="presParOf" srcId="{D81A6AEC-8DA4-46BA-99FF-3B8C3E1DF77B}" destId="{8948447E-03C1-4A4F-A103-A24758A49838}" srcOrd="8" destOrd="0" presId="urn:microsoft.com/office/officeart/2005/8/layout/vList2"/>
    <dgm:cxn modelId="{3F56ABF4-5BAF-46A4-8D06-E810A3F34D66}" type="presParOf" srcId="{D81A6AEC-8DA4-46BA-99FF-3B8C3E1DF77B}" destId="{C708F60B-A071-455F-9B24-87D60F75E37C}" srcOrd="9" destOrd="0" presId="urn:microsoft.com/office/officeart/2005/8/layout/vList2"/>
    <dgm:cxn modelId="{9EA14DA9-5E16-4E41-9AEE-EB2B4070572B}" type="presParOf" srcId="{D81A6AEC-8DA4-46BA-99FF-3B8C3E1DF77B}" destId="{FE04C34A-A7CD-4D44-B2E8-ED2A439F124D}" srcOrd="10" destOrd="0" presId="urn:microsoft.com/office/officeart/2005/8/layout/vList2"/>
    <dgm:cxn modelId="{E2A1F2DB-85EF-42BF-830E-63351752B1B3}" type="presParOf" srcId="{D81A6AEC-8DA4-46BA-99FF-3B8C3E1DF77B}" destId="{D6F6F1AA-8C47-4B06-B34D-156422C01E32}" srcOrd="11" destOrd="0" presId="urn:microsoft.com/office/officeart/2005/8/layout/vList2"/>
    <dgm:cxn modelId="{BF62CA13-9FEB-4CA3-B950-E0856DBA13AE}" type="presParOf" srcId="{D81A6AEC-8DA4-46BA-99FF-3B8C3E1DF77B}" destId="{2F5538FB-5AA2-42E6-8D68-CA3C149DA398}" srcOrd="12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964295-F16C-4BCA-9E06-6915CE2BD7C2}">
      <dsp:nvSpPr>
        <dsp:cNvPr id="0" name=""/>
        <dsp:cNvSpPr/>
      </dsp:nvSpPr>
      <dsp:spPr>
        <a:xfrm>
          <a:off x="0" y="2616"/>
          <a:ext cx="5797549" cy="826448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Step 1: 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Check the baseline bloods for: Mg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2+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, PO4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3-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and K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 </a:t>
          </a:r>
        </a:p>
      </dsp:txBody>
      <dsp:txXfrm>
        <a:off x="40344" y="42960"/>
        <a:ext cx="5716861" cy="745760"/>
      </dsp:txXfrm>
    </dsp:sp>
    <dsp:sp modelId="{34D76C68-B5B0-424E-AD6E-BD51D555966A}">
      <dsp:nvSpPr>
        <dsp:cNvPr id="0" name=""/>
        <dsp:cNvSpPr/>
      </dsp:nvSpPr>
      <dsp:spPr>
        <a:xfrm>
          <a:off x="0" y="832270"/>
          <a:ext cx="5797549" cy="1598608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Step 2: 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 baseline bloods are: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Mg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2+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&lt;0.5 mmol/L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PO4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3-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&lt;0.4 mmol/L (not for pts with high plama sodium or high calcium levels - check with pharmacy)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&lt;2.5mmol/L (see Grey book : refeeding for renal pts)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Replace via IV </a:t>
          </a:r>
        </a:p>
      </dsp:txBody>
      <dsp:txXfrm>
        <a:off x="78038" y="910308"/>
        <a:ext cx="5641473" cy="1442532"/>
      </dsp:txXfrm>
    </dsp:sp>
    <dsp:sp modelId="{0ABF4960-6046-455B-8735-C6BB79C7E5BF}">
      <dsp:nvSpPr>
        <dsp:cNvPr id="0" name=""/>
        <dsp:cNvSpPr/>
      </dsp:nvSpPr>
      <dsp:spPr>
        <a:xfrm>
          <a:off x="0" y="2433788"/>
          <a:ext cx="5797549" cy="179723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IV replacement: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Mg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2+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20mmol Magnesium sulphate </a:t>
          </a:r>
          <a:r>
            <a:rPr lang="en-US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 50ml sodium chloride 0.9% over 4 hours </a:t>
          </a:r>
          <a:endParaRPr lang="en-GB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PO4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3-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</a:t>
          </a:r>
          <a:r>
            <a:rPr lang="en-US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Dilute one 20mL vial of Glycophos® in 250mL of sodium chloride 0.9% or glucose 5% and give over 6-8 hours (phosphate 20mmol, sodium 40mmol)</a:t>
          </a:r>
          <a:endParaRPr lang="en-GB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</a:t>
          </a:r>
          <a:r>
            <a:rPr lang="en-US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Infuse potassium into a large vein at up to 20 mmol K+/hr (not more than 200 mmol/day). If plasma 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US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&lt; 2 mmol/L with arrhythmia, 40 mmol K</a:t>
          </a:r>
          <a:r>
            <a:rPr lang="en-US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US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may be given over 1hr . Bags for IV potassium infusion are available through Pharmacy</a:t>
          </a:r>
          <a:r>
            <a:rPr lang="en-US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</a:t>
          </a:r>
          <a:r>
            <a:rPr lang="en-GB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87734" y="2521522"/>
        <a:ext cx="5622081" cy="1621768"/>
      </dsp:txXfrm>
    </dsp:sp>
    <dsp:sp modelId="{CAAD4741-CACC-4C3C-877D-ED130AAC2E63}">
      <dsp:nvSpPr>
        <dsp:cNvPr id="0" name=""/>
        <dsp:cNvSpPr/>
      </dsp:nvSpPr>
      <dsp:spPr>
        <a:xfrm>
          <a:off x="0" y="4233712"/>
          <a:ext cx="5797549" cy="19563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Oral replacement: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Mg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2+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:Magnesium glycerophosphate 4mmol tablets/solution . </a:t>
          </a:r>
          <a:r>
            <a:rPr lang="en-US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Two tablets three times a day (24mmol) </a:t>
          </a:r>
          <a:endParaRPr lang="en-GB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PO4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3-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:Phosphate Sandoz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®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Effervescent tablets (16.1mmol/tablet). Two tablets twice daily (64mmol)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: Potassium effervescent tablets (Sando-K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® 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12mmol /tablet). If &gt;3mmol/L:Two tablets twice daily (48mmol)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  2.5-3 mmol/L:  </a:t>
          </a:r>
          <a:r>
            <a:rPr lang="en-US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Two tablets three times daily (72mmol)</a:t>
          </a:r>
          <a:endParaRPr lang="en-GB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95503" y="4329215"/>
        <a:ext cx="5606543" cy="1765387"/>
      </dsp:txXfrm>
    </dsp:sp>
    <dsp:sp modelId="{8948447E-03C1-4A4F-A103-A24758A49838}">
      <dsp:nvSpPr>
        <dsp:cNvPr id="0" name=""/>
        <dsp:cNvSpPr/>
      </dsp:nvSpPr>
      <dsp:spPr>
        <a:xfrm>
          <a:off x="0" y="6192925"/>
          <a:ext cx="5797549" cy="947031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Step 3: 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Prescribe: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 </a:t>
          </a:r>
          <a:r>
            <a:rPr lang="en-GB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Oral: 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Thiamine 200-300 mg/day + Vitamin B Co strong 2-3 tablets/day + Valupac multivitamin and mineral for </a:t>
          </a:r>
          <a:r>
            <a:rPr lang="en-GB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10/7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 </a:t>
          </a:r>
          <a:r>
            <a:rPr lang="en-GB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NBM: 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Pabrinex 1-2 pairs/day for 10/7 + Abidec liquid multivitamin for 4-10/7 (check with Dietitian)  </a:t>
          </a:r>
        </a:p>
      </dsp:txBody>
      <dsp:txXfrm>
        <a:off x="46230" y="6239155"/>
        <a:ext cx="5705089" cy="854571"/>
      </dsp:txXfrm>
    </dsp:sp>
    <dsp:sp modelId="{FE04C34A-A7CD-4D44-B2E8-ED2A439F124D}">
      <dsp:nvSpPr>
        <dsp:cNvPr id="0" name=""/>
        <dsp:cNvSpPr/>
      </dsp:nvSpPr>
      <dsp:spPr>
        <a:xfrm>
          <a:off x="0" y="7143177"/>
          <a:ext cx="5797549" cy="89520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Step 4: 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Check Mg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2+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, PO4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3-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and K</a:t>
          </a:r>
          <a:r>
            <a:rPr lang="en-GB" sz="1200" kern="1200" baseline="30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+</a:t>
          </a: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daily for next 3/7 (or until normal range).  Then 3x a week for 2/52.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If low, see above</a:t>
          </a:r>
        </a:p>
      </dsp:txBody>
      <dsp:txXfrm>
        <a:off x="43700" y="7186877"/>
        <a:ext cx="5710149" cy="807804"/>
      </dsp:txXfrm>
    </dsp:sp>
    <dsp:sp modelId="{2F5538FB-5AA2-42E6-8D68-CA3C149DA398}">
      <dsp:nvSpPr>
        <dsp:cNvPr id="0" name=""/>
        <dsp:cNvSpPr/>
      </dsp:nvSpPr>
      <dsp:spPr>
        <a:xfrm>
          <a:off x="0" y="8041136"/>
          <a:ext cx="5797549" cy="835001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Step 5: </a:t>
          </a:r>
          <a:r>
            <a:rPr lang="en-GB" sz="1200" b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Ensure, if no other clinical indication, Thiamine, Vit B co strong or replacement medication is not added to the TTO's for cost efficiency </a:t>
          </a:r>
        </a:p>
      </dsp:txBody>
      <dsp:txXfrm>
        <a:off x="40761" y="8081897"/>
        <a:ext cx="5716027" cy="7534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Georges NHS Foundation Trust</Company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Boyle</dc:creator>
  <cp:lastModifiedBy>Laura Boyle</cp:lastModifiedBy>
  <cp:revision>7</cp:revision>
  <dcterms:created xsi:type="dcterms:W3CDTF">2018-01-16T18:16:00Z</dcterms:created>
  <dcterms:modified xsi:type="dcterms:W3CDTF">2018-02-16T08:27:00Z</dcterms:modified>
</cp:coreProperties>
</file>