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1255" w:rsidRDefault="00F4631A" w:rsidP="000D5C36">
      <w:pPr>
        <w:pStyle w:val="Heading1"/>
        <w:rPr>
          <w:rFonts w:ascii="Arial" w:eastAsia="Calibri" w:hAnsi="Arial" w:cs="Arial"/>
          <w:b/>
          <w:color w:val="auto"/>
          <w:u w:color="000000"/>
        </w:rPr>
      </w:pPr>
      <w:r w:rsidRPr="000D5C36">
        <w:rPr>
          <w:rFonts w:ascii="Arial" w:eastAsia="Calibri" w:hAnsi="Arial" w:cs="Arial"/>
          <w:b/>
          <w:color w:val="auto"/>
          <w:u w:color="000000"/>
        </w:rPr>
        <w:t xml:space="preserve">References: </w:t>
      </w:r>
    </w:p>
    <w:p w:rsidR="00990220" w:rsidRPr="00990220" w:rsidRDefault="00990220" w:rsidP="00990220"/>
    <w:p w:rsidR="00BF1255" w:rsidRDefault="00F4631A" w:rsidP="00990220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Calibri" w:hAnsi="Arial" w:cs="Calibri"/>
          <w:sz w:val="24"/>
          <w:szCs w:val="24"/>
          <w:u w:color="000000"/>
        </w:rPr>
        <w:t xml:space="preserve">UHS, NHS (2018) </w:t>
      </w:r>
      <w:hyperlink r:id="rId7" w:history="1">
        <w:r w:rsidRPr="00990220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About the Trust</w:t>
        </w:r>
      </w:hyperlink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</w:p>
    <w:p w:rsidR="00BF1255" w:rsidRDefault="00F4631A" w:rsidP="00AC4005">
      <w:pPr>
        <w:pStyle w:val="Body"/>
        <w:spacing w:after="200" w:line="276" w:lineRule="auto"/>
        <w:ind w:left="720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Calibri" w:hAnsi="Arial" w:cs="Calibri"/>
          <w:sz w:val="24"/>
          <w:szCs w:val="24"/>
          <w:u w:color="000000"/>
        </w:rPr>
        <w:t xml:space="preserve">Infusion Nurses Society (2016) ‘Infusion Therapy Standards </w:t>
      </w:r>
      <w:r w:rsidR="000D5C36">
        <w:rPr>
          <w:rFonts w:ascii="Arial" w:eastAsia="Calibri" w:hAnsi="Arial" w:cs="Calibri"/>
          <w:sz w:val="24"/>
          <w:szCs w:val="24"/>
          <w:u w:color="000000"/>
        </w:rPr>
        <w:t xml:space="preserve">of Practice’ </w:t>
      </w:r>
      <w:r>
        <w:rPr>
          <w:rFonts w:ascii="Arial" w:eastAsia="Calibri" w:hAnsi="Arial" w:cs="Calibri"/>
          <w:sz w:val="24"/>
          <w:szCs w:val="24"/>
          <w:u w:color="000000"/>
        </w:rPr>
        <w:t>Journal of In</w:t>
      </w:r>
      <w:r w:rsidR="000D5C36">
        <w:rPr>
          <w:rFonts w:ascii="Arial" w:eastAsia="Calibri" w:hAnsi="Arial" w:cs="Calibri"/>
          <w:sz w:val="24"/>
          <w:szCs w:val="24"/>
          <w:u w:color="000000"/>
        </w:rPr>
        <w:t>fusion Nursing, vol. 39, no. 1S</w:t>
      </w:r>
    </w:p>
    <w:p w:rsidR="00BF1255" w:rsidRDefault="00F4631A" w:rsidP="00990220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Calibri" w:hAnsi="Arial" w:cs="Calibri"/>
          <w:sz w:val="24"/>
          <w:szCs w:val="24"/>
          <w:u w:color="000000"/>
        </w:rPr>
        <w:t xml:space="preserve">Royal College of </w:t>
      </w:r>
      <w:proofErr w:type="gramStart"/>
      <w:r>
        <w:rPr>
          <w:rFonts w:ascii="Arial" w:eastAsia="Calibri" w:hAnsi="Arial" w:cs="Calibri"/>
          <w:sz w:val="24"/>
          <w:szCs w:val="24"/>
          <w:u w:color="000000"/>
        </w:rPr>
        <w:t>Nursing</w:t>
      </w:r>
      <w:proofErr w:type="gramEnd"/>
      <w:r>
        <w:rPr>
          <w:rFonts w:ascii="Arial" w:eastAsia="Calibri" w:hAnsi="Arial" w:cs="Calibri"/>
          <w:sz w:val="24"/>
          <w:szCs w:val="24"/>
          <w:u w:color="000000"/>
        </w:rPr>
        <w:t xml:space="preserve"> (2016) </w:t>
      </w:r>
      <w:hyperlink r:id="rId8" w:history="1">
        <w:r w:rsidRPr="00990220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Standards for infusion therapy</w:t>
        </w:r>
      </w:hyperlink>
      <w:r>
        <w:rPr>
          <w:rFonts w:ascii="Arial" w:eastAsia="Calibri" w:hAnsi="Arial" w:cs="Calibri"/>
          <w:i/>
          <w:iCs/>
          <w:sz w:val="24"/>
          <w:szCs w:val="24"/>
          <w:u w:color="000000"/>
        </w:rPr>
        <w:t>.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</w:p>
    <w:p w:rsidR="00BF1255" w:rsidRDefault="00F4631A" w:rsidP="00AC4005">
      <w:pPr>
        <w:pStyle w:val="Body"/>
        <w:spacing w:after="200" w:line="276" w:lineRule="auto"/>
        <w:ind w:left="720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Calibri" w:hAnsi="Arial" w:cs="Calibri"/>
          <w:sz w:val="24"/>
          <w:szCs w:val="24"/>
          <w:u w:color="000000"/>
        </w:rPr>
        <w:t xml:space="preserve">Loveday, H. Et al </w:t>
      </w:r>
      <w:proofErr w:type="gramStart"/>
      <w:r>
        <w:rPr>
          <w:rFonts w:ascii="Arial" w:eastAsia="Calibri" w:hAnsi="Arial" w:cs="Calibri"/>
          <w:sz w:val="24"/>
          <w:szCs w:val="24"/>
          <w:u w:color="000000"/>
        </w:rPr>
        <w:t>( 2014</w:t>
      </w:r>
      <w:proofErr w:type="gramEnd"/>
      <w:r>
        <w:rPr>
          <w:rFonts w:ascii="Arial" w:eastAsia="Calibri" w:hAnsi="Arial" w:cs="Calibri"/>
          <w:sz w:val="24"/>
          <w:szCs w:val="24"/>
          <w:u w:color="000000"/>
        </w:rPr>
        <w:t xml:space="preserve">) </w:t>
      </w:r>
      <w:hyperlink r:id="rId9" w:history="1">
        <w:r w:rsidRPr="00990220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EPIC 3: National Evidence-Based Guidelines for Preventing Healthcare-Associated Infections in NHS Hospitals in England</w:t>
        </w:r>
      </w:hyperlink>
      <w:r>
        <w:rPr>
          <w:rFonts w:ascii="Arial" w:eastAsia="Calibri" w:hAnsi="Arial" w:cs="Calibri"/>
          <w:i/>
          <w:iCs/>
          <w:sz w:val="24"/>
          <w:szCs w:val="24"/>
          <w:u w:color="000000"/>
        </w:rPr>
        <w:t>.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</w:p>
    <w:p w:rsidR="00BF1255" w:rsidRDefault="00F4631A" w:rsidP="00990220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Calibri" w:hAnsi="Arial" w:cs="Calibri"/>
          <w:sz w:val="24"/>
          <w:szCs w:val="24"/>
          <w:u w:color="000000"/>
        </w:rPr>
        <w:t xml:space="preserve">NICE (2015) </w:t>
      </w:r>
      <w:hyperlink r:id="rId10" w:history="1"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The Sherlock 3CG Tip Confirmation System for placement of PICCs.</w:t>
        </w:r>
      </w:hyperlink>
      <w:r>
        <w:rPr>
          <w:rFonts w:ascii="Arial" w:eastAsia="Calibri" w:hAnsi="Arial" w:cs="Calibri"/>
          <w:i/>
          <w:iCs/>
          <w:sz w:val="24"/>
          <w:szCs w:val="24"/>
          <w:u w:color="000000"/>
        </w:rPr>
        <w:t xml:space="preserve"> </w:t>
      </w:r>
      <w:r>
        <w:rPr>
          <w:rFonts w:ascii="Arial" w:eastAsia="Calibri" w:hAnsi="Arial" w:cs="Calibri"/>
          <w:color w:val="0E0E0E"/>
          <w:sz w:val="24"/>
          <w:szCs w:val="24"/>
          <w:u w:color="0E0E0E"/>
        </w:rPr>
        <w:t>https://www.nice.org.uk/guidance/mtg24/resources/the-sherlock3cg-tip-confirmation-system-for-placement-of-peripherally-inserted-central-catheters-pdf-64371934845637</w:t>
      </w:r>
      <w:r w:rsidR="00990220">
        <w:rPr>
          <w:rFonts w:ascii="Arial" w:eastAsia="Calibri" w:hAnsi="Arial" w:cs="Calibri"/>
          <w:sz w:val="24"/>
          <w:szCs w:val="24"/>
          <w:u w:color="000000"/>
        </w:rPr>
        <w:t xml:space="preserve"> </w:t>
      </w:r>
    </w:p>
    <w:p w:rsidR="00BF1255" w:rsidRDefault="00F4631A" w:rsidP="00AC4005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0E0E0E"/>
          <w:sz w:val="24"/>
          <w:szCs w:val="24"/>
          <w:u w:color="0E0E0E"/>
        </w:rPr>
      </w:pPr>
      <w:r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NICE (2002) </w:t>
      </w:r>
      <w:hyperlink r:id="rId11" w:history="1"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E0E0E"/>
          </w:rPr>
          <w:t>Guidance on the use of ultrasound locating devices for placing central venous catheters</w:t>
        </w:r>
      </w:hyperlink>
      <w:r w:rsidR="00990220">
        <w:rPr>
          <w:rFonts w:ascii="Arial" w:eastAsia="Calibri" w:hAnsi="Arial" w:cs="Calibri"/>
          <w:color w:val="0E0E0E"/>
          <w:sz w:val="24"/>
          <w:szCs w:val="24"/>
          <w:u w:color="0E0E0E"/>
        </w:rPr>
        <w:t>.</w:t>
      </w:r>
    </w:p>
    <w:p w:rsidR="00BF1255" w:rsidRDefault="00F4631A" w:rsidP="00AC4005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0E0E0E"/>
          <w:sz w:val="24"/>
          <w:szCs w:val="24"/>
          <w:u w:color="0E0E0E"/>
        </w:rPr>
      </w:pPr>
      <w:proofErr w:type="spellStart"/>
      <w:r>
        <w:rPr>
          <w:rFonts w:ascii="Arial" w:eastAsia="Calibri" w:hAnsi="Arial" w:cs="Calibri"/>
          <w:color w:val="0E0E0E"/>
          <w:sz w:val="24"/>
          <w:szCs w:val="24"/>
          <w:u w:color="0E0E0E"/>
        </w:rPr>
        <w:t>Bidgood</w:t>
      </w:r>
      <w:proofErr w:type="spellEnd"/>
      <w:r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, C. (2016) </w:t>
      </w:r>
      <w:hyperlink r:id="rId12" w:history="1"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Improving the patient experience with real-time PICC placement confirmation</w:t>
        </w:r>
      </w:hyperlink>
      <w:r>
        <w:rPr>
          <w:rFonts w:ascii="Arial" w:eastAsia="Calibri" w:hAnsi="Arial" w:cs="Calibri"/>
          <w:sz w:val="24"/>
          <w:szCs w:val="24"/>
          <w:u w:color="000000"/>
        </w:rPr>
        <w:t>.</w:t>
      </w:r>
      <w:r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 </w:t>
      </w:r>
    </w:p>
    <w:p w:rsidR="00BF1255" w:rsidRPr="00AC4005" w:rsidRDefault="00F4631A" w:rsidP="00AC4005">
      <w:pPr>
        <w:pStyle w:val="Body"/>
        <w:numPr>
          <w:ilvl w:val="0"/>
          <w:numId w:val="1"/>
        </w:numPr>
        <w:spacing w:after="200" w:line="276" w:lineRule="auto"/>
        <w:rPr>
          <w:rStyle w:val="Hyperlink2"/>
          <w:color w:val="0E0E0E"/>
          <w:u w:val="none" w:color="0E0E0E"/>
        </w:rPr>
      </w:pPr>
      <w:r>
        <w:rPr>
          <w:rFonts w:ascii="Arial" w:eastAsia="Calibri" w:hAnsi="Arial" w:cs="Calibri"/>
          <w:color w:val="0E0E0E"/>
          <w:sz w:val="24"/>
          <w:szCs w:val="24"/>
          <w:u w:color="0E0E0E"/>
        </w:rPr>
        <w:t>Barton, A. (2016)</w:t>
      </w:r>
      <w:hyperlink r:id="rId13" w:history="1">
        <w:r w:rsidRPr="00AC4005">
          <w:rPr>
            <w:rStyle w:val="Hyperlink"/>
            <w:rFonts w:ascii="Arial" w:eastAsia="Calibri" w:hAnsi="Arial" w:cs="Calibri"/>
            <w:sz w:val="24"/>
            <w:szCs w:val="24"/>
            <w:u w:color="0E0E0E"/>
          </w:rPr>
          <w:t xml:space="preserve"> </w:t>
        </w:r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Confirming PICC tip position during insertion with real-time information</w:t>
        </w:r>
      </w:hyperlink>
      <w:r>
        <w:rPr>
          <w:rFonts w:ascii="Arial" w:eastAsia="Calibri" w:hAnsi="Arial" w:cs="Calibri"/>
          <w:i/>
          <w:iCs/>
          <w:sz w:val="24"/>
          <w:szCs w:val="24"/>
          <w:u w:color="000000"/>
        </w:rPr>
        <w:t xml:space="preserve">. </w:t>
      </w:r>
    </w:p>
    <w:p w:rsidR="00BF1255" w:rsidRPr="00AC4005" w:rsidRDefault="00F4631A" w:rsidP="00AC4005">
      <w:pPr>
        <w:pStyle w:val="Body"/>
        <w:numPr>
          <w:ilvl w:val="0"/>
          <w:numId w:val="1"/>
        </w:numPr>
        <w:spacing w:after="200" w:line="276" w:lineRule="auto"/>
        <w:rPr>
          <w:rStyle w:val="Hyperlink1"/>
          <w:color w:val="0E0E0E"/>
          <w:u w:val="none" w:color="0E0E0E"/>
        </w:rPr>
      </w:pPr>
      <w:proofErr w:type="spellStart"/>
      <w:r w:rsidRPr="00AC4005">
        <w:rPr>
          <w:rFonts w:ascii="Arial" w:eastAsia="Calibri" w:hAnsi="Arial" w:cs="Calibri"/>
          <w:color w:val="0E0E0E"/>
          <w:sz w:val="24"/>
          <w:szCs w:val="24"/>
          <w:u w:color="0E0E0E"/>
        </w:rPr>
        <w:t>Frykholm</w:t>
      </w:r>
      <w:proofErr w:type="spellEnd"/>
      <w:r w:rsidRPr="00AC4005"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, P. Et al (2014) </w:t>
      </w:r>
      <w:hyperlink r:id="rId14" w:history="1"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Clinical guidelines on central venous catheterisation</w:t>
        </w:r>
      </w:hyperlink>
      <w:r w:rsidRPr="00AC4005">
        <w:rPr>
          <w:rFonts w:ascii="Arial" w:eastAsia="Calibri" w:hAnsi="Arial" w:cs="Calibri"/>
          <w:i/>
          <w:iCs/>
          <w:sz w:val="24"/>
          <w:szCs w:val="24"/>
          <w:u w:color="000000"/>
        </w:rPr>
        <w:t>.</w:t>
      </w:r>
      <w:r w:rsidRPr="00AC4005"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</w:t>
      </w:r>
    </w:p>
    <w:p w:rsidR="00BF1255" w:rsidRPr="00AC4005" w:rsidRDefault="00F4631A" w:rsidP="00AC4005">
      <w:pPr>
        <w:pStyle w:val="Body"/>
        <w:numPr>
          <w:ilvl w:val="0"/>
          <w:numId w:val="1"/>
        </w:numPr>
        <w:spacing w:after="200" w:line="276" w:lineRule="auto"/>
        <w:rPr>
          <w:rFonts w:ascii="Arial" w:eastAsia="Arial" w:hAnsi="Arial" w:cs="Arial" w:hint="eastAsia"/>
          <w:color w:val="0E0E0E"/>
          <w:sz w:val="24"/>
          <w:szCs w:val="24"/>
          <w:u w:color="0E0E0E"/>
        </w:rPr>
      </w:pPr>
      <w:r w:rsidRPr="00AC4005"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Patel, S. A. Et al (2018) </w:t>
      </w:r>
      <w:hyperlink r:id="rId15" w:history="1"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Bedside Peripherally Inserted Central</w:t>
        </w:r>
        <w:r w:rsidR="00AC4005" w:rsidRPr="00AC4005">
          <w:rPr>
            <w:rStyle w:val="Hyperlink"/>
            <w:rFonts w:ascii="Arial" w:eastAsia="Arial" w:hAnsi="Arial" w:cs="Arial"/>
            <w:sz w:val="24"/>
            <w:szCs w:val="24"/>
            <w:u w:color="0E0E0E"/>
          </w:rPr>
          <w:t xml:space="preserve"> </w:t>
        </w:r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Catheter Tip Confirmation: A Direct Savings</w:t>
        </w:r>
        <w:r w:rsidR="00AC4005" w:rsidRPr="00AC4005">
          <w:rPr>
            <w:rStyle w:val="Hyperlink"/>
            <w:rFonts w:ascii="Arial" w:eastAsia="Arial" w:hAnsi="Arial" w:cs="Arial"/>
            <w:sz w:val="24"/>
            <w:szCs w:val="24"/>
            <w:u w:color="0E0E0E"/>
          </w:rPr>
          <w:t xml:space="preserve"> </w:t>
        </w:r>
        <w:r w:rsidRPr="00AC4005">
          <w:rPr>
            <w:rStyle w:val="Hyperlink"/>
            <w:rFonts w:ascii="Arial" w:eastAsia="Calibri" w:hAnsi="Arial" w:cs="Calibri"/>
            <w:i/>
            <w:iCs/>
            <w:sz w:val="24"/>
            <w:szCs w:val="24"/>
            <w:u w:color="000000"/>
          </w:rPr>
          <w:t>Analysis</w:t>
        </w:r>
      </w:hyperlink>
      <w:r w:rsidRPr="00AC4005">
        <w:rPr>
          <w:rFonts w:ascii="Arial" w:eastAsia="Calibri" w:hAnsi="Arial" w:cs="Calibri"/>
          <w:i/>
          <w:iCs/>
          <w:sz w:val="24"/>
          <w:szCs w:val="24"/>
          <w:u w:color="000000"/>
        </w:rPr>
        <w:t>.</w:t>
      </w:r>
      <w:r w:rsidRPr="00AC4005">
        <w:rPr>
          <w:rFonts w:ascii="Arial" w:eastAsia="Calibri" w:hAnsi="Arial" w:cs="Calibri"/>
          <w:color w:val="0E0E0E"/>
          <w:sz w:val="24"/>
          <w:szCs w:val="24"/>
          <w:u w:color="0E0E0E"/>
        </w:rPr>
        <w:t xml:space="preserve"> </w:t>
      </w:r>
      <w:bookmarkStart w:id="0" w:name="_GoBack"/>
      <w:bookmarkEnd w:id="0"/>
    </w:p>
    <w:sectPr w:rsidR="00BF1255" w:rsidRPr="00AC4005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A3" w:rsidRDefault="00F4631A">
      <w:r>
        <w:separator/>
      </w:r>
    </w:p>
  </w:endnote>
  <w:endnote w:type="continuationSeparator" w:id="0">
    <w:p w:rsidR="005E20A3" w:rsidRDefault="00F4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55" w:rsidRDefault="00BF12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A3" w:rsidRDefault="00F4631A">
      <w:r>
        <w:separator/>
      </w:r>
    </w:p>
  </w:footnote>
  <w:footnote w:type="continuationSeparator" w:id="0">
    <w:p w:rsidR="005E20A3" w:rsidRDefault="00F4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55" w:rsidRDefault="00BF12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1B9A"/>
    <w:multiLevelType w:val="hybridMultilevel"/>
    <w:tmpl w:val="03D2E044"/>
    <w:lvl w:ilvl="0" w:tplc="70AC0A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55"/>
    <w:rsid w:val="000D5C36"/>
    <w:rsid w:val="005E20A3"/>
    <w:rsid w:val="00990220"/>
    <w:rsid w:val="00AC4005"/>
    <w:rsid w:val="00B940B3"/>
    <w:rsid w:val="00BF1255"/>
    <w:rsid w:val="00EA7CF0"/>
    <w:rsid w:val="00F4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3E864-8F27-4D54-953F-8E02DA7D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C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4"/>
      <w:szCs w:val="24"/>
      <w:u w:val="single" w:color="0000FF"/>
      <w:vertAlign w:val="baseline"/>
      <w:lang w:val="en-US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z w:val="24"/>
      <w:szCs w:val="24"/>
      <w:u w:val="single" w:color="0000FF"/>
      <w:vertAlign w:val="baseline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sz w:val="24"/>
      <w:szCs w:val="24"/>
      <w:u w:val="single" w:color="0000FF"/>
      <w:vertAlign w:val="baselin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5C3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n.org.uk/professional-development/publications/pub-005704" TargetMode="External"/><Relationship Id="rId13" Type="http://schemas.openxmlformats.org/officeDocument/2006/relationships/hyperlink" Target="https://www.magonlinelibrary.com/doi/abs/10.12968/bjon.2016.25.Sup2.S17?journalCode=bj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s.nhs.uk/AboutTheTrust/AboutTheTrust.aspx" TargetMode="External"/><Relationship Id="rId12" Type="http://schemas.openxmlformats.org/officeDocument/2006/relationships/hyperlink" Target="https://www.magonlinelibrary.com/doi/abs/10.12968/bjon.2016.25.10.53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ta49/resources/guidance-on-the-use-of-ultrasound-locating-devices-for-placing-central-venous-catheters-pdf-2294585518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1552885517301599" TargetMode="External"/><Relationship Id="rId10" Type="http://schemas.openxmlformats.org/officeDocument/2006/relationships/hyperlink" Target="https://www.nice.org.uk/guidance/mtg24/resources/the-sherlock3cg-tip-confirmation-system-for-placement-of-peripherally-inserted-central-catheters-pdf-643719348456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mprovement.nhs.uk/documents/847/epic3_National_Evidence-Based_Guidelines_for_Preventing_HCAI_in_NHSE.pdf" TargetMode="External"/><Relationship Id="rId14" Type="http://schemas.openxmlformats.org/officeDocument/2006/relationships/hyperlink" Target="https://vardgivarwebb.regionostergotland.se/pages/272038/FRYKHOLM_et_al-2014-Acta_Anaesthesiologica_Scandinavica.pdf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448F3E43</Template>
  <TotalTime>11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Smith</dc:creator>
  <cp:lastModifiedBy>Bruce Smith</cp:lastModifiedBy>
  <cp:revision>3</cp:revision>
  <dcterms:created xsi:type="dcterms:W3CDTF">2018-12-21T11:23:00Z</dcterms:created>
  <dcterms:modified xsi:type="dcterms:W3CDTF">2018-12-21T11:35:00Z</dcterms:modified>
</cp:coreProperties>
</file>