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0C0CF31B" w:rsidR="00D47BA7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47BA7">
        <w:rPr>
          <w:rFonts w:ascii="Arial" w:hAnsi="Arial" w:cs="Arial"/>
          <w:b/>
          <w:bCs/>
          <w:color w:val="00506A"/>
          <w:sz w:val="28"/>
          <w:szCs w:val="28"/>
        </w:rPr>
        <w:t>Advisory Committee</w:t>
      </w:r>
      <w:r w:rsidR="008D0756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Pr="008D0756">
        <w:rPr>
          <w:rFonts w:ascii="Arial" w:hAnsi="Arial" w:cs="Arial"/>
          <w:b/>
          <w:bCs/>
          <w:color w:val="00506A"/>
          <w:sz w:val="28"/>
          <w:szCs w:val="28"/>
        </w:rPr>
        <w:t>HST</w:t>
      </w: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4A2D1D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07BBDD77" w14:textId="462947DB" w:rsidR="00A43DA6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8D0756">
        <w:rPr>
          <w:rFonts w:ascii="Arial" w:hAnsi="Arial" w:cs="Arial"/>
          <w:b/>
          <w:bCs/>
          <w:color w:val="00506A"/>
          <w:sz w:val="28"/>
          <w:szCs w:val="28"/>
        </w:rPr>
        <w:t>Topic</w:t>
      </w:r>
      <w:r w:rsidR="008D0756">
        <w:rPr>
          <w:rFonts w:ascii="Arial" w:hAnsi="Arial" w:cs="Arial"/>
          <w:b/>
          <w:bCs/>
          <w:color w:val="00506A"/>
          <w:sz w:val="28"/>
          <w:szCs w:val="28"/>
        </w:rPr>
        <w:t>:</w:t>
      </w:r>
      <w:r w:rsidRPr="008D0756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8D0756">
        <w:rPr>
          <w:rFonts w:ascii="Arial" w:hAnsi="Arial" w:cs="Arial"/>
          <w:b/>
          <w:bCs/>
          <w:color w:val="00506A"/>
          <w:sz w:val="28"/>
          <w:szCs w:val="28"/>
        </w:rPr>
        <w:t xml:space="preserve">[ID1473] </w:t>
      </w:r>
      <w:r w:rsidR="008D0756" w:rsidRPr="008D0756">
        <w:rPr>
          <w:rFonts w:ascii="Arial" w:hAnsi="Arial" w:cs="Arial"/>
          <w:b/>
          <w:bCs/>
          <w:color w:val="00506A"/>
          <w:sz w:val="28"/>
          <w:szCs w:val="28"/>
        </w:rPr>
        <w:t>Onasemnogene abeparvovec for treating spinal muscular atrophy</w:t>
      </w:r>
    </w:p>
    <w:p w14:paraId="74C01AEC" w14:textId="27439576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47BA7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8D0756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EB20D8">
        <w:rPr>
          <w:rFonts w:ascii="Arial" w:hAnsi="Arial" w:cs="Arial"/>
          <w:b/>
          <w:bCs/>
          <w:color w:val="00506A"/>
          <w:sz w:val="28"/>
          <w:szCs w:val="28"/>
        </w:rPr>
        <w:t>7 July 2021</w:t>
      </w:r>
    </w:p>
    <w:p w14:paraId="1C7CC411" w14:textId="77777777" w:rsidR="00D47BA7" w:rsidRDefault="00D47BA7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3"/>
        <w:gridCol w:w="1663"/>
        <w:gridCol w:w="1843"/>
        <w:gridCol w:w="3260"/>
        <w:gridCol w:w="1134"/>
        <w:gridCol w:w="1417"/>
        <w:gridCol w:w="1134"/>
        <w:gridCol w:w="2694"/>
      </w:tblGrid>
      <w:tr w:rsidR="004602D6" w:rsidRPr="009F66BF" w14:paraId="111674D1" w14:textId="77777777" w:rsidTr="007C6059">
        <w:trPr>
          <w:trHeight w:val="775"/>
        </w:trPr>
        <w:tc>
          <w:tcPr>
            <w:tcW w:w="2023" w:type="dxa"/>
          </w:tcPr>
          <w:p w14:paraId="626159D9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663" w:type="dxa"/>
          </w:tcPr>
          <w:p w14:paraId="4BC0C4D4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43" w:type="dxa"/>
          </w:tcPr>
          <w:p w14:paraId="3D4BE18B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260" w:type="dxa"/>
          </w:tcPr>
          <w:p w14:paraId="231853E2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134" w:type="dxa"/>
          </w:tcPr>
          <w:p w14:paraId="1CD048D0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39C94262" w14:textId="7D8627EE" w:rsidR="004602D6" w:rsidRPr="009F66BF" w:rsidRDefault="004602D6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417" w:type="dxa"/>
          </w:tcPr>
          <w:p w14:paraId="07D4B157" w14:textId="77777777" w:rsidR="004602D6" w:rsidRPr="004602D6" w:rsidRDefault="004602D6" w:rsidP="004602D6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134" w:type="dxa"/>
          </w:tcPr>
          <w:p w14:paraId="7F96F18C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7756DC64" w14:textId="5CBD8E0E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94" w:type="dxa"/>
          </w:tcPr>
          <w:p w14:paraId="5A51D99E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8D0756" w:rsidRPr="008D0756" w14:paraId="5BD34DE1" w14:textId="77777777" w:rsidTr="007C6059">
        <w:tc>
          <w:tcPr>
            <w:tcW w:w="2023" w:type="dxa"/>
          </w:tcPr>
          <w:p w14:paraId="17C39BFA" w14:textId="64A9205C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Francis Pang</w:t>
            </w:r>
          </w:p>
        </w:tc>
        <w:tc>
          <w:tcPr>
            <w:tcW w:w="1663" w:type="dxa"/>
          </w:tcPr>
          <w:p w14:paraId="46439073" w14:textId="474B5073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Committee Member</w:t>
            </w:r>
          </w:p>
        </w:tc>
        <w:tc>
          <w:tcPr>
            <w:tcW w:w="1843" w:type="dxa"/>
          </w:tcPr>
          <w:p w14:paraId="29096252" w14:textId="2F5A1C40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Financial</w:t>
            </w:r>
          </w:p>
        </w:tc>
        <w:tc>
          <w:tcPr>
            <w:tcW w:w="3260" w:type="dxa"/>
          </w:tcPr>
          <w:p w14:paraId="680DB5C2" w14:textId="2EFAA03D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Francis is a former employee and shareholder of one of the comparator companies: Biogen so will not be participating for this particular HST topic</w:t>
            </w:r>
          </w:p>
        </w:tc>
        <w:tc>
          <w:tcPr>
            <w:tcW w:w="1134" w:type="dxa"/>
          </w:tcPr>
          <w:p w14:paraId="7102C8BD" w14:textId="77777777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DBDEC4" w14:textId="5FE20798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24/09/2020</w:t>
            </w:r>
          </w:p>
        </w:tc>
        <w:tc>
          <w:tcPr>
            <w:tcW w:w="1134" w:type="dxa"/>
          </w:tcPr>
          <w:p w14:paraId="17FDD275" w14:textId="77777777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F7F9064" w14:textId="7D4A3E56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It was agreed that his declaration would prevent Francis from participating in this section of the meeting</w:t>
            </w:r>
          </w:p>
        </w:tc>
      </w:tr>
      <w:tr w:rsidR="008D0756" w:rsidRPr="008D0756" w14:paraId="57CAFC58" w14:textId="77777777" w:rsidTr="007C6059">
        <w:tc>
          <w:tcPr>
            <w:tcW w:w="2023" w:type="dxa"/>
          </w:tcPr>
          <w:p w14:paraId="545F8CD3" w14:textId="2E7582BF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Adnan Manzur</w:t>
            </w:r>
          </w:p>
        </w:tc>
        <w:tc>
          <w:tcPr>
            <w:tcW w:w="1663" w:type="dxa"/>
          </w:tcPr>
          <w:p w14:paraId="70AA5D8E" w14:textId="6D2599D3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Clinical Expert</w:t>
            </w:r>
          </w:p>
        </w:tc>
        <w:tc>
          <w:tcPr>
            <w:tcW w:w="1843" w:type="dxa"/>
          </w:tcPr>
          <w:p w14:paraId="52D407CC" w14:textId="568B2116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Direct personal</w:t>
            </w:r>
          </w:p>
        </w:tc>
        <w:tc>
          <w:tcPr>
            <w:tcW w:w="3260" w:type="dxa"/>
          </w:tcPr>
          <w:p w14:paraId="2B3BF6A6" w14:textId="32811ABD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He has done consulting work for Biogen: “SMA Expert questionnaire and advisory board” which took place in July 2017.</w:t>
            </w:r>
          </w:p>
        </w:tc>
        <w:tc>
          <w:tcPr>
            <w:tcW w:w="1134" w:type="dxa"/>
          </w:tcPr>
          <w:p w14:paraId="36721A78" w14:textId="77777777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6E311A" w14:textId="1DEBA505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08/10/2020</w:t>
            </w:r>
          </w:p>
        </w:tc>
        <w:tc>
          <w:tcPr>
            <w:tcW w:w="1134" w:type="dxa"/>
          </w:tcPr>
          <w:p w14:paraId="685EA588" w14:textId="77777777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201529D" w14:textId="74267AEB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It was agreed that his declaration would not prevent Adnan from participating in this section of the meeting</w:t>
            </w:r>
          </w:p>
        </w:tc>
      </w:tr>
      <w:tr w:rsidR="008D0756" w:rsidRPr="008D0756" w14:paraId="113840F9" w14:textId="77777777" w:rsidTr="007C6059">
        <w:tc>
          <w:tcPr>
            <w:tcW w:w="2023" w:type="dxa"/>
          </w:tcPr>
          <w:p w14:paraId="213F955C" w14:textId="7D5884E5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Volker Straub</w:t>
            </w:r>
          </w:p>
        </w:tc>
        <w:tc>
          <w:tcPr>
            <w:tcW w:w="1663" w:type="dxa"/>
          </w:tcPr>
          <w:p w14:paraId="1F51B8A6" w14:textId="47EF3F06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Clinical Expert</w:t>
            </w:r>
          </w:p>
        </w:tc>
        <w:tc>
          <w:tcPr>
            <w:tcW w:w="1843" w:type="dxa"/>
          </w:tcPr>
          <w:p w14:paraId="1D25840F" w14:textId="4051B082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 xml:space="preserve">Financial </w:t>
            </w:r>
          </w:p>
        </w:tc>
        <w:tc>
          <w:tcPr>
            <w:tcW w:w="3260" w:type="dxa"/>
          </w:tcPr>
          <w:p w14:paraId="4347FF6D" w14:textId="18ED3136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 xml:space="preserve">He received speaker honoraria from Sanofi Genzyme. He has or is currently on advisory boards for Audentes Therapeutics, AveXis (Novartis Gene Therapies), Biogen, Bristol-Myer Squibb, Exonics Therapeutics, Italfarmaco S.p.A., Pfizer, Roche, Sanofi Genzyme, Sarepta Therapeutics, Summit Therapeutics, Tivorsan, UCB, </w:t>
            </w:r>
            <w:r w:rsidRPr="008D0756">
              <w:rPr>
                <w:b w:val="0"/>
                <w:bCs w:val="0"/>
                <w:sz w:val="22"/>
                <w:szCs w:val="22"/>
              </w:rPr>
              <w:lastRenderedPageBreak/>
              <w:t>and Wave Therapeutics. He also had research collaborations with Ultragenyx and Sanofi Genzyme.</w:t>
            </w:r>
          </w:p>
        </w:tc>
        <w:tc>
          <w:tcPr>
            <w:tcW w:w="1134" w:type="dxa"/>
          </w:tcPr>
          <w:p w14:paraId="3C1ED97B" w14:textId="77777777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8A1835" w14:textId="5E85B11E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08/10/2020</w:t>
            </w:r>
          </w:p>
        </w:tc>
        <w:tc>
          <w:tcPr>
            <w:tcW w:w="1134" w:type="dxa"/>
          </w:tcPr>
          <w:p w14:paraId="7ACF5888" w14:textId="77777777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F844AD8" w14:textId="49E8B732" w:rsidR="008D0756" w:rsidRPr="008D0756" w:rsidRDefault="008D0756" w:rsidP="008D075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8D0756">
              <w:rPr>
                <w:b w:val="0"/>
                <w:bCs w:val="0"/>
                <w:sz w:val="22"/>
                <w:szCs w:val="22"/>
              </w:rPr>
              <w:t>It was agreed that his declaration would not prevent Volker from participating in this section of the meeting</w:t>
            </w:r>
          </w:p>
        </w:tc>
      </w:tr>
    </w:tbl>
    <w:p w14:paraId="18C08BA0" w14:textId="00701FB1" w:rsidR="001978C7" w:rsidRPr="008D0756" w:rsidRDefault="001978C7" w:rsidP="008D0756">
      <w:pPr>
        <w:pStyle w:val="Title"/>
        <w:rPr>
          <w:b w:val="0"/>
          <w:bCs w:val="0"/>
          <w:sz w:val="22"/>
          <w:szCs w:val="22"/>
        </w:rPr>
      </w:pPr>
    </w:p>
    <w:sectPr w:rsidR="001978C7" w:rsidRPr="008D0756" w:rsidSect="009F66B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5C10524C" w:rsidR="00446BEE" w:rsidRDefault="009F66BF" w:rsidP="009F66BF">
    <w:pPr>
      <w:pStyle w:val="Footer"/>
      <w:ind w:hanging="567"/>
    </w:pPr>
    <w:r>
      <w:t>[Name of] advisory committee</w:t>
    </w:r>
    <w:r w:rsidR="00D47BA7">
      <w:t xml:space="preserve"> – interests register</w:t>
    </w:r>
    <w:r w:rsidR="00446BEE">
      <w:tab/>
    </w:r>
    <w:r w:rsidR="00446BEE">
      <w:tab/>
    </w:r>
    <w:r>
      <w:tab/>
    </w:r>
    <w:r>
      <w:tab/>
    </w:r>
    <w:r>
      <w:tab/>
    </w:r>
    <w:r>
      <w:tab/>
    </w:r>
    <w:r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1946BB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1946B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5CEB2B3B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1" name="Picture 1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70065"/>
    <w:rsid w:val="000A4FEE"/>
    <w:rsid w:val="000B5102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2538A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27C3"/>
    <w:rsid w:val="00433EFF"/>
    <w:rsid w:val="00443081"/>
    <w:rsid w:val="00446BEE"/>
    <w:rsid w:val="004602D6"/>
    <w:rsid w:val="004A2D1D"/>
    <w:rsid w:val="005025A1"/>
    <w:rsid w:val="006921E1"/>
    <w:rsid w:val="006A3196"/>
    <w:rsid w:val="006F4B25"/>
    <w:rsid w:val="006F6496"/>
    <w:rsid w:val="00736348"/>
    <w:rsid w:val="00760908"/>
    <w:rsid w:val="007C6059"/>
    <w:rsid w:val="007F238D"/>
    <w:rsid w:val="00861B92"/>
    <w:rsid w:val="008814FB"/>
    <w:rsid w:val="008D0756"/>
    <w:rsid w:val="008F5E30"/>
    <w:rsid w:val="00914D7F"/>
    <w:rsid w:val="009C1F2B"/>
    <w:rsid w:val="009E680B"/>
    <w:rsid w:val="009F66BF"/>
    <w:rsid w:val="009F74FD"/>
    <w:rsid w:val="00A15A1F"/>
    <w:rsid w:val="00A3325A"/>
    <w:rsid w:val="00A43013"/>
    <w:rsid w:val="00A43DA6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47BA7"/>
    <w:rsid w:val="00D504B3"/>
    <w:rsid w:val="00D607D5"/>
    <w:rsid w:val="00D86BF0"/>
    <w:rsid w:val="00E51920"/>
    <w:rsid w:val="00E64120"/>
    <w:rsid w:val="00E660A1"/>
    <w:rsid w:val="00EA3CCF"/>
    <w:rsid w:val="00EB20D8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Joanne Ekeledo</cp:lastModifiedBy>
  <cp:revision>4</cp:revision>
  <dcterms:created xsi:type="dcterms:W3CDTF">2021-03-31T09:27:00Z</dcterms:created>
  <dcterms:modified xsi:type="dcterms:W3CDTF">2021-08-26T17:03:00Z</dcterms:modified>
</cp:coreProperties>
</file>